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601231.xml.htm"/>
      <w:bookmarkStart w:id="1" w:name="kswkform4_17926012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Hagen Thomas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 WEST 6TH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16507-1319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67"/>
        <w:gridCol w:w="938"/>
        <w:gridCol w:w="806"/>
        <w:gridCol w:w="622"/>
        <w:gridCol w:w="345"/>
        <w:gridCol w:w="769"/>
        <w:gridCol w:w="423"/>
        <w:gridCol w:w="593"/>
        <w:gridCol w:w="1369"/>
        <w:gridCol w:w="977"/>
        <w:gridCol w:w="139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78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6,658,800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Susan H. Hagen Non-Exempt Marital Irrev Trust</w:t>
            </w:r>
            <w:r>
              <w:rPr>
                <w:rFonts w:ascii="Times;serif" w:hAnsi="Times;serif"/>
                <w:color w:val="008000"/>
                <w:position w:val="7"/>
                <w:sz w:val="16"/>
                <w:sz w:val="20"/>
                <w:shd w:fill="FFFFFF" w:val="clear"/>
              </w:rPr>
              <w:t>(1)</w:t>
            </w:r>
          </w:p>
        </w:tc>
      </w:tr>
      <w:tr>
        <w:trPr/>
        <w:tc>
          <w:tcPr>
            <w:tcW w:w="19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10,086,059</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Family L.P.</w:t>
            </w:r>
            <w:r>
              <w:rPr>
                <w:rFonts w:ascii="Times;serif" w:hAnsi="Times;serif"/>
                <w:color w:val="008000"/>
                <w:position w:val="7"/>
                <w:sz w:val="16"/>
                <w:sz w:val="20"/>
                <w:shd w:fill="FFFFFF" w:val="clear"/>
              </w:rPr>
              <w:t>(2)</w:t>
            </w:r>
          </w:p>
        </w:tc>
      </w:tr>
      <w:tr>
        <w:trPr/>
        <w:tc>
          <w:tcPr>
            <w:tcW w:w="19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12,230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Estate of Susan H. Hagen</w:t>
            </w:r>
            <w:r>
              <w:rPr>
                <w:rFonts w:ascii="Times;serif" w:hAnsi="Times;serif"/>
                <w:color w:val="008000"/>
                <w:position w:val="7"/>
                <w:sz w:val="16"/>
                <w:sz w:val="20"/>
                <w:shd w:fill="FFFFFF" w:val="clear"/>
              </w:rPr>
              <w:t>(1)</w:t>
            </w:r>
          </w:p>
        </w:tc>
      </w:tr>
    </w:tbl>
    <w:tbl>
      <w:tblPr>
        <w:tblW w:w="13169"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711"/>
        <w:gridCol w:w="276"/>
        <w:gridCol w:w="906"/>
        <w:gridCol w:w="801"/>
        <w:gridCol w:w="891"/>
        <w:gridCol w:w="921"/>
        <w:gridCol w:w="816"/>
        <w:gridCol w:w="1071"/>
        <w:gridCol w:w="831"/>
        <w:gridCol w:w="1191"/>
      </w:tblGrid>
      <w:tr>
        <w:trPr>
          <w:tblHeader w:val="true"/>
        </w:trPr>
        <w:tc>
          <w:tcPr>
            <w:tcW w:w="131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9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(4)</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88.135</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88.135</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245.935</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14,713.986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1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28,800</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Susan Hagen Non-Exempt Marital Irrev</w:t>
            </w:r>
            <w:r>
              <w:rPr>
                <w:rFonts w:ascii="Times;serif" w:hAnsi="Times;serif"/>
                <w:color w:val="008000"/>
                <w:position w:val="7"/>
                <w:sz w:val="16"/>
                <w:sz w:val="20"/>
                <w:shd w:fill="FFFFFF" w:val="clear"/>
              </w:rPr>
              <w:t>(1)</w:t>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9,600</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1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415,200</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Family L.P.</w:t>
            </w:r>
            <w:r>
              <w:rPr>
                <w:rFonts w:ascii="Times;serif" w:hAnsi="Times;serif"/>
                <w:color w:val="008000"/>
                <w:position w:val="7"/>
                <w:sz w:val="16"/>
                <w:sz w:val="20"/>
                <w:shd w:fill="FFFFFF" w:val="clear"/>
              </w:rPr>
              <w:t>(2)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owned by Erie Indemnity Company director and reporting person, Susan Hirt Hagen who died 6/15/15. By operation of law, her 6,658,800 Class A shares and 12 Class B shares held in a revocable trust passed to an irrevocable trust of which this reporting person became co-trustee, sharing voting and investment powers. The 12,230 Class A shares from Mrs. Hagen's Directors' Deferred Compensation Plan account were subsequently transferred by the Company to her estate for which this reporting person is co-executor, sharing voting and investment powers.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the Hagen FLP of which the reporting person is a Limited Partner and the General Partner with the sole powers of investment and voting.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Conversion price is not applicable to shares granted under the Outside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Acquired under dividend reinvestment for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Pursuant to the Articles of Incorporation of the Company, as amended, shares of Class B Common Stock (voting) of Erie Indemnity Company are convertible at any time to shares of Class A Common Stock (non-voting) at a conversion rate of 2,400 shares of Class A Stock for each share of Class B Stock. There are no exercise or expiration dates associated with this conversion feature and no specific exercise price when a Class B share is converted into Class A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6809"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1063</Words>
  <Characters>5607</Characters>
  <CharactersWithSpaces>6553</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