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UNITED STATES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0"/>
        <w:jc w:val="center"/>
        <w:rPr/>
      </w:pPr>
      <w:r>
        <w:rPr>
          <w:rFonts w:ascii="Times New Roman;serif" w:hAnsi="Times New Roman;serif"/>
          <w:b w:val="false"/>
          <w:color w:val="000000"/>
          <w:sz w:val="20"/>
        </w:rPr>
        <w:t>Washington, D.C. 20549</w:t>
      </w: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10-Q </w:t>
      </w:r>
    </w:p>
    <w:p>
      <w:pPr>
        <w:pStyle w:val="TextBody"/>
        <w:bidi w:val="0"/>
        <w:spacing w:lineRule="auto" w:line="288" w:before="0" w:after="0"/>
        <w:jc w:val="center"/>
        <w:rPr/>
      </w:pP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0"/>
        <w:jc w:val="center"/>
        <w:rPr/>
      </w:pPr>
      <w:r>
        <w:rPr>
          <w:rFonts w:ascii="Times New Roman;serif" w:hAnsi="Times New Roman;serif"/>
          <w:b/>
          <w:color w:val="000000"/>
          <w:sz w:val="20"/>
        </w:rPr>
        <w:t>For the transition period from</w:t>
      </w:r>
      <w:r>
        <w:rPr>
          <w:rFonts w:ascii="Arial;sans-serif" w:hAnsi="Arial;sans-serif"/>
          <w:b w:val="false"/>
          <w:color w:val="000000"/>
          <w:sz w:val="20"/>
        </w:rPr>
        <w:t>___</w:t>
      </w:r>
      <w:r>
        <w:rPr>
          <w:rFonts w:ascii="Times New Roman;serif" w:hAnsi="Times New Roman;serif"/>
          <w:b/>
          <w:color w:val="000000"/>
          <w:sz w:val="20"/>
        </w:rPr>
        <w:t>to</w:t>
      </w:r>
      <w:r>
        <w:rPr>
          <w:rFonts w:ascii="Arial;sans-serif" w:hAnsi="Arial;sans-serif"/>
          <w:b w:val="false"/>
          <w:color w:val="000000"/>
          <w:sz w:val="20"/>
        </w:rPr>
        <w:t>___</w:t>
      </w:r>
    </w:p>
    <w:p>
      <w:pPr>
        <w:pStyle w:val="TextBody"/>
        <w:bidi w:val="0"/>
        <w:spacing w:lineRule="auto" w:line="288" w:before="0" w:after="0"/>
        <w:jc w:val="center"/>
        <w:rPr/>
      </w:pPr>
      <w:r>
        <w:rPr>
          <w:rFonts w:ascii="Times New Roman;serif" w:hAnsi="Times New Roman;serif"/>
          <w:b w:val="false"/>
          <w:color w:val="000000"/>
          <w:sz w:val="20"/>
        </w:rPr>
        <w:t xml:space="preserve">Commission file number </w:t>
      </w:r>
      <w:r>
        <w:rPr>
          <w:rFonts w:ascii="Times New Roman;serif" w:hAnsi="Times New Roman;serif"/>
          <w:b w:val="false"/>
          <w:color w:val="000000"/>
          <w:sz w:val="20"/>
          <w:u w:val="single"/>
        </w:rPr>
        <w:t>0-24000</w:t>
      </w:r>
      <w:r>
        <w:rPr>
          <w:color w:val="000000"/>
        </w:rPr>
        <w:t xml:space="preserve"> </w:t>
      </w:r>
    </w:p>
    <w:p>
      <w:pPr>
        <w:pStyle w:val="TextBody"/>
        <w:bidi w:val="0"/>
        <w:spacing w:before="0" w:after="0"/>
        <w:jc w:val="center"/>
        <w:rPr/>
      </w:pPr>
      <w:r>
        <w:rPr/>
      </w:r>
    </w:p>
    <w:tbl>
      <w:tblPr>
        <w:tblW w:w="4943" w:type="dxa"/>
        <w:jc w:val="center"/>
        <w:tblInd w:w="0" w:type="dxa"/>
        <w:tblLayout w:type="fixed"/>
        <w:tblCellMar>
          <w:top w:w="28" w:type="dxa"/>
          <w:left w:w="28" w:type="dxa"/>
          <w:bottom w:w="28" w:type="dxa"/>
          <w:right w:w="28" w:type="dxa"/>
        </w:tblCellMar>
      </w:tblPr>
      <w:tblGrid>
        <w:gridCol w:w="124"/>
        <w:gridCol w:w="109"/>
        <w:gridCol w:w="109"/>
        <w:gridCol w:w="1409"/>
        <w:gridCol w:w="1409"/>
        <w:gridCol w:w="141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ERIE INDEMNITY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209" w:type="dxa"/>
        <w:jc w:val="center"/>
        <w:tblInd w:w="0" w:type="dxa"/>
        <w:tblLayout w:type="fixed"/>
        <w:tblCellMar>
          <w:top w:w="28" w:type="dxa"/>
          <w:left w:w="28" w:type="dxa"/>
          <w:bottom w:w="28" w:type="dxa"/>
          <w:right w:w="28" w:type="dxa"/>
        </w:tblCellMar>
      </w:tblPr>
      <w:tblGrid>
        <w:gridCol w:w="124"/>
        <w:gridCol w:w="109"/>
        <w:gridCol w:w="109"/>
        <w:gridCol w:w="854"/>
        <w:gridCol w:w="854"/>
        <w:gridCol w:w="856"/>
        <w:gridCol w:w="109"/>
        <w:gridCol w:w="109"/>
        <w:gridCol w:w="109"/>
        <w:gridCol w:w="534"/>
        <w:gridCol w:w="534"/>
        <w:gridCol w:w="5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25-0466020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tbl>
      <w:tblPr>
        <w:tblW w:w="5854" w:type="dxa"/>
        <w:jc w:val="center"/>
        <w:tblInd w:w="0" w:type="dxa"/>
        <w:tblLayout w:type="fixed"/>
        <w:tblCellMar>
          <w:top w:w="28" w:type="dxa"/>
          <w:left w:w="28" w:type="dxa"/>
          <w:bottom w:w="28" w:type="dxa"/>
          <w:right w:w="28" w:type="dxa"/>
        </w:tblCellMar>
      </w:tblPr>
      <w:tblGrid>
        <w:gridCol w:w="124"/>
        <w:gridCol w:w="109"/>
        <w:gridCol w:w="109"/>
        <w:gridCol w:w="714"/>
        <w:gridCol w:w="714"/>
        <w:gridCol w:w="716"/>
        <w:gridCol w:w="159"/>
        <w:gridCol w:w="159"/>
        <w:gridCol w:w="161"/>
        <w:gridCol w:w="400"/>
        <w:gridCol w:w="400"/>
        <w:gridCol w:w="401"/>
        <w:gridCol w:w="109"/>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 Erie Insurance Place,</w:t>
            </w:r>
          </w:p>
        </w:tc>
        <w:tc>
          <w:tcPr>
            <w:tcW w:w="4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Erie,</w:t>
            </w:r>
          </w:p>
        </w:tc>
        <w:tc>
          <w:tcPr>
            <w:tcW w:w="12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16530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122" w:type="dxa"/>
        <w:jc w:val="center"/>
        <w:tblInd w:w="0" w:type="dxa"/>
        <w:tblLayout w:type="fixed"/>
        <w:tblCellMar>
          <w:top w:w="28" w:type="dxa"/>
          <w:left w:w="28" w:type="dxa"/>
          <w:bottom w:w="28" w:type="dxa"/>
          <w:right w:w="28" w:type="dxa"/>
        </w:tblCellMar>
      </w:tblPr>
      <w:tblGrid>
        <w:gridCol w:w="124"/>
        <w:gridCol w:w="109"/>
        <w:gridCol w:w="109"/>
        <w:gridCol w:w="467"/>
        <w:gridCol w:w="467"/>
        <w:gridCol w:w="471"/>
        <w:gridCol w:w="999"/>
        <w:gridCol w:w="999"/>
        <w:gridCol w:w="100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w:t>
            </w:r>
          </w:p>
        </w:tc>
        <w:tc>
          <w:tcPr>
            <w:tcW w:w="30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870-2000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298" w:type="dxa"/>
        <w:jc w:val="center"/>
        <w:tblInd w:w="0" w:type="dxa"/>
        <w:tblLayout w:type="fixed"/>
        <w:tblCellMar>
          <w:top w:w="28" w:type="dxa"/>
          <w:left w:w="28" w:type="dxa"/>
          <w:bottom w:w="28" w:type="dxa"/>
          <w:right w:w="28" w:type="dxa"/>
        </w:tblCellMar>
      </w:tblPr>
      <w:tblGrid>
        <w:gridCol w:w="124"/>
        <w:gridCol w:w="109"/>
        <w:gridCol w:w="109"/>
        <w:gridCol w:w="2193"/>
        <w:gridCol w:w="2193"/>
        <w:gridCol w:w="219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680"/>
        <w:gridCol w:w="598"/>
        <w:gridCol w:w="600"/>
        <w:gridCol w:w="789"/>
        <w:gridCol w:w="789"/>
        <w:gridCol w:w="791"/>
        <w:gridCol w:w="109"/>
        <w:gridCol w:w="109"/>
        <w:gridCol w:w="109"/>
        <w:gridCol w:w="485"/>
        <w:gridCol w:w="485"/>
        <w:gridCol w:w="493"/>
        <w:gridCol w:w="109"/>
        <w:gridCol w:w="109"/>
        <w:gridCol w:w="109"/>
        <w:gridCol w:w="1154"/>
        <w:gridCol w:w="1152"/>
        <w:gridCol w:w="1157"/>
        <w:gridCol w:w="109"/>
        <w:gridCol w:w="109"/>
        <w:gridCol w:w="160"/>
      </w:tblGrid>
      <w:tr>
        <w:trPr/>
        <w:tc>
          <w:tcPr>
            <w:tcW w:w="68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23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stated value $0.0292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ERIE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Stock Market, LLC</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color w:val="000000"/>
        </w:rPr>
        <w: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tbl>
      <w:tblPr>
        <w:tblW w:w="8441"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09"/>
        <w:gridCol w:w="109"/>
        <w:gridCol w:w="109"/>
        <w:gridCol w:w="109"/>
        <w:gridCol w:w="599"/>
        <w:gridCol w:w="599"/>
        <w:gridCol w:w="601"/>
        <w:gridCol w:w="109"/>
        <w:gridCol w:w="109"/>
        <w:gridCol w:w="109"/>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is a shell company (as defined in Rule 12b-2 of the Exchange Act). Yes ☐ No ☒</w:t>
      </w: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number of shares outstanding of the registrant’s Class A Common Stock as of the latest practicable date was 46,189,068 at July 24,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number of shares outstanding of the registrant’s Class B Common Stock as of the latest practicable date was 2,542 at July 24,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tbl>
      <w:tblPr>
        <w:tblW w:w="9646" w:type="dxa"/>
        <w:jc w:val="left"/>
        <w:tblInd w:w="0" w:type="dxa"/>
        <w:tblLayout w:type="fixed"/>
        <w:tblCellMar>
          <w:top w:w="28" w:type="dxa"/>
          <w:left w:w="28" w:type="dxa"/>
          <w:bottom w:w="28" w:type="dxa"/>
          <w:right w:w="28" w:type="dxa"/>
        </w:tblCellMar>
      </w:tblPr>
      <w:tblGrid>
        <w:gridCol w:w="298"/>
        <w:gridCol w:w="263"/>
        <w:gridCol w:w="265"/>
        <w:gridCol w:w="2583"/>
        <w:gridCol w:w="2583"/>
        <w:gridCol w:w="3654"/>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10">
              <w:r>
                <w:rPr>
                  <w:rStyle w:val="InternetLink"/>
                  <w:rFonts w:ascii="Times New Roman;serif" w:hAnsi="Times New Roman;serif"/>
                  <w:b w:val="false"/>
                  <w:color w:val="0000FF"/>
                  <w:sz w:val="20"/>
                  <w:u w:val="single"/>
                </w:rPr>
                <w:t>PART I.</w:t>
              </w:r>
            </w:hyperlink>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10">
              <w:r>
                <w:rPr>
                  <w:rStyle w:val="InternetLink"/>
                  <w:rFonts w:ascii="Times New Roman;serif" w:hAnsi="Times New Roman;serif"/>
                  <w:b w:val="false"/>
                  <w:color w:val="0000FF"/>
                  <w:sz w:val="20"/>
                  <w:u w:val="single"/>
                </w:rPr>
                <w:t>FINANCIAL INFORMATION</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13">
              <w:r>
                <w:rPr>
                  <w:rStyle w:val="InternetLink"/>
                  <w:rFonts w:ascii="Times New Roman;serif" w:hAnsi="Times New Roman;serif"/>
                  <w:b w:val="false"/>
                  <w:color w:val="0000FF"/>
                  <w:sz w:val="20"/>
                  <w:u w:val="single"/>
                </w:rPr>
                <w:t>Item 1.</w:t>
              </w:r>
            </w:hyperlink>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13">
              <w:r>
                <w:rPr>
                  <w:rStyle w:val="InternetLink"/>
                  <w:rFonts w:ascii="Times New Roman;serif" w:hAnsi="Times New Roman;serif"/>
                  <w:b w:val="false"/>
                  <w:color w:val="0000FF"/>
                  <w:sz w:val="20"/>
                  <w:u w:val="single"/>
                </w:rPr>
                <w:t>Financial Statements (Unaudited)</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16">
              <w:r>
                <w:rPr>
                  <w:rStyle w:val="InternetLink"/>
                  <w:rFonts w:ascii="Times New Roman;serif" w:hAnsi="Times New Roman;serif"/>
                  <w:b w:val="false"/>
                  <w:color w:val="000080"/>
                  <w:sz w:val="20"/>
                  <w:u w:val="single"/>
                </w:rPr>
                <w:t xml:space="preserve">Consolidated Statements of Operations – Three </w:t>
              </w:r>
            </w:hyperlink>
            <w:hyperlink w:anchor="id147b53c74f544f7baadb5cf867171ab_16">
              <w:r>
                <w:rPr>
                  <w:rStyle w:val="InternetLink"/>
                  <w:rFonts w:ascii="Times New Roman;serif" w:hAnsi="Times New Roman;serif"/>
                  <w:b w:val="false"/>
                  <w:color w:val="000080"/>
                  <w:sz w:val="20"/>
                  <w:u w:val="single"/>
                </w:rPr>
                <w:t xml:space="preserve">and six </w:t>
              </w:r>
            </w:hyperlink>
            <w:hyperlink w:anchor="id147b53c74f544f7baadb5cf867171ab_16">
              <w:r>
                <w:rPr>
                  <w:rStyle w:val="InternetLink"/>
                  <w:rFonts w:ascii="Times New Roman;serif" w:hAnsi="Times New Roman;serif"/>
                  <w:b w:val="false"/>
                  <w:color w:val="000080"/>
                  <w:sz w:val="20"/>
                  <w:u w:val="single"/>
                </w:rPr>
                <w:t xml:space="preserve">months ended </w:t>
              </w:r>
            </w:hyperlink>
            <w:hyperlink w:anchor="id147b53c74f544f7baadb5cf867171ab_16">
              <w:r>
                <w:rPr>
                  <w:rStyle w:val="InternetLink"/>
                  <w:rFonts w:ascii="Times New Roman;serif" w:hAnsi="Times New Roman;serif"/>
                  <w:b w:val="false"/>
                  <w:color w:val="000080"/>
                  <w:sz w:val="20"/>
                  <w:u w:val="single"/>
                </w:rPr>
                <w:t>June 30</w:t>
              </w:r>
            </w:hyperlink>
            <w:hyperlink w:anchor="id147b53c74f544f7baadb5cf867171ab_16">
              <w:r>
                <w:rPr>
                  <w:rStyle w:val="InternetLink"/>
                  <w:rFonts w:ascii="Times New Roman;serif" w:hAnsi="Times New Roman;serif"/>
                  <w:b w:val="false"/>
                  <w:color w:val="000080"/>
                  <w:sz w:val="20"/>
                  <w:u w:val="single"/>
                </w:rPr>
                <w:t>, 2026 and 2025</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19">
              <w:r>
                <w:rPr>
                  <w:rStyle w:val="InternetLink"/>
                  <w:rFonts w:ascii="Times New Roman;serif" w:hAnsi="Times New Roman;serif"/>
                  <w:b w:val="false"/>
                  <w:color w:val="000080"/>
                  <w:sz w:val="20"/>
                  <w:u w:val="single"/>
                </w:rPr>
                <w:t xml:space="preserve">Consolidated Statements of Comprehensive Income – Three </w:t>
              </w:r>
            </w:hyperlink>
            <w:hyperlink w:anchor="id147b53c74f544f7baadb5cf867171ab_19">
              <w:r>
                <w:rPr>
                  <w:rStyle w:val="InternetLink"/>
                  <w:rFonts w:ascii="Times New Roman;serif" w:hAnsi="Times New Roman;serif"/>
                  <w:b w:val="false"/>
                  <w:color w:val="000080"/>
                  <w:sz w:val="20"/>
                  <w:u w:val="single"/>
                </w:rPr>
                <w:t xml:space="preserve">and six </w:t>
              </w:r>
            </w:hyperlink>
            <w:hyperlink w:anchor="id147b53c74f544f7baadb5cf867171ab_19">
              <w:r>
                <w:rPr>
                  <w:rStyle w:val="InternetLink"/>
                  <w:rFonts w:ascii="Times New Roman;serif" w:hAnsi="Times New Roman;serif"/>
                  <w:b w:val="false"/>
                  <w:color w:val="000080"/>
                  <w:sz w:val="20"/>
                  <w:u w:val="single"/>
                </w:rPr>
                <w:t xml:space="preserve">months ended </w:t>
              </w:r>
            </w:hyperlink>
            <w:hyperlink w:anchor="id147b53c74f544f7baadb5cf867171ab_19">
              <w:r>
                <w:rPr>
                  <w:rStyle w:val="InternetLink"/>
                  <w:rFonts w:ascii="Times New Roman;serif" w:hAnsi="Times New Roman;serif"/>
                  <w:b w:val="false"/>
                  <w:color w:val="000080"/>
                  <w:sz w:val="20"/>
                  <w:u w:val="single"/>
                </w:rPr>
                <w:t>June 30</w:t>
              </w:r>
            </w:hyperlink>
            <w:hyperlink w:anchor="id147b53c74f544f7baadb5cf867171ab_19">
              <w:r>
                <w:rPr>
                  <w:rStyle w:val="InternetLink"/>
                  <w:rFonts w:ascii="Times New Roman;serif" w:hAnsi="Times New Roman;serif"/>
                  <w:b w:val="false"/>
                  <w:color w:val="000080"/>
                  <w:sz w:val="20"/>
                  <w:u w:val="single"/>
                </w:rPr>
                <w:t>, 2026 and 2025</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22">
              <w:r>
                <w:rPr>
                  <w:rStyle w:val="InternetLink"/>
                  <w:rFonts w:ascii="Times New Roman;serif" w:hAnsi="Times New Roman;serif"/>
                  <w:b w:val="false"/>
                  <w:color w:val="000080"/>
                  <w:sz w:val="20"/>
                  <w:u w:val="single"/>
                </w:rPr>
                <w:t xml:space="preserve">Consolidated Statements of Financial Position – </w:t>
              </w:r>
            </w:hyperlink>
            <w:hyperlink w:anchor="id147b53c74f544f7baadb5cf867171ab_22">
              <w:r>
                <w:rPr>
                  <w:rStyle w:val="InternetLink"/>
                  <w:rFonts w:ascii="Times New Roman;serif" w:hAnsi="Times New Roman;serif"/>
                  <w:b w:val="false"/>
                  <w:color w:val="000080"/>
                  <w:sz w:val="20"/>
                  <w:u w:val="single"/>
                </w:rPr>
                <w:t>June</w:t>
              </w:r>
            </w:hyperlink>
            <w:hyperlink w:anchor="id147b53c74f544f7baadb5cf867171ab_22">
              <w:r>
                <w:rPr>
                  <w:rStyle w:val="InternetLink"/>
                  <w:rFonts w:ascii="Times New Roman;serif" w:hAnsi="Times New Roman;serif"/>
                  <w:b w:val="false"/>
                  <w:color w:val="000080"/>
                  <w:sz w:val="20"/>
                  <w:u w:val="single"/>
                </w:rPr>
                <w:t xml:space="preserve"> 3</w:t>
              </w:r>
            </w:hyperlink>
            <w:hyperlink w:anchor="id147b53c74f544f7baadb5cf867171ab_22">
              <w:r>
                <w:rPr>
                  <w:rStyle w:val="InternetLink"/>
                  <w:rFonts w:ascii="Times New Roman;serif" w:hAnsi="Times New Roman;serif"/>
                  <w:b w:val="false"/>
                  <w:color w:val="000080"/>
                  <w:sz w:val="20"/>
                  <w:u w:val="single"/>
                </w:rPr>
                <w:t>0</w:t>
              </w:r>
            </w:hyperlink>
            <w:hyperlink w:anchor="id147b53c74f544f7baadb5cf867171ab_22">
              <w:r>
                <w:rPr>
                  <w:rStyle w:val="InternetLink"/>
                  <w:rFonts w:ascii="Times New Roman;serif" w:hAnsi="Times New Roman;serif"/>
                  <w:b w:val="false"/>
                  <w:color w:val="000080"/>
                  <w:sz w:val="20"/>
                  <w:u w:val="single"/>
                </w:rPr>
                <w:t>, 2026 and December 31, 2025</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25">
              <w:r>
                <w:rPr>
                  <w:rStyle w:val="InternetLink"/>
                  <w:rFonts w:ascii="Times New Roman;serif" w:hAnsi="Times New Roman;serif"/>
                  <w:b w:val="false"/>
                  <w:color w:val="000080"/>
                  <w:sz w:val="20"/>
                  <w:u w:val="single"/>
                </w:rPr>
                <w:t>Consolidated Statements of Shareholders' Equity – Three</w:t>
              </w:r>
            </w:hyperlink>
            <w:hyperlink w:anchor="id147b53c74f544f7baadb5cf867171ab_25">
              <w:r>
                <w:rPr>
                  <w:rStyle w:val="InternetLink"/>
                  <w:rFonts w:ascii="Times New Roman;serif" w:hAnsi="Times New Roman;serif"/>
                  <w:b w:val="false"/>
                  <w:color w:val="000080"/>
                  <w:sz w:val="20"/>
                  <w:u w:val="single"/>
                </w:rPr>
                <w:t xml:space="preserve"> and six</w:t>
              </w:r>
            </w:hyperlink>
            <w:hyperlink w:anchor="id147b53c74f544f7baadb5cf867171ab_25">
              <w:r>
                <w:rPr>
                  <w:rStyle w:val="InternetLink"/>
                  <w:rFonts w:ascii="Times New Roman;serif" w:hAnsi="Times New Roman;serif"/>
                  <w:b w:val="false"/>
                  <w:color w:val="000080"/>
                  <w:sz w:val="20"/>
                  <w:u w:val="single"/>
                </w:rPr>
                <w:t xml:space="preserve"> months ended </w:t>
              </w:r>
            </w:hyperlink>
            <w:hyperlink w:anchor="id147b53c74f544f7baadb5cf867171ab_25">
              <w:r>
                <w:rPr>
                  <w:rStyle w:val="InternetLink"/>
                  <w:rFonts w:ascii="Times New Roman;serif" w:hAnsi="Times New Roman;serif"/>
                  <w:b w:val="false"/>
                  <w:color w:val="000080"/>
                  <w:sz w:val="20"/>
                  <w:u w:val="single"/>
                </w:rPr>
                <w:t>June 30</w:t>
              </w:r>
            </w:hyperlink>
            <w:hyperlink w:anchor="id147b53c74f544f7baadb5cf867171ab_25">
              <w:r>
                <w:rPr>
                  <w:rStyle w:val="InternetLink"/>
                  <w:rFonts w:ascii="Times New Roman;serif" w:hAnsi="Times New Roman;serif"/>
                  <w:b w:val="false"/>
                  <w:color w:val="000080"/>
                  <w:sz w:val="20"/>
                  <w:u w:val="single"/>
                </w:rPr>
                <w:t>. 2026 and 2025</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28">
              <w:r>
                <w:rPr>
                  <w:rStyle w:val="InternetLink"/>
                  <w:rFonts w:ascii="Times New Roman;serif" w:hAnsi="Times New Roman;serif"/>
                  <w:b w:val="false"/>
                  <w:color w:val="000080"/>
                  <w:sz w:val="20"/>
                  <w:u w:val="single"/>
                </w:rPr>
                <w:t xml:space="preserve">Consolidated Statements of Cash Flows – </w:t>
              </w:r>
            </w:hyperlink>
            <w:hyperlink w:anchor="id147b53c74f544f7baadb5cf867171ab_28">
              <w:r>
                <w:rPr>
                  <w:rStyle w:val="InternetLink"/>
                  <w:rFonts w:ascii="Times New Roman;serif" w:hAnsi="Times New Roman;serif"/>
                  <w:b w:val="false"/>
                  <w:color w:val="000080"/>
                  <w:sz w:val="20"/>
                  <w:u w:val="single"/>
                </w:rPr>
                <w:t>S</w:t>
              </w:r>
            </w:hyperlink>
            <w:hyperlink w:anchor="id147b53c74f544f7baadb5cf867171ab_28">
              <w:r>
                <w:rPr>
                  <w:rStyle w:val="InternetLink"/>
                  <w:rFonts w:ascii="Times New Roman;serif" w:hAnsi="Times New Roman;serif"/>
                  <w:b w:val="false"/>
                  <w:color w:val="000080"/>
                  <w:sz w:val="20"/>
                  <w:u w:val="single"/>
                </w:rPr>
                <w:t>ix</w:t>
              </w:r>
            </w:hyperlink>
            <w:hyperlink w:anchor="id147b53c74f544f7baadb5cf867171ab_28">
              <w:r>
                <w:rPr>
                  <w:rStyle w:val="InternetLink"/>
                  <w:rFonts w:ascii="Times New Roman;serif" w:hAnsi="Times New Roman;serif"/>
                  <w:b w:val="false"/>
                  <w:color w:val="000080"/>
                  <w:sz w:val="20"/>
                  <w:u w:val="single"/>
                </w:rPr>
                <w:t xml:space="preserve"> months ended </w:t>
              </w:r>
            </w:hyperlink>
            <w:hyperlink w:anchor="id147b53c74f544f7baadb5cf867171ab_28">
              <w:r>
                <w:rPr>
                  <w:rStyle w:val="InternetLink"/>
                  <w:rFonts w:ascii="Times New Roman;serif" w:hAnsi="Times New Roman;serif"/>
                  <w:b w:val="false"/>
                  <w:color w:val="000080"/>
                  <w:sz w:val="20"/>
                  <w:u w:val="single"/>
                </w:rPr>
                <w:t>June 30</w:t>
              </w:r>
            </w:hyperlink>
            <w:hyperlink w:anchor="id147b53c74f544f7baadb5cf867171ab_28">
              <w:r>
                <w:rPr>
                  <w:rStyle w:val="InternetLink"/>
                  <w:rFonts w:ascii="Times New Roman;serif" w:hAnsi="Times New Roman;serif"/>
                  <w:b w:val="false"/>
                  <w:color w:val="000080"/>
                  <w:sz w:val="20"/>
                  <w:u w:val="single"/>
                </w:rPr>
                <w:t>, 2026 and 2025</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31">
              <w:r>
                <w:rPr>
                  <w:rStyle w:val="InternetLink"/>
                  <w:rFonts w:ascii="Times New Roman;serif" w:hAnsi="Times New Roman;serif"/>
                  <w:b w:val="false"/>
                  <w:color w:val="000080"/>
                  <w:sz w:val="20"/>
                  <w:u w:val="single"/>
                </w:rPr>
                <w:t xml:space="preserve">Notes to Consolidated Financial Statements – </w:t>
              </w:r>
            </w:hyperlink>
            <w:hyperlink w:anchor="id147b53c74f544f7baadb5cf867171ab_31">
              <w:r>
                <w:rPr>
                  <w:rStyle w:val="InternetLink"/>
                  <w:rFonts w:ascii="Times New Roman;serif" w:hAnsi="Times New Roman;serif"/>
                  <w:b w:val="false"/>
                  <w:color w:val="000080"/>
                  <w:sz w:val="20"/>
                  <w:u w:val="single"/>
                </w:rPr>
                <w:t>June</w:t>
              </w:r>
            </w:hyperlink>
            <w:hyperlink w:anchor="id147b53c74f544f7baadb5cf867171ab_31">
              <w:r>
                <w:rPr>
                  <w:rStyle w:val="InternetLink"/>
                  <w:rFonts w:ascii="Times New Roman;serif" w:hAnsi="Times New Roman;serif"/>
                  <w:b w:val="false"/>
                  <w:color w:val="000080"/>
                  <w:sz w:val="20"/>
                  <w:u w:val="single"/>
                </w:rPr>
                <w:t xml:space="preserve"> 3</w:t>
              </w:r>
            </w:hyperlink>
            <w:hyperlink w:anchor="id147b53c74f544f7baadb5cf867171ab_31">
              <w:r>
                <w:rPr>
                  <w:rStyle w:val="InternetLink"/>
                  <w:rFonts w:ascii="Times New Roman;serif" w:hAnsi="Times New Roman;serif"/>
                  <w:b w:val="false"/>
                  <w:color w:val="000080"/>
                  <w:sz w:val="20"/>
                  <w:u w:val="single"/>
                </w:rPr>
                <w:t>0</w:t>
              </w:r>
            </w:hyperlink>
            <w:hyperlink w:anchor="id147b53c74f544f7baadb5cf867171ab_31">
              <w:r>
                <w:rPr>
                  <w:rStyle w:val="InternetLink"/>
                  <w:rFonts w:ascii="Times New Roman;serif" w:hAnsi="Times New Roman;serif"/>
                  <w:b w:val="false"/>
                  <w:color w:val="000080"/>
                  <w:sz w:val="20"/>
                  <w:u w:val="single"/>
                </w:rPr>
                <w:t>, 2026</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79">
              <w:r>
                <w:rPr>
                  <w:rStyle w:val="InternetLink"/>
                  <w:rFonts w:ascii="Times New Roman;serif" w:hAnsi="Times New Roman;serif"/>
                  <w:b w:val="false"/>
                  <w:color w:val="0000FF"/>
                  <w:sz w:val="20"/>
                  <w:u w:val="single"/>
                </w:rPr>
                <w:t>Item 2.</w:t>
              </w:r>
            </w:hyperlink>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79">
              <w:r>
                <w:rPr>
                  <w:rStyle w:val="InternetLink"/>
                  <w:rFonts w:ascii="Times New Roman;serif" w:hAnsi="Times New Roman;serif"/>
                  <w:b w:val="false"/>
                  <w:color w:val="0000FF"/>
                  <w:sz w:val="20"/>
                  <w:u w:val="single"/>
                </w:rPr>
                <w:t>Management’s Discussion and Analysis of Financial Condition and Results of Operations</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115">
              <w:r>
                <w:rPr>
                  <w:rStyle w:val="InternetLink"/>
                  <w:rFonts w:ascii="Times New Roman;serif" w:hAnsi="Times New Roman;serif"/>
                  <w:b w:val="false"/>
                  <w:color w:val="0000FF"/>
                  <w:sz w:val="20"/>
                  <w:u w:val="single"/>
                </w:rPr>
                <w:t>Item 3.</w:t>
              </w:r>
            </w:hyperlink>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115">
              <w:r>
                <w:rPr>
                  <w:rStyle w:val="InternetLink"/>
                  <w:rFonts w:ascii="Times New Roman;serif" w:hAnsi="Times New Roman;serif"/>
                  <w:b w:val="false"/>
                  <w:color w:val="0000FF"/>
                  <w:sz w:val="20"/>
                  <w:u w:val="single"/>
                </w:rPr>
                <w:t>Quantitative and Qualitative Disclosures About Market Risk</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118">
              <w:r>
                <w:rPr>
                  <w:rStyle w:val="InternetLink"/>
                  <w:rFonts w:ascii="Times New Roman;serif" w:hAnsi="Times New Roman;serif"/>
                  <w:b w:val="false"/>
                  <w:color w:val="0000FF"/>
                  <w:sz w:val="20"/>
                  <w:u w:val="single"/>
                </w:rPr>
                <w:t>Item 4.</w:t>
              </w:r>
            </w:hyperlink>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118">
              <w:r>
                <w:rPr>
                  <w:rStyle w:val="InternetLink"/>
                  <w:rFonts w:ascii="Times New Roman;serif" w:hAnsi="Times New Roman;serif"/>
                  <w:b w:val="false"/>
                  <w:color w:val="0000FF"/>
                  <w:sz w:val="20"/>
                  <w:u w:val="single"/>
                </w:rPr>
                <w:t>Controls and Procedures</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121">
              <w:r>
                <w:rPr>
                  <w:rStyle w:val="InternetLink"/>
                  <w:rFonts w:ascii="Times New Roman;serif" w:hAnsi="Times New Roman;serif"/>
                  <w:b w:val="false"/>
                  <w:color w:val="0000FF"/>
                  <w:sz w:val="20"/>
                  <w:u w:val="single"/>
                </w:rPr>
                <w:t>PART II.</w:t>
              </w:r>
            </w:hyperlink>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121">
              <w:r>
                <w:rPr>
                  <w:rStyle w:val="InternetLink"/>
                  <w:rFonts w:ascii="Times New Roman;serif" w:hAnsi="Times New Roman;serif"/>
                  <w:b w:val="false"/>
                  <w:color w:val="0000FF"/>
                  <w:sz w:val="20"/>
                  <w:u w:val="single"/>
                </w:rPr>
                <w:t>OTHER INFORMATION</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124">
              <w:r>
                <w:rPr>
                  <w:rStyle w:val="InternetLink"/>
                  <w:rFonts w:ascii="Times New Roman;serif" w:hAnsi="Times New Roman;serif"/>
                  <w:b w:val="false"/>
                  <w:color w:val="0000FF"/>
                  <w:sz w:val="20"/>
                  <w:u w:val="single"/>
                </w:rPr>
                <w:t>Item 1.</w:t>
              </w:r>
            </w:hyperlink>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124">
              <w:r>
                <w:rPr>
                  <w:rStyle w:val="InternetLink"/>
                  <w:rFonts w:ascii="Times New Roman;serif" w:hAnsi="Times New Roman;serif"/>
                  <w:b w:val="false"/>
                  <w:color w:val="0000FF"/>
                  <w:sz w:val="20"/>
                  <w:u w:val="single"/>
                </w:rPr>
                <w:t>Legal Proceedings</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127">
              <w:r>
                <w:rPr>
                  <w:rStyle w:val="InternetLink"/>
                  <w:rFonts w:ascii="Times New Roman;serif" w:hAnsi="Times New Roman;serif"/>
                  <w:b w:val="false"/>
                  <w:color w:val="0000FF"/>
                  <w:sz w:val="20"/>
                  <w:u w:val="single"/>
                </w:rPr>
                <w:t>Item 1A.</w:t>
              </w:r>
            </w:hyperlink>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127">
              <w:r>
                <w:rPr>
                  <w:rStyle w:val="InternetLink"/>
                  <w:rFonts w:ascii="Times New Roman;serif" w:hAnsi="Times New Roman;serif"/>
                  <w:b w:val="false"/>
                  <w:color w:val="0000FF"/>
                  <w:sz w:val="20"/>
                  <w:u w:val="single"/>
                </w:rPr>
                <w:t>Risk Factors</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130">
              <w:r>
                <w:rPr>
                  <w:rStyle w:val="InternetLink"/>
                  <w:rFonts w:ascii="Times New Roman;serif" w:hAnsi="Times New Roman;serif"/>
                  <w:b w:val="false"/>
                  <w:color w:val="0000FF"/>
                  <w:sz w:val="20"/>
                  <w:u w:val="single"/>
                </w:rPr>
                <w:t>Item 2.</w:t>
              </w:r>
            </w:hyperlink>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130">
              <w:r>
                <w:rPr>
                  <w:rStyle w:val="InternetLink"/>
                  <w:rFonts w:ascii="Times New Roman;serif" w:hAnsi="Times New Roman;serif"/>
                  <w:b w:val="false"/>
                  <w:color w:val="0000FF"/>
                  <w:sz w:val="20"/>
                  <w:u w:val="single"/>
                </w:rPr>
                <w:t>Unregistered Sales of Equity Securities and Use of Proceeds</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882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882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133">
              <w:r>
                <w:rPr>
                  <w:rStyle w:val="InternetLink"/>
                  <w:rFonts w:ascii="Times New Roman;serif" w:hAnsi="Times New Roman;serif"/>
                  <w:b w:val="false"/>
                  <w:color w:val="0000FF"/>
                  <w:sz w:val="20"/>
                  <w:u w:val="single"/>
                </w:rPr>
                <w:t>Item 6.</w:t>
              </w:r>
            </w:hyperlink>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133">
              <w:r>
                <w:rPr>
                  <w:rStyle w:val="InternetLink"/>
                  <w:rFonts w:ascii="Times New Roman;serif" w:hAnsi="Times New Roman;serif"/>
                  <w:b w:val="false"/>
                  <w:color w:val="0000FF"/>
                  <w:sz w:val="20"/>
                  <w:u w:val="single"/>
                </w:rPr>
                <w:t>Exhibits</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136">
              <w:r>
                <w:rPr>
                  <w:rStyle w:val="InternetLink"/>
                  <w:rFonts w:ascii="Times New Roman;serif" w:hAnsi="Times New Roman;serif"/>
                  <w:b w:val="false"/>
                  <w:color w:val="0000FF"/>
                  <w:sz w:val="20"/>
                  <w:u w:val="single"/>
                </w:rPr>
                <w:t>SIGNATURES</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erif" w:hAnsi="Times New Roman;serif"/>
          <w:b/>
          <w:color w:val="000000"/>
          <w:sz w:val="20"/>
          <w:u w:val="single"/>
        </w:rPr>
      </w:pPr>
      <w:r>
        <w:rPr>
          <w:rFonts w:ascii="Times New Roman;serif" w:hAnsi="Times New Roman;serif"/>
          <w:b/>
          <w:color w:val="000000"/>
          <w:sz w:val="20"/>
          <w:u w:val="single"/>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ERIE INDEMNITY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 except per share data)</w:t>
      </w:r>
    </w:p>
    <w:tbl>
      <w:tblPr>
        <w:tblW w:w="10205" w:type="dxa"/>
        <w:jc w:val="center"/>
        <w:tblInd w:w="0" w:type="dxa"/>
        <w:tblLayout w:type="fixed"/>
        <w:tblCellMar>
          <w:top w:w="28" w:type="dxa"/>
          <w:left w:w="28" w:type="dxa"/>
          <w:bottom w:w="28" w:type="dxa"/>
          <w:right w:w="28" w:type="dxa"/>
        </w:tblCellMar>
      </w:tblPr>
      <w:tblGrid>
        <w:gridCol w:w="1598"/>
        <w:gridCol w:w="1299"/>
        <w:gridCol w:w="1309"/>
        <w:gridCol w:w="216"/>
        <w:gridCol w:w="865"/>
        <w:gridCol w:w="109"/>
        <w:gridCol w:w="109"/>
        <w:gridCol w:w="109"/>
        <w:gridCol w:w="109"/>
        <w:gridCol w:w="216"/>
        <w:gridCol w:w="865"/>
        <w:gridCol w:w="109"/>
        <w:gridCol w:w="109"/>
        <w:gridCol w:w="109"/>
        <w:gridCol w:w="109"/>
        <w:gridCol w:w="211"/>
        <w:gridCol w:w="976"/>
        <w:gridCol w:w="109"/>
        <w:gridCol w:w="109"/>
        <w:gridCol w:w="109"/>
        <w:gridCol w:w="109"/>
        <w:gridCol w:w="211"/>
        <w:gridCol w:w="976"/>
        <w:gridCol w:w="155"/>
      </w:tblGrid>
      <w:tr>
        <w:trPr/>
        <w:tc>
          <w:tcPr>
            <w:tcW w:w="159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w:t>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Management fee revenue</w:t>
            </w:r>
            <w:r>
              <w:rPr>
                <w:color w:val="000000"/>
              </w:rPr>
              <w:t xml:space="preserve">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policy</w:t>
            </w:r>
            <w:r>
              <w:rPr>
                <w:color w:val="000000"/>
              </w:rPr>
              <w:t xml:space="preserve"> </w:t>
            </w:r>
            <w:r>
              <w:rPr>
                <w:rFonts w:ascii="Times New Roman;serif" w:hAnsi="Times New Roman;serif"/>
                <w:b w:val="false"/>
                <w:color w:val="000000"/>
                <w:sz w:val="20"/>
              </w:rPr>
              <w:t>issuance</w:t>
            </w:r>
            <w:r>
              <w:rPr>
                <w:color w:val="000000"/>
              </w:rPr>
              <w:t xml:space="preserve"> </w:t>
            </w:r>
            <w:r>
              <w:rPr>
                <w:rFonts w:ascii="Times New Roman;serif" w:hAnsi="Times New Roman;serif"/>
                <w:b w:val="false"/>
                <w:color w:val="000000"/>
                <w:sz w:val="20"/>
              </w:rPr>
              <w:t>and renewal services</w:t>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1,649,278 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1,578,902 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 revenue - administrative services</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services reimbursement revenue</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422,917 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agreement revenue</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w:t>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1,089,796 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1,060,097 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2,101,707 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2,049,496 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 policy issuance and renewal services</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684,119 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648,280 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1,276,030 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 administrative services</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422,917 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885,673 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860,924 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1,730,797 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1,698,947 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204,123 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199,173 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370,910 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350,549 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 income</w:t>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gains (losses)</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impairment losses recognized in earnings</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 income</w:t>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39,136 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228,077 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220,747 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418,403 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395,493 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82,391 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180,294</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174,685</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330,768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313,102</w:t>
            </w:r>
            <w:r>
              <w:rPr>
                <w:color w:val="000000"/>
              </w:rPr>
              <w:t>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share</w:t>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 basic</w:t>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Class A common stock – diluted</w:t>
            </w:r>
          </w:p>
        </w:tc>
        <w:tc>
          <w:tcPr>
            <w:tcW w:w="21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5"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3.45</w:t>
            </w:r>
            <w:r>
              <w:rPr>
                <w:color w:val="000000"/>
              </w:rPr>
              <w:t>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5"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3.34</w:t>
            </w:r>
            <w:r>
              <w:rPr>
                <w:color w:val="000000"/>
              </w:rPr>
              <w:t>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6.32</w:t>
            </w:r>
            <w:r>
              <w:rPr>
                <w:color w:val="000000"/>
              </w:rPr>
              <w:t>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5.99</w:t>
            </w:r>
            <w:r>
              <w:rPr>
                <w:color w:val="000000"/>
              </w:rPr>
              <w:t> </w:t>
            </w:r>
          </w:p>
        </w:tc>
        <w:tc>
          <w:tcPr>
            <w:tcW w:w="155"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 – basic and diluted</w:t>
            </w:r>
          </w:p>
        </w:tc>
        <w:tc>
          <w:tcPr>
            <w:tcW w:w="21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55"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Weighted average shares outstanding – Basic</w:t>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46,189,033 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46,189,063 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46,188,942 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46,188,984 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108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55"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Weighted average shares outstanding – Diluted</w:t>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52,298,697 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52,304,407 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52,299,440 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52,304,397 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108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55"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Dividends declared per share</w:t>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21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219.375 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204.75 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438.75 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409.50 </w:t>
            </w:r>
          </w:p>
        </w:tc>
        <w:tc>
          <w:tcPr>
            <w:tcW w:w="155"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Consolidated Financial Statements. See Note 12, "Accumulated Other Comprehensive Income (Loss)", for amounts reclassified out of accumulated other comprehensive income (loss) into the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ERIE INDEMNITY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1688"/>
        <w:gridCol w:w="1443"/>
        <w:gridCol w:w="146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88"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180,294 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174,685 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330,768 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313,102 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 net of tax</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 </w:t>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holding gains (losses) on available-for-sale securities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12,039 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plans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comprehensive income (loss), net of tax</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11,295 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181,694 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180,763 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319,942 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324,397 </w:t>
            </w:r>
          </w:p>
        </w:tc>
        <w:tc>
          <w:tcPr>
            <w:tcW w:w="1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 See Note 12, "Accumulated Other Comprehensive Income (Loss)", for amounts reclassified out of accumulated other comprehensive income (loss) into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ERIE INDEMNITY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FINANCIAL POSITION</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 except per share data)</w:t>
      </w:r>
    </w:p>
    <w:tbl>
      <w:tblPr>
        <w:tblW w:w="10205" w:type="dxa"/>
        <w:jc w:val="left"/>
        <w:tblInd w:w="0" w:type="dxa"/>
        <w:tblLayout w:type="fixed"/>
        <w:tblCellMar>
          <w:top w:w="28" w:type="dxa"/>
          <w:left w:w="28" w:type="dxa"/>
          <w:bottom w:w="28" w:type="dxa"/>
          <w:right w:w="28" w:type="dxa"/>
        </w:tblCellMar>
      </w:tblPr>
      <w:tblGrid>
        <w:gridCol w:w="2811"/>
        <w:gridCol w:w="2148"/>
        <w:gridCol w:w="2142"/>
        <w:gridCol w:w="211"/>
        <w:gridCol w:w="991"/>
        <w:gridCol w:w="109"/>
        <w:gridCol w:w="109"/>
        <w:gridCol w:w="109"/>
        <w:gridCol w:w="109"/>
        <w:gridCol w:w="211"/>
        <w:gridCol w:w="991"/>
        <w:gridCol w:w="109"/>
        <w:gridCol w:w="155"/>
      </w:tblGrid>
      <w:tr>
        <w:trPr/>
        <w:tc>
          <w:tcPr>
            <w:tcW w:w="2811"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(includes restricted cash of $39,608 and $30,189, respectively)</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 lent</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Erie Insurance Exchange and affiliates, net</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753,245 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735,589 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net</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2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1,206,562 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1,199,173 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 net</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1,327,084 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1,286,566 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and equity securities lent</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net</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593,365 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571,476 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loans, net</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plan</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3,557,016</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3,355,481</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 payable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incentive compensation</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liability</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executive compensation</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lending payable</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2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968,418 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945,587 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plan</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liability</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executive compensation</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2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1,089,910 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1,072,107 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stock, stated value $0.0292 per share; 74,996,930 shares authorized; 68,299,200 shares issued; 46,189,068 shares outstanding</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B common stock, convertible at a rate of 2,400 Class A shares for one Class B share, stated value $70 per share; 3,070 shares authorized; 2,542 shares issued and outstanding</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3,657,373 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3,462,823 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contributed capital and retained earnings</w:t>
            </w:r>
          </w:p>
        </w:tc>
        <w:tc>
          <w:tcPr>
            <w:tcW w:w="12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3,613,196 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3,429,464 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22,110,132 shares held</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(1,170,957)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(1,171,014)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12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2,467,106</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2,283,374</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3,557,016</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3,355,481</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ERIE INDEMNITY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SHAREHOLDERS' EQUITY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and six months ended June 30, 2026 and 2025</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 except per share data)</w:t>
      </w:r>
    </w:p>
    <w:tbl>
      <w:tblPr>
        <w:tblW w:w="10205" w:type="dxa"/>
        <w:jc w:val="center"/>
        <w:tblInd w:w="0" w:type="dxa"/>
        <w:tblLayout w:type="fixed"/>
        <w:tblCellMar>
          <w:top w:w="28" w:type="dxa"/>
          <w:left w:w="28" w:type="dxa"/>
          <w:bottom w:w="28" w:type="dxa"/>
          <w:right w:w="28" w:type="dxa"/>
        </w:tblCellMar>
      </w:tblPr>
      <w:tblGrid>
        <w:gridCol w:w="712"/>
        <w:gridCol w:w="269"/>
        <w:gridCol w:w="272"/>
        <w:gridCol w:w="208"/>
        <w:gridCol w:w="592"/>
        <w:gridCol w:w="116"/>
        <w:gridCol w:w="213"/>
        <w:gridCol w:w="458"/>
        <w:gridCol w:w="118"/>
        <w:gridCol w:w="238"/>
        <w:gridCol w:w="790"/>
        <w:gridCol w:w="135"/>
        <w:gridCol w:w="266"/>
        <w:gridCol w:w="900"/>
        <w:gridCol w:w="149"/>
        <w:gridCol w:w="197"/>
        <w:gridCol w:w="879"/>
        <w:gridCol w:w="109"/>
        <w:gridCol w:w="196"/>
        <w:gridCol w:w="890"/>
        <w:gridCol w:w="109"/>
        <w:gridCol w:w="228"/>
        <w:gridCol w:w="754"/>
        <w:gridCol w:w="128"/>
        <w:gridCol w:w="203"/>
        <w:gridCol w:w="905"/>
        <w:gridCol w:w="171"/>
      </w:tblGrid>
      <w:tr>
        <w:trPr/>
        <w:tc>
          <w:tcPr>
            <w:tcW w:w="71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w:t>
            </w:r>
          </w:p>
        </w:tc>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 common stock</w:t>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paid-in-capital</w:t>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(loss) income</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Deferred compensation</w:t>
            </w:r>
          </w:p>
        </w:tc>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shareholders' equity</w:t>
            </w:r>
          </w:p>
        </w:tc>
      </w:tr>
      <w:tr>
        <w:trPr/>
        <w:tc>
          <w:tcPr>
            <w:tcW w:w="12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2025</w:t>
            </w:r>
          </w:p>
        </w:tc>
        <w:tc>
          <w:tcPr>
            <w:tcW w:w="20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1,992 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16,492 </w:t>
            </w:r>
          </w:p>
        </w:tc>
        <w:tc>
          <w:tcPr>
            <w:tcW w:w="13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(52,021)</w:t>
            </w:r>
          </w:p>
        </w:tc>
        <w:tc>
          <w:tcPr>
            <w:tcW w:w="1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3,462,823 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(1,171,014)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24,924 </w:t>
            </w:r>
          </w:p>
        </w:tc>
        <w:tc>
          <w:tcPr>
            <w:tcW w:w="1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2,283,374 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12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150,474 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150,474 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(12,226)</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(12,226)</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Class A $1.4625 per share</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(67,551)</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Class B $219.375 per share</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Net purchase of treasury stock </w:t>
            </w:r>
            <w:r>
              <w:rPr>
                <w:rFonts w:ascii="Times New Roman;serif" w:hAnsi="Times New Roman;serif"/>
                <w:b w:val="false"/>
                <w:color w:val="000000"/>
                <w:sz w:val="10"/>
              </w:rPr>
              <w:t>(1)</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compensation</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Rabbi trust distribution </w:t>
            </w:r>
            <w:r>
              <w:rPr>
                <w:rFonts w:ascii="Times New Roman;serif" w:hAnsi="Times New Roman;serif"/>
                <w:b w:val="false"/>
                <w:color w:val="000000"/>
                <w:sz w:val="10"/>
              </w:rPr>
              <w:t>(2)</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2026</w:t>
            </w:r>
          </w:p>
        </w:tc>
        <w:tc>
          <w:tcPr>
            <w:tcW w:w="20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1,992 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16,500 </w:t>
            </w:r>
          </w:p>
        </w:tc>
        <w:tc>
          <w:tcPr>
            <w:tcW w:w="13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(64,247)</w:t>
            </w:r>
          </w:p>
        </w:tc>
        <w:tc>
          <w:tcPr>
            <w:tcW w:w="1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3,545,188 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(1,171,160)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25,070 </w:t>
            </w:r>
          </w:p>
        </w:tc>
        <w:tc>
          <w:tcPr>
            <w:tcW w:w="1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2,353,521 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180,294 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180,294 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Class A $1.4625 per share</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(67,551)</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Class B $219.375 per share</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Net purchase of treasury stock </w:t>
            </w:r>
            <w:r>
              <w:rPr>
                <w:rFonts w:ascii="Times New Roman;serif" w:hAnsi="Times New Roman;serif"/>
                <w:b w:val="false"/>
                <w:color w:val="000000"/>
                <w:sz w:val="10"/>
              </w:rPr>
              <w:t>(1)</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compensation</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Rabbi trust distribution </w:t>
            </w:r>
            <w:r>
              <w:rPr>
                <w:rFonts w:ascii="Times New Roman;serif" w:hAnsi="Times New Roman;serif"/>
                <w:b w:val="false"/>
                <w:color w:val="000000"/>
                <w:sz w:val="10"/>
              </w:rPr>
              <w:t>(2)</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2026</w:t>
            </w:r>
          </w:p>
        </w:tc>
        <w:tc>
          <w:tcPr>
            <w:tcW w:w="20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1,992 </w:t>
            </w:r>
          </w:p>
        </w:tc>
        <w:tc>
          <w:tcPr>
            <w:tcW w:w="11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1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16,500 </w:t>
            </w:r>
          </w:p>
        </w:tc>
        <w:tc>
          <w:tcPr>
            <w:tcW w:w="13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(62,847)</w:t>
            </w:r>
          </w:p>
        </w:tc>
        <w:tc>
          <w:tcPr>
            <w:tcW w:w="14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3,657,373 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(1,170,957)</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24,867 </w:t>
            </w:r>
          </w:p>
        </w:tc>
        <w:tc>
          <w:tcPr>
            <w:tcW w:w="12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2,467,106 </w:t>
            </w:r>
          </w:p>
        </w:tc>
        <w:tc>
          <w:tcPr>
            <w:tcW w:w="17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12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12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12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12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12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12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12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12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r>
    </w:p>
    <w:tbl>
      <w:tblPr>
        <w:tblW w:w="10205" w:type="dxa"/>
        <w:jc w:val="center"/>
        <w:tblInd w:w="0" w:type="dxa"/>
        <w:tblLayout w:type="fixed"/>
        <w:tblCellMar>
          <w:top w:w="28" w:type="dxa"/>
          <w:left w:w="28" w:type="dxa"/>
          <w:bottom w:w="28" w:type="dxa"/>
          <w:right w:w="28" w:type="dxa"/>
        </w:tblCellMar>
      </w:tblPr>
      <w:tblGrid>
        <w:gridCol w:w="712"/>
        <w:gridCol w:w="269"/>
        <w:gridCol w:w="272"/>
        <w:gridCol w:w="208"/>
        <w:gridCol w:w="592"/>
        <w:gridCol w:w="116"/>
        <w:gridCol w:w="213"/>
        <w:gridCol w:w="458"/>
        <w:gridCol w:w="118"/>
        <w:gridCol w:w="238"/>
        <w:gridCol w:w="790"/>
        <w:gridCol w:w="135"/>
        <w:gridCol w:w="266"/>
        <w:gridCol w:w="900"/>
        <w:gridCol w:w="149"/>
        <w:gridCol w:w="197"/>
        <w:gridCol w:w="879"/>
        <w:gridCol w:w="109"/>
        <w:gridCol w:w="196"/>
        <w:gridCol w:w="890"/>
        <w:gridCol w:w="109"/>
        <w:gridCol w:w="228"/>
        <w:gridCol w:w="754"/>
        <w:gridCol w:w="128"/>
        <w:gridCol w:w="203"/>
        <w:gridCol w:w="905"/>
        <w:gridCol w:w="171"/>
      </w:tblGrid>
      <w:tr>
        <w:trPr/>
        <w:tc>
          <w:tcPr>
            <w:tcW w:w="71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w:t>
            </w:r>
          </w:p>
        </w:tc>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 common stock</w:t>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paid-in-capital</w:t>
            </w:r>
          </w:p>
        </w:tc>
        <w:tc>
          <w:tcPr>
            <w:tcW w:w="13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(loss) income</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Deferred compensation</w:t>
            </w:r>
          </w:p>
        </w:tc>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shareholders' equity</w:t>
            </w:r>
          </w:p>
        </w:tc>
      </w:tr>
      <w:tr>
        <w:trPr/>
        <w:tc>
          <w:tcPr>
            <w:tcW w:w="12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2024</w:t>
            </w:r>
          </w:p>
        </w:tc>
        <w:tc>
          <w:tcPr>
            <w:tcW w:w="20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1,992 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16,466 </w:t>
            </w:r>
          </w:p>
        </w:tc>
        <w:tc>
          <w:tcPr>
            <w:tcW w:w="13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(47,591)</w:t>
            </w:r>
          </w:p>
        </w:tc>
        <w:tc>
          <w:tcPr>
            <w:tcW w:w="1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3,162,303 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(1,169,074)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22,984 </w:t>
            </w:r>
          </w:p>
        </w:tc>
        <w:tc>
          <w:tcPr>
            <w:tcW w:w="1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1,987,258 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12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138,417 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138,417 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5,217 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Class A $1.365 per share</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(63,048)</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Class B $204.75 per share</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Net purchase of treasury stock </w:t>
            </w:r>
            <w:r>
              <w:rPr>
                <w:rFonts w:ascii="Times New Roman;serif" w:hAnsi="Times New Roman;serif"/>
                <w:b w:val="false"/>
                <w:color w:val="000000"/>
                <w:sz w:val="10"/>
              </w:rPr>
              <w:t>(1)</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compensation</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Rabbi trust distribution </w:t>
            </w:r>
            <w:r>
              <w:rPr>
                <w:rFonts w:ascii="Times New Roman;serif" w:hAnsi="Times New Roman;serif"/>
                <w:b w:val="false"/>
                <w:color w:val="000000"/>
                <w:sz w:val="10"/>
              </w:rPr>
              <w:t>(2)</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2025</w:t>
            </w:r>
          </w:p>
        </w:tc>
        <w:tc>
          <w:tcPr>
            <w:tcW w:w="20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1,992 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16,494 </w:t>
            </w:r>
          </w:p>
        </w:tc>
        <w:tc>
          <w:tcPr>
            <w:tcW w:w="13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(42,374)</w:t>
            </w:r>
          </w:p>
        </w:tc>
        <w:tc>
          <w:tcPr>
            <w:tcW w:w="1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3,237,151 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(1,169,536)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23,446 </w:t>
            </w:r>
          </w:p>
        </w:tc>
        <w:tc>
          <w:tcPr>
            <w:tcW w:w="1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2,067,351 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174,685 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174,685 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6,078 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6,078 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Class A $1.365 per share</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(63,048)</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Class B $204.75 per share</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Net purchase of treasury stock </w:t>
            </w:r>
            <w:r>
              <w:rPr>
                <w:rFonts w:ascii="Times New Roman;serif" w:hAnsi="Times New Roman;serif"/>
                <w:b w:val="false"/>
                <w:color w:val="000000"/>
                <w:sz w:val="10"/>
              </w:rPr>
              <w:t>(1)</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compensation</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Rabbi trust distribution </w:t>
            </w:r>
            <w:r>
              <w:rPr>
                <w:rFonts w:ascii="Times New Roman;serif" w:hAnsi="Times New Roman;serif"/>
                <w:b w:val="false"/>
                <w:color w:val="000000"/>
                <w:sz w:val="10"/>
              </w:rPr>
              <w:t>(2)</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20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1,992 </w:t>
            </w:r>
          </w:p>
        </w:tc>
        <w:tc>
          <w:tcPr>
            <w:tcW w:w="11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1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16,494 </w:t>
            </w:r>
          </w:p>
        </w:tc>
        <w:tc>
          <w:tcPr>
            <w:tcW w:w="13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(36,296)</w:t>
            </w:r>
          </w:p>
        </w:tc>
        <w:tc>
          <w:tcPr>
            <w:tcW w:w="14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3,348,267 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(1,170,332)</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24,242 </w:t>
            </w:r>
          </w:p>
        </w:tc>
        <w:tc>
          <w:tcPr>
            <w:tcW w:w="12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2,184,545 </w:t>
            </w:r>
          </w:p>
        </w:tc>
        <w:tc>
          <w:tcPr>
            <w:tcW w:w="17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12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12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12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12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12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12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12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125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60"/>
        <w:ind w:left="0" w:right="0" w:hanging="360"/>
        <w:jc w:val="left"/>
        <w:rPr>
          <w:rFonts w:ascii="Times New Roman;serif" w:hAnsi="Times New Roman;serif"/>
          <w:b w:val="false"/>
          <w:i/>
          <w:color w:val="000000"/>
          <w:sz w:val="14"/>
        </w:rPr>
      </w:pPr>
      <w:r>
        <w:rPr>
          <w:rFonts w:ascii="Times New Roman;serif" w:hAnsi="Times New Roman;serif"/>
          <w:b w:val="false"/>
          <w:i/>
          <w:color w:val="000000"/>
          <w:sz w:val="14"/>
        </w:rPr>
        <w:t xml:space="preserve">(1)Net purchases of treasury stock in 2026 and 2025 include the repurchase of our Class A common stock in the open market that were subsequently distributed to satisfy stock-based compensation awards. </w:t>
      </w:r>
    </w:p>
    <w:p>
      <w:pPr>
        <w:pStyle w:val="TextBody"/>
        <w:bidi w:val="0"/>
        <w:spacing w:lineRule="auto" w:line="288" w:before="0" w:after="60"/>
        <w:ind w:left="0" w:right="0" w:hanging="360"/>
        <w:jc w:val="left"/>
        <w:rPr>
          <w:rFonts w:ascii="Times New Roman;serif" w:hAnsi="Times New Roman;serif"/>
          <w:b w:val="false"/>
          <w:i/>
          <w:color w:val="000000"/>
          <w:sz w:val="14"/>
        </w:rPr>
      </w:pPr>
      <w:r>
        <w:rPr>
          <w:rFonts w:ascii="Times New Roman;serif" w:hAnsi="Times New Roman;serif"/>
          <w:b w:val="false"/>
          <w:i/>
          <w:color w:val="000000"/>
          <w:sz w:val="14"/>
        </w:rPr>
        <w:t xml:space="preserve">(2)Distributions of our Class A shares were made from the rabbi trust to one outside director stock compensation plan participant and four incentive compensation deferral plan participants in 2026, and three incentive compensation deferral plan participants in 2025. </w:t>
      </w:r>
    </w:p>
    <w:p>
      <w:pPr>
        <w:pStyle w:val="TextBody"/>
        <w:bidi w:val="0"/>
        <w:spacing w:before="0" w:after="0"/>
        <w:ind w:left="0" w:right="0" w:hanging="27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ERIE INDEMNITY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8855" w:type="dxa"/>
        <w:jc w:val="center"/>
        <w:tblInd w:w="0" w:type="dxa"/>
        <w:tblLayout w:type="fixed"/>
        <w:tblCellMar>
          <w:top w:w="28" w:type="dxa"/>
          <w:left w:w="28" w:type="dxa"/>
          <w:bottom w:w="28" w:type="dxa"/>
          <w:right w:w="28" w:type="dxa"/>
        </w:tblCellMar>
      </w:tblPr>
      <w:tblGrid>
        <w:gridCol w:w="2012"/>
        <w:gridCol w:w="1770"/>
        <w:gridCol w:w="1782"/>
        <w:gridCol w:w="109"/>
        <w:gridCol w:w="109"/>
        <w:gridCol w:w="109"/>
        <w:gridCol w:w="211"/>
        <w:gridCol w:w="976"/>
        <w:gridCol w:w="109"/>
        <w:gridCol w:w="109"/>
        <w:gridCol w:w="109"/>
        <w:gridCol w:w="109"/>
        <w:gridCol w:w="211"/>
        <w:gridCol w:w="976"/>
        <w:gridCol w:w="154"/>
      </w:tblGrid>
      <w:tr>
        <w:trPr/>
        <w:tc>
          <w:tcPr>
            <w:tcW w:w="2012"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 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1,656,098 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1,474,277 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services reimbursements 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agreement revenue 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 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 paid to agents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(825,406)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(783,117)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compensation paid to agents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(85,401)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wages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(139,121)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contribution and employee benefits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(78,227)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operating expenses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(154,610)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services expenses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(414,543)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(73,431)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306,814 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295,694 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(529,834)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(208,686)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 maturities/calls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fixed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(49,931)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Loans to agents and others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Collections on agent and other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(234,657)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(136,572)</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to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(127,138)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cash collateral for securities lent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(135,129)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(99,492)</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Cash, cash equivalents and restricted cash,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282,902 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358,027 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transactions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incurred to purchase fixed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obtained in exchange for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Receipt of donated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Nature of Operations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Erie Indemnity Company ("Indemnity", "we", "us", "our") is a publicly held Pennsylvania business corporation that has since its incorporation in 1925 served as the attorney-in-fact for the subscribers (policyholders) at the Erie Insurance Exchange ("Exchange").  The Exchange, which also commenced business in 1925, is a Pennsylvania-domiciled reciprocal insurer that writes property and casualty insurance.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primary function as attorney-in-fact is to perform policy issuance and renewal services on behalf of the subscribers at the Exchange. We also act as attorney-in-fact on behalf of the subscribers at the Exchange with respect to all claims handling and investment management services, as well as the service provider for all claims handling, life insurance, and investment management services for the Exchange's insurance subsidiaries, collectively referred to as "administrative services". Acting as attorney-in-fact in these two capacities is done in accordance with a subscriber's agreement (a limited power of attorney) executed individually by each subscriber (policyholder), which appoints Indemnity as each subscriber's attorney-in-fact to transact certain business on their behalf.  In accordance with the subscriber's agreement for acting as attorney-in-fact in these two capacities, we retain a management fee calculated as a percentage of the direct and affiliated assumed premiums written by the Exchange.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policy issuance and renewal services we provide on behalf of the subscribers at the Exchange are related to the sales, underwriting, and issuance of policies. The sales related services we provide include agent compensation and certain sales and advertising support services. Agent compensation includes scheduled commissions to agents based upon premiums written as well as incentive compensation, which is earned by achieving targeted measures. The underwriting services we provide include underwriting and policy processing. The remaining services we provide include customer service and administrative support. We also provide information technology services that support all the functions listed above. See Note 4, "Segment Information", for the significant expense categories related to providing these services. Included in expenses for these services are allocations of costs for departments that support these policy issuance and renewal functions.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Consistent with its legal structure as a reciprocal insurer, the Exchange does not have any employees or officers. Therefore, it enters into contractual relationships by and through the subscribers' attorney-in-fact. Indemnity serves as the attorney-in-fact on behalf of the subscribers at the Exchange with respect to its administrative services as enumerated in the subscriber's agreement. The Exchange's insurance subsidiaries also utilize Indemnity for these services in accordance with the service agreements between each of the subsidiaries and Indemnity. Claims handling services include costs incurred in the claims process, including the adjustment, investigation, defense, recording, and payment functions. Life insurance management services include costs incurred in the management and processing of life insurance business. Investment management services are related to investment trading activity, accounting, and all other functions attributable to the investment of funds. Included in these expenses are allocations of costs for departments that support these administrative functions. The subscriber's agreement and service agreements provide for reimbursement of amounts incurred for these services to Indemnity. Reimbursements are settled at cost. State insurance regulations require that intercompany service agreements and any material amendments be approved in advance by the state insurance department.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results of operations are tied to the growth and financial condition of the Exchange. We continually monitor the financial strength of the Exchange. If any events occurred that impaired the Exchange’s ability to grow or sustain its financial condition, including but not limited to a significant downgrade in financial strength ratings, disruption in the independent agency relationships, significant catastrophe losses, or products not meeting customer demands, the Exchange could find it more difficult to retain its existing business and attract new business. A decline in the business of the Exchange almost certainly could have as a consequence a decline in the total premiums paid and a correspondingly adverse effect on the amount of the management fee revenue we receive. We also have an exposure to a concentration of credit risk related to the unsecured receivables due from the Exchange for net management fee and other reimbursements. See Note 13, "Concentrations of Credit Risk".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Significant Accounting Policies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Basis of presentation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have been prepared in accordance with accounting principles generally accepted in the United States of America ("GAAP") for interim financial information and the instructions to Form 10-Q and Article 10 of Regulation S-X, and include the accounts of Indemnity and its wholly owned subsidiaries. All intercompany accounts and transactions have been eliminated. Accordingly, they do not include all the information and footnotes required by GAAP for complete financial statements. In the opinion of management, all adjustments (consisting of normal recurring accruals) considered necessary for a fair presentation have been included. Operating results for the six months ended June 30, 2026 are not necessarily indicative of the results that may be expected for the year ending December 31, 2026. For further information, refer to the consolidated financial statements and footnotes included in our Form 10-K for the year ended December 31, 2025 as filed with the Securities and Exchange Commission ("SEC") on February 23,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Use of estimates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Recently issued accounting standards</w:t>
      </w:r>
    </w:p>
    <w:p>
      <w:pPr>
        <w:pStyle w:val="TextBody"/>
        <w:bidi w:val="0"/>
        <w:spacing w:lineRule="auto" w:line="288" w:before="0" w:after="0"/>
        <w:jc w:val="left"/>
        <w:rPr/>
      </w:pPr>
      <w:r>
        <w:rPr>
          <w:rFonts w:ascii="Times New Roman;serif" w:hAnsi="Times New Roman;serif"/>
          <w:b w:val="false"/>
          <w:color w:val="000000"/>
          <w:sz w:val="20"/>
        </w:rPr>
        <w:t xml:space="preserve">In November 2024, the Financial Accounting Standards Board ("FASB") issued Accounting Standards Update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which requires entities to disclose disaggregated information about certain income statement expense line items. The amendments in this ASU are required to be adopted for fiscal years beginning after December 15, 2026, and interim periods within fiscal years beginning after December 15, 2027. Early adoption is permitted. The amendments can be applied on either a prospective or retrospective basis. This will have no impact on our consolidated financial statements, and we are currently evaluating the impact of adoption on our disclosures.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 September 2025, the FASB issued ASU 2025-06,</w:t>
      </w:r>
      <w:r>
        <w:rPr>
          <w:color w:val="000000"/>
        </w:rPr>
        <w:t xml:space="preserve"> </w:t>
      </w:r>
      <w:r>
        <w:rPr>
          <w:rFonts w:ascii="Times New Roman;serif" w:hAnsi="Times New Roman;serif"/>
          <w:b w:val="false"/>
          <w:i/>
          <w:color w:val="000000"/>
          <w:sz w:val="20"/>
        </w:rPr>
        <w:t>"Intangibles - Goodwill and Other - Internal-Use Software (Subtopic 350-40): Targeted Improvements to the Accounting for Internal-Use Software"</w:t>
      </w:r>
      <w:r>
        <w:rPr>
          <w:rFonts w:ascii="Times New Roman;serif" w:hAnsi="Times New Roman;serif"/>
          <w:b w:val="false"/>
          <w:color w:val="000000"/>
          <w:sz w:val="20"/>
        </w:rPr>
        <w:t>, which removes all references to prescriptive and sequential software development project stages and requires an entity to start capitalizing software costs when management has authorized and committed to funding the software project and it is probable that the project will be completed and the software will be used to perform the function intended. The amendments in this ASU are required to be adopted for fiscal years beginning after December 15, 2027, and interim periods within those fiscal years. Early adoption is permitted. The amendments can be applied on a prospective, modified or retrospective basis. We are currently evaluating the impact of adoption on our consolidated financial statements and disclosures.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 Narrow-Scope Improvements"</w:t>
      </w:r>
      <w:r>
        <w:rPr>
          <w:rFonts w:ascii="Times New Roman;serif" w:hAnsi="Times New Roman;serif"/>
          <w:b w:val="false"/>
          <w:color w:val="000000"/>
          <w:sz w:val="20"/>
        </w:rPr>
        <w:t>, which clarifies current interim disclosure requirements and provides a comprehensive list of required interim disclosures. The guidance also incorporates a disclosure principle that requires entities to disclose events since the end of the last annual reporting period that have a material impact on the entity. The amendments in this ASU are required to be adopted for interim reporting periods within fiscal years beginning after December 15, 2027. Early adoption is permitted. The amendments can be applied on a prospective or retrospective basis. We do not expect the standard will have a material impact on our disclosures, and will have no other impact on our consolidated financial statements.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Investments</w:t>
      </w:r>
    </w:p>
    <w:p>
      <w:pPr>
        <w:pStyle w:val="TextBody"/>
        <w:bidi w:val="0"/>
        <w:spacing w:lineRule="auto" w:line="268" w:before="0" w:after="0"/>
        <w:jc w:val="left"/>
        <w:rPr/>
      </w:pPr>
      <w:r>
        <w:rPr>
          <w:rFonts w:ascii="Times New Roman;serif" w:hAnsi="Times New Roman;serif"/>
          <w:b w:val="false"/>
          <w:i/>
          <w:color w:val="000000"/>
          <w:sz w:val="20"/>
        </w:rPr>
        <w:t>Equity securities</w:t>
      </w:r>
      <w:r>
        <w:rPr>
          <w:color w:val="000000"/>
        </w:rPr>
        <w:t xml:space="preserve"> – </w:t>
      </w:r>
      <w:r>
        <w:rPr>
          <w:rFonts w:ascii="Times New Roman;serif" w:hAnsi="Times New Roman;serif"/>
          <w:b w:val="false"/>
          <w:color w:val="000000"/>
          <w:sz w:val="20"/>
        </w:rPr>
        <w:t>Equity securities primarily include non-redeemable preferred stocks and exchange-traded funds (ETFs) with underlying holdings of fixed maturity securities. These securities are reported at fair value, with changes in fair value recognized in net realized and unrealized investment gains (losses). Securities that we intend to sell as of the reporting date are classified as current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Revenue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The</w:t>
      </w:r>
      <w:r>
        <w:rPr>
          <w:color w:val="FF0000"/>
        </w:rPr>
        <w:t xml:space="preserve"> </w:t>
      </w:r>
      <w:r>
        <w:rPr>
          <w:rFonts w:ascii="Times New Roman;serif" w:hAnsi="Times New Roman;serif"/>
          <w:b w:val="false"/>
          <w:color w:val="000000"/>
          <w:sz w:val="20"/>
        </w:rPr>
        <w:t>majority of our revenue is derived from the subscriber’s agreement between us and the subscribers (policyholders) at the Exchange. In accordance with the subscriber’s agreement, we retain a management fee calculated as a percentage, not to exceed 25%, of all direct and affiliated assumed written premiums of the Exchange. We allocate a portion of our management fee revenue, currently 25% of the direct and affiliated assumed written premiums of the Exchange, between the two performance obligations we have under the subscriber’s agreement. The first performance obligation is to provide policy issuance and renewal services to the subscribers (policyholders) at the Exchange, and the second is to act as attorney-in-fact on behalf of the subscribers at the Exchange, as well as the service provider for the Exchange's insurance subsidiaries, with respect to all administrative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transaction price, including management fee revenue and administrative services reimbursement revenue, includes variable consideration and is allocated based on the estimated standalone selling prices developed using industry information and other available information for similar services. A constraining estimate of variable consideration exists related to the potential for management fees to be returned if a policy were to be cancelled mid-term. Management fees are returned to the Exchange when policyholders cancel their insurance coverage mid-term and premiums are refunded to them. The constraining estimate is determined using the expected value method, based on both historical and current information. The estimated transaction price, as reduced by the constraint, reflects consideration expected for performance of our services. We update the transaction price and the related allocation at least annually based upon the most recent information available or more frequently if there have been significant changes in any components considered in the transaction price.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first performance obligation is to provide policy issuance and renewal services that result in executed insurance policies between the Exchange or one of its insurance subsidiaries and the subscriber (policyholder). The subscriber (policyholder) receives economic benefits when substantially all the policy issuance or renewal services are complete and an insurance policy is issued or renewed by the Exchange or one of its insurance subsidiaries. It is at the time of policy issuance or renewal that the allocated portion of revenue is recognized.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Consistent with its legal structure as a reciprocal insurer, the Exchange does not have any employees or officers. Therefore, it enters into contractual relationships by and through the subscribers' attorney-in-fact. Indemnity serves as the attorney-in-fact on behalf of the subscribers at the Exchange with respect to its administrative services as enumerated in the subscriber's agreement. The Exchange's insurance subsidiaries also utilize Indemnity for these services in accordance with the service agreements between each of the subsidiaries and Indemnity. Collectively, these services represent a second performance obligation under the subscriber’s agreement and the service agreements. The revenue allocated to this performance obligation is recognized over a four-year period representing the time over which these services are provided. The portion of revenue not yet earned is recorded as a contract liability in the Consolidated Statements of Financial Position. During the three and six months ended June 30, 2026, we recognized revenue of $13.7 million and $30.9 million that was included in the contract liability balance as of December 31, 2025. During the three and six months ended June 30, 2025, we recognized revenue of $12.3 million and $27.7 million that was included in the contract liability balance as of December 31, 2024. The administrative services expenses we incur and the related reimbursements we receive are recorded gross in the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Indemnity records a receivable from the Exchange for management fee revenue when the premium is written or assumed from affiliates by the Exchange. Indemnity collects the management fee from the Exchange when the Exchange collects the premiums from the subscribers (policyholders). As the Exchange issues policies almost exclusively with annual terms, cash collections generally occur within one year.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disaggregates revenue by our two performance obligations:</w:t>
      </w:r>
    </w:p>
    <w:tbl>
      <w:tblPr>
        <w:tblW w:w="10205" w:type="dxa"/>
        <w:jc w:val="center"/>
        <w:tblInd w:w="0" w:type="dxa"/>
        <w:tblLayout w:type="fixed"/>
        <w:tblCellMar>
          <w:top w:w="28" w:type="dxa"/>
          <w:left w:w="28" w:type="dxa"/>
          <w:bottom w:w="28" w:type="dxa"/>
          <w:right w:w="28" w:type="dxa"/>
        </w:tblCellMar>
      </w:tblPr>
      <w:tblGrid>
        <w:gridCol w:w="1682"/>
        <w:gridCol w:w="1444"/>
        <w:gridCol w:w="1456"/>
        <w:gridCol w:w="224"/>
        <w:gridCol w:w="880"/>
        <w:gridCol w:w="115"/>
        <w:gridCol w:w="224"/>
        <w:gridCol w:w="880"/>
        <w:gridCol w:w="115"/>
        <w:gridCol w:w="109"/>
        <w:gridCol w:w="109"/>
        <w:gridCol w:w="109"/>
        <w:gridCol w:w="211"/>
        <w:gridCol w:w="976"/>
        <w:gridCol w:w="109"/>
        <w:gridCol w:w="211"/>
        <w:gridCol w:w="976"/>
        <w:gridCol w:w="109"/>
        <w:gridCol w:w="109"/>
        <w:gridCol w:w="157"/>
      </w:tblGrid>
      <w:tr>
        <w:trPr/>
        <w:tc>
          <w:tcPr>
            <w:tcW w:w="1682"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45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 revenue - policy issuance and renewal services</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862,879 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823,853 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1,649,278 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1,578,902 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 revenue - administrative services</w:t>
            </w:r>
          </w:p>
        </w:tc>
        <w:tc>
          <w:tcPr>
            <w:tcW w:w="11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services reimbursement revenue</w:t>
            </w:r>
          </w:p>
        </w:tc>
        <w:tc>
          <w:tcPr>
            <w:tcW w:w="11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201,554 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212,644 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from administrative services</w:t>
            </w:r>
          </w:p>
        </w:tc>
        <w:tc>
          <w:tcPr>
            <w:tcW w:w="22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221,173 </w:t>
            </w:r>
          </w:p>
        </w:tc>
        <w:tc>
          <w:tcPr>
            <w:tcW w:w="11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230,940 </w:t>
            </w:r>
          </w:p>
        </w:tc>
        <w:tc>
          <w:tcPr>
            <w:tcW w:w="11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440,744 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458,858 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Segment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one reportable segment: management operations. All segment revenue is derived in the United States, the majority of which is from the subscriber’s agreement between us and the subscribers (policyholders) at the Exchange, our sole customer, as further described in Note 3, "Revenue". Our chief operating decision maker ("CODM") is our Executive Council, which includes our Chief Executive Officer ("CEO"), Chief Financial Officer, executive vice presidents and certain senior vice presidents reporting directly to the CEO as applicable. The CODM evaluates performance and decides how to allocate resources for the management operations segment based on net income, as reported in our Consolidated Statements of Operations. Net income is used to monitor budget versus actual results. Total assets as reported in our Consolidated Statements of Financial Position, all of which are located in the United States, are reviewed by the CODM for purposes of decision making. The accounting policies of our management operations segment are the same as those described in Note 2, "Significant Accounting Policies, of Notes to Consolidated Financial Statements" included in our Annual Report on Form 10-K for the year ended December 31, 2025 as filed with the SEC on February 23,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Beginning in the first quarter of 2026, the significant segment expense categories included in the financial information regularly provided to the CODM were revised to align with the current manner in which the CODM reviews expenses in evaluating performance and allocating resources. Prior-period segment expense disclosures have been recast to conform to the current period presentation. This change did not affect our determination that we have one reportable segment and did not affect the measure of net income.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management operations segment revenue, significant segment expenses regularly provided to the CODM, and net income: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71"/>
        <w:gridCol w:w="1356"/>
        <w:gridCol w:w="1367"/>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57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 revenue</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882,498 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842,149 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1,688,372 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1,614,843 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services reimbursement revenue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422,917 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agreement revenue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1,089,796 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1,060,097 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2,101,707 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2,049,496 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972,953 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900,302 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Personnel costs</w:t>
            </w:r>
            <w:r>
              <w:rPr>
                <w:color w:val="000000"/>
              </w:rPr>
              <w:t xml:space="preserve"> </w:t>
            </w:r>
            <w:r>
              <w:rPr>
                <w:rFonts w:ascii="Times New Roman;serif" w:hAnsi="Times New Roman;serif"/>
                <w:b w:val="false"/>
                <w:color w:val="000000"/>
                <w:sz w:val="13"/>
              </w:rPr>
              <w:t>(1)</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175,778 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advertising</w:t>
            </w:r>
            <w:r>
              <w:rPr>
                <w:color w:val="000000"/>
              </w:rPr>
              <w:t xml:space="preserve"> </w:t>
            </w:r>
            <w:r>
              <w:rPr>
                <w:rFonts w:ascii="Times New Roman;serif" w:hAnsi="Times New Roman;serif"/>
                <w:b w:val="false"/>
                <w:color w:val="000000"/>
                <w:sz w:val="13"/>
              </w:rPr>
              <w:t>(1)</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and underwriting support costs</w:t>
            </w:r>
            <w:r>
              <w:rPr>
                <w:color w:val="000000"/>
              </w:rPr>
              <w:t xml:space="preserve"> </w:t>
            </w:r>
            <w:r>
              <w:rPr>
                <w:rFonts w:ascii="Times New Roman;serif" w:hAnsi="Times New Roman;serif"/>
                <w:b w:val="false"/>
                <w:color w:val="000000"/>
                <w:sz w:val="13"/>
              </w:rPr>
              <w:t>(1)</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53,841 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Technology infrastructure costs</w:t>
            </w:r>
            <w:r>
              <w:rPr>
                <w:color w:val="000000"/>
              </w:rPr>
              <w:t xml:space="preserve"> </w:t>
            </w:r>
            <w:r>
              <w:rPr>
                <w:rFonts w:ascii="Times New Roman;serif" w:hAnsi="Times New Roman;serif"/>
                <w:b w:val="false"/>
                <w:color w:val="000000"/>
                <w:sz w:val="13"/>
              </w:rPr>
              <w:t>(1)</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50,382 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fees</w:t>
            </w:r>
            <w:r>
              <w:rPr>
                <w:color w:val="000000"/>
              </w:rPr>
              <w:t xml:space="preserve"> </w:t>
            </w:r>
            <w:r>
              <w:rPr>
                <w:rFonts w:ascii="Times New Roman;serif" w:hAnsi="Times New Roman;serif"/>
                <w:b w:val="false"/>
                <w:color w:val="000000"/>
                <w:sz w:val="13"/>
              </w:rPr>
              <w:t>(1)</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50,468 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Administrative and other</w:t>
            </w:r>
            <w:r>
              <w:rPr>
                <w:color w:val="000000"/>
              </w:rPr>
              <w:t xml:space="preserve"> </w:t>
            </w:r>
            <w:r>
              <w:rPr>
                <w:rFonts w:ascii="Times New Roman;serif" w:hAnsi="Times New Roman;serif"/>
                <w:b w:val="false"/>
                <w:color w:val="000000"/>
                <w:sz w:val="13"/>
              </w:rPr>
              <w:t>(1)</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 policy issuance and renewal services</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684,119 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648,280 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1,329,147 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1,276,030 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 administrative services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422,917 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operating expenses </w:t>
            </w:r>
            <w:r>
              <w:rPr>
                <w:rFonts w:ascii="Times New Roman;serif" w:hAnsi="Times New Roman;serif"/>
                <w:b w:val="false"/>
                <w:color w:val="000000"/>
                <w:sz w:val="13"/>
              </w:rPr>
              <w:t>(2)</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885,673 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860,924 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1,730,797 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1,698,947 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204,123 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199,173 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370,910 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350,549 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income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82,391 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180,294 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174,685 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330,768 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313,102 </w:t>
            </w:r>
          </w:p>
        </w:tc>
        <w:tc>
          <w:tcPr>
            <w:tcW w:w="1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56"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    2025 amounts have been recast to conform to the current presentation.</w:t>
      </w:r>
    </w:p>
    <w:p>
      <w:pPr>
        <w:pStyle w:val="TextBody"/>
        <w:bidi w:val="0"/>
        <w:spacing w:lineRule="auto" w:line="256"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(2)    Management operations segment depreciation and amortization expense included primarily in "Total operating expenses" as reported on our Consolidated Statements of Operations totaled $20.8 million and $16.1 million for the three months ended June 30, 2026 and 2025, respectively, and $40.8 million and $31.9 million for the six months ended June 30, 2026 and 2025, respectively. The Exchange and its insurance subsidiaries reimbursed us approximately 33% and 29% in the six months ended June 30, 2026 and 2025, respectively, for depreciation and amortization expense on assets supporting administrative services. See our Consolidated Statements of Cash Flows for segment expenditures on fixed asset additions.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Earnings Per Share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A and Class B basic earnings per share and Class B diluted earnings per share are calculated under the two-class method. The two-class method allocates earnings to each class of stock based upon its dividend rights.  Class B shares are convertible into Class A shares at a conversion ratio of 2,400 to 1. See Note 11, "Capital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A diluted earnings per share is calculated under the if-converted method, which reflects the conversion of Class B shares to Class A shares. Diluted earnings per share calculations include the dilutive effect of assumed issuance of stock-based awards under compensation plans that have the option to be paid in stock using the treasury stock method.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reconciliation of the numerators and denominators used in the basic and diluted per-share computations is presented as follows for each class of common stock: </w:t>
      </w:r>
    </w:p>
    <w:tbl>
      <w:tblPr>
        <w:tblW w:w="10205" w:type="dxa"/>
        <w:jc w:val="left"/>
        <w:tblInd w:w="0" w:type="dxa"/>
        <w:tblLayout w:type="fixed"/>
        <w:tblCellMar>
          <w:top w:w="28" w:type="dxa"/>
          <w:left w:w="28" w:type="dxa"/>
          <w:bottom w:w="28" w:type="dxa"/>
          <w:right w:w="28" w:type="dxa"/>
        </w:tblCellMar>
      </w:tblPr>
      <w:tblGrid>
        <w:gridCol w:w="610"/>
        <w:gridCol w:w="536"/>
        <w:gridCol w:w="537"/>
        <w:gridCol w:w="109"/>
        <w:gridCol w:w="109"/>
        <w:gridCol w:w="109"/>
        <w:gridCol w:w="199"/>
        <w:gridCol w:w="750"/>
        <w:gridCol w:w="111"/>
        <w:gridCol w:w="109"/>
        <w:gridCol w:w="109"/>
        <w:gridCol w:w="109"/>
        <w:gridCol w:w="613"/>
        <w:gridCol w:w="356"/>
        <w:gridCol w:w="357"/>
        <w:gridCol w:w="109"/>
        <w:gridCol w:w="109"/>
        <w:gridCol w:w="109"/>
        <w:gridCol w:w="197"/>
        <w:gridCol w:w="560"/>
        <w:gridCol w:w="109"/>
        <w:gridCol w:w="109"/>
        <w:gridCol w:w="109"/>
        <w:gridCol w:w="109"/>
        <w:gridCol w:w="199"/>
        <w:gridCol w:w="750"/>
        <w:gridCol w:w="111"/>
        <w:gridCol w:w="109"/>
        <w:gridCol w:w="109"/>
        <w:gridCol w:w="109"/>
        <w:gridCol w:w="613"/>
        <w:gridCol w:w="356"/>
        <w:gridCol w:w="357"/>
        <w:gridCol w:w="109"/>
        <w:gridCol w:w="109"/>
        <w:gridCol w:w="109"/>
        <w:gridCol w:w="197"/>
        <w:gridCol w:w="560"/>
        <w:gridCol w:w="165"/>
      </w:tblGrid>
      <w:tr>
        <w:trPr/>
        <w:tc>
          <w:tcPr>
            <w:tcW w:w="61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w:t>
            </w:r>
          </w:p>
        </w:tc>
      </w:tr>
      <w:tr>
        <w:trPr/>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Allocated net income (numerator)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Weighted shares (denominator)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Per-share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Allocated net income (numerator)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Weighted shares (denominator)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Per-share amount</w:t>
            </w:r>
          </w:p>
        </w:tc>
      </w:tr>
      <w:tr>
        <w:trPr/>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Class A – Basic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available to Class A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178,818 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46,189,033 </w:t>
            </w:r>
          </w:p>
        </w:tc>
        <w:tc>
          <w:tcPr>
            <w:tcW w:w="3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173,254 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46,189,063 </w:t>
            </w:r>
          </w:p>
        </w:tc>
        <w:tc>
          <w:tcPr>
            <w:tcW w:w="3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Dilutive effect of stock-based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8,864 </w:t>
            </w:r>
          </w:p>
        </w:tc>
        <w:tc>
          <w:tcPr>
            <w:tcW w:w="3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14,544 </w:t>
            </w:r>
          </w:p>
        </w:tc>
        <w:tc>
          <w:tcPr>
            <w:tcW w:w="3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Assumed conversion of Class B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1,476 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6,100,800 </w:t>
            </w:r>
          </w:p>
        </w:tc>
        <w:tc>
          <w:tcPr>
            <w:tcW w:w="3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1,431 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6,100,800 </w:t>
            </w:r>
          </w:p>
        </w:tc>
        <w:tc>
          <w:tcPr>
            <w:tcW w:w="3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Class A – 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Income available to Class A stockholders on Class A equivalent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180,294 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52,298,697 </w:t>
            </w:r>
          </w:p>
        </w:tc>
        <w:tc>
          <w:tcPr>
            <w:tcW w:w="3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174,685 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52,304,407 </w:t>
            </w:r>
          </w:p>
        </w:tc>
        <w:tc>
          <w:tcPr>
            <w:tcW w:w="3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Class B – Basic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available to Class B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2,542 </w:t>
            </w:r>
          </w:p>
        </w:tc>
        <w:tc>
          <w:tcPr>
            <w:tcW w:w="3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2,542 </w:t>
            </w:r>
          </w:p>
        </w:tc>
        <w:tc>
          <w:tcPr>
            <w:tcW w:w="3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Class B – 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available to Class B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2,542 </w:t>
            </w:r>
          </w:p>
        </w:tc>
        <w:tc>
          <w:tcPr>
            <w:tcW w:w="3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2,542 </w:t>
            </w:r>
          </w:p>
        </w:tc>
        <w:tc>
          <w:tcPr>
            <w:tcW w:w="3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June 30,</w:t>
            </w:r>
          </w:p>
        </w:tc>
      </w:tr>
      <w:tr>
        <w:trPr/>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Allocated net income (numerator)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Weighted shares (denominator)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Per-share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Allocated net income (numerator)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Weighted shares (denominator)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Per-share amount</w:t>
            </w:r>
          </w:p>
        </w:tc>
      </w:tr>
      <w:tr>
        <w:trPr/>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Class A – Basic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available to Class A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328,060 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46,188,942 </w:t>
            </w:r>
          </w:p>
        </w:tc>
        <w:tc>
          <w:tcPr>
            <w:tcW w:w="3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310,538 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46,188,984 </w:t>
            </w:r>
          </w:p>
        </w:tc>
        <w:tc>
          <w:tcPr>
            <w:tcW w:w="3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Dilutive effect of stock-based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9,698 </w:t>
            </w:r>
          </w:p>
        </w:tc>
        <w:tc>
          <w:tcPr>
            <w:tcW w:w="3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14,613 </w:t>
            </w:r>
          </w:p>
        </w:tc>
        <w:tc>
          <w:tcPr>
            <w:tcW w:w="3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Assumed conversion of Class B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2,708 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6,100,800 </w:t>
            </w:r>
          </w:p>
        </w:tc>
        <w:tc>
          <w:tcPr>
            <w:tcW w:w="3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2,564 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6,100,800 </w:t>
            </w:r>
          </w:p>
        </w:tc>
        <w:tc>
          <w:tcPr>
            <w:tcW w:w="3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Class A – 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Income available to Class A stockholders on Class A equivalent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330,768 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52,299,440 </w:t>
            </w:r>
          </w:p>
        </w:tc>
        <w:tc>
          <w:tcPr>
            <w:tcW w:w="3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313,102 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52,304,397 </w:t>
            </w:r>
          </w:p>
        </w:tc>
        <w:tc>
          <w:tcPr>
            <w:tcW w:w="3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Class B – Basic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available to Class B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2,542 </w:t>
            </w:r>
          </w:p>
        </w:tc>
        <w:tc>
          <w:tcPr>
            <w:tcW w:w="3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2,542 </w:t>
            </w:r>
          </w:p>
        </w:tc>
        <w:tc>
          <w:tcPr>
            <w:tcW w:w="3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Class B – 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available to Class B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2,708 </w:t>
            </w:r>
          </w:p>
        </w:tc>
        <w:tc>
          <w:tcPr>
            <w:tcW w:w="111"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2,542 </w:t>
            </w:r>
          </w:p>
        </w:tc>
        <w:tc>
          <w:tcPr>
            <w:tcW w:w="357"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2,563 </w:t>
            </w:r>
          </w:p>
        </w:tc>
        <w:tc>
          <w:tcPr>
            <w:tcW w:w="111"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2,542 </w:t>
            </w:r>
          </w:p>
        </w:tc>
        <w:tc>
          <w:tcPr>
            <w:tcW w:w="357"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1,008 </w:t>
            </w:r>
          </w:p>
        </w:tc>
        <w:tc>
          <w:tcPr>
            <w:tcW w:w="165"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Fair Value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Financial instruments carried at fair value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available-for-sale and equity securities are recorded at fair value, which is the price that would be received to sell the asset in an orderly transaction between willing market participants as of the measurement date.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Valuation techniques used to derive the fair value of our available-for-sale and equity securities are based upon observable and unobservable inputs.  Observable inputs reflect market data obtained from independent sources.  Unobservable inputs reflect our own assumptions regarding fair market value for these securities.  Financial instruments are categorized based upon the following characteristics or inputs to the valuation techniques: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1 – Quoted prices (unadjusted) in active markets for identical assets or liabilities that the reporting entity can access at the measurement date.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2 – Inputs other than quoted prices included within Level 1 that are observable for the asset or liability, either directly or indirectly.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3 – Unobservable inputs for the asset or liability.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Estimates of fair values for our investment portfolio are obtained primarily from a nationally recognized pricing service.  Our Level 1 securities are valued using an exchange traded price provided by the pricing service. Pricing service valuations for Level 2 securities include multiple verifiable, observable inputs including benchmark yields, reported trades, broker/dealer quotes, issuer spreads, two-sided markets, benchmark securities, bids, offers and reference data.  Pricing service valuations for Level 3 securities are based upon proprietary models and are used when observable inputs are not available or in illiquid markets.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Although virtually all of our prices are obtained from third party sources, we also perform internal pricing reviews, including evaluating the methodology and inputs used to ensure that we determine the proper classification level of the financial instrument and reviewing securities with price changes that vary significantly from current market conditions or independent price sources.  Price variances are investigated and corroborated by market data and transaction volumes. We have reviewed the pricing methodologies of our pricing service as well as other observable inputs and believe that the prices adequately consider market activity in determining fair value.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limited circumstances we adjust the price received from the pricing service when, in our judgment, a better reflection of fair value is available based upon corroborating information and our knowledge and monitoring of market conditions such as a disparity in price of comparable securities and/or non-binding broker quotes.  In other circumstances, certain securities are internally priced because prices are not provided by the pricing service.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When a price from the pricing service is not available, values are determined by obtaining broker/dealer quotes and/or market comparables. When available, we obtain multiple quotes for the same security. The ultimate value for these securities is determined based upon our best estimate of fair value using corroborating market information. As of June 30, 2026, nearly all of our available-for-sale and equity securities were priced using a third party pricing service.</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our fair value measurements on a recurring basis by asset class and level of input as of: </w:t>
      </w:r>
    </w:p>
    <w:tbl>
      <w:tblPr>
        <w:tblW w:w="9642" w:type="dxa"/>
        <w:jc w:val="left"/>
        <w:tblInd w:w="0" w:type="dxa"/>
        <w:tblLayout w:type="fixed"/>
        <w:tblCellMar>
          <w:top w:w="28" w:type="dxa"/>
          <w:left w:w="28" w:type="dxa"/>
          <w:bottom w:w="28" w:type="dxa"/>
          <w:right w:w="28" w:type="dxa"/>
        </w:tblCellMar>
      </w:tblPr>
      <w:tblGrid>
        <w:gridCol w:w="1308"/>
        <w:gridCol w:w="1149"/>
        <w:gridCol w:w="1158"/>
        <w:gridCol w:w="109"/>
        <w:gridCol w:w="109"/>
        <w:gridCol w:w="109"/>
        <w:gridCol w:w="211"/>
        <w:gridCol w:w="976"/>
        <w:gridCol w:w="109"/>
        <w:gridCol w:w="109"/>
        <w:gridCol w:w="109"/>
        <w:gridCol w:w="109"/>
        <w:gridCol w:w="211"/>
        <w:gridCol w:w="721"/>
        <w:gridCol w:w="109"/>
        <w:gridCol w:w="109"/>
        <w:gridCol w:w="109"/>
        <w:gridCol w:w="109"/>
        <w:gridCol w:w="211"/>
        <w:gridCol w:w="976"/>
        <w:gridCol w:w="109"/>
        <w:gridCol w:w="109"/>
        <w:gridCol w:w="109"/>
        <w:gridCol w:w="109"/>
        <w:gridCol w:w="211"/>
        <w:gridCol w:w="721"/>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784,374 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782,455 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debt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available-for-sale securities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1,433,222 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1,417,246 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14,535 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Exchange-traded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Non-redeemable preferred stocks: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Financial services sector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Utilities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Energy sector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Consumer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Technology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Communications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Total non-redeemable preferred stocks </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93,259 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74,875 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16,316 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equity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84,814 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74,875 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16,316 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1,609,227 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1,492,121 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30,851 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(1)This includes $44.4 million of securities lent under a securities lending agreement.</w:t>
      </w:r>
    </w:p>
    <w:p>
      <w:pPr>
        <w:pStyle w:val="TextBody"/>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(2)This includes $25.5 million of securities lent under a securities lending agreement.</w:t>
      </w:r>
    </w:p>
    <w:p>
      <w:pPr>
        <w:pStyle w:val="TextBody"/>
        <w:bidi w:val="0"/>
        <w:spacing w:before="240" w:after="60"/>
        <w:jc w:val="left"/>
        <w:rPr/>
      </w:pPr>
      <w:r>
        <w:rPr/>
      </w:r>
    </w:p>
    <w:tbl>
      <w:tblPr>
        <w:tblW w:w="9476" w:type="dxa"/>
        <w:jc w:val="left"/>
        <w:tblInd w:w="0" w:type="dxa"/>
        <w:tblLayout w:type="fixed"/>
        <w:tblCellMar>
          <w:top w:w="28" w:type="dxa"/>
          <w:left w:w="28" w:type="dxa"/>
          <w:bottom w:w="28" w:type="dxa"/>
          <w:right w:w="28" w:type="dxa"/>
        </w:tblCellMar>
      </w:tblPr>
      <w:tblGrid>
        <w:gridCol w:w="1286"/>
        <w:gridCol w:w="1130"/>
        <w:gridCol w:w="1138"/>
        <w:gridCol w:w="109"/>
        <w:gridCol w:w="109"/>
        <w:gridCol w:w="109"/>
        <w:gridCol w:w="211"/>
        <w:gridCol w:w="976"/>
        <w:gridCol w:w="109"/>
        <w:gridCol w:w="109"/>
        <w:gridCol w:w="109"/>
        <w:gridCol w:w="109"/>
        <w:gridCol w:w="211"/>
        <w:gridCol w:w="616"/>
        <w:gridCol w:w="109"/>
        <w:gridCol w:w="109"/>
        <w:gridCol w:w="109"/>
        <w:gridCol w:w="109"/>
        <w:gridCol w:w="211"/>
        <w:gridCol w:w="976"/>
        <w:gridCol w:w="109"/>
        <w:gridCol w:w="109"/>
        <w:gridCol w:w="109"/>
        <w:gridCol w:w="109"/>
        <w:gridCol w:w="211"/>
        <w:gridCol w:w="721"/>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844,479 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839,542 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debt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available-for-sale securities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1,364,828 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1,336,076 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27,754 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Non-redeemable preferred stocks: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Financial services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Utilities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Energy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Consumer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Technology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Communications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Total non-redeemable preferred stocks </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90,763 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76,105 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12,065 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equity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90,763 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76,105 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12,065 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1,455,591 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1,412,181 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39,819 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     This includes $44.4 million of securities lent under a securities lending agreement.</w:t>
      </w:r>
    </w:p>
    <w:p>
      <w:pPr>
        <w:pStyle w:val="TextBody"/>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(2)    This includes $20.1 million of securities lent under a securities lending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review the fair value hierarchy classifications each reporting period. Transfers between hierarchy levels may occur due to changes in available market observable inputs.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3 Assets – 2026 Quarterly Change:</w:t>
      </w:r>
    </w:p>
    <w:tbl>
      <w:tblPr>
        <w:tblW w:w="12155" w:type="dxa"/>
        <w:jc w:val="left"/>
        <w:tblInd w:w="0" w:type="dxa"/>
        <w:tblLayout w:type="fixed"/>
        <w:tblCellMar>
          <w:top w:w="28" w:type="dxa"/>
          <w:left w:w="28" w:type="dxa"/>
          <w:bottom w:w="28" w:type="dxa"/>
          <w:right w:w="28" w:type="dxa"/>
        </w:tblCellMar>
      </w:tblPr>
      <w:tblGrid>
        <w:gridCol w:w="570"/>
        <w:gridCol w:w="501"/>
        <w:gridCol w:w="505"/>
        <w:gridCol w:w="109"/>
        <w:gridCol w:w="109"/>
        <w:gridCol w:w="109"/>
        <w:gridCol w:w="211"/>
        <w:gridCol w:w="721"/>
        <w:gridCol w:w="109"/>
        <w:gridCol w:w="109"/>
        <w:gridCol w:w="109"/>
        <w:gridCol w:w="109"/>
        <w:gridCol w:w="211"/>
        <w:gridCol w:w="481"/>
        <w:gridCol w:w="109"/>
        <w:gridCol w:w="109"/>
        <w:gridCol w:w="109"/>
        <w:gridCol w:w="109"/>
        <w:gridCol w:w="310"/>
        <w:gridCol w:w="685"/>
        <w:gridCol w:w="161"/>
        <w:gridCol w:w="109"/>
        <w:gridCol w:w="109"/>
        <w:gridCol w:w="109"/>
        <w:gridCol w:w="211"/>
        <w:gridCol w:w="616"/>
        <w:gridCol w:w="109"/>
        <w:gridCol w:w="109"/>
        <w:gridCol w:w="109"/>
        <w:gridCol w:w="109"/>
        <w:gridCol w:w="211"/>
        <w:gridCol w:w="631"/>
        <w:gridCol w:w="109"/>
        <w:gridCol w:w="109"/>
        <w:gridCol w:w="109"/>
        <w:gridCol w:w="109"/>
        <w:gridCol w:w="211"/>
        <w:gridCol w:w="616"/>
        <w:gridCol w:w="109"/>
        <w:gridCol w:w="109"/>
        <w:gridCol w:w="109"/>
        <w:gridCol w:w="109"/>
        <w:gridCol w:w="211"/>
        <w:gridCol w:w="736"/>
        <w:gridCol w:w="109"/>
        <w:gridCol w:w="109"/>
        <w:gridCol w:w="109"/>
        <w:gridCol w:w="109"/>
        <w:gridCol w:w="211"/>
        <w:gridCol w:w="721"/>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i/>
                <w:sz w:val="16"/>
              </w:rPr>
              <w:br/>
            </w:r>
            <w:r>
              <w:rPr>
                <w:rFonts w:ascii="Times New Roman;serif" w:hAnsi="Times New Roman;serif"/>
                <w:b w:val="false"/>
                <w:i/>
                <w:color w:val="000000"/>
                <w:sz w:val="16"/>
              </w:rPr>
              <w:t>(in thousands)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Beginning balance at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Included in earnings</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Included</w:t>
              <w:br/>
              <w:t>in 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Transfers into </w:t>
            </w:r>
          </w:p>
          <w:p>
            <w:pPr>
              <w:pStyle w:val="TableContents"/>
              <w:bidi w:val="0"/>
              <w:spacing w:lineRule="auto" w:line="240" w:before="0" w:after="0"/>
              <w:jc w:val="center"/>
              <w:rPr/>
            </w:pPr>
            <w:r>
              <w:rPr>
                <w:rFonts w:ascii="Times New Roman;serif" w:hAnsi="Times New Roman;serif"/>
                <w:b w:val="false"/>
                <w:color w:val="000000"/>
                <w:sz w:val="16"/>
              </w:rPr>
              <w:t>Level 3</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Transfers out of Level 3</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Ending balance at June 30, 2026</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mortgage-backed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 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14,535 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3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(12,177)</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30,851 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Level 3 Assets – 2026 Year-to-Date Change:</w:t>
      </w:r>
    </w:p>
    <w:tbl>
      <w:tblPr>
        <w:tblW w:w="12260" w:type="dxa"/>
        <w:jc w:val="left"/>
        <w:tblInd w:w="0" w:type="dxa"/>
        <w:tblLayout w:type="fixed"/>
        <w:tblCellMar>
          <w:top w:w="28" w:type="dxa"/>
          <w:left w:w="28" w:type="dxa"/>
          <w:bottom w:w="28" w:type="dxa"/>
          <w:right w:w="28" w:type="dxa"/>
        </w:tblCellMar>
      </w:tblPr>
      <w:tblGrid>
        <w:gridCol w:w="570"/>
        <w:gridCol w:w="501"/>
        <w:gridCol w:w="505"/>
        <w:gridCol w:w="109"/>
        <w:gridCol w:w="109"/>
        <w:gridCol w:w="109"/>
        <w:gridCol w:w="211"/>
        <w:gridCol w:w="721"/>
        <w:gridCol w:w="109"/>
        <w:gridCol w:w="109"/>
        <w:gridCol w:w="109"/>
        <w:gridCol w:w="109"/>
        <w:gridCol w:w="211"/>
        <w:gridCol w:w="481"/>
        <w:gridCol w:w="109"/>
        <w:gridCol w:w="109"/>
        <w:gridCol w:w="109"/>
        <w:gridCol w:w="109"/>
        <w:gridCol w:w="350"/>
        <w:gridCol w:w="624"/>
        <w:gridCol w:w="182"/>
        <w:gridCol w:w="109"/>
        <w:gridCol w:w="109"/>
        <w:gridCol w:w="109"/>
        <w:gridCol w:w="211"/>
        <w:gridCol w:w="616"/>
        <w:gridCol w:w="109"/>
        <w:gridCol w:w="109"/>
        <w:gridCol w:w="109"/>
        <w:gridCol w:w="109"/>
        <w:gridCol w:w="211"/>
        <w:gridCol w:w="631"/>
        <w:gridCol w:w="109"/>
        <w:gridCol w:w="109"/>
        <w:gridCol w:w="109"/>
        <w:gridCol w:w="109"/>
        <w:gridCol w:w="211"/>
        <w:gridCol w:w="721"/>
        <w:gridCol w:w="109"/>
        <w:gridCol w:w="109"/>
        <w:gridCol w:w="109"/>
        <w:gridCol w:w="109"/>
        <w:gridCol w:w="211"/>
        <w:gridCol w:w="736"/>
        <w:gridCol w:w="109"/>
        <w:gridCol w:w="109"/>
        <w:gridCol w:w="109"/>
        <w:gridCol w:w="109"/>
        <w:gridCol w:w="211"/>
        <w:gridCol w:w="721"/>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Beginning balance at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Included in earnings</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Included</w:t>
              <w:br/>
              <w:t>in 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Transfers into </w:t>
            </w:r>
          </w:p>
          <w:p>
            <w:pPr>
              <w:pStyle w:val="TableContents"/>
              <w:bidi w:val="0"/>
              <w:spacing w:lineRule="auto" w:line="240" w:before="0" w:after="0"/>
              <w:jc w:val="center"/>
              <w:rPr/>
            </w:pPr>
            <w:r>
              <w:rPr>
                <w:rFonts w:ascii="Times New Roman;serif" w:hAnsi="Times New Roman;serif"/>
                <w:b w:val="false"/>
                <w:color w:val="000000"/>
                <w:sz w:val="16"/>
              </w:rPr>
              <w:t>Level 3</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Transfers out of Level 3</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Ending balance at June 30, 2026</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14,535 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3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8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(20,260)</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30,851 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Level 3 Assets – 2025 Quarterly Change:</w:t>
      </w:r>
    </w:p>
    <w:tbl>
      <w:tblPr>
        <w:tblW w:w="12155" w:type="dxa"/>
        <w:jc w:val="left"/>
        <w:tblInd w:w="0" w:type="dxa"/>
        <w:tblLayout w:type="fixed"/>
        <w:tblCellMar>
          <w:top w:w="28" w:type="dxa"/>
          <w:left w:w="28" w:type="dxa"/>
          <w:bottom w:w="28" w:type="dxa"/>
          <w:right w:w="28" w:type="dxa"/>
        </w:tblCellMar>
      </w:tblPr>
      <w:tblGrid>
        <w:gridCol w:w="570"/>
        <w:gridCol w:w="501"/>
        <w:gridCol w:w="505"/>
        <w:gridCol w:w="109"/>
        <w:gridCol w:w="109"/>
        <w:gridCol w:w="109"/>
        <w:gridCol w:w="211"/>
        <w:gridCol w:w="721"/>
        <w:gridCol w:w="109"/>
        <w:gridCol w:w="109"/>
        <w:gridCol w:w="109"/>
        <w:gridCol w:w="109"/>
        <w:gridCol w:w="211"/>
        <w:gridCol w:w="481"/>
        <w:gridCol w:w="109"/>
        <w:gridCol w:w="109"/>
        <w:gridCol w:w="109"/>
        <w:gridCol w:w="109"/>
        <w:gridCol w:w="310"/>
        <w:gridCol w:w="685"/>
        <w:gridCol w:w="161"/>
        <w:gridCol w:w="109"/>
        <w:gridCol w:w="109"/>
        <w:gridCol w:w="109"/>
        <w:gridCol w:w="211"/>
        <w:gridCol w:w="616"/>
        <w:gridCol w:w="109"/>
        <w:gridCol w:w="109"/>
        <w:gridCol w:w="109"/>
        <w:gridCol w:w="109"/>
        <w:gridCol w:w="211"/>
        <w:gridCol w:w="631"/>
        <w:gridCol w:w="109"/>
        <w:gridCol w:w="109"/>
        <w:gridCol w:w="109"/>
        <w:gridCol w:w="109"/>
        <w:gridCol w:w="211"/>
        <w:gridCol w:w="721"/>
        <w:gridCol w:w="109"/>
        <w:gridCol w:w="109"/>
        <w:gridCol w:w="109"/>
        <w:gridCol w:w="109"/>
        <w:gridCol w:w="211"/>
        <w:gridCol w:w="631"/>
        <w:gridCol w:w="109"/>
        <w:gridCol w:w="109"/>
        <w:gridCol w:w="109"/>
        <w:gridCol w:w="109"/>
        <w:gridCol w:w="211"/>
        <w:gridCol w:w="721"/>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Beginning balance at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Included in earnings</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Included</w:t>
              <w:br/>
              <w:t>in 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Transfers into </w:t>
            </w:r>
          </w:p>
          <w:p>
            <w:pPr>
              <w:pStyle w:val="TableContents"/>
              <w:bidi w:val="0"/>
              <w:spacing w:lineRule="auto" w:line="240" w:before="0" w:after="0"/>
              <w:jc w:val="center"/>
              <w:rPr/>
            </w:pPr>
            <w:r>
              <w:rPr>
                <w:rFonts w:ascii="Times New Roman;serif" w:hAnsi="Times New Roman;serif"/>
                <w:b w:val="false"/>
                <w:color w:val="000000"/>
                <w:sz w:val="16"/>
              </w:rPr>
              <w:t>Level 3</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Transfers out of Level 3</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Ending balance at June 30, 2025</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debt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 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22,610 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3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(7,595)</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33,250 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3 Assets – 2025 Year-to-Date Change:</w:t>
      </w:r>
    </w:p>
    <w:tbl>
      <w:tblPr>
        <w:tblW w:w="12180" w:type="dxa"/>
        <w:jc w:val="left"/>
        <w:tblInd w:w="0" w:type="dxa"/>
        <w:tblLayout w:type="fixed"/>
        <w:tblCellMar>
          <w:top w:w="28" w:type="dxa"/>
          <w:left w:w="28" w:type="dxa"/>
          <w:bottom w:w="28" w:type="dxa"/>
          <w:right w:w="28" w:type="dxa"/>
        </w:tblCellMar>
      </w:tblPr>
      <w:tblGrid>
        <w:gridCol w:w="570"/>
        <w:gridCol w:w="501"/>
        <w:gridCol w:w="505"/>
        <w:gridCol w:w="109"/>
        <w:gridCol w:w="109"/>
        <w:gridCol w:w="109"/>
        <w:gridCol w:w="211"/>
        <w:gridCol w:w="721"/>
        <w:gridCol w:w="109"/>
        <w:gridCol w:w="109"/>
        <w:gridCol w:w="109"/>
        <w:gridCol w:w="109"/>
        <w:gridCol w:w="223"/>
        <w:gridCol w:w="382"/>
        <w:gridCol w:w="116"/>
        <w:gridCol w:w="109"/>
        <w:gridCol w:w="109"/>
        <w:gridCol w:w="109"/>
        <w:gridCol w:w="310"/>
        <w:gridCol w:w="685"/>
        <w:gridCol w:w="161"/>
        <w:gridCol w:w="109"/>
        <w:gridCol w:w="109"/>
        <w:gridCol w:w="109"/>
        <w:gridCol w:w="211"/>
        <w:gridCol w:w="616"/>
        <w:gridCol w:w="109"/>
        <w:gridCol w:w="109"/>
        <w:gridCol w:w="109"/>
        <w:gridCol w:w="109"/>
        <w:gridCol w:w="211"/>
        <w:gridCol w:w="631"/>
        <w:gridCol w:w="109"/>
        <w:gridCol w:w="109"/>
        <w:gridCol w:w="109"/>
        <w:gridCol w:w="109"/>
        <w:gridCol w:w="211"/>
        <w:gridCol w:w="721"/>
        <w:gridCol w:w="109"/>
        <w:gridCol w:w="109"/>
        <w:gridCol w:w="109"/>
        <w:gridCol w:w="109"/>
        <w:gridCol w:w="211"/>
        <w:gridCol w:w="736"/>
        <w:gridCol w:w="109"/>
        <w:gridCol w:w="109"/>
        <w:gridCol w:w="109"/>
        <w:gridCol w:w="109"/>
        <w:gridCol w:w="211"/>
        <w:gridCol w:w="721"/>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Beginning balance at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Included in earnings</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Included</w:t>
              <w:br/>
              <w:t>in 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Transfers into </w:t>
            </w:r>
          </w:p>
          <w:p>
            <w:pPr>
              <w:pStyle w:val="TableContents"/>
              <w:bidi w:val="0"/>
              <w:spacing w:lineRule="auto" w:line="240" w:before="0" w:after="0"/>
              <w:jc w:val="center"/>
              <w:rPr/>
            </w:pPr>
            <w:r>
              <w:rPr>
                <w:rFonts w:ascii="Times New Roman;serif" w:hAnsi="Times New Roman;serif"/>
                <w:b w:val="false"/>
                <w:color w:val="000000"/>
                <w:sz w:val="16"/>
              </w:rPr>
              <w:t>Level 3</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Transfers out of Level 3</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Ending balance at June 30, 2025</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debt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22,610 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3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(25,380)</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33,250 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(1)These amounts are reported as net investment income and net realized and unrealized investment gains (losses) for each of the periods presented above.</w:t>
      </w:r>
    </w:p>
    <w:p>
      <w:pPr>
        <w:pStyle w:val="TextBody"/>
        <w:bidi w:val="0"/>
        <w:spacing w:lineRule="auto" w:line="288" w:before="0" w:after="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(2)Transfers into and/or (out) of Level 3 are primarily attributable to the availability of market observable information and the re-evaluation of the observability of pricing inputs.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Financial instruments not carried at fair value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carrying values and fair values of financial instruments categorized as Level 3 in the fair value hierarchy that are recorded at carrying value as of:</w:t>
      </w:r>
    </w:p>
    <w:tbl>
      <w:tblPr>
        <w:tblW w:w="9134" w:type="dxa"/>
        <w:jc w:val="left"/>
        <w:tblInd w:w="0" w:type="dxa"/>
        <w:tblLayout w:type="fixed"/>
        <w:tblCellMar>
          <w:top w:w="28" w:type="dxa"/>
          <w:left w:w="28" w:type="dxa"/>
          <w:bottom w:w="28" w:type="dxa"/>
          <w:right w:w="28" w:type="dxa"/>
        </w:tblCellMar>
      </w:tblPr>
      <w:tblGrid>
        <w:gridCol w:w="1031"/>
        <w:gridCol w:w="907"/>
        <w:gridCol w:w="911"/>
        <w:gridCol w:w="109"/>
        <w:gridCol w:w="109"/>
        <w:gridCol w:w="109"/>
        <w:gridCol w:w="243"/>
        <w:gridCol w:w="952"/>
        <w:gridCol w:w="125"/>
        <w:gridCol w:w="109"/>
        <w:gridCol w:w="109"/>
        <w:gridCol w:w="109"/>
        <w:gridCol w:w="211"/>
        <w:gridCol w:w="826"/>
        <w:gridCol w:w="109"/>
        <w:gridCol w:w="109"/>
        <w:gridCol w:w="109"/>
        <w:gridCol w:w="109"/>
        <w:gridCol w:w="243"/>
        <w:gridCol w:w="952"/>
        <w:gridCol w:w="125"/>
        <w:gridCol w:w="109"/>
        <w:gridCol w:w="109"/>
        <w:gridCol w:w="109"/>
        <w:gridCol w:w="211"/>
        <w:gridCol w:w="826"/>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Agent loans, net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119,672 </w:t>
            </w:r>
          </w:p>
        </w:tc>
        <w:tc>
          <w:tcPr>
            <w:tcW w:w="1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116,064 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109,331 </w:t>
            </w:r>
          </w:p>
        </w:tc>
        <w:tc>
          <w:tcPr>
            <w:tcW w:w="1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113,850 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loans receivable, net </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Held-to-maturity securities, net </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    The current portion of agent loans is included in the line item "Prepaid expenses and other current assets, net" in the Consolidated Statements of Financial Position.</w:t>
      </w:r>
    </w:p>
    <w:p>
      <w:pPr>
        <w:pStyle w:val="TextBody"/>
        <w:bidi w:val="0"/>
        <w:spacing w:lineRule="auto" w:line="288" w:before="60" w:after="283"/>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(2)    The current and long-term portions of other loans receivable are included in the line items "Prepaid expenses and other current assets, net" and "Other assets, net", respectively, in the Consolidated Statements of Financial Position.</w:t>
      </w:r>
    </w:p>
    <w:p>
      <w:pPr>
        <w:pStyle w:val="TextBody"/>
        <w:bidi w:val="0"/>
        <w:spacing w:lineRule="auto" w:line="288" w:before="60" w:after="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(3)    Held-to-maturity securities are included in the line item "Other assets, net" in the Consolidated Statements of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Investments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Fixed maturity securities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See Note 6, "Fair Value" for additional fair value disclosures. The following tables summarize the amortized cost and estimated fair value, net of credit loss allowance, of our fixed maturity securities as of: </w:t>
      </w:r>
    </w:p>
    <w:tbl>
      <w:tblPr>
        <w:tblW w:w="10205" w:type="dxa"/>
        <w:jc w:val="left"/>
        <w:tblInd w:w="0" w:type="dxa"/>
        <w:tblLayout w:type="fixed"/>
        <w:tblCellMar>
          <w:top w:w="28" w:type="dxa"/>
          <w:left w:w="28" w:type="dxa"/>
          <w:bottom w:w="28" w:type="dxa"/>
          <w:right w:w="28" w:type="dxa"/>
        </w:tblCellMar>
      </w:tblPr>
      <w:tblGrid>
        <w:gridCol w:w="1137"/>
        <w:gridCol w:w="997"/>
        <w:gridCol w:w="1007"/>
        <w:gridCol w:w="109"/>
        <w:gridCol w:w="109"/>
        <w:gridCol w:w="109"/>
        <w:gridCol w:w="196"/>
        <w:gridCol w:w="875"/>
        <w:gridCol w:w="109"/>
        <w:gridCol w:w="109"/>
        <w:gridCol w:w="109"/>
        <w:gridCol w:w="109"/>
        <w:gridCol w:w="354"/>
        <w:gridCol w:w="1007"/>
        <w:gridCol w:w="198"/>
        <w:gridCol w:w="109"/>
        <w:gridCol w:w="109"/>
        <w:gridCol w:w="109"/>
        <w:gridCol w:w="328"/>
        <w:gridCol w:w="1084"/>
        <w:gridCol w:w="183"/>
        <w:gridCol w:w="109"/>
        <w:gridCol w:w="109"/>
        <w:gridCol w:w="109"/>
        <w:gridCol w:w="227"/>
        <w:gridCol w:w="1011"/>
        <w:gridCol w:w="184"/>
      </w:tblGrid>
      <w:tr>
        <w:trPr/>
        <w:tc>
          <w:tcPr>
            <w:tcW w:w="113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Estimated fair value</w:t>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784,968 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4,200 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784,374 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Collateralized debt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232,721 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147,722 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220,319 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12,055 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208,685 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45,834 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13,886 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available-for-sale securities, net </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1,446,197 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6,516 </w:t>
            </w:r>
          </w:p>
        </w:tc>
        <w:tc>
          <w:tcPr>
            <w:tcW w:w="19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19,491 </w:t>
            </w:r>
          </w:p>
        </w:tc>
        <w:tc>
          <w:tcPr>
            <w:tcW w:w="1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1,433,222 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Held-to-maturity securities - states &amp; political subdivisions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4,848 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fixed maturity securities,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1,451,030 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6,531 </w:t>
            </w:r>
          </w:p>
        </w:tc>
        <w:tc>
          <w:tcPr>
            <w:tcW w:w="19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19,491 </w:t>
            </w:r>
          </w:p>
        </w:tc>
        <w:tc>
          <w:tcPr>
            <w:tcW w:w="18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1,438,070 </w:t>
            </w:r>
          </w:p>
        </w:tc>
        <w:tc>
          <w:tcPr>
            <w:tcW w:w="18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(1)This includes an estimated fair value of $44.4 million of securities lent under a securities lending agreement.</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137"/>
        <w:gridCol w:w="997"/>
        <w:gridCol w:w="1007"/>
        <w:gridCol w:w="109"/>
        <w:gridCol w:w="109"/>
        <w:gridCol w:w="109"/>
        <w:gridCol w:w="196"/>
        <w:gridCol w:w="875"/>
        <w:gridCol w:w="109"/>
        <w:gridCol w:w="109"/>
        <w:gridCol w:w="109"/>
        <w:gridCol w:w="109"/>
        <w:gridCol w:w="321"/>
        <w:gridCol w:w="1059"/>
        <w:gridCol w:w="179"/>
        <w:gridCol w:w="109"/>
        <w:gridCol w:w="109"/>
        <w:gridCol w:w="109"/>
        <w:gridCol w:w="328"/>
        <w:gridCol w:w="1084"/>
        <w:gridCol w:w="183"/>
        <w:gridCol w:w="109"/>
        <w:gridCol w:w="109"/>
        <w:gridCol w:w="109"/>
        <w:gridCol w:w="227"/>
        <w:gridCol w:w="1011"/>
        <w:gridCol w:w="184"/>
      </w:tblGrid>
      <w:tr>
        <w:trPr/>
        <w:tc>
          <w:tcPr>
            <w:tcW w:w="113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Estimated fair value</w:t>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834,885 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3,185 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844,479 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Collateralized debt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133,267 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140,541 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187,226 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35,152 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24,163 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available-for-sale securities, net</w:t>
            </w:r>
            <w:r>
              <w:rPr>
                <w:color w:val="000000"/>
              </w:rPr>
              <w:t xml:space="preserve"> </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1,363,228 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17,425 </w:t>
            </w:r>
          </w:p>
        </w:tc>
        <w:tc>
          <w:tcPr>
            <w:tcW w:w="1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15,825 </w:t>
            </w:r>
          </w:p>
        </w:tc>
        <w:tc>
          <w:tcPr>
            <w:tcW w:w="1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1,364,828 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Held-to-maturity securities - states &amp; political subdivisions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4,863 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fixed maturity securities,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1,368,061 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17,455 </w:t>
            </w:r>
          </w:p>
        </w:tc>
        <w:tc>
          <w:tcPr>
            <w:tcW w:w="17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15,825 </w:t>
            </w:r>
          </w:p>
        </w:tc>
        <w:tc>
          <w:tcPr>
            <w:tcW w:w="18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1,369,691 </w:t>
            </w:r>
          </w:p>
        </w:tc>
        <w:tc>
          <w:tcPr>
            <w:tcW w:w="18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(1)This includes an estimated fair value of $44.4 million of securities lent under a securities lending agreement.</w:t>
      </w:r>
    </w:p>
    <w:p>
      <w:pPr>
        <w:pStyle w:val="TextBody"/>
        <w:bidi w:val="0"/>
        <w:spacing w:before="60" w:after="60"/>
        <w:jc w:val="left"/>
        <w:rPr/>
      </w:pPr>
      <w:r>
        <w:rPr/>
      </w:r>
    </w:p>
    <w:p>
      <w:pPr>
        <w:pStyle w:val="TextBody"/>
        <w:bidi w:val="0"/>
        <w:spacing w:before="60" w:after="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amortized cost and estimated fair value of our fixed maturity securities at June 30, 2026 are shown below by remaining contractual term to maturity.  Expected maturities may differ from contractual maturities because borrowers may have the right to call or prepay obligations with or without call or prepayment penalties.</w:t>
      </w:r>
    </w:p>
    <w:p>
      <w:pPr>
        <w:pStyle w:val="TextBody"/>
        <w:bidi w:val="0"/>
        <w:spacing w:before="0" w:after="0"/>
        <w:jc w:val="left"/>
        <w:rPr/>
      </w:pPr>
      <w:r>
        <w:rPr/>
      </w:r>
    </w:p>
    <w:tbl>
      <w:tblPr>
        <w:tblW w:w="6501" w:type="dxa"/>
        <w:jc w:val="left"/>
        <w:tblInd w:w="0" w:type="dxa"/>
        <w:tblLayout w:type="fixed"/>
        <w:tblCellMar>
          <w:top w:w="28" w:type="dxa"/>
          <w:left w:w="28" w:type="dxa"/>
          <w:bottom w:w="28" w:type="dxa"/>
          <w:right w:w="28" w:type="dxa"/>
        </w:tblCellMar>
      </w:tblPr>
      <w:tblGrid>
        <w:gridCol w:w="1247"/>
        <w:gridCol w:w="1096"/>
        <w:gridCol w:w="1107"/>
        <w:gridCol w:w="109"/>
        <w:gridCol w:w="109"/>
        <w:gridCol w:w="109"/>
        <w:gridCol w:w="196"/>
        <w:gridCol w:w="871"/>
        <w:gridCol w:w="109"/>
        <w:gridCol w:w="109"/>
        <w:gridCol w:w="109"/>
        <w:gridCol w:w="109"/>
        <w:gridCol w:w="196"/>
        <w:gridCol w:w="871"/>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Amortized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Estimated</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fair value</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in one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after one year through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546,224 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545,677 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after five years through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187,998 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after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647,867 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636,184 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available-for-sale securities, net </w:t>
            </w:r>
            <w:r>
              <w:rPr>
                <w:rFonts w:ascii="Times New Roman;serif" w:hAnsi="Times New Roman;serif"/>
                <w:b w:val="false"/>
                <w:color w:val="000000"/>
                <w:sz w:val="12"/>
              </w:rPr>
              <w:t>(1)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1,446,197 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1,433,222 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Held-to-maturity securities - due after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4,848 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fixed maturity securities,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1,451,030 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1,438,070 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(1)The contractual maturities of our available-for-sale securities are included in the table. However, given our intent to sell certain impaired securities, these securities are classified as current assets in our Consolidated Statement of Financial Position at June 30, 2026.</w:t>
      </w:r>
    </w:p>
    <w:p>
      <w:pPr>
        <w:pStyle w:val="TextBody"/>
        <w:bidi w:val="0"/>
        <w:spacing w:lineRule="auto" w:line="288" w:before="60" w:after="283"/>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(2)This includes an estimated fair value of $44.4 million of securities lent under a securities lending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below securities have been evaluated for credit impairment using criteria described within Note 2, "Significant Accounting Policies, of Notes to Consolidated Financial Statements" included in our Annual Report on Form 10-K for the year ended December 31, 2025 as filed with the SEC on February 23, 2026. The gross unrealized losses are primarily attributable to changes in interest rates and are not deemed to be credit-related. We do not have the intent to sell these securities and it is more likely than not that we would not be required to sell these securities before the anticipated recovery of the amortized cost basis.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available-for-sale securities based on length of time in a gross unrealized loss position as of:</w:t>
      </w:r>
    </w:p>
    <w:tbl>
      <w:tblPr>
        <w:tblW w:w="11053" w:type="dxa"/>
        <w:jc w:val="left"/>
        <w:tblInd w:w="0" w:type="dxa"/>
        <w:tblLayout w:type="fixed"/>
        <w:tblCellMar>
          <w:top w:w="28" w:type="dxa"/>
          <w:left w:w="28" w:type="dxa"/>
          <w:bottom w:w="28" w:type="dxa"/>
          <w:right w:w="28" w:type="dxa"/>
        </w:tblCellMar>
      </w:tblPr>
      <w:tblGrid>
        <w:gridCol w:w="889"/>
        <w:gridCol w:w="320"/>
        <w:gridCol w:w="322"/>
        <w:gridCol w:w="109"/>
        <w:gridCol w:w="109"/>
        <w:gridCol w:w="109"/>
        <w:gridCol w:w="211"/>
        <w:gridCol w:w="826"/>
        <w:gridCol w:w="109"/>
        <w:gridCol w:w="109"/>
        <w:gridCol w:w="109"/>
        <w:gridCol w:w="109"/>
        <w:gridCol w:w="211"/>
        <w:gridCol w:w="61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33"/>
        <w:gridCol w:w="233"/>
        <w:gridCol w:w="311"/>
      </w:tblGrid>
      <w:tr>
        <w:trPr/>
        <w:tc>
          <w:tcPr>
            <w:tcW w:w="88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months or longer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Unrealized </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Unrealized </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Unrealized </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No. of </w:t>
              <w:br/>
              <w:t>holdings</w:t>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432,603 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446,391 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3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debt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750,458 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109,831 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860,289 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3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Quality breakdown of 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grade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725,388 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Non-investment grade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750,458 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109,831 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860,289 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3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1053" w:type="dxa"/>
        <w:jc w:val="left"/>
        <w:tblInd w:w="0" w:type="dxa"/>
        <w:tblLayout w:type="fixed"/>
        <w:tblCellMar>
          <w:top w:w="28" w:type="dxa"/>
          <w:left w:w="28" w:type="dxa"/>
          <w:bottom w:w="28" w:type="dxa"/>
          <w:right w:w="28" w:type="dxa"/>
        </w:tblCellMar>
      </w:tblPr>
      <w:tblGrid>
        <w:gridCol w:w="889"/>
        <w:gridCol w:w="320"/>
        <w:gridCol w:w="322"/>
        <w:gridCol w:w="109"/>
        <w:gridCol w:w="109"/>
        <w:gridCol w:w="109"/>
        <w:gridCol w:w="211"/>
        <w:gridCol w:w="826"/>
        <w:gridCol w:w="109"/>
        <w:gridCol w:w="109"/>
        <w:gridCol w:w="109"/>
        <w:gridCol w:w="109"/>
        <w:gridCol w:w="211"/>
        <w:gridCol w:w="61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33"/>
        <w:gridCol w:w="233"/>
        <w:gridCol w:w="311"/>
      </w:tblGrid>
      <w:tr>
        <w:trPr/>
        <w:tc>
          <w:tcPr>
            <w:tcW w:w="88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months or longer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Unrealized </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Unrealized </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Unrealized </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No. of </w:t>
              <w:br/>
              <w:t>holdings</w:t>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72,699 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113,739 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3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debt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181,626 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160,579 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342,205 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3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Quality breakdown of 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grade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Non-investment grade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181,626 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160,579 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342,205 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3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Credit loss allowances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a roll-forward of the allowances for credit losses on investments: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63"/>
        <w:gridCol w:w="670"/>
        <w:gridCol w:w="675"/>
        <w:gridCol w:w="109"/>
        <w:gridCol w:w="109"/>
        <w:gridCol w:w="109"/>
        <w:gridCol w:w="470"/>
        <w:gridCol w:w="1376"/>
        <w:gridCol w:w="244"/>
        <w:gridCol w:w="109"/>
        <w:gridCol w:w="109"/>
        <w:gridCol w:w="109"/>
        <w:gridCol w:w="450"/>
        <w:gridCol w:w="1317"/>
        <w:gridCol w:w="233"/>
        <w:gridCol w:w="109"/>
        <w:gridCol w:w="109"/>
        <w:gridCol w:w="109"/>
        <w:gridCol w:w="327"/>
        <w:gridCol w:w="1120"/>
        <w:gridCol w:w="169"/>
        <w:gridCol w:w="109"/>
        <w:gridCol w:w="109"/>
        <w:gridCol w:w="109"/>
        <w:gridCol w:w="231"/>
        <w:gridCol w:w="675"/>
        <w:gridCol w:w="177"/>
      </w:tblGrid>
      <w:tr>
        <w:trPr/>
        <w:tc>
          <w:tcPr>
            <w:tcW w:w="76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2026</w:t>
            </w:r>
          </w:p>
        </w:tc>
      </w:tr>
      <w:tr>
        <w:trPr/>
        <w:tc>
          <w:tcPr>
            <w:tcW w:w="2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Held-to-maturity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loans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Agent loans</w:t>
            </w:r>
          </w:p>
        </w:tc>
      </w:tr>
      <w:tr>
        <w:trPr/>
        <w:tc>
          <w:tcPr>
            <w:tcW w:w="2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2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2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15,357 </w:t>
            </w:r>
          </w:p>
        </w:tc>
        <w:tc>
          <w:tcPr>
            <w:tcW w:w="1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and 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Sales/collections and write-offs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2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23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15,646 </w:t>
            </w:r>
          </w:p>
        </w:tc>
        <w:tc>
          <w:tcPr>
            <w:tcW w:w="16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7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50"/>
        <w:gridCol w:w="665"/>
        <w:gridCol w:w="667"/>
        <w:gridCol w:w="109"/>
        <w:gridCol w:w="109"/>
        <w:gridCol w:w="109"/>
        <w:gridCol w:w="555"/>
        <w:gridCol w:w="1226"/>
        <w:gridCol w:w="287"/>
        <w:gridCol w:w="109"/>
        <w:gridCol w:w="109"/>
        <w:gridCol w:w="109"/>
        <w:gridCol w:w="445"/>
        <w:gridCol w:w="1303"/>
        <w:gridCol w:w="231"/>
        <w:gridCol w:w="109"/>
        <w:gridCol w:w="109"/>
        <w:gridCol w:w="109"/>
        <w:gridCol w:w="322"/>
        <w:gridCol w:w="1103"/>
        <w:gridCol w:w="166"/>
        <w:gridCol w:w="109"/>
        <w:gridCol w:w="109"/>
        <w:gridCol w:w="109"/>
        <w:gridCol w:w="230"/>
        <w:gridCol w:w="673"/>
        <w:gridCol w:w="174"/>
      </w:tblGrid>
      <w:tr>
        <w:trPr/>
        <w:tc>
          <w:tcPr>
            <w:tcW w:w="85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r>
      <w:tr>
        <w:trPr/>
        <w:tc>
          <w:tcPr>
            <w:tcW w:w="2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Held-to-maturity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loans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Agent loans</w:t>
            </w:r>
          </w:p>
        </w:tc>
      </w:tr>
      <w:tr>
        <w:trPr/>
        <w:tc>
          <w:tcPr>
            <w:tcW w:w="2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2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2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15,101 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7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Provision and 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Sales/collections and write-offs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28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2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15,646 </w:t>
            </w:r>
          </w:p>
        </w:tc>
        <w:tc>
          <w:tcPr>
            <w:tcW w:w="1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7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63"/>
        <w:gridCol w:w="670"/>
        <w:gridCol w:w="675"/>
        <w:gridCol w:w="109"/>
        <w:gridCol w:w="109"/>
        <w:gridCol w:w="109"/>
        <w:gridCol w:w="561"/>
        <w:gridCol w:w="1239"/>
        <w:gridCol w:w="290"/>
        <w:gridCol w:w="109"/>
        <w:gridCol w:w="109"/>
        <w:gridCol w:w="109"/>
        <w:gridCol w:w="450"/>
        <w:gridCol w:w="1317"/>
        <w:gridCol w:w="233"/>
        <w:gridCol w:w="109"/>
        <w:gridCol w:w="109"/>
        <w:gridCol w:w="109"/>
        <w:gridCol w:w="327"/>
        <w:gridCol w:w="1120"/>
        <w:gridCol w:w="169"/>
        <w:gridCol w:w="109"/>
        <w:gridCol w:w="109"/>
        <w:gridCol w:w="109"/>
        <w:gridCol w:w="231"/>
        <w:gridCol w:w="675"/>
        <w:gridCol w:w="177"/>
      </w:tblGrid>
      <w:tr>
        <w:trPr/>
        <w:tc>
          <w:tcPr>
            <w:tcW w:w="76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r>
      <w:tr>
        <w:trPr/>
        <w:tc>
          <w:tcPr>
            <w:tcW w:w="2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Held-to-maturity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loans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Agent loans</w:t>
            </w:r>
          </w:p>
        </w:tc>
      </w:tr>
      <w:tr>
        <w:trPr/>
        <w:tc>
          <w:tcPr>
            <w:tcW w:w="2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29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2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12,592 </w:t>
            </w:r>
          </w:p>
        </w:tc>
        <w:tc>
          <w:tcPr>
            <w:tcW w:w="1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and 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Sales/collections and write-offs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29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23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13,038 </w:t>
            </w:r>
          </w:p>
        </w:tc>
        <w:tc>
          <w:tcPr>
            <w:tcW w:w="16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7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50"/>
        <w:gridCol w:w="665"/>
        <w:gridCol w:w="667"/>
        <w:gridCol w:w="109"/>
        <w:gridCol w:w="109"/>
        <w:gridCol w:w="109"/>
        <w:gridCol w:w="555"/>
        <w:gridCol w:w="1226"/>
        <w:gridCol w:w="287"/>
        <w:gridCol w:w="109"/>
        <w:gridCol w:w="109"/>
        <w:gridCol w:w="109"/>
        <w:gridCol w:w="445"/>
        <w:gridCol w:w="1303"/>
        <w:gridCol w:w="231"/>
        <w:gridCol w:w="109"/>
        <w:gridCol w:w="109"/>
        <w:gridCol w:w="109"/>
        <w:gridCol w:w="322"/>
        <w:gridCol w:w="1103"/>
        <w:gridCol w:w="166"/>
        <w:gridCol w:w="109"/>
        <w:gridCol w:w="109"/>
        <w:gridCol w:w="109"/>
        <w:gridCol w:w="230"/>
        <w:gridCol w:w="673"/>
        <w:gridCol w:w="174"/>
      </w:tblGrid>
      <w:tr>
        <w:trPr/>
        <w:tc>
          <w:tcPr>
            <w:tcW w:w="85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r>
      <w:tr>
        <w:trPr/>
        <w:tc>
          <w:tcPr>
            <w:tcW w:w="2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Held-to-maturity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loans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Agent loans</w:t>
            </w:r>
          </w:p>
        </w:tc>
      </w:tr>
      <w:tr>
        <w:trPr/>
        <w:tc>
          <w:tcPr>
            <w:tcW w:w="2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2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2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12,198 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7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Provision and 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Sales/collections and write-offs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28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2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13,038 </w:t>
            </w:r>
          </w:p>
        </w:tc>
        <w:tc>
          <w:tcPr>
            <w:tcW w:w="1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7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Net investment income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income (loss), net of expenses, was generated from the following portfolios:</w:t>
      </w:r>
    </w:p>
    <w:tbl>
      <w:tblPr>
        <w:tblW w:w="8075" w:type="dxa"/>
        <w:jc w:val="left"/>
        <w:tblInd w:w="0" w:type="dxa"/>
        <w:tblLayout w:type="fixed"/>
        <w:tblCellMar>
          <w:top w:w="28" w:type="dxa"/>
          <w:left w:w="28" w:type="dxa"/>
          <w:bottom w:w="28" w:type="dxa"/>
          <w:right w:w="28" w:type="dxa"/>
        </w:tblCellMar>
      </w:tblPr>
      <w:tblGrid>
        <w:gridCol w:w="862"/>
        <w:gridCol w:w="758"/>
        <w:gridCol w:w="764"/>
        <w:gridCol w:w="109"/>
        <w:gridCol w:w="109"/>
        <w:gridCol w:w="109"/>
        <w:gridCol w:w="216"/>
        <w:gridCol w:w="741"/>
        <w:gridCol w:w="112"/>
        <w:gridCol w:w="112"/>
        <w:gridCol w:w="112"/>
        <w:gridCol w:w="112"/>
        <w:gridCol w:w="216"/>
        <w:gridCol w:w="741"/>
        <w:gridCol w:w="112"/>
        <w:gridCol w:w="109"/>
        <w:gridCol w:w="109"/>
        <w:gridCol w:w="109"/>
        <w:gridCol w:w="211"/>
        <w:gridCol w:w="721"/>
        <w:gridCol w:w="109"/>
        <w:gridCol w:w="109"/>
        <w:gridCol w:w="109"/>
        <w:gridCol w:w="109"/>
        <w:gridCol w:w="211"/>
        <w:gridCol w:w="721"/>
        <w:gridCol w:w="109"/>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16,770 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14,530 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Limited partnerships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23,500 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20,828 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investment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22,587 </w:t>
            </w:r>
          </w:p>
        </w:tc>
        <w:tc>
          <w:tcPr>
            <w:tcW w:w="1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20,030 </w:t>
            </w:r>
          </w:p>
        </w:tc>
        <w:tc>
          <w:tcPr>
            <w:tcW w:w="1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46,147 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(1)Limited partnership (losses) income includes both realized gains (losses) and unrealized valuation changes. Our limited partnership investments are included in the line item "Other assets, net" in the Consolidated Statements of Financial Position. We have made no new significant limited partnership commitments since 2006, and the balance of limited partnership investments is expected to decline over time as additional distributions are received.</w:t>
      </w:r>
    </w:p>
    <w:p>
      <w:pPr>
        <w:pStyle w:val="TextBody"/>
        <w:bidi w:val="0"/>
        <w:spacing w:before="140" w:after="60"/>
        <w:jc w:val="left"/>
        <w:rPr/>
      </w:pPr>
      <w:r>
        <w:rPr/>
      </w:r>
    </w:p>
    <w:p>
      <w:pPr>
        <w:pStyle w:val="TextBody"/>
        <w:bidi w:val="0"/>
        <w:spacing w:before="14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140" w:after="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Net realized and unrealized investment gains (losses)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Realized and unrealized gains (losses) on investments were as follows:</w:t>
      </w:r>
    </w:p>
    <w:tbl>
      <w:tblPr>
        <w:tblW w:w="9964" w:type="dxa"/>
        <w:jc w:val="left"/>
        <w:tblInd w:w="0" w:type="dxa"/>
        <w:tblLayout w:type="fixed"/>
        <w:tblCellMar>
          <w:top w:w="28" w:type="dxa"/>
          <w:left w:w="28" w:type="dxa"/>
          <w:bottom w:w="28" w:type="dxa"/>
          <w:right w:w="28" w:type="dxa"/>
        </w:tblCellMar>
      </w:tblPr>
      <w:tblGrid>
        <w:gridCol w:w="1595"/>
        <w:gridCol w:w="1402"/>
        <w:gridCol w:w="1413"/>
        <w:gridCol w:w="109"/>
        <w:gridCol w:w="109"/>
        <w:gridCol w:w="109"/>
        <w:gridCol w:w="254"/>
        <w:gridCol w:w="744"/>
        <w:gridCol w:w="131"/>
        <w:gridCol w:w="131"/>
        <w:gridCol w:w="131"/>
        <w:gridCol w:w="131"/>
        <w:gridCol w:w="254"/>
        <w:gridCol w:w="563"/>
        <w:gridCol w:w="131"/>
        <w:gridCol w:w="109"/>
        <w:gridCol w:w="109"/>
        <w:gridCol w:w="109"/>
        <w:gridCol w:w="234"/>
        <w:gridCol w:w="685"/>
        <w:gridCol w:w="121"/>
        <w:gridCol w:w="121"/>
        <w:gridCol w:w="121"/>
        <w:gridCol w:w="121"/>
        <w:gridCol w:w="234"/>
        <w:gridCol w:w="518"/>
        <w:gridCol w:w="121"/>
        <w:gridCol w:w="154"/>
      </w:tblGrid>
      <w:tr>
        <w:trPr/>
        <w:tc>
          <w:tcPr>
            <w:tcW w:w="1595"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losses on 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portion of net unrealized gains (losses) recognized during the reporting period related to equity securities held at the reporting date is calculated as follows:</w:t>
      </w:r>
    </w:p>
    <w:tbl>
      <w:tblPr>
        <w:tblW w:w="10205" w:type="dxa"/>
        <w:jc w:val="left"/>
        <w:tblInd w:w="0" w:type="dxa"/>
        <w:tblLayout w:type="fixed"/>
        <w:tblCellMar>
          <w:top w:w="28" w:type="dxa"/>
          <w:left w:w="28" w:type="dxa"/>
          <w:bottom w:w="28" w:type="dxa"/>
          <w:right w:w="28" w:type="dxa"/>
        </w:tblCellMar>
      </w:tblPr>
      <w:tblGrid>
        <w:gridCol w:w="1724"/>
        <w:gridCol w:w="1516"/>
        <w:gridCol w:w="1526"/>
        <w:gridCol w:w="109"/>
        <w:gridCol w:w="109"/>
        <w:gridCol w:w="109"/>
        <w:gridCol w:w="246"/>
        <w:gridCol w:w="720"/>
        <w:gridCol w:w="127"/>
        <w:gridCol w:w="127"/>
        <w:gridCol w:w="127"/>
        <w:gridCol w:w="127"/>
        <w:gridCol w:w="246"/>
        <w:gridCol w:w="545"/>
        <w:gridCol w:w="127"/>
        <w:gridCol w:w="109"/>
        <w:gridCol w:w="109"/>
        <w:gridCol w:w="109"/>
        <w:gridCol w:w="229"/>
        <w:gridCol w:w="508"/>
        <w:gridCol w:w="118"/>
        <w:gridCol w:w="118"/>
        <w:gridCol w:w="118"/>
        <w:gridCol w:w="118"/>
        <w:gridCol w:w="229"/>
        <w:gridCol w:w="672"/>
        <w:gridCol w:w="118"/>
        <w:gridCol w:w="165"/>
      </w:tblGrid>
      <w:tr>
        <w:trPr/>
        <w:tc>
          <w:tcPr>
            <w:tcW w:w="17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165" w:type="dxa"/>
            <w:tcBorders/>
            <w:vAlign w:val="center"/>
          </w:tcPr>
          <w:p>
            <w:pPr>
              <w:pStyle w:val="TableContents"/>
              <w:bidi w:val="0"/>
              <w:spacing w:before="0" w:after="283"/>
              <w:jc w:val="left"/>
              <w:rPr>
                <w:sz w:val="4"/>
                <w:szCs w:val="4"/>
              </w:rPr>
            </w:pPr>
            <w:r>
              <w:rPr>
                <w:sz w:val="4"/>
                <w:szCs w:val="4"/>
              </w:rPr>
            </w:r>
          </w:p>
        </w:tc>
      </w:tr>
      <w:tr>
        <w:trPr/>
        <w:tc>
          <w:tcPr>
            <w:tcW w:w="4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65" w:type="dxa"/>
            <w:tcBorders/>
            <w:vAlign w:val="center"/>
          </w:tcPr>
          <w:p>
            <w:pPr>
              <w:pStyle w:val="TableContents"/>
              <w:bidi w:val="0"/>
              <w:spacing w:before="0" w:after="283"/>
              <w:jc w:val="left"/>
              <w:rPr>
                <w:sz w:val="4"/>
                <w:szCs w:val="4"/>
              </w:rPr>
            </w:pPr>
            <w:r>
              <w:rPr>
                <w:sz w:val="4"/>
                <w:szCs w:val="4"/>
              </w:rPr>
            </w:r>
          </w:p>
        </w:tc>
      </w:tr>
      <w:tr>
        <w:trPr/>
        <w:tc>
          <w:tcPr>
            <w:tcW w:w="4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Equity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recognized during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gains (losses) recognized on securities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gains recognized on securities held at reporting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2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2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Net impairment (losses) recoveries recognized in earnings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Impairments on investments were as follows:</w:t>
      </w:r>
    </w:p>
    <w:tbl>
      <w:tblPr>
        <w:tblW w:w="9420" w:type="dxa"/>
        <w:jc w:val="left"/>
        <w:tblInd w:w="0" w:type="dxa"/>
        <w:tblLayout w:type="fixed"/>
        <w:tblCellMar>
          <w:top w:w="28" w:type="dxa"/>
          <w:left w:w="28" w:type="dxa"/>
          <w:bottom w:w="28" w:type="dxa"/>
          <w:right w:w="28" w:type="dxa"/>
        </w:tblCellMar>
      </w:tblPr>
      <w:tblGrid>
        <w:gridCol w:w="1373"/>
        <w:gridCol w:w="1206"/>
        <w:gridCol w:w="1215"/>
        <w:gridCol w:w="109"/>
        <w:gridCol w:w="109"/>
        <w:gridCol w:w="109"/>
        <w:gridCol w:w="254"/>
        <w:gridCol w:w="653"/>
        <w:gridCol w:w="131"/>
        <w:gridCol w:w="131"/>
        <w:gridCol w:w="131"/>
        <w:gridCol w:w="131"/>
        <w:gridCol w:w="254"/>
        <w:gridCol w:w="653"/>
        <w:gridCol w:w="131"/>
        <w:gridCol w:w="109"/>
        <w:gridCol w:w="109"/>
        <w:gridCol w:w="109"/>
        <w:gridCol w:w="211"/>
        <w:gridCol w:w="691"/>
        <w:gridCol w:w="109"/>
        <w:gridCol w:w="109"/>
        <w:gridCol w:w="109"/>
        <w:gridCol w:w="109"/>
        <w:gridCol w:w="211"/>
        <w:gridCol w:w="691"/>
        <w:gridCol w:w="109"/>
        <w:gridCol w:w="154"/>
      </w:tblGrid>
      <w:tr>
        <w:trPr/>
        <w:tc>
          <w:tcPr>
            <w:tcW w:w="137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Intent to sell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recovered (impaired)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loans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impairment losses recognized in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Securities lending transactions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estimated fair value of loaned securities was $69.9 million, consisting of $44.4 million of available- for-sale securities and $25.5 million of equity securities. As of December 31, 2025, the estimated fair value of loaned securities was $64.5 million consisting of $44.4 million of available-for-sale securities and $20.1 million of equity securities. Cash collateral received in connection with these securities lending transactions totaled $63.2 million and $61.9 million as of June 30, 2026 and December 31, 2025 respectively. The cash collateral was reinvested in cash equivalents and is included with "Cash and cash equivalents" in our Consolidated Statements of Financial Position. We also received $9.1 million and $4.5 million of non-cash collateral as of June 30, 2026 and December 31, 2025, respectively, which we are not permitted to sell or repledge. There were no securities lending transactions outstanding with contractual maturities extending beyond one year from the reporting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we have to return cash collateral on short notice, we may have difficulty selling investments in a timely manner, be forced to sell them for less than we otherwise would have been able to realize, or both. In addition, in the event of such forced sale, for securities in an unrealized loss position, realized losses would be incurred on securities sold and impairments would be incurred, if there is a need to sell securities prior to recovery, which may negatively impact our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Bank Line of Credit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access to a $100 million bank revolving line of credit with a $25 million letter of credit sublimit that expires on November 1, 2029. As of June 30, 2026, a total of $99.2 million remains available under the facility due to $0.8 million outstanding letters of credit, which reduce the availability for letters of credit to $24.2 million. We had no borrowings outstanding on our line of credit as of June 30, 2026. Investments with a fair value of $110.5 million were pledged as collateral on the line of credit at June 30, 2026. These investments have no trading restrictions and are reported as available-for-sale securities and cash and cash equivalents on our Consolidated Statement of Financial Position as of June 30, 2026. The bank requires compliance with certain covenants, which include leverage ratios and debt restrictions.  We are in compliance with all covenants at June 30, 2026.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Postretirement Benefits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Pension plans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pension plans consist of a noncontributory defined benefit pension plan covering substantially all employees and an unfunded supplemental employee retirement plan ("SERP") for certain members of executive and senior management. The pension plan provides benefits to covered individuals satisfying certain age and service requirements. The defined benefit pension plan and SERP each provide benefits through a final average earnings formula.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Although we are the sponsor of these postretirement plans and record the funded status of these plans, there are reimbursements between us and the Exchange and its insurance subsidiaries for their allocated share of pension cost. These reimbursements represent pension benefits for employees performing administrative services and an allocated share of plan cost for employees in departments that support the administrative functions. For the six months ended June 30, 2026, the Exchange and its insurance subsidiaries reimbursed us for approximately 61% of the annual defined benefit pension cost and 33% of the annual SERP cost. For our funded pension plan, amounts are settled in cash for the portion of pension cost allocated to the Exchange and its insurance subsidiaries. For our unfunded SERP, we pay the obligations when due and amounts are settled in cash between entities when there is a payout.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defined benefit pension plan funding policy is generally to contribute an amount equal to the greater of the target normal cost for the plan year, or the amount necessary to fund the plan to 100%. Accordingly, we made a $47 million contribution in January 2026. We plan to make an additional discretionary contribution of $30 million during the third quarter of 2026, which will further improve the plan's funded status. The funded pension plan is presented separately from the unfunded plan as a non-current asset on the Consolidated Statements of Financial Position.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Pension plan cost includes the following components:</w:t>
      </w:r>
    </w:p>
    <w:tbl>
      <w:tblPr>
        <w:tblW w:w="8115" w:type="dxa"/>
        <w:jc w:val="left"/>
        <w:tblInd w:w="0" w:type="dxa"/>
        <w:tblLayout w:type="fixed"/>
        <w:tblCellMar>
          <w:top w:w="28" w:type="dxa"/>
          <w:left w:w="28" w:type="dxa"/>
          <w:bottom w:w="28" w:type="dxa"/>
          <w:right w:w="28" w:type="dxa"/>
        </w:tblCellMar>
      </w:tblPr>
      <w:tblGrid>
        <w:gridCol w:w="1037"/>
        <w:gridCol w:w="912"/>
        <w:gridCol w:w="915"/>
        <w:gridCol w:w="237"/>
        <w:gridCol w:w="693"/>
        <w:gridCol w:w="122"/>
        <w:gridCol w:w="122"/>
        <w:gridCol w:w="122"/>
        <w:gridCol w:w="122"/>
        <w:gridCol w:w="237"/>
        <w:gridCol w:w="693"/>
        <w:gridCol w:w="122"/>
        <w:gridCol w:w="109"/>
        <w:gridCol w:w="109"/>
        <w:gridCol w:w="109"/>
        <w:gridCol w:w="211"/>
        <w:gridCol w:w="721"/>
        <w:gridCol w:w="109"/>
        <w:gridCol w:w="109"/>
        <w:gridCol w:w="109"/>
        <w:gridCol w:w="109"/>
        <w:gridCol w:w="211"/>
        <w:gridCol w:w="721"/>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 for benefits earned</w:t>
            </w:r>
          </w:p>
        </w:tc>
        <w:tc>
          <w:tcPr>
            <w:tcW w:w="2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9,591 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8,862 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17,724 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 on benefit obligation</w:t>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(19,889)</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(20,069)</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(40,138)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 amortization</w:t>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actuarial gain amortization</w:t>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Settlement gain </w:t>
            </w:r>
            <w:r>
              <w:rPr>
                <w:rFonts w:ascii="Times New Roman;serif" w:hAnsi="Times New Roman;serif"/>
                <w:b w:val="false"/>
                <w:color w:val="000000"/>
                <w:sz w:val="13"/>
              </w:rPr>
              <w:t>(1)</w:t>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Pension plan cost </w:t>
            </w:r>
            <w:r>
              <w:rPr>
                <w:rFonts w:ascii="Times New Roman;serif" w:hAnsi="Times New Roman;serif"/>
                <w:b w:val="false"/>
                <w:color w:val="000000"/>
                <w:sz w:val="13"/>
              </w:rPr>
              <w:t>(2)</w:t>
            </w:r>
          </w:p>
        </w:tc>
        <w:tc>
          <w:tcPr>
            <w:tcW w:w="23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5,605 </w:t>
            </w:r>
          </w:p>
        </w:tc>
        <w:tc>
          <w:tcPr>
            <w:tcW w:w="12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3,236 </w:t>
            </w:r>
          </w:p>
        </w:tc>
        <w:tc>
          <w:tcPr>
            <w:tcW w:w="12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5,995 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(1)Settlement accounting was required due to lump sum payments made under the SERP to former officers in 2025.</w:t>
      </w:r>
    </w:p>
    <w:p>
      <w:pPr>
        <w:pStyle w:val="TextBody"/>
        <w:bidi w:val="0"/>
        <w:spacing w:lineRule="auto" w:line="288" w:before="140" w:after="283"/>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(2)Pension plan cost represents total plan cost before reimbursements between Indemnity and the Exchange and its insurance subsidiaries. The components of pension plan cost other than the service cost components are included in the line item "Other income" in the Consolidated Statements of Operations, net of reimbursements between Indemnity and the Exchange and its insurance subsidiaries.</w:t>
      </w:r>
    </w:p>
    <w:p>
      <w:pPr>
        <w:pStyle w:val="TextBody"/>
        <w:bidi w:val="0"/>
        <w:spacing w:before="0" w:after="0"/>
        <w:ind w:left="0" w:right="0" w:hanging="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Income Taxes</w:t>
      </w:r>
    </w:p>
    <w:p>
      <w:pPr>
        <w:pStyle w:val="TextBody"/>
        <w:bidi w:val="0"/>
        <w:spacing w:lineRule="auto" w:line="288" w:before="0" w:after="0"/>
        <w:jc w:val="center"/>
        <w:rPr>
          <w:color w:val="000000"/>
        </w:rPr>
      </w:pPr>
      <w:r>
        <w:rPr>
          <w:color w:val="000000"/>
        </w:rPr>
        <w:t>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is provided on an interim basis based upon our estimate of the annual effective income tax rate, adjusted each quarter for discrete items. For the three months ended June 30, 2026 and 2025, our effective tax rate was 21.0% and 20.9%, respectively. For the six months ended June 30, 2026 and 2025, our effective tax rate was 20.9% and 20.8%, respectively.</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Capital Stock</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Class A and B common stock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Class B shares may, at their option, convert their shares into Class A shares at the rate of 2,400 Class A shares per Class B share.  There were no shares of Class B common stock converted into Class A common stock during the six months ended June 30, 2026 and the year ended December 31, 2025. There is no provision for conversion of Class A shares into Class B shares, and Class B shares surrendered for conversion cannot be reissued.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Stock repurchases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2011, our Board of Directors approved a continuation of the current stock repurchase program of $150 million, with no time limitation.  There were no shares repurchased under this program during the six months ended June 30, 2026 and the year ended December 31, 2025. We had approximately $17.8 million of repurchase authority remaining under this program at June 30,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Accumulated Other Comprehensive Income (Loss)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accumulated other comprehensive income ("AOCI") (loss) by component, including amounts reclassified to other comprehensive income ("OCI") (loss) and the related line item in the Consolidated Statements of Operations where net income is presented, are as follows: </w:t>
      </w:r>
    </w:p>
    <w:tbl>
      <w:tblPr>
        <w:tblW w:w="9870" w:type="dxa"/>
        <w:jc w:val="left"/>
        <w:tblInd w:w="0" w:type="dxa"/>
        <w:tblLayout w:type="fixed"/>
        <w:tblCellMar>
          <w:top w:w="28" w:type="dxa"/>
          <w:left w:w="28" w:type="dxa"/>
          <w:bottom w:w="28" w:type="dxa"/>
          <w:right w:w="28" w:type="dxa"/>
        </w:tblCellMar>
      </w:tblPr>
      <w:tblGrid>
        <w:gridCol w:w="1092"/>
        <w:gridCol w:w="960"/>
        <w:gridCol w:w="963"/>
        <w:gridCol w:w="109"/>
        <w:gridCol w:w="109"/>
        <w:gridCol w:w="109"/>
        <w:gridCol w:w="196"/>
        <w:gridCol w:w="721"/>
        <w:gridCol w:w="109"/>
        <w:gridCol w:w="196"/>
        <w:gridCol w:w="721"/>
        <w:gridCol w:w="109"/>
        <w:gridCol w:w="196"/>
        <w:gridCol w:w="721"/>
        <w:gridCol w:w="109"/>
        <w:gridCol w:w="109"/>
        <w:gridCol w:w="109"/>
        <w:gridCol w:w="109"/>
        <w:gridCol w:w="196"/>
        <w:gridCol w:w="721"/>
        <w:gridCol w:w="109"/>
        <w:gridCol w:w="196"/>
        <w:gridCol w:w="721"/>
        <w:gridCol w:w="109"/>
        <w:gridCol w:w="196"/>
        <w:gridCol w:w="721"/>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2025</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Before Tax</w:t>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 Tax</w:t>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Before Tax</w:t>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 Tax</w:t>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AOCI (loss),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OCI before reclassifications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investment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OCI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6,261 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AOCI (loss),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(12,976)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(5,689)</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Pension and other postretirement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AOCI (loss),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(30,424)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prior service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net actuarial 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OCI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AOCI (loss),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(66,578)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(13,982)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(52,596)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(38,744)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(30,607)</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AOCI (loss),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(42,374)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other postretirement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OCI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6,078 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AOCI (loss),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(79,554)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(16,707)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(62,847)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(45,946)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(36,296)</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2025</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Before Tax</w:t>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 Tax</w:t>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Before Tax</w:t>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 Tax</w:t>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AOCI (loss),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(17,728)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OCI (loss) before reclassifications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investment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OCI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(14,484)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12,039 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AOCI (loss),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(12,976)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(5,689)</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Pension and other postretirement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AOCI (loss),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(29,863)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prior service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net actuarial 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OCI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AOCI (loss),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(66,578)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(13,982)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(52,596)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(38,744)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(30,607)</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AOCI (loss),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(47,591)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other postretirement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OCI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14,298 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11,295 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AOCI (loss),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(79,554)</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(16,707)</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(62,847)</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(45,946)</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(9,650)</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(36,296)</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 Concentrations of Credit Risk</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instruments could potentially expose us to concentrations of credit risk, including our unsecured receivables from the Exchange. The majority of our revenue and receivables are from the Exchange and its affiliates. See also Note 1, "Nature of Operations". Net management fee amounts and other reimbursements due from the Exchange and its affiliates were $753.2 million and $735.6 million at June 30, 2026 and December 31, 2025, respectively, which includes a current expected credit loss allowance of $0.7 million in both periods.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  Commitments and Contingencies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an agreement with a bank for an agent loan participation program. The maximum amount of loans and guarantees that could be funded by us through this program is $150 million. We have committed to fund a minimum of 30% of each loan executed under the program. As of June 30, 2026, our portion of the outstanding loans executed under this agreement is $68.7 million. Additionally, we have agreed to guarantee a portion of the funding provided by the other participants in the program in the event of default. As of June 30, 2026, our maximum potential amount of future payments on the guaranteed portion is $24.3 million. All loan payments under the participation program are current as of June 30,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also have contingent obligations for guarantees related to certain real estate development projects supporting revitalization efforts in our community. As of June 30, 2026, our maximum potential obligation related to guarantees is $6.2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involved in litigation arising in the ordinary course of conducting business.  In accordance with current accounting standards for loss contingencies and based upon information currently known to us, we establish reserves for litigation when it is probable that a loss associated with a claim or proceeding has been incurred and the amount of the loss or range of loss can be reasonably estimated.  When no amount within the range of loss is a better estimate than any other amount, we accrue the minimum amount of the estimable loss.  To the extent that such litigation against us may have an exposure to a loss in excess of the amount we have accrued, we believe that such excess would not be material to our consolidated financial condition, results of operations or cash flows.  Legal fees are expensed as incurred.  We believe that our accruals for legal proceedings are appropriate and, individually and in the aggregate, are not expected to be material to our consolidated financial condition, results of operations or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review all litigation on an ongoing basis when making accrual and disclosure decisions.  For certain legal proceedings, we cannot reasonably estimate losses or a range of loss, if any, particularly for proceedings that are in their early stages of development or where the plaintiffs seek indeterminate damages.  Various factors, including, but not limited to, the outcome of potentially lengthy discovery and the resolution of important factual questions, may need to be determined before probability can be established or before a loss or range of loss can be reasonably estimated.  If the loss contingency in question is not both probable and reasonably estimable, we do not establish an accrual and the matter will continue to be monitored for any developments that would make the loss contingency both probable and reasonably estimable.  In the event that a legal proceeding results in a substantial judgment against, or settlement by, us, there can be no assurance that any resulting liability or financial commitment would not have a material adverse effect on our consolidated financial condition, results of operations or cash flows.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Note 15. </w:t>
      </w:r>
      <w:r>
        <w:rPr>
          <w:color w:val="000000"/>
        </w:rPr>
        <w:t xml:space="preserve"> </w:t>
      </w:r>
      <w:r>
        <w:rPr>
          <w:rFonts w:ascii="Times New Roman;serif" w:hAnsi="Times New Roman;serif"/>
          <w:b/>
          <w:color w:val="000000"/>
          <w:sz w:val="20"/>
        </w:rPr>
        <w:t>Subsequent Events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 items were identified in this period subsequent to the financial statement date that required adjustment or additional disclosure.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1080"/>
        <w:jc w:val="left"/>
        <w:rPr>
          <w:rFonts w:ascii="Times New Roman;serif" w:hAnsi="Times New Roman;serif"/>
          <w:b/>
          <w:color w:val="000000"/>
          <w:sz w:val="20"/>
          <w:u w:val="single"/>
        </w:rPr>
      </w:pPr>
      <w:r>
        <w:rPr>
          <w:rFonts w:ascii="Times New Roman;serif" w:hAnsi="Times New Roman;serif"/>
          <w:b/>
          <w:color w:val="000000"/>
          <w:sz w:val="20"/>
          <w:u w:val="single"/>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discussion of financial condition and results of operations highlights significant factors influencing Erie Indemnity Company ("Indemnity", "we", "us", "our").  This discussion should be read in conjunction with the historical consolidated financial statements and the related notes thereto included in Part I, Item 1. "Financial Statements" of this Quarterly Report on Form 10-Q, and with Part II, Item 7. "Management’s Discussion and Analysis of Financial Condition and Results of Operations" for the year ended December 31, 2025, as contained in our Annual Report on Form 10-K filed with the Securities and Exchange Commission on February 23,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INDEX</w:t>
      </w:r>
    </w:p>
    <w:tbl>
      <w:tblPr>
        <w:tblW w:w="6495" w:type="dxa"/>
        <w:jc w:val="left"/>
        <w:tblInd w:w="0" w:type="dxa"/>
        <w:tblLayout w:type="fixed"/>
        <w:tblCellMar>
          <w:top w:w="28" w:type="dxa"/>
          <w:left w:w="28" w:type="dxa"/>
          <w:bottom w:w="28" w:type="dxa"/>
          <w:right w:w="28" w:type="dxa"/>
        </w:tblCellMar>
      </w:tblPr>
      <w:tblGrid>
        <w:gridCol w:w="1907"/>
        <w:gridCol w:w="1675"/>
        <w:gridCol w:w="1682"/>
        <w:gridCol w:w="360"/>
        <w:gridCol w:w="360"/>
        <w:gridCol w:w="511"/>
      </w:tblGrid>
      <w:tr>
        <w:trPr/>
        <w:tc>
          <w:tcPr>
            <w:tcW w:w="1907"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 Number</w:t>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82">
              <w:r>
                <w:rPr>
                  <w:rStyle w:val="InternetLink"/>
                  <w:rFonts w:ascii="Times New Roman;serif" w:hAnsi="Times New Roman;serif"/>
                  <w:b w:val="false"/>
                  <w:color w:val="0000FF"/>
                  <w:sz w:val="20"/>
                  <w:u w:val="single"/>
                </w:rPr>
                <w:t>Cautionary Statement Regarding Forward-Looking Information</w:t>
              </w:r>
            </w:hyperlink>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id147b53c74f544f7baadb5cf867171ab_82">
              <w:r>
                <w:rPr>
                  <w:rStyle w:val="InternetLink"/>
                  <w:rFonts w:ascii="Times New Roman;serif" w:hAnsi="Times New Roman;serif"/>
                  <w:b w:val="false"/>
                  <w:color w:val="0000FF"/>
                  <w:sz w:val="20"/>
                  <w:u w:val="single"/>
                </w:rPr>
                <w:t>25</w:t>
              </w:r>
            </w:hyperlink>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85">
              <w:r>
                <w:rPr>
                  <w:rStyle w:val="InternetLink"/>
                  <w:rFonts w:ascii="Times New Roman;serif" w:hAnsi="Times New Roman;serif"/>
                  <w:b w:val="false"/>
                  <w:color w:val="0000FF"/>
                  <w:sz w:val="20"/>
                  <w:u w:val="single"/>
                </w:rPr>
                <w:t>Recent Accounting Standards</w:t>
              </w:r>
            </w:hyperlink>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47b53c74f544f7baadb5cf867171ab_85">
              <w:r>
                <w:rPr>
                  <w:rStyle w:val="InternetLink"/>
                  <w:rFonts w:ascii="Times New Roman;serif" w:hAnsi="Times New Roman;serif"/>
                  <w:b w:val="false"/>
                  <w:color w:val="0000FF"/>
                  <w:sz w:val="20"/>
                  <w:u w:val="single"/>
                </w:rPr>
                <w:t>26</w:t>
              </w:r>
            </w:hyperlink>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88">
              <w:r>
                <w:rPr>
                  <w:rStyle w:val="InternetLink"/>
                  <w:rFonts w:ascii="Times New Roman;serif" w:hAnsi="Times New Roman;serif"/>
                  <w:b w:val="false"/>
                  <w:color w:val="0000FF"/>
                  <w:sz w:val="20"/>
                  <w:u w:val="single"/>
                </w:rPr>
                <w:t>Operating Overview</w:t>
              </w:r>
            </w:hyperlink>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47b53c74f544f7baadb5cf867171ab_88">
              <w:r>
                <w:rPr>
                  <w:rStyle w:val="InternetLink"/>
                  <w:rFonts w:ascii="Times New Roman;serif" w:hAnsi="Times New Roman;serif"/>
                  <w:b w:val="false"/>
                  <w:color w:val="0000FF"/>
                  <w:sz w:val="20"/>
                  <w:u w:val="single"/>
                </w:rPr>
                <w:t>26</w:t>
              </w:r>
            </w:hyperlink>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91">
              <w:r>
                <w:rPr>
                  <w:rStyle w:val="InternetLink"/>
                  <w:rFonts w:ascii="Times New Roman;serif" w:hAnsi="Times New Roman;serif"/>
                  <w:b w:val="false"/>
                  <w:color w:val="0000FF"/>
                  <w:sz w:val="20"/>
                  <w:u w:val="single"/>
                </w:rPr>
                <w:t>Results of Operations</w:t>
              </w:r>
            </w:hyperlink>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47b53c74f544f7baadb5cf867171ab_91">
              <w:r>
                <w:rPr>
                  <w:rStyle w:val="InternetLink"/>
                  <w:rFonts w:ascii="Times New Roman;serif" w:hAnsi="Times New Roman;serif"/>
                  <w:b w:val="false"/>
                  <w:color w:val="0000FF"/>
                  <w:sz w:val="20"/>
                  <w:u w:val="single"/>
                </w:rPr>
                <w:t>29</w:t>
              </w:r>
            </w:hyperlink>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103">
              <w:r>
                <w:rPr>
                  <w:rStyle w:val="InternetLink"/>
                  <w:rFonts w:ascii="Times New Roman;serif" w:hAnsi="Times New Roman;serif"/>
                  <w:b w:val="false"/>
                  <w:color w:val="0000FF"/>
                  <w:sz w:val="20"/>
                  <w:u w:val="single"/>
                </w:rPr>
                <w:t>Financial Condition</w:t>
              </w:r>
            </w:hyperlink>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47b53c74f544f7baadb5cf867171ab_103">
              <w:r>
                <w:rPr>
                  <w:rStyle w:val="InternetLink"/>
                  <w:rFonts w:ascii="Times New Roman;serif" w:hAnsi="Times New Roman;serif"/>
                  <w:b w:val="false"/>
                  <w:color w:val="0000FF"/>
                  <w:sz w:val="20"/>
                  <w:u w:val="single"/>
                </w:rPr>
                <w:t>35</w:t>
              </w:r>
            </w:hyperlink>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109">
              <w:r>
                <w:rPr>
                  <w:rStyle w:val="InternetLink"/>
                  <w:rFonts w:ascii="Times New Roman;serif" w:hAnsi="Times New Roman;serif"/>
                  <w:b w:val="false"/>
                  <w:color w:val="0000FF"/>
                  <w:sz w:val="20"/>
                  <w:u w:val="single"/>
                </w:rPr>
                <w:t>Liquidity and Capital Resources</w:t>
              </w:r>
            </w:hyperlink>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47b53c74f544f7baadb5cf867171ab_109">
              <w:r>
                <w:rPr>
                  <w:rStyle w:val="InternetLink"/>
                  <w:rFonts w:ascii="Times New Roman;serif" w:hAnsi="Times New Roman;serif"/>
                  <w:b w:val="false"/>
                  <w:color w:val="0000FF"/>
                  <w:sz w:val="20"/>
                  <w:u w:val="single"/>
                </w:rPr>
                <w:t>36</w:t>
              </w:r>
            </w:hyperlink>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47b53c74f544f7baadb5cf867171ab_112">
              <w:r>
                <w:rPr>
                  <w:rStyle w:val="InternetLink"/>
                  <w:rFonts w:ascii="Times New Roman;serif" w:hAnsi="Times New Roman;serif"/>
                  <w:b w:val="false"/>
                  <w:color w:val="0000FF"/>
                  <w:sz w:val="20"/>
                  <w:u w:val="single"/>
                </w:rPr>
                <w:t>Critical Accounting Estimates</w:t>
              </w:r>
            </w:hyperlink>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47b53c74f544f7baadb5cf867171ab_112">
              <w:r>
                <w:rPr>
                  <w:rStyle w:val="InternetLink"/>
                  <w:rFonts w:ascii="Times New Roman;serif" w:hAnsi="Times New Roman;serif"/>
                  <w:b w:val="false"/>
                  <w:color w:val="0000FF"/>
                  <w:sz w:val="20"/>
                  <w:u w:val="single"/>
                </w:rPr>
                <w:t>38</w:t>
              </w:r>
            </w:hyperlink>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CAUTIONARY STATEMENT REGARDING FORWARD-LOOKING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"Safe Harbor" Statement under the Private Securities Litigation Reform Act of 1995: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Statements contained herein that are not historical fact are forward-looking statements and, as such, are subject to risks and uncertainties that could cause actual events and results to differ, perhaps materially, from those discussed herein.  Forward-looking statements relate to future trends, events or results and include, without limitation, statements and assumptions on which such statements are based that are related to our plans, strategies, objectives, expectations, intentions, and adequacy of resources.  Examples of forward-looking statements are discussions relating to premium and investment income, expenses, operating results, and compliance with contractual and regulatory requirements.  Forward-looking statements are not guarantees of future performance and involve risks and uncertainties that are difficult to predict.  Therefore, actual outcomes and results may differ materially from what is expressed or forecasted in such forward-looking statements.  Among the risks and uncertainties, in addition to those set forth in our filings with the Securities and Exchange Commission, that could cause actual results and future events to differ from those set forth or contemplated in the forward-looking statements include the following: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dependence upon our relationship with the Erie Insurance Exchange ("Exchange") and the management fee under the agreement with the subscribers at the Exchange;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dependence upon our relationship with the Exchange and the growth of the Exchange,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general business and economic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factors impacting the timing of premium rates charged for policies;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factors affecting insurance industry competition, including technological innovations;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dependence upon the independent agency system;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ability to maintain our brand, including our reputation for customer service;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dependence upon our relationship with the Exchange and the financial condition of the Exchange,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Exchange's ability to maintain acceptable financial strength ratings;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factors affecting the quality and liquidity of the Exchange's investment portfolio;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government regulation of the insurance industry;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litigation and regulatory actions;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emergence of significant unexpected events, including pandemics, economic or social inflation, and changes in tariff policies;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emerging claims and coverage issues in the industry;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severe weather conditions or other catastrophic losses, including terrorism;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costs of providing policy issuance and renewal services to the subscribers at the Exchange under the subscriber's agreement;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ability to attract, develop, retain, and protect talented management and employees;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ability to ensure system availability and effectively manage technology initiatives;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difficulties with technology, data or network security breaches, including cyber attacks;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ability to maintain uninterrupted business operations;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compliance with complex and evolving laws and regulations and outcome of pending and potential litigation;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factors affecting the quality and liquidity of our investment portfolio;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ability to meet liquidity needs and access capital.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forward-looking statement speaks only as of the date on which it is made and reflects our analysis only as of that date.  We undertake no obligation to publicly update or revise any forward-looking statement, whether as a result of new information, future events, changes in assumptions, or otherwise.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ACCOUNTING STANDARDS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Part I, Item 1. "Financial Statements - Note 2, Significant Accounting Policies, of Notes to Consolidated Financial Statements" contained within this report for a discussion of recently issued accounting standards, and the impact on our consolidated financial statements if known.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OPERATING OVERVIEW</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serve as the attorney-in-fact for the subscribers (policyholders) at the Exchange, a reciprocal insurer that writes property and casualty insurance. Our primary function as attorney-in-fact is to perform policy issuance and renewal services on behalf of the subscribers at the Exchange. We also act as attorney-in-fact on behalf of the subscribers at the Exchange, as well as the service provider for the Exchange's insurance subsidiaries, with respect to all administrative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Exchange is a reciprocal insurance exchange, which is an unincorporated association of individuals, partnerships, and corporations that agree to insure one another. Each applicant for insurance (a subscriber) to the Exchange signs a subscriber's agreement, which contains an appointment of Indemnity as their attorney-in-fact to transact the business of the Exchange on their behalf. In accordance with the subscriber’s agreement for acting as attorney-in-fact in these two capacities, we retain a management fee calculated as a percentage of the direct and affiliated assumed premiums written by the Exchange.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earnings are primarily driven by the management fee revenue generated for the services we provide on behalf of the subscribers at the Exchange. The policy issuance and renewal services we provide are related to the sales, underwriting, and issuance of policies. The sales related services we provide include agent compensation and certain sales and advertising support services. Agent compensation includes scheduled commissions to agents based upon premiums written as well as incentive compensation, which is earned by achieving targeted measures. Agent compensation generally comprises approximately two-thirds of our policy issuance and renewal expenses. The underwriting services we provide include underwriting and policy processing. The remaining services we provide include customer service and administrative support. We also provide information technology services that support all the functions listed above. See Part I, Item 1. "Financial Statements - Note 4, Segment Information, of Notes to Consolidated Financial Statements" contained within this report for the significant expense categories related to providing these services. Included in expenses for these services are allocations of costs for departments that support these policy issuance and renewal functions.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Consistent with its legal structure as a reciprocal insurer, the Exchange does not have any employees or officers. Therefore, it enters into contractual relationships by and through the subscribers' attorney-in-fact. Indemnity serves as the attorney-in-fact on behalf of the subscribers at the Exchange with respect to its administrative services as enumerated in the subscriber's agreement. The Exchange's insurance subsidiaries also utilize Indemnity for these services in accordance with the service agreements between each of the subsidiaries and Indemnity. Claims handling services include costs incurred in the claims process, including the adjustment, investigation, defense, recording, and payment functions. Life insurance management services include costs incurred in the management and processing of life insurance business. Investment management services are related to investment trading activity, accounting, and all other functions attributable to the investment of funds. In 2025, approximately 71% of the administrative services expenses were entirely attributable to the respective administrative functions (claims handling, life insurance management, and investment management), while the remaining 29% of these expenses were allocations of costs for departments that support these administrative functions. The expenses we incur and related reimbursements we receive for administrative services are presented gross in our Consolidated Statements of Operations. The subscriber's agreement and service agreements provide for reimbursement of amounts incurred for these services to Indemnity. Reimbursements are settled at cost on a monthly basis. State insurance regulations require that intercompany service agreements and any material amendments be approved in advance by the state insurance department.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results of operations are tied to the growth and financial condition of the Exchange as the Exchange is our sole customer, and our earnings are largely generated from management fees based on the direct and affiliated assumed premiums written by the Exchange. The Exchange generates revenue by insuring preferred and standard risks, with personal lines comprising 71% of the 2025 direct and affiliated assumed written premiums and commercial lines comprising the remaining 29%.  The principal personal lines products are private passenger automobile and homeowners.  The principal commercial lines products are commercial multi-peril, commercial automobile, and workers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Information security incident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2025, we experienced an information security incident that has been remediated and did not have a material impact on our consolidated financial condition, results of operations, or cash flows. As of June 30, 2026, we continue to pursue recovery of a portion of lost income due to business interruption and related expenses from our cybersecurity insurance policy.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Financial Overview</w:t>
      </w:r>
    </w:p>
    <w:tbl>
      <w:tblPr>
        <w:tblW w:w="10205" w:type="dxa"/>
        <w:jc w:val="left"/>
        <w:tblInd w:w="0" w:type="dxa"/>
        <w:tblLayout w:type="fixed"/>
        <w:tblCellMar>
          <w:top w:w="28" w:type="dxa"/>
          <w:left w:w="28" w:type="dxa"/>
          <w:bottom w:w="28" w:type="dxa"/>
          <w:right w:w="28" w:type="dxa"/>
        </w:tblCellMar>
      </w:tblPr>
      <w:tblGrid>
        <w:gridCol w:w="568"/>
        <w:gridCol w:w="387"/>
        <w:gridCol w:w="390"/>
        <w:gridCol w:w="109"/>
        <w:gridCol w:w="109"/>
        <w:gridCol w:w="109"/>
        <w:gridCol w:w="211"/>
        <w:gridCol w:w="826"/>
        <w:gridCol w:w="109"/>
        <w:gridCol w:w="109"/>
        <w:gridCol w:w="109"/>
        <w:gridCol w:w="109"/>
        <w:gridCol w:w="211"/>
        <w:gridCol w:w="826"/>
        <w:gridCol w:w="109"/>
        <w:gridCol w:w="109"/>
        <w:gridCol w:w="109"/>
        <w:gridCol w:w="109"/>
        <w:gridCol w:w="266"/>
        <w:gridCol w:w="268"/>
        <w:gridCol w:w="140"/>
        <w:gridCol w:w="140"/>
        <w:gridCol w:w="140"/>
        <w:gridCol w:w="141"/>
        <w:gridCol w:w="109"/>
        <w:gridCol w:w="109"/>
        <w:gridCol w:w="109"/>
        <w:gridCol w:w="211"/>
        <w:gridCol w:w="826"/>
        <w:gridCol w:w="109"/>
        <w:gridCol w:w="109"/>
        <w:gridCol w:w="109"/>
        <w:gridCol w:w="109"/>
        <w:gridCol w:w="211"/>
        <w:gridCol w:w="826"/>
        <w:gridCol w:w="109"/>
        <w:gridCol w:w="109"/>
        <w:gridCol w:w="109"/>
        <w:gridCol w:w="109"/>
        <w:gridCol w:w="266"/>
        <w:gridCol w:w="268"/>
        <w:gridCol w:w="154"/>
        <w:gridCol w:w="154"/>
        <w:gridCol w:w="154"/>
        <w:gridCol w:w="223"/>
      </w:tblGrid>
      <w:tr>
        <w:trPr/>
        <w:tc>
          <w:tcPr>
            <w:tcW w:w="56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r>
      <w:tr>
        <w:trPr/>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r>
      <w:tr>
        <w:trPr/>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r>
      <w:tr>
        <w:trPr/>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228,077 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220,747 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418,403 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395,493 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180,294 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174,685 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330,768 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313,102 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increased in both the second quarter and six months ended June 30, 2026, compared to the same periods in 2025. Management fee revenue for policy issuance and renewal services increased 4.7% to $862.9 million in the second quarter of 2026 and 4.5% to $1.6 billion for the six months ended June 30, 2026, compared to the same periods in 2025. Management fee revenue is based upon the management fee rate we charge and the direct and affiliated assumed premiums written by the Exchange. The management fee rate was 25% for both 2026 and 2025. The direct and affiliated assumed premiums written by the Exchange increased 3.3% to $3.5 billion in the second quarter of 2026 and 3.4% to $6.8 billion for the six months ended June 30, 2026, compared to the same periods in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operations for policy issuance and renewal services increased 5.5% to $684.1 million in the second quarter of 2026 and 4.2% to $1.3 billion for the six months ended June 30, 2026, compared to the same periods in 2025, primarily due to increased agent incentive compensation due to improved profitability and higher scheduled commissions driven by direct and affiliated assumed written premium growth, partially offset by lower professional fees and decreased survey and underwriting report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fee revenue for administrative services increased 7.2% to $19.6 million in the second quarter of 2026 and 8.8% to $39.1 million for the six months ended June 30, 2026, compared to the same periods in 2025. The administrative services reimbursement revenue and corresponding cost of operations increased both total operating revenue and total operating expenses by $201.6 million in the second quarter of 2026 and $401.7 million for the six months ended June 30, 2026, but had no net impact on operating income.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investment income increased $3.0 million in the second quarter of 2026 and $5.5 million for the six months ended June 30, 2026, compared to the same periods in 2025. The results from both periods were primarily due to an increase in net investment income. The increase for the six months ended June 30, 2026 was partially offset by net realized and unrealized investment losses compared to net gains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General Conditions and Trends Affecting Our Business</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Economic conditions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Unfavorable changes in economic conditions, including declining consumer confidence, inflation, high unemployment, and the threat of recession, among others, may lead the Exchange’s customers to modify coverage, not renew policies, or even cancel policies, which could adversely affect the premium revenue of the Exchange, and consequently our management fee revenue.  Elevated inflation, supply chain disruptions, or changes in tariff policies could impact the Exchange's operations and our management fees. In particular, unanticipated increased inflation costs including medical cost inflation, building material cost inflation, auto repair and replacement cost inflation, and social inflation may impact adequacy of estimated loss reserves and future premium rates of the Exchange. If any of these items impacted the financial condition or operations of the Exchange, it could have an impact on our financial results. For a discussion of the potential impacts to our operations or those of the Exchange, see Financial Condition and Liquidity and Capital Resources contained within this report, as well as Part I. Item 1A. "Risk Factors" included in our Annual Report on Form 10-K for the fiscal year ended December 31, 2025 as filed with the Securities and Exchange Commission on February 23,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Financial market volatility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portfolio of available-for-sale and equity security investments is subject to market volatility, especially in periods of instability in the worldwide financial markets. Net investment income is impacted by the general level of interest rates, which impact reinvested cash flow from the portfolio and business operations. Depending upon market conditions, considerable fluctuation could occur in the fair value of our investment portfolio and reported total investment income, which could have an adverse impact on our consolidated financial condition, results of operations and cash flows. Various ongoing geopolitical events, the uncertain tariff, inflationary, and interest rate environment, and a potential economic slowdown could have a significant impact on the global financial markets with the potential for future losses and/or impairments on our investment portfolio.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RESULTS OF OPERATIONS</w:t>
      </w: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Management fee revenue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two performance obligations in the subscriber’s agreement, providing policy issuance and renewal services and acting as attorney-in-fact for the subscribers at the Exchange, as well as the service provider for the Exchange's insurance subsidiaries with respect to all administrative services. We retain management fees for acting as the attorney-in-fact for the subscribers at the Exchange in these two capacities and allocate our revenues between our performance obligations.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management fee is calculated by multiplying all direct and affiliated assumed premiums written by the Exchange by the management fee rate, which is set by our Board of Directors at least annually.  The management fee rate was set at 25% for both 2026 and 2025.  Changes in the management fee rate can affect our revenue and net income significantly. The transaction price, including management fee revenue and administrative services reimbursement revenue, includes variable consideration and is allocated based on the estimated standalone selling prices developed using industry information and other available information for similar services. We update the transaction price and the related allocation at least annually based upon the most recent information available or more frequently if there have been significant changes in any components considered in the transaction price. Our current transaction price allocation review resulted in a minor change in the allocation between the two performance obligations in 2026 compared to 2025, which did not have a material impact on our consolidated financial statements.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allocation and disaggregation of revenue for our two performance obligations:</w:t>
      </w:r>
    </w:p>
    <w:tbl>
      <w:tblPr>
        <w:tblW w:w="10205" w:type="dxa"/>
        <w:jc w:val="left"/>
        <w:tblInd w:w="0" w:type="dxa"/>
        <w:tblLayout w:type="fixed"/>
        <w:tblCellMar>
          <w:top w:w="28" w:type="dxa"/>
          <w:left w:w="28" w:type="dxa"/>
          <w:bottom w:w="28" w:type="dxa"/>
          <w:right w:w="28" w:type="dxa"/>
        </w:tblCellMar>
      </w:tblPr>
      <w:tblGrid>
        <w:gridCol w:w="644"/>
        <w:gridCol w:w="567"/>
        <w:gridCol w:w="568"/>
        <w:gridCol w:w="211"/>
        <w:gridCol w:w="976"/>
        <w:gridCol w:w="271"/>
        <w:gridCol w:w="211"/>
        <w:gridCol w:w="976"/>
        <w:gridCol w:w="271"/>
        <w:gridCol w:w="255"/>
        <w:gridCol w:w="256"/>
        <w:gridCol w:w="140"/>
        <w:gridCol w:w="140"/>
        <w:gridCol w:w="140"/>
        <w:gridCol w:w="141"/>
        <w:gridCol w:w="109"/>
        <w:gridCol w:w="109"/>
        <w:gridCol w:w="109"/>
        <w:gridCol w:w="211"/>
        <w:gridCol w:w="976"/>
        <w:gridCol w:w="271"/>
        <w:gridCol w:w="211"/>
        <w:gridCol w:w="976"/>
        <w:gridCol w:w="271"/>
        <w:gridCol w:w="255"/>
        <w:gridCol w:w="256"/>
        <w:gridCol w:w="154"/>
        <w:gridCol w:w="154"/>
        <w:gridCol w:w="154"/>
        <w:gridCol w:w="222"/>
      </w:tblGrid>
      <w:tr>
        <w:trPr/>
        <w:tc>
          <w:tcPr>
            <w:tcW w:w="64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4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4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4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19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Policy issuance and renewal services</w:t>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Direct and affiliated assumed premiums written by the Exchange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3,536,140 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3,424,202 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6,768,566 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6,544,876 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 rate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 revenue</w:t>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863,172 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834,478 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1,652,207 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1,594,986 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Change in estimate for management fee returned on cancelled policies </w:t>
            </w:r>
            <w:r>
              <w:rPr>
                <w:rFonts w:ascii="Times New Roman;serif" w:hAnsi="Times New Roman;serif"/>
                <w:b w:val="false"/>
                <w:color w:val="000000"/>
                <w:sz w:val="13"/>
              </w:rPr>
              <w:t>(1)</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(10,625)</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(16,084)</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 revenue - policy issuance and renewal services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862,879 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823,853 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1,649,278 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1,578,902 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Administrative services</w:t>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Direct and affiliated assumed premiums written by the Exchange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3,536,140 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3,424,202 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6,768,566 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6,544,876 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 rate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 revenue</w:t>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20,864 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21,573 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39,935 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41,233 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Change in contract liability </w:t>
            </w:r>
            <w:r>
              <w:rPr>
                <w:rFonts w:ascii="Times New Roman;serif" w:hAnsi="Times New Roman;serif"/>
                <w:b w:val="false"/>
                <w:color w:val="000000"/>
                <w:sz w:val="13"/>
              </w:rPr>
              <w:t>(2)</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(5,184)</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Change in estimate for management fee returned on cancelled policies </w:t>
            </w:r>
            <w:r>
              <w:rPr>
                <w:rFonts w:ascii="Times New Roman;serif" w:hAnsi="Times New Roman;serif"/>
                <w:b w:val="false"/>
                <w:color w:val="000000"/>
                <w:sz w:val="13"/>
              </w:rPr>
              <w:t>(1)</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3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 revenue - administrative services</w:t>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19,619 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18,296 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39,094 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35,941 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Administrative services reimbursement revenue</w:t>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201,554 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212,644 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401,650 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422,917 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revenue from administrative services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221,173 </w:t>
            </w:r>
          </w:p>
        </w:tc>
        <w:tc>
          <w:tcPr>
            <w:tcW w:w="2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230,940 </w:t>
            </w:r>
          </w:p>
        </w:tc>
        <w:tc>
          <w:tcPr>
            <w:tcW w:w="2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440,744 </w:t>
            </w:r>
          </w:p>
        </w:tc>
        <w:tc>
          <w:tcPr>
            <w:tcW w:w="2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458,858 </w:t>
            </w:r>
          </w:p>
        </w:tc>
        <w:tc>
          <w:tcPr>
            <w:tcW w:w="2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before="0" w:after="0"/>
        <w:ind w:left="0" w:right="0" w:firstLine="90"/>
        <w:jc w:val="left"/>
        <w:rPr/>
      </w:pPr>
      <w:r>
        <w:rPr/>
      </w:r>
    </w:p>
    <w:p>
      <w:pPr>
        <w:pStyle w:val="TextBody"/>
        <w:bidi w:val="0"/>
        <w:spacing w:lineRule="auto" w:line="288" w:before="0" w:after="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 xml:space="preserve">(1)A constraining estimate of variable consideration exists related to the potential for management fees to be returned if a policy were to be cancelled mid-term. See Part I, Item 1. "Financial Statements - Note 3, Revenue, of Notes to Consolidated Financial Statements" contained within this report.  </w:t>
      </w:r>
    </w:p>
    <w:p>
      <w:pPr>
        <w:pStyle w:val="TextBody"/>
        <w:bidi w:val="0"/>
        <w:spacing w:lineRule="auto" w:line="288" w:before="0" w:after="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(2)Management fee revenue - administrative services is recognized over time as the services are provided. See Part I, Item 1. "Financial Statements - Note 3, Revenue, of Notes to Consolidated Financial Statements" contained within this report.</w:t>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Direct and affiliated assumed premiums written by the Exchange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Direct and affiliated assumed premiums include premiums written directly by the Exchange and premiums assumed from its wholly owned property and casualty subsidiaries. Direct and affiliated assumed premiums written by the Exchange increased 3.3% to $3.5 billion in the second quarter of 2026 compared to the second quarter of 2025, primarily driven by increased commercial lines and homeowners premiums written, partially offset by decreased personal auto premiums written.  The year-over-year average premium per policy for all lines of business increased 6.8% at June 30, 2026 compared to 11.9% at June 30, 2025. Year-over-year policies in force for all lines of business decreased 2.0% in the second quarter of 2026 compared to an increase 1.7% in the second quarter of 2025.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Premiums generated from new business increased 9.8% to $395 million in the second quarter of 2026 compared to the same period in 2025, primarily driven by increased premiums written in the personal auto and homeowners lines. Contributing to this change was a 13.9% increase in new business policies written and a 3.9% increase in year-over-year average premium per policy on new business at June 30, 2026. The increase in new business was impacted by the 2025 information security incident, which disrupted operations including new business production from June 7, 2025 through June 30, 2025, affecting the year-over-year comparison.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Premiums generated from renewal business increased 2.5% to $3.1 billion in the second quarter of 2026 compared to the second quarter of 2025 resulting from an increase of 7.2% in year-over-year average premium per policy at June 30, 2026, partially offset by a decrease in year-over-year policies in force of 0.9% in the second quarter of 2026.</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i/>
          <w:color w:val="000000"/>
          <w:sz w:val="20"/>
        </w:rPr>
        <w:t>Personal lines</w:t>
      </w:r>
      <w:r>
        <w:rPr>
          <w:color w:val="000000"/>
        </w:rPr>
        <w:t xml:space="preserve"> – </w:t>
      </w:r>
      <w:r>
        <w:rPr>
          <w:rFonts w:ascii="Times New Roman;serif" w:hAnsi="Times New Roman;serif"/>
          <w:b w:val="false"/>
          <w:color w:val="000000"/>
          <w:sz w:val="20"/>
        </w:rPr>
        <w:t xml:space="preserve">Total personal lines premiums written increased 1.2% to $2.5 billion in the second quarter of 2026, compared to the second quarter of 2025, driven by a 6.0% increase in total personal lines year-over-year average premium per policy, partially offset by a 2.5% decrease in total personal lines policies in force.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Commercial lines</w:t>
      </w:r>
      <w:r>
        <w:rPr>
          <w:color w:val="000000"/>
        </w:rPr>
        <w:t xml:space="preserve"> – </w:t>
      </w:r>
      <w:r>
        <w:rPr>
          <w:rFonts w:ascii="Times New Roman;serif" w:hAnsi="Times New Roman;serif"/>
          <w:b w:val="false"/>
          <w:color w:val="000000"/>
          <w:sz w:val="20"/>
        </w:rPr>
        <w:t>Total commercial lines premiums written increased 8.3% to $1.0 billion in the second quarter of 2026, compared to the second quarter of 2025, driven by a 5.9% increase in total commercial lines year-over-year average premium per policy and a 2.1% increase in total commercial lines policies in force.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0"/>
        </w:rPr>
        <w:t>Future trends-premium revenue</w:t>
      </w:r>
      <w:r>
        <w:rPr>
          <w:color w:val="000000"/>
        </w:rPr>
        <w:t xml:space="preserve"> – </w:t>
      </w:r>
      <w:r>
        <w:rPr>
          <w:rFonts w:ascii="Times New Roman;serif" w:hAnsi="Times New Roman;serif"/>
          <w:b w:val="false"/>
          <w:color w:val="000000"/>
          <w:sz w:val="20"/>
        </w:rPr>
        <w:t xml:space="preserve">The Exchange plans to continue its efforts to grow premiums and improve its competitive position in the marketplace. Expanding the size of its agency force through a careful agency selection and monitoring process and increased market penetration in our existing operating territories is expected to contribute to future growth .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Premium levels impacted by changes in policies in force and rate actions affect the profitability of the Exchange and have a direct bearing on our management fee revenue. Future rate actions could be impacted by potential changes in regulation, inflationary trends, geopolitical factors, and tariff policies, among others. As the Exchange writes policies almost exclusively with annual terms, premium rate actions take 12 months to be fully recognized in written premiums, or longer for policies with a rate locking feature. See also Part I. Item 1A. "Risk Factors" included in our Annual Report on Form 10-K for the fiscal year ended December 31, 2025 as filed with the Securities and Exchange Commission on February 23,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Policy issuance and renewal services</w:t>
      </w:r>
    </w:p>
    <w:tbl>
      <w:tblPr>
        <w:tblW w:w="10205" w:type="dxa"/>
        <w:jc w:val="left"/>
        <w:tblInd w:w="0" w:type="dxa"/>
        <w:tblLayout w:type="fixed"/>
        <w:tblCellMar>
          <w:top w:w="28" w:type="dxa"/>
          <w:left w:w="28" w:type="dxa"/>
          <w:bottom w:w="28" w:type="dxa"/>
          <w:right w:w="28" w:type="dxa"/>
        </w:tblCellMar>
      </w:tblPr>
      <w:tblGrid>
        <w:gridCol w:w="1091"/>
        <w:gridCol w:w="961"/>
        <w:gridCol w:w="962"/>
        <w:gridCol w:w="322"/>
        <w:gridCol w:w="390"/>
        <w:gridCol w:w="391"/>
        <w:gridCol w:w="322"/>
        <w:gridCol w:w="390"/>
        <w:gridCol w:w="391"/>
        <w:gridCol w:w="203"/>
        <w:gridCol w:w="203"/>
        <w:gridCol w:w="178"/>
        <w:gridCol w:w="178"/>
        <w:gridCol w:w="145"/>
        <w:gridCol w:w="135"/>
        <w:gridCol w:w="109"/>
        <w:gridCol w:w="109"/>
        <w:gridCol w:w="109"/>
        <w:gridCol w:w="310"/>
        <w:gridCol w:w="465"/>
        <w:gridCol w:w="466"/>
        <w:gridCol w:w="310"/>
        <w:gridCol w:w="465"/>
        <w:gridCol w:w="466"/>
        <w:gridCol w:w="221"/>
        <w:gridCol w:w="222"/>
        <w:gridCol w:w="162"/>
        <w:gridCol w:w="162"/>
        <w:gridCol w:w="162"/>
        <w:gridCol w:w="205"/>
      </w:tblGrid>
      <w:tr>
        <w:trPr/>
        <w:tc>
          <w:tcPr>
            <w:tcW w:w="109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1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1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4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2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13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5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 revenue - policy issuance and renewal services</w:t>
            </w:r>
          </w:p>
        </w:tc>
        <w:tc>
          <w:tcPr>
            <w:tcW w:w="3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862,879</w:t>
            </w:r>
          </w:p>
        </w:tc>
        <w:tc>
          <w:tcPr>
            <w:tcW w:w="3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823,853</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1,649,278</w:t>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1,578,902</w:t>
            </w:r>
          </w:p>
        </w:tc>
        <w:tc>
          <w:tcPr>
            <w:tcW w:w="4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agreement revenue</w:t>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5,744</w:t>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11,685</w:t>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11,736</w:t>
            </w:r>
          </w:p>
        </w:tc>
        <w:tc>
          <w:tcPr>
            <w:tcW w:w="4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868,623</w:t>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829,157</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1,660,963</w:t>
            </w:r>
          </w:p>
        </w:tc>
        <w:tc>
          <w:tcPr>
            <w:tcW w:w="12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1,590,638</w:t>
            </w:r>
          </w:p>
        </w:tc>
        <w:tc>
          <w:tcPr>
            <w:tcW w:w="4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 policy issuance and renewal services</w:t>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684,119</w:t>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648,280</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1,329,147</w:t>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1,276,030</w:t>
            </w:r>
          </w:p>
        </w:tc>
        <w:tc>
          <w:tcPr>
            <w:tcW w:w="4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 policy issuance and renewal services</w:t>
            </w:r>
          </w:p>
        </w:tc>
        <w:tc>
          <w:tcPr>
            <w:tcW w:w="32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184,504</w:t>
            </w:r>
          </w:p>
        </w:tc>
        <w:tc>
          <w:tcPr>
            <w:tcW w:w="32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180,877</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331,816</w:t>
            </w:r>
          </w:p>
        </w:tc>
        <w:tc>
          <w:tcPr>
            <w:tcW w:w="31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314,608</w:t>
            </w:r>
          </w:p>
        </w:tc>
        <w:tc>
          <w:tcPr>
            <w:tcW w:w="4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605" w:type="dxa"/>
            <w:gridSpan w:val="3"/>
            <w:tcBorders/>
            <w:vAlign w:val="center"/>
          </w:tcPr>
          <w:p>
            <w:pPr>
              <w:pStyle w:val="TableContents"/>
              <w:bidi w:val="0"/>
              <w:spacing w:before="0" w:after="283"/>
              <w:jc w:val="left"/>
              <w:rPr>
                <w:sz w:val="4"/>
                <w:szCs w:val="4"/>
              </w:rPr>
            </w:pPr>
            <w:r>
              <w:rPr>
                <w:sz w:val="4"/>
                <w:szCs w:val="4"/>
              </w:rPr>
            </w:r>
          </w:p>
        </w:tc>
        <w:tc>
          <w:tcPr>
            <w:tcW w:w="5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Policy issuance and renewal services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management fee revenue allocated for providing policy issuance and renewal services was 24.41% of the direct and affiliated assumed premiums written by the Exchange for the three and six month periods ended June 30, 2026 and 24.37% for the same periods in 2025.  This portion of the management fee is recognized as revenue when the policy is issued or renewed because it is at that time that the services we provide are substantially complete and the executed insurance policy is transferred to the customer.  The increase in management fee revenue for policy issuance and renewal services was driven by the increase in the direct and affiliated assumed premiums written by the Exchange discussed previously.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Service agreement revenue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Service agreement revenue primarily consists of service charges we collect from subscribers (policyholders) for providing multiple payment plans on policies written by the Exchange and its property and casualty subsidiaries and also includes late payment and policy reinstatement fees.  The service charges are fixed dollar amounts per billed installment.  Service agreement revenue also includes fees received from the Exchange for the use of shared office space.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Cost of policy issuance and renewal services</w:t>
      </w:r>
    </w:p>
    <w:tbl>
      <w:tblPr>
        <w:tblW w:w="10205" w:type="dxa"/>
        <w:jc w:val="left"/>
        <w:tblInd w:w="0" w:type="dxa"/>
        <w:tblLayout w:type="fixed"/>
        <w:tblCellMar>
          <w:top w:w="28" w:type="dxa"/>
          <w:left w:w="28" w:type="dxa"/>
          <w:bottom w:w="28" w:type="dxa"/>
          <w:right w:w="28" w:type="dxa"/>
        </w:tblCellMar>
      </w:tblPr>
      <w:tblGrid>
        <w:gridCol w:w="938"/>
        <w:gridCol w:w="826"/>
        <w:gridCol w:w="828"/>
        <w:gridCol w:w="211"/>
        <w:gridCol w:w="826"/>
        <w:gridCol w:w="109"/>
        <w:gridCol w:w="211"/>
        <w:gridCol w:w="826"/>
        <w:gridCol w:w="109"/>
        <w:gridCol w:w="271"/>
        <w:gridCol w:w="271"/>
        <w:gridCol w:w="157"/>
        <w:gridCol w:w="157"/>
        <w:gridCol w:w="157"/>
        <w:gridCol w:w="161"/>
        <w:gridCol w:w="109"/>
        <w:gridCol w:w="109"/>
        <w:gridCol w:w="109"/>
        <w:gridCol w:w="211"/>
        <w:gridCol w:w="976"/>
        <w:gridCol w:w="109"/>
        <w:gridCol w:w="211"/>
        <w:gridCol w:w="976"/>
        <w:gridCol w:w="109"/>
        <w:gridCol w:w="271"/>
        <w:gridCol w:w="271"/>
        <w:gridCol w:w="154"/>
        <w:gridCol w:w="154"/>
        <w:gridCol w:w="154"/>
        <w:gridCol w:w="224"/>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1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12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2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Commissions: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commissions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972,953 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900,302 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Non-commission expense:</w:t>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Personnel costs</w:t>
            </w:r>
            <w:r>
              <w:rPr>
                <w:color w:val="000000"/>
              </w:rPr>
              <w:t xml:space="preserve"> </w:t>
            </w:r>
            <w:r>
              <w:rPr>
                <w:rFonts w:ascii="Times New Roman;serif" w:hAnsi="Times New Roman;serif"/>
                <w:b w:val="false"/>
                <w:color w:val="000000"/>
                <w:sz w:val="13"/>
              </w:rPr>
              <w:t>(1)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advertising</w:t>
            </w:r>
            <w:r>
              <w:rPr>
                <w:color w:val="000000"/>
              </w:rPr>
              <w:t xml:space="preserve"> </w:t>
            </w:r>
            <w:r>
              <w:rPr>
                <w:rFonts w:ascii="Times New Roman;serif" w:hAnsi="Times New Roman;serif"/>
                <w:b w:val="false"/>
                <w:color w:val="000000"/>
                <w:sz w:val="13"/>
              </w:rPr>
              <w:t>(1)</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and underwriting support costs</w:t>
            </w:r>
            <w:r>
              <w:rPr>
                <w:color w:val="000000"/>
              </w:rPr>
              <w:t xml:space="preserve"> </w:t>
            </w:r>
            <w:r>
              <w:rPr>
                <w:rFonts w:ascii="Times New Roman;serif" w:hAnsi="Times New Roman;serif"/>
                <w:b w:val="false"/>
                <w:color w:val="000000"/>
                <w:sz w:val="13"/>
              </w:rPr>
              <w:t>(1)</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Technology infrastructure costs</w:t>
            </w:r>
            <w:r>
              <w:rPr>
                <w:color w:val="000000"/>
              </w:rPr>
              <w:t xml:space="preserve"> </w:t>
            </w:r>
            <w:r>
              <w:rPr>
                <w:rFonts w:ascii="Times New Roman;serif" w:hAnsi="Times New Roman;serif"/>
                <w:b w:val="false"/>
                <w:color w:val="000000"/>
                <w:sz w:val="13"/>
              </w:rPr>
              <w:t>(1)</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fees</w:t>
            </w:r>
            <w:r>
              <w:rPr>
                <w:color w:val="000000"/>
              </w:rPr>
              <w:t xml:space="preserve"> </w:t>
            </w:r>
            <w:r>
              <w:rPr>
                <w:rFonts w:ascii="Times New Roman;serif" w:hAnsi="Times New Roman;serif"/>
                <w:b w:val="false"/>
                <w:color w:val="000000"/>
                <w:sz w:val="13"/>
              </w:rPr>
              <w:t>(1)</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Administrative and other</w:t>
            </w:r>
            <w:r>
              <w:rPr>
                <w:color w:val="000000"/>
              </w:rPr>
              <w:t xml:space="preserve"> </w:t>
            </w:r>
            <w:r>
              <w:rPr>
                <w:rFonts w:ascii="Times New Roman;serif" w:hAnsi="Times New Roman;serif"/>
                <w:b w:val="false"/>
                <w:color w:val="000000"/>
                <w:sz w:val="13"/>
              </w:rPr>
              <w:t>(1)</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non-commission expense</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176,022 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184,838 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356,194 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375,728 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operations - policy issuance and renewal services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684,119 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648,280 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1,329,147 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1,276,030 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 xml:space="preserve">(1)2025 amounts have been recast to conform to the current presentation. See Part I, Item 1. "Financial Statements - Note 4, Segment Information, of Notes to Consolidated Financial Statements" contained within this report for additional information on the revised expense categories.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Commissions</w:t>
      </w:r>
      <w:r>
        <w:rPr>
          <w:color w:val="000000"/>
        </w:rPr>
        <w:t xml:space="preserve"> – </w:t>
      </w:r>
      <w:r>
        <w:rPr>
          <w:rFonts w:ascii="Times New Roman;serif" w:hAnsi="Times New Roman;serif"/>
          <w:b w:val="false"/>
          <w:color w:val="000000"/>
          <w:sz w:val="20"/>
        </w:rPr>
        <w:t>Commissions increased $44.7 million in the second quarter of 2026 and $72.7 million for the six months ended June 30, 2026, compared to the same periods in 2025, primarily driven by an increase in agent incentive compensation. The estimated agent incentive payouts at June 30, 2026 are based on actual underwriting results for the two prior years and current year-to-date actual results and forecasted results for the remainder of 2026. The profitability component of agent incentive compensation increased due to improved actual and forecasted loss ratios for the three-year period ended 2026 compared to the three-year period ended 2025. Commission expense is also impacted by the growth in direct and affiliated assumed written premium.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pPr>
      <w:r>
        <w:rPr>
          <w:rFonts w:ascii="Times New Roman;serif" w:hAnsi="Times New Roman;serif"/>
          <w:b w:val="false"/>
          <w:i/>
          <w:color w:val="000000"/>
          <w:sz w:val="20"/>
        </w:rPr>
        <w:t>Non-commission expense</w:t>
      </w:r>
      <w:r>
        <w:rPr>
          <w:color w:val="000000"/>
        </w:rPr>
        <w:t xml:space="preserve"> – </w:t>
      </w:r>
      <w:r>
        <w:rPr>
          <w:rFonts w:ascii="Times New Roman;serif" w:hAnsi="Times New Roman;serif"/>
          <w:b w:val="false"/>
          <w:color w:val="000000"/>
          <w:sz w:val="20"/>
        </w:rPr>
        <w:t xml:space="preserve">Non-commission expense decreased $8.8 million in the second quarter of 2026 compared to the second quarter of 2025. Personnel costs increased $3.0 million, primarily due to increased incentive compensation driven by stronger performance metrics and a smaller decrease in company stock price. This increase was partially offset by bonuses awarded to all employees in 2025 in recognition of our 100th anniversary. Sales and advertising decreased $1.7 million primarily due to a decrease in agent-related and advertising costs. Acquisition and underwriting support costs decreased $3.9 million primarily due to lower underwriting report and postage costs. Professional fees decreased $5.0 million primarily due to reduced use of third-party services related to technology initiatives. Administrative and other costs decreased $2.1 million primarily due to lower credit card processing fees and charitable contributions related to the transition of charitable giving through the Erie Insurance Foundation.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Non-commission expense decreased $19.5 million for the six months ended June 30, 2026 compared to the same period in 2025. Personnel costs increased $5.1 million, primarily due to increased incentive compensation driven by stronger performance metrics, and higher base compensation. The increase is partially offset by bonuses awarded to all employees in 2025 in recognition of our 100th anniversary. Sales and advertising decreased $3.7 million primarily due to a decrease in agent-related and advertising costs. Acquisition and underwriting support costs decreased $5.7 million primarily due to lower underwriting report costs. Professional fees decreased $12.0 million primarily due to reduced use of third-party services related to technology initiatives. Administrative and other costs decreased $3.7 million primarily due to lower charitable contributions related to the transition of charitable giving through the Erie Insurance Foundation and a decrease in credit card processing fees.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Administrative services</w:t>
      </w:r>
    </w:p>
    <w:tbl>
      <w:tblPr>
        <w:tblW w:w="10205" w:type="dxa"/>
        <w:jc w:val="left"/>
        <w:tblInd w:w="0" w:type="dxa"/>
        <w:tblLayout w:type="fixed"/>
        <w:tblCellMar>
          <w:top w:w="28" w:type="dxa"/>
          <w:left w:w="28" w:type="dxa"/>
          <w:bottom w:w="28" w:type="dxa"/>
          <w:right w:w="28" w:type="dxa"/>
        </w:tblCellMar>
      </w:tblPr>
      <w:tblGrid>
        <w:gridCol w:w="1294"/>
        <w:gridCol w:w="1139"/>
        <w:gridCol w:w="1142"/>
        <w:gridCol w:w="336"/>
        <w:gridCol w:w="338"/>
        <w:gridCol w:w="338"/>
        <w:gridCol w:w="336"/>
        <w:gridCol w:w="338"/>
        <w:gridCol w:w="338"/>
        <w:gridCol w:w="232"/>
        <w:gridCol w:w="234"/>
        <w:gridCol w:w="173"/>
        <w:gridCol w:w="162"/>
        <w:gridCol w:w="162"/>
        <w:gridCol w:w="162"/>
        <w:gridCol w:w="109"/>
        <w:gridCol w:w="109"/>
        <w:gridCol w:w="109"/>
        <w:gridCol w:w="313"/>
        <w:gridCol w:w="338"/>
        <w:gridCol w:w="338"/>
        <w:gridCol w:w="313"/>
        <w:gridCol w:w="338"/>
        <w:gridCol w:w="338"/>
        <w:gridCol w:w="232"/>
        <w:gridCol w:w="234"/>
        <w:gridCol w:w="162"/>
        <w:gridCol w:w="162"/>
        <w:gridCol w:w="162"/>
        <w:gridCol w:w="224"/>
      </w:tblGrid>
      <w:tr>
        <w:trPr/>
        <w:tc>
          <w:tcPr>
            <w:tcW w:w="1294"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0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1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9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17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3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 revenue - administrative services</w:t>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19,619</w:t>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18,296</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39,094</w:t>
            </w:r>
          </w:p>
        </w:tc>
        <w:tc>
          <w:tcPr>
            <w:tcW w:w="3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35,941</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Administrative services reimbursement revenue</w:t>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201,554</w:t>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212,644</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401,650</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422,917</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revenue allocated to administrative services</w:t>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221,173</w:t>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230,940</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440,744</w:t>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458,858</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Administrative services expenses</w:t>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Claims handling services</w:t>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175,239</w:t>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186,461</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350,263</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372,460</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Investment management services</w:t>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9,721</w:t>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9,305</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17,139</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17,038</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Life management services</w:t>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16,594</w:t>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16,878</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34,248</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33,419</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income - administrative services</w:t>
            </w:r>
          </w:p>
        </w:tc>
        <w:tc>
          <w:tcPr>
            <w:tcW w:w="3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19,619</w:t>
            </w:r>
          </w:p>
        </w:tc>
        <w:tc>
          <w:tcPr>
            <w:tcW w:w="3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18,296</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39,094</w:t>
            </w:r>
          </w:p>
        </w:tc>
        <w:tc>
          <w:tcPr>
            <w:tcW w:w="3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35,941</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Administrative services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management fee revenue allocated to administrative services was 0.59% of the direct and affiliated assumed premiums written by the Exchange for the three and six month periods ended June 30, 2026 and 0.63% for the same periods in 2025. This portion of the management fee is recognized as revenue over a four-year period representing the time over which the services are provided. We also report reimbursed costs as revenues, which are recognized monthly as services are provided. The administrative services expenses we incur and the related reimbursements we receive are recorded gross in the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Cost of administrative services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Consistent with its legal structure as a reciprocal insurer, the Exchange does not have any employees or officers. Therefore, it enters into contractual relationships by and through the subscribers' attorney-in-fact. Indemnity serves as the attorney-in-fact on behalf of the subscribers at the Exchange with respect to its administrative services as enumerated in the subscriber's agreement. The Exchange's insurance subsidiaries also utilize Indemnity for these services in accordance with the service agreements between each of the subsidiaries and Indemnity. The subscriber's agreement and service agreements provide for reimbursement of amounts incurred for these services to Indemnity. Reimbursements due from the Exchange and its insurance subsidiaries are recorded as a receivable and settled at cost.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Total investment income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summary of the results of our investment operations is as follows:</w:t>
      </w:r>
    </w:p>
    <w:tbl>
      <w:tblPr>
        <w:tblW w:w="10205" w:type="dxa"/>
        <w:jc w:val="left"/>
        <w:tblInd w:w="0" w:type="dxa"/>
        <w:tblLayout w:type="fixed"/>
        <w:tblCellMar>
          <w:top w:w="28" w:type="dxa"/>
          <w:left w:w="28" w:type="dxa"/>
          <w:bottom w:w="28" w:type="dxa"/>
          <w:right w:w="28" w:type="dxa"/>
        </w:tblCellMar>
      </w:tblPr>
      <w:tblGrid>
        <w:gridCol w:w="909"/>
        <w:gridCol w:w="776"/>
        <w:gridCol w:w="780"/>
        <w:gridCol w:w="109"/>
        <w:gridCol w:w="109"/>
        <w:gridCol w:w="109"/>
        <w:gridCol w:w="211"/>
        <w:gridCol w:w="721"/>
        <w:gridCol w:w="109"/>
        <w:gridCol w:w="211"/>
        <w:gridCol w:w="721"/>
        <w:gridCol w:w="109"/>
        <w:gridCol w:w="109"/>
        <w:gridCol w:w="109"/>
        <w:gridCol w:w="109"/>
        <w:gridCol w:w="255"/>
        <w:gridCol w:w="256"/>
        <w:gridCol w:w="140"/>
        <w:gridCol w:w="140"/>
        <w:gridCol w:w="140"/>
        <w:gridCol w:w="141"/>
        <w:gridCol w:w="109"/>
        <w:gridCol w:w="109"/>
        <w:gridCol w:w="109"/>
        <w:gridCol w:w="211"/>
        <w:gridCol w:w="721"/>
        <w:gridCol w:w="109"/>
        <w:gridCol w:w="211"/>
        <w:gridCol w:w="721"/>
        <w:gridCol w:w="109"/>
        <w:gridCol w:w="109"/>
        <w:gridCol w:w="109"/>
        <w:gridCol w:w="109"/>
        <w:gridCol w:w="255"/>
        <w:gridCol w:w="256"/>
        <w:gridCol w:w="154"/>
        <w:gridCol w:w="154"/>
        <w:gridCol w:w="154"/>
        <w:gridCol w:w="223"/>
      </w:tblGrid>
      <w:tr>
        <w:trPr/>
        <w:tc>
          <w:tcPr>
            <w:tcW w:w="9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2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impairment losses recognized in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Net investment income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investment income includes interest and dividends on our fixed maturity and equity security portfolios and the results of our limited partnership investments, net of investment expenses. Net investment income increased $2.6 million in the second quarter of 2026 and $6.2 million for the six months ended June 30, 2026 compared to the same periods in 2025. The increase in both periods was primarily due to an increase in bond income driven by higher average holdings.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Net realized and unrealized investment gains (losses)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breakdown of our net realized and unrealized investment gains (losses) is as follows:</w:t>
      </w:r>
    </w:p>
    <w:tbl>
      <w:tblPr>
        <w:tblW w:w="10182" w:type="dxa"/>
        <w:jc w:val="left"/>
        <w:tblInd w:w="0" w:type="dxa"/>
        <w:tblLayout w:type="fixed"/>
        <w:tblCellMar>
          <w:top w:w="28" w:type="dxa"/>
          <w:left w:w="28" w:type="dxa"/>
          <w:bottom w:w="28" w:type="dxa"/>
          <w:right w:w="28" w:type="dxa"/>
        </w:tblCellMar>
      </w:tblPr>
      <w:tblGrid>
        <w:gridCol w:w="1595"/>
        <w:gridCol w:w="1402"/>
        <w:gridCol w:w="1413"/>
        <w:gridCol w:w="109"/>
        <w:gridCol w:w="109"/>
        <w:gridCol w:w="109"/>
        <w:gridCol w:w="254"/>
        <w:gridCol w:w="653"/>
        <w:gridCol w:w="131"/>
        <w:gridCol w:w="131"/>
        <w:gridCol w:w="131"/>
        <w:gridCol w:w="131"/>
        <w:gridCol w:w="254"/>
        <w:gridCol w:w="653"/>
        <w:gridCol w:w="131"/>
        <w:gridCol w:w="109"/>
        <w:gridCol w:w="109"/>
        <w:gridCol w:w="109"/>
        <w:gridCol w:w="234"/>
        <w:gridCol w:w="602"/>
        <w:gridCol w:w="121"/>
        <w:gridCol w:w="121"/>
        <w:gridCol w:w="121"/>
        <w:gridCol w:w="121"/>
        <w:gridCol w:w="234"/>
        <w:gridCol w:w="602"/>
        <w:gridCol w:w="121"/>
        <w:gridCol w:w="109"/>
        <w:gridCol w:w="109"/>
        <w:gridCol w:w="154"/>
      </w:tblGrid>
      <w:tr>
        <w:trPr/>
        <w:tc>
          <w:tcPr>
            <w:tcW w:w="1595"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on remaining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Net impairment losses recognized in earnings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impairment losses recognized in earnings were lower during both the three and six months ended June 30, 2026 compared to the same periods in 2025. The improvement was primarily driven by lower available-for-sale security impairments, reflecting reduced credit-related impairments. This was partially offset by higher current expected credit losses on other loans receivable during the quarter and higher current expected credit losses on agent loans for the six-month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Financial Condition of Erie Insurance Exchange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Serving in the capacity of attorney-in-fact for the subscribers at the Exchange, we are dependent on the growth and financial condition of the Exchange, who is our sole customer. The strength of the Exchange and its wholly owned subsidiaries is rated annually by AM Best through assessing its financial stability and ability to pay claims. The ratings are generally based upon factors relevant to policyholders and are not directed toward return to investors. The Exchange and each of its property and casualty insurance subsidiaries are rated A "Excellent". See Part II, Item 7. "Management's Discussion and Analysis of Financial Condition and Results of Operations" included in our Annual Report on Form 10-K for the fiscal year ended December 31, 2025 as filed with the Securities and Exchange Commission on February 23, 2026 for a discussion of the Exchange's financial strength rating.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financial statements of the Exchange are prepared in accordance with statutory accounting principles prescribed by the Commonwealth of Pennsylvania. Financial statements prepared under statutory accounting principles focus on the solvency of the insurer and generally provide a more conservative approach than under U.S. generally accepted accounting principles. Statutory direct written premiums of the Exchange and its wholly owned property and casualty insurance subsidiaries grew 3.4% to $6.8 billion in the first six months of 2026 compared to the same period in 2025. These premiums, along with investment income, are the major sources of cash that support the operations of the Exchange. Policyholders’ surplus determined under statutory accounting principles was $10.7 billion and $10.1 billion at June 30, 2026 and December 31, 2025, respectively. The Exchange and its wholly owned property and casualty insurance subsidiaries' year-over-year policy retention ratio was 87.5% at June 30, 2026 and 88.4% at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prepared our consolidated financial statements considering the financial strength of the Exchange based on its AM Best rating and strong level of surplus. See Part I, Item 1A. "Risk Factors" included in our Annual Report on Form 10-K for the fiscal year ended December 31, 2025 as filed with the Securities and Exchange Commission on February 23, 2026 for possible outcomes that could impact that determination.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CONDITION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investment portfolio is managed with the objective of maximizing after-tax returns on a risk-adjusted basis. The following table presents the carrying value of our investments as of: </w:t>
      </w:r>
    </w:p>
    <w:p>
      <w:pPr>
        <w:pStyle w:val="TextBody"/>
        <w:bidi w:val="0"/>
        <w:spacing w:lineRule="auto" w:line="288" w:before="0" w:after="0"/>
        <w:jc w:val="left"/>
        <w:rPr>
          <w:color w:val="000000"/>
        </w:rPr>
      </w:pPr>
      <w:r>
        <w:rPr>
          <w:color w:val="000000"/>
        </w:rPr>
        <w:t> </w:t>
      </w:r>
    </w:p>
    <w:tbl>
      <w:tblPr>
        <w:tblW w:w="8871"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211"/>
        <w:gridCol w:w="976"/>
        <w:gridCol w:w="109"/>
        <w:gridCol w:w="109"/>
        <w:gridCol w:w="109"/>
        <w:gridCol w:w="109"/>
        <w:gridCol w:w="233"/>
        <w:gridCol w:w="233"/>
        <w:gridCol w:w="501"/>
        <w:gridCol w:w="109"/>
        <w:gridCol w:w="109"/>
        <w:gridCol w:w="109"/>
        <w:gridCol w:w="273"/>
        <w:gridCol w:w="1265"/>
        <w:gridCol w:w="141"/>
        <w:gridCol w:w="109"/>
        <w:gridCol w:w="109"/>
        <w:gridCol w:w="109"/>
        <w:gridCol w:w="233"/>
        <w:gridCol w:w="233"/>
        <w:gridCol w:w="560"/>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to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to total</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Available-for-sale securities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1,433,222 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5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1,364,828 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6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Equity securities </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90,763 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Agent loans </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109,331 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investments </w:t>
            </w:r>
            <w:r>
              <w:rPr>
                <w:rFonts w:ascii="Times New Roman;serif" w:hAnsi="Times New Roman;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1,769,500 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1,602,264 </w:t>
            </w:r>
          </w:p>
        </w:tc>
        <w:tc>
          <w:tcPr>
            <w:tcW w:w="1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00" w:after="283"/>
        <w:jc w:val="left"/>
        <w:rPr/>
      </w:pPr>
      <w:r>
        <w:rPr/>
      </w:r>
    </w:p>
    <w:p>
      <w:pPr>
        <w:pStyle w:val="TextBody"/>
        <w:bidi w:val="0"/>
        <w:spacing w:lineRule="auto" w:line="268" w:before="0" w:after="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(1)This includes $44.4 million of securities lent under a securities lending agreement as of June 30, 2026 and December 31, 2025.</w:t>
      </w:r>
    </w:p>
    <w:p>
      <w:pPr>
        <w:pStyle w:val="TextBody"/>
        <w:bidi w:val="0"/>
        <w:spacing w:lineRule="auto" w:line="268" w:before="0" w:after="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(2)This includes $25.5 million and $20.1 million of securities lent under a securities lending agreement as of June 30, 2026 and December 31, 2025, respectively.</w:t>
      </w:r>
    </w:p>
    <w:p>
      <w:pPr>
        <w:pStyle w:val="TextBody"/>
        <w:bidi w:val="0"/>
        <w:spacing w:lineRule="auto" w:line="288" w:before="0" w:after="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(3)The current portion of agent loans is included in the line item "Prepaid expenses and other current assets, net" in the Consolidated Statements of Financial Position.</w:t>
      </w:r>
    </w:p>
    <w:p>
      <w:pPr>
        <w:pStyle w:val="TextBody"/>
        <w:bidi w:val="0"/>
        <w:spacing w:lineRule="auto" w:line="288" w:before="0" w:after="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(4)The current and long-term portions of other investments are included in the line items "Prepaid expenses and other current assets, net" and "Other assets, net", respectively in the Consolidated Statements of Financial Position.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Available-for-sale securities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our investment strategy, we maintain an available-for-sale security portfolio that is of high quality and well diversified within each market sector.  This investment strategy also achieves a balanced maturity schedule. Our available-for-sale security portfolio is managed with the goal of achieving reasonable returns while limiting exposure to risk.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Available-for-sale securities are carried at fair value with unrealized gains and losses, net of deferred taxes, included in shareholders’ equity.  Net unrealized losses on available-for-sale securities, net of deferred taxes, totaled $10.3 million at June 30, 2026, compared to unrealized gains of $1.3 million at December 31,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breakdown of the fair value of our available-for-sale portfolio by industry sector and rating as of:</w:t>
      </w:r>
    </w:p>
    <w:tbl>
      <w:tblPr>
        <w:tblW w:w="10444" w:type="dxa"/>
        <w:jc w:val="left"/>
        <w:tblInd w:w="0" w:type="dxa"/>
        <w:tblLayout w:type="fixed"/>
        <w:tblCellMar>
          <w:top w:w="28" w:type="dxa"/>
          <w:left w:w="28" w:type="dxa"/>
          <w:bottom w:w="28" w:type="dxa"/>
          <w:right w:w="28" w:type="dxa"/>
        </w:tblCellMar>
      </w:tblPr>
      <w:tblGrid>
        <w:gridCol w:w="582"/>
        <w:gridCol w:w="465"/>
        <w:gridCol w:w="46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976"/>
        <w:gridCol w:w="154"/>
      </w:tblGrid>
      <w:tr>
        <w:trPr/>
        <w:tc>
          <w:tcPr>
            <w:tcW w:w="58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June 30, 2026 </w:t>
            </w:r>
            <w:r>
              <w:rPr>
                <w:rFonts w:ascii="Times New Roman;serif" w:hAnsi="Times New Roman;serif"/>
                <w:b w:val="false"/>
                <w:color w:val="000000"/>
                <w:sz w:val="13"/>
              </w:rPr>
              <w:t>(1)</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AAA</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AA</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BBB</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 investment</w:t>
              <w:br/>
              <w:t>grade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(Unaudited)</w:t>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Structured securities </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622,349 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220,758 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343,449 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309,040 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482,545 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77,430 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1,433,222 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(1)Ratings are supplied by S&amp;P, Moody’s, and Fitch.  The table is based upon the lowest rating for each security.</w:t>
      </w:r>
    </w:p>
    <w:p>
      <w:pPr>
        <w:pStyle w:val="TextBody"/>
        <w:bidi w:val="0"/>
        <w:spacing w:lineRule="auto" w:line="288" w:before="0" w:after="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(2)Structured securities include residential and commercial mortgage-backed securities, collateralized debt obligations and asset-backed securities.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Equity securities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Equity securities primarily include non-redeemable preferred stocks and exchange-traded funds. These securities are carried at fair value in the Consolidated Statements of Financial Position with all changes in unrealized gains and losses reflected in the Consolidated Statements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an analysis of the fair value of our equity securities as of:</w:t>
      </w:r>
    </w:p>
    <w:p>
      <w:pPr>
        <w:pStyle w:val="TextBody"/>
        <w:bidi w:val="0"/>
        <w:spacing w:before="0" w:after="0"/>
        <w:jc w:val="left"/>
        <w:rPr/>
      </w:pPr>
      <w:r>
        <w:rPr/>
      </w:r>
    </w:p>
    <w:tbl>
      <w:tblPr>
        <w:tblW w:w="7285" w:type="dxa"/>
        <w:jc w:val="left"/>
        <w:tblInd w:w="0" w:type="dxa"/>
        <w:tblLayout w:type="fixed"/>
        <w:tblCellMar>
          <w:top w:w="28" w:type="dxa"/>
          <w:left w:w="28" w:type="dxa"/>
          <w:bottom w:w="28" w:type="dxa"/>
          <w:right w:w="28" w:type="dxa"/>
        </w:tblCellMar>
      </w:tblPr>
      <w:tblGrid>
        <w:gridCol w:w="1167"/>
        <w:gridCol w:w="1025"/>
        <w:gridCol w:w="1033"/>
        <w:gridCol w:w="109"/>
        <w:gridCol w:w="109"/>
        <w:gridCol w:w="109"/>
        <w:gridCol w:w="229"/>
        <w:gridCol w:w="898"/>
        <w:gridCol w:w="118"/>
        <w:gridCol w:w="109"/>
        <w:gridCol w:w="109"/>
        <w:gridCol w:w="109"/>
        <w:gridCol w:w="340"/>
        <w:gridCol w:w="1164"/>
        <w:gridCol w:w="176"/>
        <w:gridCol w:w="109"/>
        <w:gridCol w:w="109"/>
        <w:gridCol w:w="109"/>
        <w:gridCol w:w="154"/>
      </w:tblGrid>
      <w:tr>
        <w:trPr/>
        <w:tc>
          <w:tcPr>
            <w:tcW w:w="116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Exchange-traded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82,746 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Non-redeemable preferred stocks: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Financial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71,526 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74,614 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Utilities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Consumer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non-redeemable preferred stocks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93,259 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90,763 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176,005 </w:t>
            </w:r>
          </w:p>
        </w:tc>
        <w:tc>
          <w:tcPr>
            <w:tcW w:w="1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90,763 </w:t>
            </w:r>
          </w:p>
        </w:tc>
        <w:tc>
          <w:tcPr>
            <w:tcW w:w="1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continue to monitor the sufficiency of our liquidity and capital resources given the potential impact of current economic conditions, including the uncertain tariff, inflationary, and interest rate environment. While we did not see a significant impact on our sources or uses of cash in the second quarter of 2026, future market disruptions could occur which may affect our liquidity position. If our normal operating and investing cash activities were to become insufficient to meet future funding requirements, we believe we have sufficient access to liquidity through our cash position, diverse liquid marketable securities, and our $100 million bank revolving line of credit that does not expire until November 2029. See broader discussions of potential risks to our operations in "Operating Overview" contained within this report and Part I. Item 1A. "Risk Factors" included in our Annual Report on Form 10-K for the fiscal year ended December 31, 2025 as filed with the Securities and Exchange Commission on February 23,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Sources and Uses of Cash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Liquidity is a measure of a company’s ability to generate sufficient cash flows to meet the short- and long-term cash requirements of its business operations and growth needs.  Our liquidity requirements have been met primarily by funds generated from management fee revenue and income from investments.  Cash provided from these sources is used primarily to fund the costs of our management operations including commissions, salaries and wages, pension plans, share repurchases, dividends to shareholders, the purchase and development of information technology, and other capital expenditures.  See Part I, Item 1. "Financial Statements - Note 9, Postretirement Benefits, of Notes to Consolidated Financial Statements" contained within this report for the funding policy and contributions for our defined benefit pension plan. We expect that our operating cash needs will be met by funds generated from operations. Cash in excess of our operating needs is primarily invested in investment grade fixed maturities. As part of our liquidity review, we regularly evaluate our capital needs based on current and projected results and consider the potential impacts to our liquidity, borrowing capacity, financial covenants, and capital availability.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maintain relationships and cash balances at diversified and well-capitalized financial institutions and have established processes to monitor them. We believe that our current cash, cash equivalents and marketable securities, and cash generated from operations will be sufficient to meet our current and future cash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Volatility in the financial markets presents challenges to us as we do occasionally access our investment portfolio as a source of cash.  Some of our fixed income investments, despite being publicly traded, may be illiquid.  Additionally, if we require significant amounts of cash on short notice in excess of anticipated cash requirements, or if we are required to return cash collateral in connection with our securities lending program, we may have difficulty selling investments in a timely manner, or be forced to sell at deep discounts. We believe we have sufficient liquidity to meet our needs from sources other than the liquidation of securities.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Cash flow activities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condensed cash flow information as follows for the six months ended June 30:</w:t>
      </w:r>
    </w:p>
    <w:tbl>
      <w:tblPr>
        <w:tblW w:w="8555" w:type="dxa"/>
        <w:jc w:val="left"/>
        <w:tblInd w:w="0" w:type="dxa"/>
        <w:tblLayout w:type="fixed"/>
        <w:tblCellMar>
          <w:top w:w="28" w:type="dxa"/>
          <w:left w:w="28" w:type="dxa"/>
          <w:bottom w:w="28" w:type="dxa"/>
          <w:right w:w="28" w:type="dxa"/>
        </w:tblCellMar>
      </w:tblPr>
      <w:tblGrid>
        <w:gridCol w:w="2013"/>
        <w:gridCol w:w="1770"/>
        <w:gridCol w:w="1781"/>
        <w:gridCol w:w="109"/>
        <w:gridCol w:w="109"/>
        <w:gridCol w:w="109"/>
        <w:gridCol w:w="211"/>
        <w:gridCol w:w="826"/>
        <w:gridCol w:w="109"/>
        <w:gridCol w:w="109"/>
        <w:gridCol w:w="109"/>
        <w:gridCol w:w="109"/>
        <w:gridCol w:w="211"/>
        <w:gridCol w:w="826"/>
        <w:gridCol w:w="154"/>
      </w:tblGrid>
      <w:tr>
        <w:trPr/>
        <w:tc>
          <w:tcPr>
            <w:tcW w:w="2013"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18" w:type="dxa"/>
            <w:gridSpan w:val="6"/>
            <w:tcBorders/>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18" w:type="dxa"/>
            <w:gridSpan w:val="6"/>
            <w:tcBorders/>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(136,572)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(99,492)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(62,972)</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59,630 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$306.8 million in the first six months of 2026, compared to $295.7 million for the same period in 2025. Increased cash provided by operating activities was primarily due to an increase in management fees received of $181.8 million driven by growth in direct and affiliated assumed premiums written by the Exchange, and a decrease in administrative services expenses paid of $19.0 million. This was partially offset by a decrease in administrative services reimbursements received of $89.4 million and increases in incentive compensation paid to agents of $52.5 million from improved underwriting profitability and cash paid for agent commissions of $42.3 million driven by premium growth. Additionally, we plan to make an additional discretionary contribution of $30 million during the third quarter of 2026, which will further improve the plan's funded status.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$234.7 million in the first six months of 2026, compared to $136.6 million for the same period in 2025. The increase in cash used in investing activities was primarily driven by an increase in purchases of investments of $402.3 million and an increase in fixed asset purchases of $29.0 million mostly related to software and home office renovations.  This increase was partially offset by an increase in proceeds from investments of $335.8 million.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was $135.1 million in the first six months of 2026, compared to $99.5 million for the same period in 2025. Increased cash used in financing activities was primarily due to reduced cash collateral received during the first six months of 2026 compared to same period in 2025 resulting from lower securities lending activity under our securities lending program.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Capital Outlook</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regularly prepare forecasts evaluating the current and future cash requirements for both normal and extreme risk events. Should an extreme risk event result in a cash requirement exceeding normal cash flows, we have the ability to meet our future funding requirements through various alternatives available to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Outside of our normal operating and investing cash activities, future funding requirements could be met through: 1) unrestricted and unpledged cash and cash equivalents, which totaled approximately $242.5 million at June 30, 2026, 2) $100 million available bank revolving line of credit, and 3) liquidation of unrestricted and unpledged assets held in our investment portfolio, including equity securities and investment grade bonds, which totaled approximately $1.3 billion at June 30, 2026.  Additionally, we have the ability to curtail or modify discretionary cash outlays such as those related to shareholder dividends and share repurchase activities. See Part I, Item 1. "Financial Statements - Note 8, Bank Line of Credit, of Notes to Consolidated Financial Statements" contained within this report for additional information related to our bank revolving line of credit.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entered into certain contingent obligations for guarantees. See Part I, Item 1. "Financial Statements - Note 14, Commitments and Contingencies, of Notes to Consolidated Financial Statements" contained within this report for additional information. We do not believe that these obligations will have a material current or future effect on our consolidated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make estimates and assumptions that have a significant effect on the amounts and disclosures reported in the consolidated financial statements.  The most significant estimates relate to investment valuation and the retirement benefit plan for employees.  While management believes its estimates are appropriate, the ultimate amounts may differ from estimates provided.  Our most critical accounting estimates are described in Item 7. "Management’s Discussion and Analysis of Financial Condition and Results of Operations" for the year ended December 31, 2025 of our Annual Report on Form 10-K as filed with the Securities and Exchange Commission on February 23, 2026.  See Part I, Item 1. "Financial Statements - Note 6, Fair Value, of Notes to Consolidated Financial Statements" contained within this report for additional information on our valuation of investments.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erif" w:hAnsi="Times New Roman;serif"/>
          <w:b/>
          <w:color w:val="000000"/>
          <w:sz w:val="20"/>
          <w:u w:val="single"/>
        </w:rPr>
      </w:pPr>
      <w:r>
        <w:rPr>
          <w:rFonts w:ascii="Times New Roman;serif" w:hAnsi="Times New Roman;serif"/>
          <w:b/>
          <w:color w:val="000000"/>
          <w:sz w:val="20"/>
          <w:u w:val="single"/>
        </w:rPr>
        <w:t>ITEM 3.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exposure to market risk is primarily related to fluctuations in interest rates and prices. Quantitative and qualitative disclosures about market risk resulting from changes in interest rates, prices and other risk exposures for the year ended December 31, 2025 are included in Item 7A. "Quantitative and Qualitative Disclosures About Market Risk" of our Annual Report on Form 10-K as filed with the Securities and Exchange Commission on February 23,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uncertain tariff, inflationary and interest rate environment, ongoing geopolitical risks, and a potential economic slowdown may create future volatility; however, there have been no material impacts on our portfolio during the six months ended June 30, 2026. We continue to closely monitor the economic environment and financial markets and will take appropriate measures, when necessary, to minimize potential risk exposure to our cash and investment balances. For a recent discussion of conditions surrounding our investment portfolio, see the "Operating Overview", "Results of Operations" and "Financial Condition" discussions contained in Part I, Item 2. "Management’s Discussion and Analysis of Financial Condition and Results of Operations" contained within this report.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erif" w:hAnsi="Times New Roman;serif"/>
          <w:b/>
          <w:color w:val="000000"/>
          <w:sz w:val="20"/>
          <w:u w:val="single"/>
        </w:rPr>
      </w:pPr>
      <w:r>
        <w:rPr>
          <w:rFonts w:ascii="Times New Roman;serif" w:hAnsi="Times New Roman;serif"/>
          <w:b/>
          <w:color w:val="000000"/>
          <w:sz w:val="20"/>
          <w:u w:val="single"/>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carried out an evaluation, with the participation of management, including the Chief Executive Officer and Chief Financial Officer, of the effectiveness of our disclosure controls and procedures (pursuant to Rule 13a-15(e) under the Securities Exchange Act of 1934, as amended) as of the end of the period covered by this report.  Based upon that evaluation, the Chief Executive Officer and Chief Financial Officer concluded that our disclosure controls and procedures are effective.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evaluated, with the participation of the Chief Executive Officer and Chief Financial Officer, any change in our internal control over financial reporting and determined there has been no change in our internal control over financial reporting during the six months ended June 30, 2026 that has materially affected, or is reasonably likely to materially affect, our internal control over financial reporting.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PART II.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ITEM 1.    LEGAL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Erie Indemnity Company ("Indemnity") was named as a defendant in a complaint filed on August 24, 2021, by alleged subscribers of the Erie Insurance Exchange (the "Exchange") in the Court of Common Pleas Civil Division of Allegheny County, Pennsylvania captioned TROY STEPHENSON, CHRISTINA STEPHENSON, SUSAN RUBEL and STEVEN BARNETT, individually and on behalf of all others similarly situated (Plaintiffs) v. Erie Indemnity Company (Defendant).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complaint seeks relief for alleged breaches of fiduciary duty by Indemnity in connection with the setting of the management fee it receives, in accordance with the terms of the Subscribers Agreement executed between Indemnity and all policyholders of the Exchange, as compensation for acting as the attorney-in-fact in the management of the Exchange. The relief sought is for the period beginning two years prior to the date of the filing of the complaint and continuing through 2021.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complaint seeks (i) a finding that Indemnity has breached its fiduciary duties; (ii) an award of damages in an amount to be determined at trial; and (iii) such other relief, including disgorgement of profits or other injunctive relief, that the Court deems just and proper.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Service of the complaint was effectuated on September 20, 2021. A Notice of Removal to the United States District Court for the Western District of Pennsylvania was filed on October 20, 2021. On November 2, 2021, Plaintiffs filed a Notice of Voluntary Dismissal. As a result, the action was dismissed without prejudice.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6, 2021, another Complaint was filed in the Court of Common Pleas of Allegheny County, Pennsylvania captioned ERIE INSURANCE EXCHANGE, an unincorporated association, by TROY STEPHENSON, CHRISTINA STEPHENSON and STEVEN BARNETT, trustees ad litem, and alternatively, ERIE INSURANCE EXCHANGE, by TROY STEPHENSON, CHRISTINA STEPHENSON and STEVEN BARNETT, (Plaintiff), v. ERIE INDEMNITY COMPANY, (Defendant).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most recent complaint has the same allegation of breach of fiduciary duty by Indemnity in connection with the setting of the management fee it receives, in accordance with the terms of the Subscribers Agreement executed between Indemnity and all policyholders of the Exchange, as compensation for acting as the attorney-in-fact in the management of the Exchange.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most recent complaint seeks the same relief, specifically, (i) a finding that Indemnity has breached its fiduciary duties; (ii) an award of damages in an amount to be determined at trial; and (iii) such other relief, including disgorgement of profits or other injunctive relief, that the Court deems just and proper.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Notice of Removal to the United States District Court for the Western District of Pennsylvania was filed on January 27, 2022. By Memorandum Opinion and Order dated September 28, 2022, the Court granted the Motion for Remand and directed the case be remanded to the Court of Common Pleas of Allegheny County, Pennsylvania. On September 30, 2022, Indemnity filed a Motion to Stay the Remand Order pending an appeal to the United States Court of Appeals for the Third Circuit. On October 3, 2022, the Court granted the Stay. On October 11, 2022, Indemnity filed a Petition for Permission to Appeal the Remand Order with the Third Circuit. By Order dated November 7, 2022, a three judge panel of the Court denied the Petition to Appeal.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21, 2022, Indemnity filed a Petition for Rehearing requesting that the Third Circuit permit the appeal. By Order dated January 9, 2023, the Court granted the petition for rehearing and vacated the prior Order of October 7, 2022, denying permission to appeal. On April 20, 2023, argument was held before a three-judge panel of the Third Circuit. By Opinion dated May 22, 2023, the Court affirmed the decision of the District Court finding that there was no basis for federal court jurisdiction and that the matter had been properly remanded to state court. On June 5, 2023, Indemnity filed a Petition for Panel Rehearing or Rehearing En Banc. By Order dated June 22, 2023, the Court denied the Petition. The United States District Court thereafter extended its stay of the issuance of the remand order through the conclusion of any proceedings in the United States Supreme Court challenging the decision of the United States Court of Appeals for the Third Circuit that no federal jurisdiction exists in this case.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20, 2023, Indemnity filed a Petition for Writ of Certiorari with the Supreme Court of the United States. The Petition sought a determination from the Court that the lower courts improperly denied federal jurisdiction. By order dated February 26, 2024, the United States Supreme Court denied Indemnity's Petition for Writ of Certiorari. By order dated February 28, 2024, the action was remanded to the Court of Common Pleas of Allegheny County.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Separately, Indemnity filed a Complaint in Federal Court to invoke certain provisions of the “All Writs Act” and the “Anti-Injunction Act.” By filing this complaint, Indemnity seeks to protect the federal court's prior binding, final judgments in favor of Indemnity and thereby foreclose further litigation of the claims and issues pertaining to the compensation practices that were the subject of the prior judgments. After the denial of certiorari, the district court, by Opinion and Order dated February 28, 2024, granted Indemnity's motion for a preliminary injunction under the All Writs Act after determining that the gravamen of the plaintiff's state court action “is the same” as two actions previously dismissed in federal court, that Indemnity would be irreparably harmed if it is forced to relitigate those same issues in state court, plaintiffs had a full and fair opportunity to litigate the same issues in prior litigation, and that an injunction would serve the public interest. The Court’s order preliminarily enjoined the named plaintiffs from pursuing the Erie Ins. Exch. v. Erie Indem. Co. action and enjoined the state court from conducting further proceedings in that action. The court ordered Indemnity to file a motion to convert the preliminary injunction into a permanent injunction. In the meantime, plaintiffs filed a Notice of Appeal with the United States Court of Appeals for the Third Circuit. As a result of the filing of the appeal, the trial court stayed the order issuing an injunction.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October 14, 2025, the Third Circuit issued an Opinion and concluded that “the District Court abused its discretion in granting Indemnity’s motion for preliminary injunction.” The Court determined that the Complaint in Stephenson only sought to challenge the management fee established in December 2019 and 2020. The Court went on to conclude that the issues were not litigated in either Ritz or Beltz and, therefore, the Stephenson plaintiffs were not precluded from challenging the management fee for those years. On October 28, 2025, Indemnity filed a Petition for Reargument before the Court </w:t>
      </w:r>
      <w:r>
        <w:rPr>
          <w:rFonts w:ascii="Times New Roman;serif" w:hAnsi="Times New Roman;serif"/>
          <w:b w:val="false"/>
          <w:i/>
          <w:color w:val="000000"/>
          <w:sz w:val="20"/>
        </w:rPr>
        <w:t xml:space="preserve">en banc. </w:t>
      </w:r>
      <w:r>
        <w:rPr>
          <w:rFonts w:ascii="Times New Roman;serif" w:hAnsi="Times New Roman;serif"/>
          <w:b w:val="false"/>
          <w:color w:val="000000"/>
          <w:sz w:val="20"/>
        </w:rPr>
        <w:t xml:space="preserve">On November 12, 2025, the Third Circuit denied the Petition for Reargument. On January 12, 2026, Indemnity filed a Petition for Writ of Certiorari with the United States Supreme Court. On March 23, 2026, the United States Supreme Court denied the Petition for Writ of Certiorari. On April 27, 2026, Indemnity voluntarily dismissed the action.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11, 2026, an Amended Complaint was filed in the Court of Common Pleas of Allegheny County. The Amended Complaint added two additional plaintiffs, Rosemarie Perrotta and Rachel Stewart. In addition, the Amended Complaint seeks to challenge the amount of the management fee for additional years, specifically for calendar years 2020 to the present.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Indemnity intends to vigorously defend against all allegations and requests for relief sought by plaintiffs.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on contingencies, see Part I, Item 1. "Financial Statements - Note 14, Commitment and Contingencies, of Notes to Consolidated Financial Statements" contained within this report.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u w:val="single"/>
        </w:rPr>
        <w:t>ITEM 1A.    RISK FACTORS</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previously disclosed in our Annual Report on Form 10-K for the fiscal year ended December 31, 2025 as filed with the Securities and Exchange Commission on February 23, 2026.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2011, our Board of Directors approved a continuation of the current stock repurchase program, authorizing repurchases for a total of $150 million with no time limitation.  This repurchase authority included, and was not in addition to, any unspent amounts remaining under the prior authorization.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Class A nonvoting common stock share repurchases during the quarter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ending June 30, 2026:</w:t>
      </w:r>
    </w:p>
    <w:tbl>
      <w:tblPr>
        <w:tblW w:w="10205" w:type="dxa"/>
        <w:jc w:val="left"/>
        <w:tblInd w:w="0" w:type="dxa"/>
        <w:tblLayout w:type="fixed"/>
        <w:tblCellMar>
          <w:top w:w="28" w:type="dxa"/>
          <w:left w:w="28" w:type="dxa"/>
          <w:bottom w:w="28" w:type="dxa"/>
          <w:right w:w="28" w:type="dxa"/>
        </w:tblCellMar>
      </w:tblPr>
      <w:tblGrid>
        <w:gridCol w:w="456"/>
        <w:gridCol w:w="245"/>
        <w:gridCol w:w="233"/>
        <w:gridCol w:w="183"/>
        <w:gridCol w:w="183"/>
        <w:gridCol w:w="183"/>
        <w:gridCol w:w="520"/>
        <w:gridCol w:w="520"/>
        <w:gridCol w:w="434"/>
        <w:gridCol w:w="109"/>
        <w:gridCol w:w="109"/>
        <w:gridCol w:w="109"/>
        <w:gridCol w:w="290"/>
        <w:gridCol w:w="992"/>
        <w:gridCol w:w="149"/>
        <w:gridCol w:w="109"/>
        <w:gridCol w:w="109"/>
        <w:gridCol w:w="109"/>
        <w:gridCol w:w="814"/>
        <w:gridCol w:w="814"/>
        <w:gridCol w:w="816"/>
        <w:gridCol w:w="109"/>
        <w:gridCol w:w="109"/>
        <w:gridCol w:w="109"/>
        <w:gridCol w:w="463"/>
        <w:gridCol w:w="1584"/>
        <w:gridCol w:w="345"/>
      </w:tblGrid>
      <w:tr>
        <w:trPr/>
        <w:tc>
          <w:tcPr>
            <w:tcW w:w="45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295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Period</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 value of shares that may yet be purchased under the program</w:t>
            </w:r>
          </w:p>
        </w:tc>
      </w:tr>
      <w:tr>
        <w:trPr/>
        <w:tc>
          <w:tcPr>
            <w:tcW w:w="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April 1-30, 2026</w:t>
            </w:r>
            <w:r>
              <w:rPr>
                <w:color w:val="000000"/>
              </w:rPr>
              <w:t xml:space="preserve"> </w:t>
            </w:r>
            <w:r>
              <w:rPr>
                <w:rFonts w:ascii="Times New Roman;serif" w:hAnsi="Times New Roman;serif"/>
                <w:b w:val="false"/>
                <w:color w:val="000000"/>
                <w:sz w:val="10"/>
              </w:rPr>
              <w:t>(1)</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4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233.19 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17,754 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1-31, 2026</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17,754 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June 1-30, 2026</w:t>
            </w:r>
            <w:r>
              <w:rPr>
                <w:color w:val="000000"/>
              </w:rPr>
              <w:t xml:space="preserve"> </w:t>
            </w:r>
            <w:r>
              <w:rPr>
                <w:rFonts w:ascii="Times New Roman;serif" w:hAnsi="Times New Roman;serif"/>
                <w:b w:val="false"/>
                <w:color w:val="000000"/>
                <w:sz w:val="10"/>
              </w:rPr>
              <w:t>(2)</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4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228.65 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17,754 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3,198 </w:t>
            </w:r>
          </w:p>
        </w:tc>
        <w:tc>
          <w:tcPr>
            <w:tcW w:w="43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230.48 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(1)Represents shares purchased on the open market to fund the rabbi trust for both the outside director deferred stock compensation plan (1,076 shares at an average price of $233.19 per share) and the incentive compensation deferral plan (214 shares at an average price of $233.19 per share).</w:t>
      </w:r>
    </w:p>
    <w:p>
      <w:pPr>
        <w:pStyle w:val="TextBody"/>
        <w:bidi w:val="0"/>
        <w:spacing w:lineRule="auto" w:line="288" w:before="0" w:after="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(2)Represents shares purchased on the open market to fund the rabbi trust for the incentive compensation deferral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pPr>
      <w:r>
        <w:rPr>
          <w:rFonts w:ascii="Times New Roman;serif" w:hAnsi="Times New Roman;serif"/>
          <w:b/>
          <w:color w:val="000000"/>
          <w:sz w:val="20"/>
          <w:u w:val="single"/>
        </w:rPr>
        <w:t>ITEM 6.    EXHIBITS</w:t>
      </w:r>
      <w:r>
        <w:rPr>
          <w:color w:val="000000"/>
        </w:rPr>
        <w:t>    </w:t>
      </w:r>
    </w:p>
    <w:tbl>
      <w:tblPr>
        <w:tblW w:w="10205" w:type="dxa"/>
        <w:jc w:val="left"/>
        <w:tblInd w:w="0" w:type="dxa"/>
        <w:tblLayout w:type="fixed"/>
        <w:tblCellMar>
          <w:top w:w="28" w:type="dxa"/>
          <w:left w:w="28" w:type="dxa"/>
          <w:bottom w:w="28" w:type="dxa"/>
          <w:right w:w="28" w:type="dxa"/>
        </w:tblCellMar>
      </w:tblPr>
      <w:tblGrid>
        <w:gridCol w:w="318"/>
        <w:gridCol w:w="280"/>
        <w:gridCol w:w="284"/>
        <w:gridCol w:w="109"/>
        <w:gridCol w:w="109"/>
        <w:gridCol w:w="109"/>
        <w:gridCol w:w="2948"/>
        <w:gridCol w:w="2840"/>
        <w:gridCol w:w="2832"/>
        <w:gridCol w:w="109"/>
        <w:gridCol w:w="109"/>
        <w:gridCol w:w="158"/>
      </w:tblGrid>
      <w:tr>
        <w:trPr/>
        <w:tc>
          <w:tcPr>
            <w:tcW w:w="31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2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 of Exhibit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06302026.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06302026.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06302026.htm">
              <w:r>
                <w:rPr>
                  <w:rStyle w:val="InternetLink"/>
                  <w:rFonts w:ascii="Times New Roman;serif" w:hAnsi="Times New Roman;serif"/>
                  <w:b w:val="false"/>
                  <w:color w:val="0000FF"/>
                  <w:sz w:val="20"/>
                  <w:u w:val="single"/>
                </w:rPr>
                <w:t>Certification pursuant to 18 U.S.C. Section 1350, as adopted pursuant to Section 906 of the Sarbanes-Oxley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d147b53c74f544f7baadb5cf867171a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941"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34"/>
        <w:gridCol w:w="134"/>
        <w:gridCol w:w="136"/>
        <w:gridCol w:w="1464"/>
        <w:gridCol w:w="1464"/>
        <w:gridCol w:w="1467"/>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Erie Indemnity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G. NeCastro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G. NeCastro, President &amp; CEO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Julie M. Pelkowski</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Julie M. Pelkowski, Executive Vice President &amp; CFO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CHIEF EXECUTIVE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302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Timothy G. NeCastro,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1.</w:t>
      </w:r>
      <w:r>
        <w:rPr>
          <w:color w:val="000000"/>
        </w:rPr>
        <w:t>              </w:t>
      </w:r>
      <w:r>
        <w:rPr>
          <w:rFonts w:ascii="Times New Roman;serif" w:hAnsi="Times New Roman;serif"/>
          <w:b w:val="false"/>
          <w:color w:val="000000"/>
          <w:sz w:val="20"/>
        </w:rPr>
        <w:t>I have reviewed this quarterly report on Form 10-Q of Erie Indemnity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2.</w:t>
      </w:r>
      <w:r>
        <w:rPr>
          <w:color w:val="000000"/>
        </w:rPr>
        <w:t>              </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3.</w:t>
      </w:r>
      <w:r>
        <w:rPr>
          <w:color w:val="000000"/>
        </w:rPr>
        <w:t>              </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4.</w:t>
      </w:r>
      <w:r>
        <w:rPr>
          <w:color w:val="000000"/>
        </w:rPr>
        <w:t>              </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a.</w:t>
      </w:r>
      <w:r>
        <w:rPr>
          <w:color w:val="000000"/>
        </w:rPr>
        <w:t>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firstLine="108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b.</w:t>
      </w:r>
      <w:r>
        <w:rPr>
          <w:color w:val="000000"/>
        </w:rPr>
        <w:t>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108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c.</w:t>
      </w:r>
      <w:r>
        <w:rPr>
          <w:color w:val="000000"/>
        </w:rPr>
        <w:t>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108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d.</w:t>
      </w:r>
      <w:r>
        <w:rPr>
          <w:color w:val="000000"/>
        </w:rPr>
        <w:t>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0" w:after="0"/>
        <w:ind w:left="0" w:right="0" w:firstLine="108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5.</w:t>
      </w:r>
      <w:r>
        <w:rPr>
          <w:color w:val="000000"/>
        </w:rPr>
        <w:t>              </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a.</w:t>
      </w:r>
      <w:r>
        <w:rPr>
          <w:color w:val="000000"/>
        </w:rPr>
        <w:t>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108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b.</w:t>
      </w:r>
      <w:r>
        <w:rPr>
          <w:color w:val="000000"/>
        </w:rPr>
        <w:t>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firstLine="1080"/>
        <w:jc w:val="left"/>
        <w:rPr>
          <w:color w:val="000000"/>
        </w:rPr>
      </w:pPr>
      <w:r>
        <w:rPr>
          <w:color w:val="000000"/>
        </w:rPr>
        <w:t> </w:t>
      </w:r>
    </w:p>
    <w:tbl>
      <w:tblPr>
        <w:tblW w:w="3885"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620"/>
        <w:gridCol w:w="620"/>
        <w:gridCol w:w="87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G. NeCastro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G. NeCastro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&amp; CEO</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CHIEF FINANCIAL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302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Julie M. Pelkowski,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1.</w:t>
      </w:r>
      <w:r>
        <w:rPr>
          <w:color w:val="000000"/>
        </w:rPr>
        <w:t>              </w:t>
      </w:r>
      <w:r>
        <w:rPr>
          <w:rFonts w:ascii="Times New Roman;serif" w:hAnsi="Times New Roman;serif"/>
          <w:b w:val="false"/>
          <w:color w:val="000000"/>
          <w:sz w:val="20"/>
        </w:rPr>
        <w:t>I have reviewed this quarterly report on Form 10-Q of Erie Indemnity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2.</w:t>
      </w:r>
      <w:r>
        <w:rPr>
          <w:color w:val="000000"/>
        </w:rPr>
        <w:t>              </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3.</w:t>
      </w:r>
      <w:r>
        <w:rPr>
          <w:color w:val="000000"/>
        </w:rPr>
        <w:t>              </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4.</w:t>
      </w:r>
      <w:r>
        <w:rPr>
          <w:color w:val="000000"/>
        </w:rPr>
        <w:t>              </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a.</w:t>
      </w:r>
      <w:r>
        <w:rPr>
          <w:color w:val="000000"/>
        </w:rPr>
        <w:t>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firstLine="108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b.</w:t>
      </w:r>
      <w:r>
        <w:rPr>
          <w:color w:val="000000"/>
        </w:rPr>
        <w:t>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108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c.</w:t>
      </w:r>
      <w:r>
        <w:rPr>
          <w:color w:val="000000"/>
        </w:rPr>
        <w:t>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108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d.</w:t>
      </w:r>
      <w:r>
        <w:rPr>
          <w:color w:val="000000"/>
        </w:rPr>
        <w:t>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0" w:after="0"/>
        <w:ind w:left="0" w:right="0" w:firstLine="108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5.</w:t>
      </w:r>
      <w:r>
        <w:rPr>
          <w:color w:val="000000"/>
        </w:rPr>
        <w:t>              </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a.</w:t>
      </w:r>
      <w:r>
        <w:rPr>
          <w:color w:val="000000"/>
        </w:rPr>
        <w:t>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108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b.</w:t>
      </w:r>
      <w:r>
        <w:rPr>
          <w:color w:val="000000"/>
        </w:rPr>
        <w:t>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firstLine="1080"/>
        <w:jc w:val="left"/>
        <w:rPr>
          <w:color w:val="000000"/>
        </w:rPr>
      </w:pPr>
      <w:r>
        <w:rPr>
          <w:color w:val="000000"/>
        </w:rPr>
        <w:t> </w:t>
      </w:r>
    </w:p>
    <w:tbl>
      <w:tblPr>
        <w:tblW w:w="4575"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821"/>
        <w:gridCol w:w="821"/>
        <w:gridCol w:w="116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Julie M. Pelkowski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Julie M. Pelkowski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&amp; CFO</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Timothy G. NeCastro, Chief Executive Officer of the Erie Indemnity Company (the "Company"), and Julie M. Pelkowski, Chief Financial Officer of the Company, certify, pursuant to § 906 of the Sarbanes-Oxley Act of 2002, 18 U.S.C. § 1350,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quarterly period ended June 30, 2026 (the "Report") fully complies with the requirements of Section 13(a) or 15(d) of the Securities Exchange Act of 1934 (15 U.S.C. 78m);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3146" w:type="dxa"/>
        <w:jc w:val="left"/>
        <w:tblInd w:w="0" w:type="dxa"/>
        <w:tblLayout w:type="fixed"/>
        <w:tblCellMar>
          <w:top w:w="28" w:type="dxa"/>
          <w:left w:w="28" w:type="dxa"/>
          <w:bottom w:w="28" w:type="dxa"/>
          <w:right w:w="28" w:type="dxa"/>
        </w:tblCellMar>
      </w:tblPr>
      <w:tblGrid>
        <w:gridCol w:w="1003"/>
        <w:gridCol w:w="882"/>
        <w:gridCol w:w="889"/>
        <w:gridCol w:w="109"/>
        <w:gridCol w:w="109"/>
        <w:gridCol w:w="154"/>
      </w:tblGrid>
      <w:tr>
        <w:trPr/>
        <w:tc>
          <w:tcPr>
            <w:tcW w:w="100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G. NeCastro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G. NeCastro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&amp; CEO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Julie M. Pelkowski</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Julie M. Pelkowski</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&amp; CFO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20927</Words>
  <Characters>117488</Characters>
  <CharactersWithSpaces>136788</CharactersWithSpaces>
  <Paragraphs>4127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