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QUARTERLY REPORT PERSUANT TO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ERIE INDEMNITY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98"/>
              </w:rPr>
              <w:t>PENNSYLVANIA</w:t>
            </w:r>
          </w:p>
        </w:tc>
        <w:tc>
          <w:tcPr>
            <w:tcW w:w="3800" w:type="dxa"/>
            <w:vAlign w:val="bottom"/>
          </w:tcPr>
          <w:p>
            <w:pPr>
              <w:jc w:val="right"/>
              <w:ind w:right="2190"/>
              <w:spacing w:after="0"/>
              <w:rPr>
                <w:sz w:val="20"/>
                <w:szCs w:val="20"/>
                <w:color w:val="auto"/>
              </w:rPr>
            </w:pPr>
            <w:r>
              <w:rPr>
                <w:rFonts w:ascii="Arial" w:cs="Arial" w:eastAsia="Arial" w:hAnsi="Arial"/>
                <w:sz w:val="18"/>
                <w:szCs w:val="18"/>
                <w:color w:val="auto"/>
              </w:rPr>
              <w:t>25-0466020</w:t>
            </w:r>
          </w:p>
        </w:tc>
      </w:tr>
      <w:tr>
        <w:trPr>
          <w:trHeight w:val="209"/>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2"/>
              </w:rPr>
              <w:t>(I.R.S. Employer</w:t>
            </w:r>
          </w:p>
        </w:tc>
      </w:tr>
      <w:tr>
        <w:trPr>
          <w:trHeight w:val="230"/>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89"/>
              </w:rPr>
              <w:t>100 Erie Insurance Place, Erie, Pennsylvania</w:t>
            </w:r>
          </w:p>
        </w:tc>
        <w:tc>
          <w:tcPr>
            <w:tcW w:w="3800" w:type="dxa"/>
            <w:vAlign w:val="bottom"/>
          </w:tcPr>
          <w:p>
            <w:pPr>
              <w:jc w:val="right"/>
              <w:ind w:right="2390"/>
              <w:spacing w:after="0"/>
              <w:rPr>
                <w:sz w:val="20"/>
                <w:szCs w:val="20"/>
                <w:color w:val="auto"/>
              </w:rPr>
            </w:pPr>
            <w:r>
              <w:rPr>
                <w:rFonts w:ascii="Arial" w:cs="Arial" w:eastAsia="Arial" w:hAnsi="Arial"/>
                <w:sz w:val="18"/>
                <w:szCs w:val="18"/>
                <w:color w:val="auto"/>
              </w:rPr>
              <w:t>16530</w:t>
            </w: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1550"/>
              <w:spacing w:after="0"/>
              <w:rPr>
                <w:sz w:val="20"/>
                <w:szCs w:val="20"/>
                <w:color w:val="auto"/>
              </w:rPr>
            </w:pPr>
            <w:r>
              <w:rPr>
                <w:rFonts w:ascii="Arial" w:cs="Arial" w:eastAsia="Arial" w:hAnsi="Arial"/>
                <w:sz w:val="18"/>
                <w:szCs w:val="18"/>
                <w:color w:val="auto"/>
                <w:w w:val="94"/>
              </w:rPr>
              <w:t>(Zip Code)</w:t>
            </w:r>
          </w:p>
        </w:tc>
      </w:tr>
      <w:tr>
        <w:trPr>
          <w:trHeight w:val="431"/>
        </w:trPr>
        <w:tc>
          <w:tcPr>
            <w:tcW w:w="7620" w:type="dxa"/>
            <w:vAlign w:val="bottom"/>
            <w:gridSpan w:val="4"/>
          </w:tcPr>
          <w:p>
            <w:pPr>
              <w:jc w:val="right"/>
              <w:ind w:right="1340"/>
              <w:spacing w:after="0"/>
              <w:rPr>
                <w:sz w:val="20"/>
                <w:szCs w:val="20"/>
                <w:color w:val="auto"/>
              </w:rPr>
            </w:pPr>
            <w:r>
              <w:rPr>
                <w:rFonts w:ascii="Arial" w:cs="Arial" w:eastAsia="Arial" w:hAnsi="Arial"/>
                <w:sz w:val="18"/>
                <w:szCs w:val="18"/>
                <w:color w:val="auto"/>
              </w:rPr>
              <w:t>(814) 870-2000</w:t>
            </w:r>
          </w:p>
        </w:tc>
        <w:tc>
          <w:tcPr>
            <w:tcW w:w="3800" w:type="dxa"/>
            <w:vAlign w:val="bottom"/>
          </w:tcPr>
          <w:p>
            <w:pPr>
              <w:spacing w:after="0"/>
              <w:rPr>
                <w:sz w:val="24"/>
                <w:szCs w:val="24"/>
                <w:color w:val="auto"/>
              </w:rPr>
            </w:pPr>
          </w:p>
        </w:tc>
      </w:tr>
      <w:tr>
        <w:trPr>
          <w:trHeight w:val="224"/>
        </w:trPr>
        <w:tc>
          <w:tcPr>
            <w:tcW w:w="3800" w:type="dxa"/>
            <w:vAlign w:val="bottom"/>
          </w:tcPr>
          <w:p>
            <w:pPr>
              <w:spacing w:after="0"/>
              <w:rPr>
                <w:sz w:val="19"/>
                <w:szCs w:val="19"/>
                <w:color w:val="auto"/>
              </w:rPr>
            </w:pPr>
          </w:p>
        </w:tc>
        <w:tc>
          <w:tcPr>
            <w:tcW w:w="3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80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3747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500" w:space="720"/>
            <w:col w:w="1380" w:space="700"/>
            <w:col w:w="3340" w:space="400"/>
            <w:col w:w="23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number of shares outstanding of the registrant’s Class A Common Stock as of the latest practicable date, with no par value and a stated value of $0.0292 per share, was 50,153,649 at October 22, 2010.</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outstanding of the registrant’s Class B Common Stock as of the latest practicable date, with no par value and a stated value of $70 per share, was 2,546 at October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900" w:type="dxa"/>
            <w:vAlign w:val="bottom"/>
            <w:gridSpan w:val="8"/>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98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Operations—Three and nine months ended September 30, 2010 and 2009</w:t>
              </w:r>
            </w:hyperlink>
          </w:p>
        </w:tc>
        <w:tc>
          <w:tcPr>
            <w:tcW w:w="226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Financial Position—September 30, 2010 and December 31, 2009</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Income—Three and nine months ended September 30, 2010 and 2009</w:t>
              </w:r>
            </w:hyperlink>
          </w:p>
        </w:tc>
        <w:tc>
          <w:tcPr>
            <w:tcW w:w="13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Flows—Nine months ended September 30, 2010 and 2009</w:t>
              </w:r>
            </w:hyperlink>
          </w:p>
        </w:tc>
        <w:tc>
          <w:tcPr>
            <w:tcW w:w="288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Statements—September 30, 2010</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80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Item 3.</w:t>
              </w:r>
            </w:hyperlink>
          </w:p>
        </w:tc>
        <w:tc>
          <w:tcPr>
            <w:tcW w:w="444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78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Item 4.</w:t>
              </w:r>
            </w:hyperlink>
          </w:p>
        </w:tc>
        <w:tc>
          <w:tcPr>
            <w:tcW w:w="18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Controls and Procedures</w:t>
              </w:r>
            </w:hyperlink>
          </w:p>
        </w:tc>
        <w:tc>
          <w:tcPr>
            <w:tcW w:w="746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00" w:type="dxa"/>
            <w:vAlign w:val="bottom"/>
            <w:gridSpan w:val="1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PART II. OTHER INFORMATION</w:t>
              </w:r>
            </w:hyperlink>
          </w:p>
        </w:tc>
        <w:tc>
          <w:tcPr>
            <w:tcW w:w="1520" w:type="dxa"/>
            <w:vAlign w:val="bottom"/>
          </w:tcPr>
          <w:p>
            <w:pPr>
              <w:spacing w:after="0"/>
              <w:rPr>
                <w:sz w:val="17"/>
                <w:szCs w:val="17"/>
                <w:color w:val="auto"/>
              </w:rPr>
            </w:pPr>
          </w:p>
        </w:tc>
      </w:tr>
      <w:tr>
        <w:trPr>
          <w:trHeight w:val="196"/>
        </w:trPr>
        <w:tc>
          <w:tcPr>
            <w:tcW w:w="1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Item 1A. Risk Factors</w:t>
              </w:r>
            </w:hyperlink>
          </w:p>
        </w:tc>
        <w:tc>
          <w:tcPr>
            <w:tcW w:w="980" w:type="dxa"/>
            <w:vAlign w:val="bottom"/>
            <w:tcBorders>
              <w:top w:val="single" w:sz="8" w:color="0000EE"/>
            </w:tcBorders>
            <w:gridSpan w:val="2"/>
          </w:tcPr>
          <w:p>
            <w:pPr>
              <w:spacing w:after="0"/>
              <w:rPr>
                <w:sz w:val="17"/>
                <w:szCs w:val="17"/>
                <w:color w:val="auto"/>
              </w:rPr>
            </w:pPr>
          </w:p>
        </w:tc>
        <w:tc>
          <w:tcPr>
            <w:tcW w:w="722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Item 2.</w:t>
              </w:r>
            </w:hyperlink>
          </w:p>
        </w:tc>
        <w:tc>
          <w:tcPr>
            <w:tcW w:w="43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Unregistered Sales of Equity Securities and Use of Proceeds</w:t>
              </w:r>
            </w:hyperlink>
          </w:p>
        </w:tc>
        <w:tc>
          <w:tcPr>
            <w:tcW w:w="488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Item 6.</w:t>
              </w:r>
            </w:hyperlink>
          </w:p>
        </w:tc>
        <w:tc>
          <w:tcPr>
            <w:tcW w:w="9260" w:type="dxa"/>
            <w:vAlign w:val="bottom"/>
            <w:gridSpan w:val="15"/>
          </w:tcPr>
          <w:p>
            <w:pPr>
              <w:ind w:left="2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SIGNATURES</w:t>
              </w:r>
            </w:hyperlink>
          </w:p>
        </w:tc>
        <w:tc>
          <w:tcPr>
            <w:tcW w:w="848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EX-10.1</w:t>
            </w:r>
          </w:p>
        </w:tc>
        <w:tc>
          <w:tcPr>
            <w:tcW w:w="914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14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EX-31.2</w:t>
            </w:r>
          </w:p>
        </w:tc>
        <w:tc>
          <w:tcPr>
            <w:tcW w:w="914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34"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4"/>
          </w:tcPr>
          <w:p>
            <w:pPr>
              <w:jc w:val="right"/>
              <w:ind w:right="9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right"/>
              <w:ind w:right="1140"/>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4"/>
          </w:tcPr>
          <w:p>
            <w:pPr>
              <w:jc w:val="right"/>
              <w:ind w:right="9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9"/>
              </w:rPr>
              <w:t>2009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2"/>
              </w:rPr>
              <w:t>(As adjusted</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2"/>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Note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Premiums earned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1,005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2,972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Net realized investment gains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impairment losses recognized in earnings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earnings (losses) of limited partnerships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40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1,357</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3,489</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and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Insurance losses and loss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2,208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acquisition and underwriting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400"/>
              <w:spacing w:after="0"/>
              <w:rPr>
                <w:sz w:val="20"/>
                <w:szCs w:val="20"/>
                <w:color w:val="auto"/>
              </w:rPr>
            </w:pPr>
            <w:r>
              <w:rPr>
                <w:rFonts w:ascii="Arial" w:cs="Arial" w:eastAsia="Arial" w:hAnsi="Arial"/>
                <w:sz w:val="18"/>
                <w:szCs w:val="18"/>
                <w:color w:val="auto"/>
              </w:rPr>
              <w:t>Total benefits and expenses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952</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2,907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8"/>
              </w:rPr>
              <w:t>Income from operations before income taxes and noncontrolling</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405</w:t>
            </w: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582</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176</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41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Less: Net income attributable to noncontrolling interest in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b w:val="1"/>
                <w:bCs w:val="1"/>
                <w:color w:val="auto"/>
              </w:rPr>
              <w:t>consolidated entity — Exchange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221</w:t>
            </w: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b w:val="1"/>
                <w:bCs w:val="1"/>
                <w:color w:val="auto"/>
              </w:rPr>
              <w:t>256</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150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4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Class A common stock — 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2.92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b w:val="1"/>
                <w:bCs w:val="1"/>
                <w:color w:val="auto"/>
              </w:rPr>
              <w:t>Class A common stock — diluted</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b w:val="1"/>
                <w:bCs w:val="1"/>
                <w:color w:val="auto"/>
              </w:rPr>
              <w:t>0.94</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0.69</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b w:val="1"/>
                <w:bCs w:val="1"/>
                <w:color w:val="auto"/>
              </w:rPr>
              <w:t>2.62</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Class B common stock — basic and diluted</w:t>
            </w: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continue"/>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212"/>
              <w:spacing w:after="0" w:line="204" w:lineRule="exact"/>
              <w:rPr>
                <w:sz w:val="20"/>
                <w:szCs w:val="20"/>
                <w:color w:val="auto"/>
              </w:rPr>
            </w:pPr>
            <w:r>
              <w:rPr>
                <w:rFonts w:ascii="Arial" w:cs="Arial" w:eastAsia="Arial" w:hAnsi="Arial"/>
                <w:sz w:val="18"/>
                <w:szCs w:val="18"/>
                <w:color w:val="auto"/>
              </w:rPr>
              <w:t>150.87</w:t>
            </w:r>
          </w:p>
        </w:tc>
        <w:tc>
          <w:tcPr>
            <w:tcW w:w="4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112.06</w:t>
            </w:r>
          </w:p>
        </w:tc>
        <w:tc>
          <w:tcPr>
            <w:tcW w:w="3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color w:val="auto"/>
              </w:rPr>
              <w:t>421.91</w:t>
            </w:r>
          </w:p>
        </w:tc>
        <w:tc>
          <w:tcPr>
            <w:tcW w:w="3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239.96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Weighted average shares outstanding attributable to Indemnity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w w:val="88"/>
              </w:rPr>
              <w:t>50,499,551</w:t>
            </w: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51,252,693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w w:val="88"/>
              </w:rPr>
              <w:t>50,897,035</w:t>
            </w: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51,255,234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2,546</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2,546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2,546</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Weighted average shares outstanding attributable to Indemnity—</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4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56,624,310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57,383,900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57,021,794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57,393,641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2"/>
              <w:spacing w:after="0" w:line="204" w:lineRule="exact"/>
              <w:rPr>
                <w:sz w:val="20"/>
                <w:szCs w:val="20"/>
                <w:color w:val="auto"/>
              </w:rPr>
            </w:pPr>
            <w:r>
              <w:rPr>
                <w:rFonts w:ascii="Arial" w:cs="Arial" w:eastAsia="Arial" w:hAnsi="Arial"/>
                <w:sz w:val="18"/>
                <w:szCs w:val="18"/>
                <w:color w:val="auto"/>
              </w:rPr>
              <w:t>2,546</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2,546</w:t>
            </w:r>
          </w:p>
        </w:tc>
        <w:tc>
          <w:tcPr>
            <w:tcW w:w="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color w:val="auto"/>
              </w:rPr>
              <w:t>2,546</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2,549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Class A common stock</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0.48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1.44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72.00</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67.50</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216.00</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3120" w:right="100"/>
        <w:spacing w:after="0" w:line="266" w:lineRule="auto"/>
        <w:rPr>
          <w:sz w:val="20"/>
          <w:szCs w:val="20"/>
          <w:color w:val="auto"/>
        </w:rPr>
      </w:pPr>
      <w:r>
        <w:rPr>
          <w:rFonts w:ascii="Arial" w:cs="Arial" w:eastAsia="Arial" w:hAnsi="Arial"/>
          <w:sz w:val="18"/>
          <w:szCs w:val="18"/>
          <w:b w:val="1"/>
          <w:bCs w:val="1"/>
          <w:color w:val="auto"/>
        </w:rPr>
        <w:t xml:space="preserve">ERIE INDEMNITY COMPANY CONSOLIDATED STATEMENTS OF FINANCIAL POSITION </w:t>
      </w:r>
      <w:r>
        <w:rPr>
          <w:rFonts w:ascii="Arial" w:cs="Arial" w:eastAsia="Arial" w:hAnsi="Arial"/>
          <w:sz w:val="18"/>
          <w:szCs w:val="18"/>
          <w:i w:val="1"/>
          <w:i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Investments — Indemnity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Available-for-sale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Fixed maturities (amortized cost of $649 and $642, respectively)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Equity securities (cost of $40 and $35,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Trading securities, at fair value (cost of $22 and $36, respectively)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Limited partnerships (cost of $263 and $281,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Other invested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Investments —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Available-for-sale securities, at fair value: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Fixed maturities (amortized cost of $6,453 and $6,277,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Equity securities (cost of $467 and $425, respectively)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Trading securities, at fair value (cost of $1,689 and $1,556,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Limited partnerships (cost of $1,333 and $1,392, respectively)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Total investments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 (Exchange portion of $239 and $158,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Premiums receivable from policyholders (Exchange portion of $780 and $715, respectively)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Reinsurance recoverable (Exchange portion of $201 and $212,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Deferred income taxes (Exchange portion of $0 and $75, respectively)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acquisition costs (Exchange portion of $416 and $416,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assets (Exchange portion of $337 and $306, respectively)</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Indemnity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Losses and loss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Unearned premiums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Exchange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Losses and loss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Life policy and deposit contract reserves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b w:val="1"/>
          <w:bCs w:val="1"/>
          <w:color w:val="auto"/>
        </w:rPr>
        <w:t>Total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420" w:right="520" w:hanging="202"/>
        <w:spacing w:after="0" w:line="250" w:lineRule="auto"/>
        <w:rPr>
          <w:sz w:val="20"/>
          <w:szCs w:val="20"/>
          <w:color w:val="auto"/>
        </w:rPr>
      </w:pPr>
      <w:r>
        <w:rPr>
          <w:rFonts w:ascii="Arial" w:cs="Arial" w:eastAsia="Arial" w:hAnsi="Arial"/>
          <w:sz w:val="18"/>
          <w:szCs w:val="18"/>
          <w:color w:val="auto"/>
        </w:rPr>
        <w:t>Class A common stock, stated value $0.0292 per share; authorized 74,996,930 shares; 68,289,600 issued; 50,252,872 and 51,203,473 shares outstanding, respectively</w:t>
      </w:r>
    </w:p>
    <w:p>
      <w:pPr>
        <w:spacing w:after="0" w:line="1" w:lineRule="exact"/>
        <w:rPr>
          <w:sz w:val="20"/>
          <w:szCs w:val="20"/>
          <w:color w:val="auto"/>
        </w:rPr>
      </w:pPr>
    </w:p>
    <w:p>
      <w:pPr>
        <w:ind w:left="420" w:right="60" w:hanging="202"/>
        <w:spacing w:after="0" w:line="250" w:lineRule="auto"/>
        <w:rPr>
          <w:sz w:val="20"/>
          <w:szCs w:val="20"/>
          <w:color w:val="auto"/>
        </w:rPr>
      </w:pPr>
      <w:r>
        <w:rPr>
          <w:rFonts w:ascii="Arial" w:cs="Arial" w:eastAsia="Arial" w:hAnsi="Arial"/>
          <w:sz w:val="18"/>
          <w:szCs w:val="18"/>
          <w:color w:val="auto"/>
        </w:rPr>
        <w:t>Class B common stock, convertible at a rate of 2,400 Class A shares for one Class B share, stated value $70 per share; 2,546 authorized,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Additional paid-in-capital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Retained earnings, before cumulative effect adjustment</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Cumulative effect of accounting changes,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268"/>
              <w:spacing w:after="0"/>
              <w:rPr>
                <w:sz w:val="20"/>
                <w:szCs w:val="20"/>
                <w:color w:val="auto"/>
              </w:rPr>
            </w:pPr>
            <w:r>
              <w:rPr>
                <w:rFonts w:ascii="Arial" w:cs="Arial" w:eastAsia="Arial" w:hAnsi="Arial"/>
                <w:sz w:val="14"/>
                <w:szCs w:val="14"/>
                <w:color w:val="auto"/>
                <w:w w:val="89"/>
              </w:rPr>
              <w:t>September 30,</w:t>
            </w:r>
          </w:p>
        </w:tc>
        <w:tc>
          <w:tcPr>
            <w:tcW w:w="1140" w:type="dxa"/>
            <w:vAlign w:val="bottom"/>
          </w:tcPr>
          <w:p>
            <w:pPr>
              <w:jc w:val="center"/>
              <w:ind w:left="248"/>
              <w:spacing w:after="0"/>
              <w:rPr>
                <w:sz w:val="20"/>
                <w:szCs w:val="20"/>
                <w:color w:val="auto"/>
              </w:rPr>
            </w:pPr>
            <w:r>
              <w:rPr>
                <w:rFonts w:ascii="Arial" w:cs="Arial" w:eastAsia="Arial" w:hAnsi="Arial"/>
                <w:sz w:val="14"/>
                <w:szCs w:val="14"/>
                <w:color w:val="auto"/>
                <w:w w:val="93"/>
              </w:rPr>
              <w:t>December 31,</w:t>
            </w:r>
          </w:p>
        </w:tc>
      </w:tr>
      <w:tr>
        <w:trPr>
          <w:trHeight w:val="167"/>
        </w:trPr>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w w:val="96"/>
              </w:rPr>
              <w:t>2010</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2009</w:t>
            </w:r>
          </w:p>
        </w:tc>
      </w:tr>
      <w:tr>
        <w:trPr>
          <w:trHeight w:val="176"/>
        </w:trPr>
        <w:tc>
          <w:tcPr>
            <w:tcW w:w="1160" w:type="dxa"/>
            <w:vAlign w:val="bottom"/>
          </w:tcPr>
          <w:p>
            <w:pPr>
              <w:jc w:val="center"/>
              <w:ind w:right="268"/>
              <w:spacing w:after="0"/>
              <w:rPr>
                <w:sz w:val="20"/>
                <w:szCs w:val="20"/>
                <w:color w:val="auto"/>
              </w:rPr>
            </w:pPr>
            <w:r>
              <w:rPr>
                <w:rFonts w:ascii="Arial" w:cs="Arial" w:eastAsia="Arial" w:hAnsi="Arial"/>
                <w:sz w:val="14"/>
                <w:szCs w:val="14"/>
                <w:color w:val="auto"/>
                <w:w w:val="95"/>
              </w:rPr>
              <w:t>(Unaudited)</w:t>
            </w:r>
          </w:p>
        </w:tc>
        <w:tc>
          <w:tcPr>
            <w:tcW w:w="1140" w:type="dxa"/>
            <w:vAlign w:val="bottom"/>
          </w:tcPr>
          <w:p>
            <w:pPr>
              <w:spacing w:after="0"/>
              <w:rPr>
                <w:sz w:val="15"/>
                <w:szCs w:val="15"/>
                <w:color w:val="auto"/>
              </w:rPr>
            </w:pPr>
          </w:p>
        </w:tc>
      </w:tr>
    </w:tbl>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695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6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7,019</w:t>
            </w:r>
          </w:p>
        </w:tc>
        <w:tc>
          <w:tcPr>
            <w:tcW w:w="5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6,517</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1,985</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1,148</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1,116</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28"/>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11,711</w:t>
            </w:r>
          </w:p>
        </w:tc>
        <w:tc>
          <w:tcPr>
            <w:tcW w:w="5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10,940</w:t>
            </w:r>
          </w:p>
        </w:tc>
      </w:tr>
      <w:tr>
        <w:trPr>
          <w:trHeight w:val="4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993</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204</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473</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454</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14,158</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13,287</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4"/>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743</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355</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370</w:t>
            </w: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2,870</w:t>
            </w:r>
          </w:p>
        </w:tc>
        <w:tc>
          <w:tcPr>
            <w:tcW w:w="5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2,846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1,600</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1,540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1,803</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1,656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7,932</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7,562</w:t>
            </w:r>
          </w:p>
        </w:tc>
      </w:tr>
      <w:tr>
        <w:trPr>
          <w:trHeight w:val="87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w:t>
            </w:r>
          </w:p>
        </w:tc>
      </w:tr>
    </w:tbl>
    <w:p>
      <w:pPr>
        <w:ind w:left="2060" w:hanging="1480"/>
        <w:spacing w:after="0"/>
        <w:tabs>
          <w:tab w:leader="none" w:pos="2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(43)</w:t>
      </w: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1,825</w:t>
            </w:r>
          </w:p>
        </w:tc>
        <w:tc>
          <w:tcPr>
            <w:tcW w:w="94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30"/>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p>
      <w:pPr>
        <w:sectPr>
          <w:pgSz w:w="11900" w:h="16838" w:orient="portrait"/>
          <w:cols w:equalWidth="0" w:num="2">
            <w:col w:w="8300" w:space="720"/>
            <w:col w:w="2400"/>
          </w:cols>
          <w:pgMar w:left="240" w:top="419" w:right="239" w:bottom="800" w:gutter="0" w:footer="0" w:header="0"/>
        </w:sectPr>
      </w:pPr>
    </w:p>
    <w:tbl>
      <w:tblPr>
        <w:tblLayout w:type="fixed"/>
        <w:tblInd w:w="0" w:type="dxa"/>
        <w:tblCellMar>
          <w:top w:w="0" w:type="dxa"/>
          <w:left w:w="0" w:type="dxa"/>
          <w:bottom w:w="0" w:type="dxa"/>
          <w:right w:w="0" w:type="dxa"/>
        </w:tblCellMar>
      </w:tblP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Retained earnings, after cumulative effect adjustment</w:t>
            </w:r>
          </w:p>
        </w:tc>
        <w:tc>
          <w:tcPr>
            <w:tcW w:w="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1,825</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1,749</w:t>
            </w:r>
          </w:p>
        </w:tc>
      </w:tr>
      <w:tr>
        <w:trPr>
          <w:trHeight w:val="216"/>
        </w:trPr>
        <w:tc>
          <w:tcPr>
            <w:tcW w:w="90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contributed capital and retained earnings</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1,818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Treasury stock, at cost, 18,036,728 and 17,086,127 shares, respectively</w:t>
            </w:r>
          </w:p>
        </w:tc>
        <w:tc>
          <w:tcPr>
            <w:tcW w:w="20" w:type="dxa"/>
            <w:vAlign w:val="bottom"/>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(860)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16"/>
        </w:trPr>
        <w:tc>
          <w:tcPr>
            <w:tcW w:w="90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Total Indemnity shareholders’ equity</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958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902</w:t>
            </w:r>
          </w:p>
        </w:tc>
      </w:tr>
      <w:tr>
        <w:trPr>
          <w:trHeight w:val="453"/>
        </w:trPr>
        <w:tc>
          <w:tcPr>
            <w:tcW w:w="9020" w:type="dxa"/>
            <w:vAlign w:val="bottom"/>
          </w:tcPr>
          <w:p>
            <w:pPr>
              <w:spacing w:after="0"/>
              <w:rPr>
                <w:sz w:val="20"/>
                <w:szCs w:val="20"/>
                <w:color w:val="auto"/>
              </w:rPr>
            </w:pPr>
            <w:r>
              <w:rPr>
                <w:rFonts w:ascii="Arial" w:cs="Arial" w:eastAsia="Arial" w:hAnsi="Arial"/>
                <w:sz w:val="18"/>
                <w:szCs w:val="18"/>
                <w:b w:val="1"/>
                <w:bCs w:val="1"/>
                <w:color w:val="auto"/>
              </w:rPr>
              <w:t>Noncontrolling interest in consolidated entity — Exchange</w:t>
            </w:r>
          </w:p>
        </w:tc>
        <w:tc>
          <w:tcPr>
            <w:tcW w:w="20" w:type="dxa"/>
            <w:vAlign w:val="bottom"/>
          </w:tcPr>
          <w:p>
            <w:pPr>
              <w:spacing w:after="0"/>
              <w:rPr>
                <w:sz w:val="24"/>
                <w:szCs w:val="24"/>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5,268</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4,823</w:t>
            </w:r>
          </w:p>
        </w:tc>
      </w:tr>
      <w:tr>
        <w:trPr>
          <w:trHeight w:val="216"/>
        </w:trPr>
        <w:tc>
          <w:tcPr>
            <w:tcW w:w="90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Total equity</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6,226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5,725</w:t>
            </w:r>
          </w:p>
        </w:tc>
      </w:tr>
      <w:tr>
        <w:trPr>
          <w:trHeight w:val="223"/>
        </w:trPr>
        <w:tc>
          <w:tcPr>
            <w:tcW w:w="9020" w:type="dxa"/>
            <w:vAlign w:val="bottom"/>
          </w:tcPr>
          <w:p>
            <w:pPr>
              <w:ind w:left="1020"/>
              <w:spacing w:after="0"/>
              <w:rPr>
                <w:sz w:val="20"/>
                <w:szCs w:val="20"/>
                <w:color w:val="auto"/>
              </w:rPr>
            </w:pPr>
            <w:r>
              <w:rPr>
                <w:rFonts w:ascii="Arial" w:cs="Arial" w:eastAsia="Arial" w:hAnsi="Arial"/>
                <w:sz w:val="18"/>
                <w:szCs w:val="18"/>
                <w:b w:val="1"/>
                <w:bCs w:val="1"/>
                <w:color w:val="auto"/>
              </w:rPr>
              <w:t>Total liabilities, shareholders’ equity and noncontrolling interest</w:t>
            </w:r>
          </w:p>
        </w:tc>
        <w:tc>
          <w:tcPr>
            <w:tcW w:w="2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   14,158</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13,287</w:t>
            </w: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 See Note 14 for supplemental consolidating statements of financial position information.</w:t>
      </w:r>
    </w:p>
    <w:p>
      <w:pPr>
        <w:sectPr>
          <w:pgSz w:w="11900" w:h="16838" w:orient="portrait"/>
          <w:cols w:equalWidth="0" w:num="1">
            <w:col w:w="11420"/>
          </w:cols>
          <w:pgMar w:left="240" w:top="419" w:right="239" w:bottom="80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0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color w:val="auto"/>
              </w:rPr>
              <w:t>Erie Insurance Group</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4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40" w:type="dxa"/>
            <w:vAlign w:val="bottom"/>
            <w:gridSpan w:val="3"/>
          </w:tcPr>
          <w:p>
            <w:pPr>
              <w:jc w:val="center"/>
              <w:ind w:right="52"/>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left="373"/>
              <w:spacing w:after="0" w:line="149" w:lineRule="exact"/>
              <w:rPr>
                <w:sz w:val="20"/>
                <w:szCs w:val="20"/>
                <w:color w:val="auto"/>
              </w:rPr>
            </w:pPr>
            <w:r>
              <w:rPr>
                <w:rFonts w:ascii="Arial" w:cs="Arial" w:eastAsia="Arial" w:hAnsi="Arial"/>
                <w:sz w:val="14"/>
                <w:szCs w:val="14"/>
                <w:color w:val="auto"/>
                <w:w w:val="91"/>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left="373"/>
              <w:spacing w:after="0" w:line="149" w:lineRule="exact"/>
              <w:rPr>
                <w:sz w:val="20"/>
                <w:szCs w:val="20"/>
                <w:color w:val="auto"/>
              </w:rPr>
            </w:pPr>
            <w:r>
              <w:rPr>
                <w:rFonts w:ascii="Arial" w:cs="Arial" w:eastAsia="Arial" w:hAnsi="Arial"/>
                <w:sz w:val="14"/>
                <w:szCs w:val="14"/>
                <w:color w:val="auto"/>
                <w:w w:val="89"/>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2"/>
          </w:tcPr>
          <w:p>
            <w:pPr>
              <w:ind w:left="320"/>
              <w:spacing w:after="0" w:line="123" w:lineRule="exact"/>
              <w:rPr>
                <w:sz w:val="20"/>
                <w:szCs w:val="20"/>
                <w:color w:val="auto"/>
              </w:rPr>
            </w:pPr>
            <w:r>
              <w:rPr>
                <w:rFonts w:ascii="Arial" w:cs="Arial" w:eastAsia="Arial" w:hAnsi="Arial"/>
                <w:sz w:val="14"/>
                <w:szCs w:val="14"/>
                <w:color w:val="auto"/>
                <w:w w:val="89"/>
              </w:rPr>
              <w:t>(As adjusted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2"/>
          </w:tcPr>
          <w:p>
            <w:pPr>
              <w:ind w:left="300"/>
              <w:spacing w:after="0" w:line="123" w:lineRule="exact"/>
              <w:rPr>
                <w:sz w:val="20"/>
                <w:szCs w:val="20"/>
                <w:color w:val="auto"/>
              </w:rPr>
            </w:pPr>
            <w:r>
              <w:rPr>
                <w:rFonts w:ascii="Arial" w:cs="Arial" w:eastAsia="Arial" w:hAnsi="Arial"/>
                <w:sz w:val="14"/>
                <w:szCs w:val="14"/>
                <w:color w:val="auto"/>
                <w:w w:val="92"/>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Note 2)</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Balance, beginning of period — Indemnity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(32)</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changes, net of tax*</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Adjusted balance, beginning of period</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(32)</w:t>
            </w: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(43)</w:t>
            </w: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holding gains on investments arising during period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9"/>
              </w:rPr>
              <w:t>Reclassification adjustment for gross (gains) losses included in net income</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 related to unrealized gains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other comprehensive income, net of tax — Indemnity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46"/>
        </w:trPr>
        <w:tc>
          <w:tcPr>
            <w:tcW w:w="5960" w:type="dxa"/>
            <w:vAlign w:val="bottom"/>
            <w:gridSpan w:val="2"/>
          </w:tcPr>
          <w:p>
            <w:pPr>
              <w:spacing w:after="0"/>
              <w:rPr>
                <w:sz w:val="20"/>
                <w:szCs w:val="20"/>
                <w:color w:val="auto"/>
              </w:rPr>
            </w:pPr>
            <w:r>
              <w:rPr>
                <w:rFonts w:ascii="Arial" w:cs="Arial" w:eastAsia="Arial" w:hAnsi="Arial"/>
                <w:sz w:val="18"/>
                <w:szCs w:val="18"/>
                <w:color w:val="auto"/>
              </w:rPr>
              <w:t>Balance, end of period — Indemnity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(17)</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comprehensive income, net of tax — Indemnity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other comprehensive income, net of tax — Exchange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118</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189</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other comprehensive income, net of tax — Erie Insurance Group</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 Erie Insurance Group</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275</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8"/>
              </w:rPr>
              <w:t>Change in other comprehensive income, net of tax — Erie Insurance Group</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133</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215</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 Erie Insurance Group</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408</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621</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Noncontrolling interest in consolidated entity — Exchange</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339</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445</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Indemnity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Previously recognized non-credit other-than-temporary impairment losses were reclassified from retained earnings to other comprehensive income upon the adoption of Financial Accounting Standards Board Accounting Standards Codification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during the second quarter of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Nine months ended</w:t>
            </w:r>
          </w:p>
        </w:tc>
      </w:tr>
      <w:tr>
        <w:trPr>
          <w:trHeight w:val="149"/>
        </w:trPr>
        <w:tc>
          <w:tcPr>
            <w:tcW w:w="9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left="371"/>
              <w:spacing w:after="0" w:line="149" w:lineRule="exact"/>
              <w:rPr>
                <w:sz w:val="20"/>
                <w:szCs w:val="20"/>
                <w:color w:val="auto"/>
              </w:rPr>
            </w:pPr>
            <w:r>
              <w:rPr>
                <w:rFonts w:ascii="Arial" w:cs="Arial" w:eastAsia="Arial" w:hAnsi="Arial"/>
                <w:sz w:val="14"/>
                <w:szCs w:val="14"/>
                <w:color w:val="auto"/>
                <w:w w:val="89"/>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9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23"/>
        </w:trPr>
        <w:tc>
          <w:tcPr>
            <w:tcW w:w="9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2"/>
          </w:tcPr>
          <w:p>
            <w:pPr>
              <w:ind w:left="300"/>
              <w:spacing w:after="0" w:line="123" w:lineRule="exact"/>
              <w:rPr>
                <w:sz w:val="20"/>
                <w:szCs w:val="20"/>
                <w:color w:val="auto"/>
              </w:rPr>
            </w:pPr>
            <w:r>
              <w:rPr>
                <w:rFonts w:ascii="Arial" w:cs="Arial" w:eastAsia="Arial" w:hAnsi="Arial"/>
                <w:sz w:val="14"/>
                <w:szCs w:val="14"/>
                <w:color w:val="auto"/>
                <w:w w:val="92"/>
              </w:rPr>
              <w:t>(As adjusted</w:t>
            </w:r>
          </w:p>
        </w:tc>
        <w:tc>
          <w:tcPr>
            <w:tcW w:w="100" w:type="dxa"/>
            <w:vAlign w:val="bottom"/>
          </w:tcPr>
          <w:p>
            <w:pPr>
              <w:spacing w:after="0"/>
              <w:rPr>
                <w:sz w:val="10"/>
                <w:szCs w:val="10"/>
                <w:color w:val="auto"/>
              </w:rPr>
            </w:pPr>
          </w:p>
        </w:tc>
      </w:tr>
      <w:tr>
        <w:trPr>
          <w:trHeight w:val="167"/>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Note 2)</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Premiums collected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3,068</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received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Limited partnership distributions</w:t>
            </w:r>
          </w:p>
        </w:tc>
        <w:tc>
          <w:tcPr>
            <w:tcW w:w="140" w:type="dxa"/>
            <w:vAlign w:val="bottom"/>
          </w:tcPr>
          <w:p>
            <w:pPr>
              <w:spacing w:after="0"/>
              <w:rPr>
                <w:sz w:val="18"/>
                <w:szCs w:val="18"/>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fee received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Commissions and bonuses paid to agents</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Losses paid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8"/>
              </w:rPr>
              <w:t>(1,808)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Loss expenses paid</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and acquisition costs paid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Income taxes (paid) recovered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465</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713</w:t>
            </w:r>
          </w:p>
        </w:tc>
      </w:tr>
      <w:tr>
        <w:trPr>
          <w:trHeight w:val="439"/>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w w:val="98"/>
              </w:rPr>
              <w:t>(1,415)</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(1,339)</w:t>
            </w: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(787)</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 partnerships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Sales/maturities of investments: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maturity sales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Fixed maturity calls/maturities</w:t>
            </w:r>
          </w:p>
        </w:tc>
        <w:tc>
          <w:tcPr>
            <w:tcW w:w="140" w:type="dxa"/>
            <w:vAlign w:val="bottom"/>
          </w:tcPr>
          <w:p>
            <w:pPr>
              <w:spacing w:after="0"/>
              <w:rPr>
                <w:sz w:val="18"/>
                <w:szCs w:val="18"/>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794</w:t>
            </w:r>
          </w:p>
        </w:tc>
        <w:tc>
          <w:tcPr>
            <w:tcW w:w="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740</w:t>
            </w:r>
          </w:p>
        </w:tc>
        <w:tc>
          <w:tcPr>
            <w:tcW w:w="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policy loans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Sale of and returns on limited partnerships</w:t>
            </w:r>
          </w:p>
        </w:tc>
        <w:tc>
          <w:tcPr>
            <w:tcW w:w="140" w:type="dxa"/>
            <w:vAlign w:val="bottom"/>
          </w:tcPr>
          <w:p>
            <w:pPr>
              <w:spacing w:after="0"/>
              <w:rPr>
                <w:sz w:val="18"/>
                <w:szCs w:val="18"/>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collections (distributions) on agent loans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(301)</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(591)</w:t>
            </w:r>
          </w:p>
        </w:tc>
      </w:tr>
      <w:tr>
        <w:trPr>
          <w:trHeight w:val="439"/>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Annuity and supplementary contract deposits and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Annuity and supplementary contract surrenders and withdrawals</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Universal life deposits and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Universal life surrenders</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Decrease in collateral from securities lending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Redemption of securities lending collateral</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(86)</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w:t>
            </w: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24"/>
                <w:szCs w:val="24"/>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234</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23"/>
        </w:trPr>
        <w:tc>
          <w:tcPr>
            <w:tcW w:w="9240" w:type="dxa"/>
            <w:vAlign w:val="bottom"/>
          </w:tcPr>
          <w:p>
            <w:pPr>
              <w:ind w:left="4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312</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355</w:t>
            </w: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 See Note 14 for supplemental cash flow information.</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since 1925 has been the managing Attorney-in-Fact for the subscribers (policyholders) of Erie Insurance Exchange (“Exchange”). The Exchange is a subscriber (policyholder) owned Pennsylvania-domiciled reciprocal insurer that writes property and casualty insurance.</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Indemnity’s primary function is to perform certain services for the Exchange relating to sales, underwriting and issuance of policies on behalf of the Exchange. This is done in accordance with a subscriber’s agreement (a limited power of attorney) executed by each subscriber (policyholder), appointing Indemnity as their common attorney-in-fact to transact business on their behalf and to manage the affairs of the Exchange. Indemnity earns a management fee from the Exchange for these services, which is paid from the premiums collected from subscribers (policyholders).</w:t>
      </w:r>
    </w:p>
    <w:p>
      <w:pPr>
        <w:spacing w:after="0" w:line="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Indemnity also operates as a property and casualty insurer through its wholly-owned subsidiaries, Erie Insurance Company (“EIC”), Erie Insurance Company of New York (“ENY”) and the Erie Insurance Property and Casualty Company (“EPC”).</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“Property and Casualty Group” refers to the Exchange and its wholly-owned subsidiary, Flagship City Insurance Company (“Flagship”) and Indemnity’s wholly-owned subsidiaries. The Property and Casualty Group operates in 11 Midwestern, Mid-Atlantic and Southeastern states and the District of Columbia and primarily writes personal auto insurance, which comprised 48% of its 2009 direct premiums.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Erie Family Life Insurance Company (“EFL”) is an affiliated life insurance company that underwrites and sells nonparticipating individual and group life insurance policies and fixed annuities. Indemnity and Exchange own 21.6% and 78.4% of EFL, respectively.</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In addition to referring to Erie Insurance Exchange, the term “Exchange” sometimes refers to the noncontrolling interest held for the benefit of the subscribers (policyholders) and includes its interests in Flagship and EFL.</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consolidated financial statements of Erie Indemnity Company reflect the consolidated results of Indemnity and its variable interest entity, the Exchange, which we refer to collectively as “Erie Insurance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consolidated financial statements have been prepared in conformity with U.S. generally accepted accounting principles (“GAAP”) and include the accounts of Indemnity together with its affiliate companies in which Indemnity holds a majority voting or economic interest. In addition, we consolidate the Exchange as a variable interest entity for which Indemnity is the primary beneficiary. All intercompany accounts and transactions have been eliminated in consolidation. The required presentation of noncontrolling interests is reflected in the consolidated financial statements. Noncontrolling interests represent the ownership interests of the Exchange, all of which is held by parties other than Indemnity (i.e. the Exchange’s subscribers (policyholders)). Noncontrolling interests also include the Exchange subscribers’ 78.4% ownership interest in EFL. See the discussion “Retrospective adoption of new accounting principle” that follows for additional consolidation information.</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accruals) considered necessary for a fair presentation have been included. Operating results for the three month period ended September 30, 2010 are not necessarily indicative of the results that may be expected for the year ending December 31, 2010. For further information, refer to the consolidated financial statements and footnotes for the year ended December 31, 2009 included in our Form 8-K as filed with the Securities and Exchange Commission on May 6, 2010.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Presentation of assets and liabilities </w:t>
      </w:r>
      <w:r>
        <w:rPr>
          <w:rFonts w:ascii="Arial" w:cs="Arial" w:eastAsia="Arial" w:hAnsi="Arial"/>
          <w:sz w:val="17"/>
          <w:szCs w:val="17"/>
          <w:color w:val="auto"/>
        </w:rPr>
        <w:t>— While the assets of the Exchange are presented separately in the Consolidated Statements of Financial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Exchange’s assets can only be used to satisfy the Exchange’s liabilities or for other unrestricted activities. Accounting Standards Codification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does not require separate presentation of the Exchange’s assets. However, because the shareholders of Indemnity have no rights to the assets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Exchange and, conversely, the Exchange has no rights to the assets of Indemnity, we have presented the invested assets of the Exchange separately on the Consolidated Statements of Financial Position along with the remaining consolidated assets reflecting the Exchange’s portion parenthetically. Liabilities are required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 be presented separately for the Exchange on the Consolidated Statements of Financial Position as the Exchange’s creditors do not have recourse to the general credit of Indemnity.</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Rights of shareholders of Indemnity and subscribers (policyholders) of the Exchange </w:t>
      </w:r>
      <w:r>
        <w:rPr>
          <w:rFonts w:ascii="Arial" w:cs="Arial" w:eastAsia="Arial" w:hAnsi="Arial"/>
          <w:sz w:val="18"/>
          <w:szCs w:val="18"/>
          <w:color w:val="auto"/>
        </w:rPr>
        <w:t>— The shareholders of Indemnity, through the management fee,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financial interest in the Exchange; however, they have no other rights to or obligations arising from assets and liabilities of the Exchange. The shareholders of Indemnity own its equity but have no rights or interest in the Exchange’s (noncontrolling interest) income or equity. The noncontrolling interest equity represents the Exchange’s equity held for the benefit of its subscribers (policyholders), who have no rights or interest in the Indemnity shareholder interest income or equity.</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intercompany assets, liabilities, revenues and expenses between Indemnity and the Exchange have been eliminated in the Consolidated Statements of Financial Position.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Retrospective adoption of new accounting principle</w:t>
      </w:r>
    </w:p>
    <w:p>
      <w:pPr>
        <w:spacing w:after="0" w:line="117"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 xml:space="preserve">On June 12, 2009, the Financial Accounting Standards Board (FASB) updated ASC 810, </w:t>
      </w:r>
      <w:r>
        <w:rPr>
          <w:rFonts w:ascii="Arial" w:cs="Arial" w:eastAsia="Arial" w:hAnsi="Arial"/>
          <w:sz w:val="18"/>
          <w:szCs w:val="18"/>
          <w:i w:val="1"/>
          <w:iCs w:val="1"/>
          <w:color w:val="auto"/>
        </w:rPr>
        <w:t>Consolidation</w:t>
      </w:r>
      <w:r>
        <w:rPr>
          <w:rFonts w:ascii="Arial" w:cs="Arial" w:eastAsia="Arial" w:hAnsi="Arial"/>
          <w:sz w:val="18"/>
          <w:szCs w:val="18"/>
          <w:color w:val="auto"/>
        </w:rPr>
        <w:t>, which amended the existing guidance for determining whether an enterprise is the primary beneficiary of a variable interest entity (“VIE”). As of January 1, 2010, Indemnity adopted the new accounting principle on a retrospective basis since inception.</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guidance changed the methodology for assessing whether an enterprise is the primary beneficiary of a VIE by requiring a qualitative analysis to determine if an enterprise’s variable interest gives it a controlling financial interest. The qualitative analysis looks at the power to direct activities of the VIE that most significantly impact economic performance and the right to receive benefits (or obligation to absorb losses) from the VIE that could potentially be significant.</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accordance with the new accounting guidance, Indemnity is deemed to be the primary beneficiary of the Exchange given the significance of the management fee to the Exchange and Indemnity’s power to direct the Exchange’s significant activities. Under the previously issued accounting guidance, Indemnity was not deemed the primary beneficiary of the Exchange and its financial position and operating results were not consolidated with Indemnity’s. Following adoption of the new accounting guidance, as primary beneficiary of the Exchange, Erie Indemnity Company has consolidated Indemnity and the Exchange’s financial position and operating results.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upon consolidation of the Exchange, 100% of the ownership of EFL resides within the consolidated entity and consequently EFL’s financial results are also consolidated. The financial statements and notes to the financial statements presented herein have all been adjusted to reflect the retrospective adoption of the new accounting principle.</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was no cumulative effect to Indemnity’s shareholders’ equity from consolidation of the Exchange and EFL. The noncontrolling interest in total equity represents the amount of the Exchange’s subscribers’ (policyholders’)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Updates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January 2010, the FASB issued Accounting Standards Update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This guidance updated the disclosures for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The additional disclosures include the amounts and reasons for significant transfers between the levels in the fair value hierarchy, the expansion of fair market disclosures by each class of assets, disclosure of the policy for recognition of level transfers, and disclosure of the valuation techniques used for all Level 2 and Level 3 assets. These disclosures are effective for periods beginning after December 15, 2009 and have been included in Note 6. An additional disclosure requirement to present purchases, sales, issuances, and settlements of Level 3 activity on a gross basis becomes effective with periods beginning after December 15, 2010.</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earnings per share is calculated under the two-class method, which allocates earnings to each class of stock based on its dividend rights. Class B shares are convertible into Class A shares at a conversion ratio of 2,400 to 1. Class A diluted earnings per share is calculated under the if-converted method which reflects the conversion of Class B shares and the effect of potentially dilutive outstanding employee stock-based awards and awards not yet vested related to the outside directors’ stock compensation plan.</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Indemnity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3"/>
              </w:rPr>
              <w:t>Indemnity Earnings Per Share Calculation</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80" w:type="dxa"/>
            <w:vAlign w:val="bottom"/>
            <w:gridSpan w:val="7"/>
          </w:tcPr>
          <w:p>
            <w:pPr>
              <w:ind w:left="400"/>
              <w:spacing w:after="0" w:line="123" w:lineRule="exact"/>
              <w:rPr>
                <w:sz w:val="20"/>
                <w:szCs w:val="20"/>
                <w:color w:val="auto"/>
              </w:rPr>
            </w:pPr>
            <w:r>
              <w:rPr>
                <w:rFonts w:ascii="Arial" w:cs="Arial" w:eastAsia="Arial" w:hAnsi="Arial"/>
                <w:sz w:val="14"/>
                <w:szCs w:val="14"/>
                <w:color w:val="auto"/>
              </w:rPr>
              <w:t>Three months ended September 30,</w:t>
            </w: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except share data)</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6"/>
              </w:rPr>
              <w:t>2009</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jc w:val="right"/>
              <w:ind w:right="312"/>
              <w:spacing w:after="0" w:line="123" w:lineRule="exact"/>
              <w:rPr>
                <w:sz w:val="20"/>
                <w:szCs w:val="20"/>
                <w:color w:val="auto"/>
              </w:rPr>
            </w:pPr>
            <w:r>
              <w:rPr>
                <w:rFonts w:ascii="Arial" w:cs="Arial" w:eastAsia="Arial" w:hAnsi="Arial"/>
                <w:sz w:val="14"/>
                <w:szCs w:val="14"/>
                <w:color w:val="auto"/>
              </w:rPr>
              <w:t>Allocated</w:t>
            </w:r>
          </w:p>
        </w:tc>
        <w:tc>
          <w:tcPr>
            <w:tcW w:w="144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52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0"/>
              </w:rPr>
              <w:t>Per-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Allocated</w:t>
            </w:r>
          </w:p>
        </w:tc>
        <w:tc>
          <w:tcPr>
            <w:tcW w:w="1440" w:type="dxa"/>
            <w:vAlign w:val="bottom"/>
          </w:tcPr>
          <w:p>
            <w:pPr>
              <w:jc w:val="center"/>
              <w:ind w:right="58"/>
              <w:spacing w:after="0" w:line="123" w:lineRule="exact"/>
              <w:rPr>
                <w:sz w:val="20"/>
                <w:szCs w:val="20"/>
                <w:color w:val="auto"/>
              </w:rPr>
            </w:pPr>
            <w:r>
              <w:rPr>
                <w:rFonts w:ascii="Arial" w:cs="Arial" w:eastAsia="Arial" w:hAnsi="Arial"/>
                <w:sz w:val="14"/>
                <w:szCs w:val="14"/>
                <w:color w:val="auto"/>
                <w:w w:val="91"/>
              </w:rPr>
              <w:t>Weighted</w:t>
            </w:r>
          </w:p>
        </w:tc>
        <w:tc>
          <w:tcPr>
            <w:tcW w:w="42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0"/>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520" w:type="dxa"/>
            <w:vAlign w:val="bottom"/>
          </w:tcPr>
          <w:p>
            <w:pPr>
              <w:spacing w:after="0"/>
              <w:rPr>
                <w:sz w:val="12"/>
                <w:szCs w:val="12"/>
                <w:color w:val="auto"/>
              </w:rPr>
            </w:pPr>
          </w:p>
        </w:tc>
        <w:tc>
          <w:tcPr>
            <w:tcW w:w="1220" w:type="dxa"/>
            <w:vAlign w:val="bottom"/>
            <w:gridSpan w:val="4"/>
          </w:tcPr>
          <w:p>
            <w:pPr>
              <w:jc w:val="center"/>
              <w:ind w:right="740"/>
              <w:spacing w:after="0" w:line="149" w:lineRule="exact"/>
              <w:rPr>
                <w:sz w:val="20"/>
                <w:szCs w:val="20"/>
                <w:color w:val="auto"/>
              </w:rPr>
            </w:pPr>
            <w:r>
              <w:rPr>
                <w:rFonts w:ascii="Arial" w:cs="Arial" w:eastAsia="Arial" w:hAnsi="Arial"/>
                <w:sz w:val="14"/>
                <w:szCs w:val="14"/>
                <w:color w:val="auto"/>
                <w:w w:val="91"/>
              </w:rPr>
              <w:t>share</w:t>
            </w: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w:t>
            </w:r>
          </w:p>
        </w:tc>
        <w:tc>
          <w:tcPr>
            <w:tcW w:w="144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85"/>
              </w:rPr>
              <w:t>shares</w:t>
            </w:r>
          </w:p>
        </w:tc>
        <w:tc>
          <w:tcPr>
            <w:tcW w:w="4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81"/>
        </w:trPr>
        <w:tc>
          <w:tcPr>
            <w:tcW w:w="3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(denominator)</w:t>
            </w:r>
          </w:p>
        </w:tc>
        <w:tc>
          <w:tcPr>
            <w:tcW w:w="520" w:type="dxa"/>
            <w:vAlign w:val="bottom"/>
          </w:tcPr>
          <w:p>
            <w:pPr>
              <w:spacing w:after="0"/>
              <w:rPr>
                <w:sz w:val="15"/>
                <w:szCs w:val="15"/>
                <w:color w:val="auto"/>
              </w:rPr>
            </w:pPr>
          </w:p>
        </w:tc>
        <w:tc>
          <w:tcPr>
            <w:tcW w:w="1220" w:type="dxa"/>
            <w:vAlign w:val="bottom"/>
            <w:gridSpan w:val="4"/>
          </w:tcPr>
          <w:p>
            <w:pPr>
              <w:jc w:val="center"/>
              <w:ind w:right="740"/>
              <w:spacing w:after="0"/>
              <w:rPr>
                <w:sz w:val="20"/>
                <w:szCs w:val="20"/>
                <w:color w:val="auto"/>
              </w:rPr>
            </w:pPr>
            <w:r>
              <w:rPr>
                <w:rFonts w:ascii="Arial" w:cs="Arial" w:eastAsia="Arial" w:hAnsi="Arial"/>
                <w:sz w:val="14"/>
                <w:szCs w:val="14"/>
                <w:color w:val="auto"/>
                <w:w w:val="94"/>
              </w:rPr>
              <w:t>amount</w:t>
            </w:r>
          </w:p>
        </w:tc>
        <w:tc>
          <w:tcPr>
            <w:tcW w:w="114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1440" w:type="dxa"/>
            <w:vAlign w:val="bottom"/>
          </w:tcPr>
          <w:p>
            <w:pPr>
              <w:jc w:val="center"/>
              <w:ind w:right="58"/>
              <w:spacing w:after="0"/>
              <w:rPr>
                <w:sz w:val="20"/>
                <w:szCs w:val="20"/>
                <w:color w:val="auto"/>
              </w:rPr>
            </w:pPr>
            <w:r>
              <w:rPr>
                <w:rFonts w:ascii="Arial" w:cs="Arial" w:eastAsia="Arial" w:hAnsi="Arial"/>
                <w:sz w:val="14"/>
                <w:szCs w:val="14"/>
                <w:color w:val="auto"/>
                <w:w w:val="94"/>
              </w:rPr>
              <w:t>(denominator)</w:t>
            </w:r>
          </w:p>
        </w:tc>
        <w:tc>
          <w:tcPr>
            <w:tcW w:w="4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amount</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 Basic EPS:</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w w:val="91"/>
              </w:rPr>
              <w:t>Income available to Class A stockholders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54</w:t>
            </w: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50,499,551</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51,252,693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14,359</w:t>
            </w:r>
          </w:p>
        </w:tc>
        <w:tc>
          <w:tcPr>
            <w:tcW w:w="5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20,807</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w w:val="95"/>
              </w:rPr>
              <w:t>Assumed conversion of Class B shares</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6,110,400</w:t>
            </w: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6,110,400</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 Diluted EPS: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w w:val="91"/>
              </w:rPr>
              <w:t>Income available to Class A stockholders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20"/>
              <w:spacing w:after="0"/>
              <w:rPr>
                <w:sz w:val="20"/>
                <w:szCs w:val="20"/>
                <w:color w:val="auto"/>
              </w:rPr>
            </w:pPr>
            <w:r>
              <w:rPr>
                <w:rFonts w:ascii="Arial" w:cs="Arial" w:eastAsia="Arial" w:hAnsi="Arial"/>
                <w:sz w:val="18"/>
                <w:szCs w:val="18"/>
                <w:color w:val="auto"/>
              </w:rPr>
              <w:t>on Class A equivalent shares</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54</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56,624,310</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40</w:t>
            </w:r>
          </w:p>
        </w:tc>
        <w:tc>
          <w:tcPr>
            <w:tcW w:w="1440" w:type="dxa"/>
            <w:vAlign w:val="bottom"/>
          </w:tcPr>
          <w:p>
            <w:pPr>
              <w:jc w:val="right"/>
              <w:ind w:right="258"/>
              <w:spacing w:after="0"/>
              <w:rPr>
                <w:sz w:val="20"/>
                <w:szCs w:val="20"/>
                <w:color w:val="auto"/>
              </w:rPr>
            </w:pPr>
            <w:r>
              <w:rPr>
                <w:rFonts w:ascii="Arial" w:cs="Arial" w:eastAsia="Arial" w:hAnsi="Arial"/>
                <w:sz w:val="18"/>
                <w:szCs w:val="18"/>
                <w:color w:val="auto"/>
              </w:rPr>
              <w:t>57,383,900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Class B — Basic and diluted EPS: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w w:val="91"/>
              </w:rPr>
              <w:t>Income available to Class B stockholders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2,546</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150.87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2,546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3"/>
              </w:rPr>
              <w:t>Indemnity Earnings Per Share Calculation</w:t>
            </w: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80" w:type="dxa"/>
            <w:vAlign w:val="bottom"/>
            <w:gridSpan w:val="7"/>
          </w:tcPr>
          <w:p>
            <w:pPr>
              <w:jc w:val="center"/>
              <w:spacing w:after="0" w:line="123" w:lineRule="exact"/>
              <w:rPr>
                <w:sz w:val="20"/>
                <w:szCs w:val="20"/>
                <w:color w:val="auto"/>
              </w:rPr>
            </w:pPr>
            <w:r>
              <w:rPr>
                <w:rFonts w:ascii="Arial" w:cs="Arial" w:eastAsia="Arial" w:hAnsi="Arial"/>
                <w:sz w:val="14"/>
                <w:szCs w:val="14"/>
                <w:color w:val="auto"/>
                <w:w w:val="91"/>
              </w:rPr>
              <w:t>Nine months ended September 30,</w:t>
            </w: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except share data)</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6"/>
              </w:rPr>
              <w:t>2009</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312"/>
              <w:spacing w:after="0" w:line="123" w:lineRule="exact"/>
              <w:rPr>
                <w:sz w:val="20"/>
                <w:szCs w:val="20"/>
                <w:color w:val="auto"/>
              </w:rPr>
            </w:pPr>
            <w:r>
              <w:rPr>
                <w:rFonts w:ascii="Arial" w:cs="Arial" w:eastAsia="Arial" w:hAnsi="Arial"/>
                <w:sz w:val="14"/>
                <w:szCs w:val="14"/>
                <w:color w:val="auto"/>
                <w:w w:val="83"/>
              </w:rPr>
              <w:t>Allocated</w:t>
            </w:r>
          </w:p>
        </w:tc>
        <w:tc>
          <w:tcPr>
            <w:tcW w:w="144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520" w:type="dxa"/>
            <w:vAlign w:val="bottom"/>
          </w:tcPr>
          <w:p>
            <w:pPr>
              <w:spacing w:after="0"/>
              <w:rPr>
                <w:sz w:val="10"/>
                <w:szCs w:val="10"/>
                <w:color w:val="auto"/>
              </w:rPr>
            </w:pPr>
          </w:p>
        </w:tc>
        <w:tc>
          <w:tcPr>
            <w:tcW w:w="6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0"/>
              </w:rPr>
              <w:t>Per-</w:t>
            </w:r>
          </w:p>
        </w:tc>
        <w:tc>
          <w:tcPr>
            <w:tcW w:w="540" w:type="dxa"/>
            <w:vAlign w:val="bottom"/>
          </w:tcPr>
          <w:p>
            <w:pPr>
              <w:spacing w:after="0"/>
              <w:rPr>
                <w:sz w:val="10"/>
                <w:szCs w:val="10"/>
                <w:color w:val="auto"/>
              </w:rPr>
            </w:pPr>
          </w:p>
        </w:tc>
        <w:tc>
          <w:tcPr>
            <w:tcW w:w="11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Allocated</w:t>
            </w:r>
          </w:p>
        </w:tc>
        <w:tc>
          <w:tcPr>
            <w:tcW w:w="1440" w:type="dxa"/>
            <w:vAlign w:val="bottom"/>
          </w:tcPr>
          <w:p>
            <w:pPr>
              <w:jc w:val="center"/>
              <w:ind w:right="58"/>
              <w:spacing w:after="0" w:line="123" w:lineRule="exact"/>
              <w:rPr>
                <w:sz w:val="20"/>
                <w:szCs w:val="20"/>
                <w:color w:val="auto"/>
              </w:rPr>
            </w:pPr>
            <w:r>
              <w:rPr>
                <w:rFonts w:ascii="Arial" w:cs="Arial" w:eastAsia="Arial" w:hAnsi="Arial"/>
                <w:sz w:val="14"/>
                <w:szCs w:val="14"/>
                <w:color w:val="auto"/>
                <w:w w:val="91"/>
              </w:rPr>
              <w:t>Weighted</w:t>
            </w:r>
          </w:p>
        </w:tc>
        <w:tc>
          <w:tcPr>
            <w:tcW w:w="42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0"/>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520" w:type="dxa"/>
            <w:vAlign w:val="bottom"/>
          </w:tcPr>
          <w:p>
            <w:pPr>
              <w:spacing w:after="0"/>
              <w:rPr>
                <w:sz w:val="12"/>
                <w:szCs w:val="12"/>
                <w:color w:val="auto"/>
              </w:rPr>
            </w:pPr>
          </w:p>
        </w:tc>
        <w:tc>
          <w:tcPr>
            <w:tcW w:w="1220" w:type="dxa"/>
            <w:vAlign w:val="bottom"/>
            <w:gridSpan w:val="4"/>
          </w:tcPr>
          <w:p>
            <w:pPr>
              <w:jc w:val="center"/>
              <w:ind w:right="740"/>
              <w:spacing w:after="0" w:line="149" w:lineRule="exact"/>
              <w:rPr>
                <w:sz w:val="20"/>
                <w:szCs w:val="20"/>
                <w:color w:val="auto"/>
              </w:rPr>
            </w:pPr>
            <w:r>
              <w:rPr>
                <w:rFonts w:ascii="Arial" w:cs="Arial" w:eastAsia="Arial" w:hAnsi="Arial"/>
                <w:sz w:val="14"/>
                <w:szCs w:val="14"/>
                <w:color w:val="auto"/>
                <w:w w:val="91"/>
              </w:rPr>
              <w:t>share</w:t>
            </w: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w:t>
            </w:r>
          </w:p>
        </w:tc>
        <w:tc>
          <w:tcPr>
            <w:tcW w:w="144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85"/>
              </w:rPr>
              <w:t>Shares</w:t>
            </w:r>
          </w:p>
        </w:tc>
        <w:tc>
          <w:tcPr>
            <w:tcW w:w="4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81"/>
        </w:trPr>
        <w:tc>
          <w:tcPr>
            <w:tcW w:w="3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(denominator)</w:t>
            </w:r>
          </w:p>
        </w:tc>
        <w:tc>
          <w:tcPr>
            <w:tcW w:w="520" w:type="dxa"/>
            <w:vAlign w:val="bottom"/>
          </w:tcPr>
          <w:p>
            <w:pPr>
              <w:spacing w:after="0"/>
              <w:rPr>
                <w:sz w:val="15"/>
                <w:szCs w:val="15"/>
                <w:color w:val="auto"/>
              </w:rPr>
            </w:pPr>
          </w:p>
        </w:tc>
        <w:tc>
          <w:tcPr>
            <w:tcW w:w="1220" w:type="dxa"/>
            <w:vAlign w:val="bottom"/>
            <w:gridSpan w:val="4"/>
          </w:tcPr>
          <w:p>
            <w:pPr>
              <w:jc w:val="center"/>
              <w:ind w:right="740"/>
              <w:spacing w:after="0"/>
              <w:rPr>
                <w:sz w:val="20"/>
                <w:szCs w:val="20"/>
                <w:color w:val="auto"/>
              </w:rPr>
            </w:pPr>
            <w:r>
              <w:rPr>
                <w:rFonts w:ascii="Arial" w:cs="Arial" w:eastAsia="Arial" w:hAnsi="Arial"/>
                <w:sz w:val="14"/>
                <w:szCs w:val="14"/>
                <w:color w:val="auto"/>
                <w:w w:val="94"/>
              </w:rPr>
              <w:t>amount</w:t>
            </w:r>
          </w:p>
        </w:tc>
        <w:tc>
          <w:tcPr>
            <w:tcW w:w="114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1440" w:type="dxa"/>
            <w:vAlign w:val="bottom"/>
          </w:tcPr>
          <w:p>
            <w:pPr>
              <w:jc w:val="center"/>
              <w:ind w:right="58"/>
              <w:spacing w:after="0"/>
              <w:rPr>
                <w:sz w:val="20"/>
                <w:szCs w:val="20"/>
                <w:color w:val="auto"/>
              </w:rPr>
            </w:pPr>
            <w:r>
              <w:rPr>
                <w:rFonts w:ascii="Arial" w:cs="Arial" w:eastAsia="Arial" w:hAnsi="Arial"/>
                <w:sz w:val="14"/>
                <w:szCs w:val="14"/>
                <w:color w:val="auto"/>
                <w:w w:val="94"/>
              </w:rPr>
              <w:t>(denominator)</w:t>
            </w:r>
          </w:p>
        </w:tc>
        <w:tc>
          <w:tcPr>
            <w:tcW w:w="4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amount</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 Basic EPS:</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w w:val="91"/>
              </w:rPr>
              <w:t>Income available to Class A stockholders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149</w:t>
            </w: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50,897,035</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83</w:t>
            </w: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51,255,234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14,359</w:t>
            </w:r>
          </w:p>
        </w:tc>
        <w:tc>
          <w:tcPr>
            <w:tcW w:w="5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20,807</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w w:val="95"/>
              </w:rPr>
              <w:t>Assumed conversion of Class B shares</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6,110,400</w:t>
            </w: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6,117,600</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 Diluted EPS: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w w:val="91"/>
              </w:rPr>
              <w:t>Income available to Class A stockholders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20"/>
              <w:spacing w:after="0"/>
              <w:rPr>
                <w:sz w:val="20"/>
                <w:szCs w:val="20"/>
                <w:color w:val="auto"/>
              </w:rPr>
            </w:pPr>
            <w:r>
              <w:rPr>
                <w:rFonts w:ascii="Arial" w:cs="Arial" w:eastAsia="Arial" w:hAnsi="Arial"/>
                <w:sz w:val="18"/>
                <w:szCs w:val="18"/>
                <w:color w:val="auto"/>
              </w:rPr>
              <w:t>on Class A equivalent shares</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150</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57,021,794</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84</w:t>
            </w:r>
          </w:p>
        </w:tc>
        <w:tc>
          <w:tcPr>
            <w:tcW w:w="1440" w:type="dxa"/>
            <w:vAlign w:val="bottom"/>
          </w:tcPr>
          <w:p>
            <w:pPr>
              <w:jc w:val="right"/>
              <w:ind w:right="258"/>
              <w:spacing w:after="0"/>
              <w:rPr>
                <w:sz w:val="20"/>
                <w:szCs w:val="20"/>
                <w:color w:val="auto"/>
              </w:rPr>
            </w:pPr>
            <w:r>
              <w:rPr>
                <w:rFonts w:ascii="Arial" w:cs="Arial" w:eastAsia="Arial" w:hAnsi="Arial"/>
                <w:sz w:val="18"/>
                <w:szCs w:val="18"/>
                <w:color w:val="auto"/>
              </w:rPr>
              <w:t>57,393,641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Class B — Basic and diluted EPS: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w w:val="91"/>
              </w:rPr>
              <w:t>Income available to Class B stockholders</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1</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2,546</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421.91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440" w:type="dxa"/>
            <w:vAlign w:val="bottom"/>
          </w:tcPr>
          <w:p>
            <w:pPr>
              <w:jc w:val="right"/>
              <w:ind w:right="258"/>
              <w:spacing w:after="0"/>
              <w:rPr>
                <w:sz w:val="20"/>
                <w:szCs w:val="20"/>
                <w:color w:val="auto"/>
              </w:rPr>
            </w:pPr>
            <w:r>
              <w:rPr>
                <w:rFonts w:ascii="Arial" w:cs="Arial" w:eastAsia="Arial" w:hAnsi="Arial"/>
                <w:sz w:val="18"/>
                <w:szCs w:val="18"/>
                <w:color w:val="auto"/>
              </w:rPr>
              <w:t>2,549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239.96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Included in the diluted earnings per share calculations for the third quarters of 2010 and 2009, respectively, were 7,959 and 9,607 shares of awards not yet vested related to our outside directors’ stock compensation plan, and 6,400 and 11,200 shares of other stock-based awards not yet vested.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Exchange is a reciprocal insurance exchange domiciled in Pennsylvania, for which Indemnity serves as attorney-in-fact. Indemnity holds a variable interest in the Exchange because of the absence of decision-making capabilities by the equity owners (i.e. subscribers (policyholders)) of the Exchange and because of the significance of the management fees the Exchange pays to Indemnity as the decision maker. The new accounting guidance, which we adopted on January 1, 2010, requires entities to perform a qualitative analysis to determine the primary beneficiary of variable interest entities. As a result of adopting the new guidance, Indemnity is deemed to have a controlling financial interest in the Exchange and is considered the primary beneficiary. The Exchange’s results have been consolidated with those of Indemnity. We have retrospectively applied the new accounting guidance and have consolidated the Exchange for all periods presented in this report for comparability purposes. See Note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Consolidation of the Exchange is required given the significance of the management fee to the Exchange and because Indemnity has the power to direct the activities of the Exchange that most significantly impact the Exchange’s economic performance. Indemnity earns management fee revenues from the Exchange for services provided as attorney-in-fact for the Exchange. Indemnity’s management fee revenues are based on the direct written premiums of the Exchange and the other members of the Property and Casualty Group. Indemnity’s Board of Directors determines the management fee rate paid by the Exchange to Indemnity. This rate cannot exceed 25% of the direct and affiliated assumed written premiums of the Exchange, as defined by the subscriber agreement signed by each policyholder. The management fee revenues and management fee expenses are eliminated in consolidation.</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Indemnity participates in the underwriting results of the Exchange through the pooling arrangement in which its insurance subsidiaries have a 5.5% participation. If the Exchange were to default, Indemnity’s insurance subsidiaries would be liable for the policies that they wrote directly. Indemnity’s property and casualty insurance subsidiaries wrote approximately 16% of the 2009 direct written premiums of the Property and Casualty Group. Indemnity’s Board of Directors determines the continuation and participation percentage of Indemnity’s property and casualty subsidiaries in the reinsurance pooling arrangement.</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Indemnity has no obligation related to any underwriting and/or investment losses experienced by the Exchange. Indemnity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Indemnity receives and the underwriting results of the Property and Casualty Group in which Indemnity has a 5.5% participation. In addition, a decline in the surplus of the Exchange from its current level may impact the management fee rate received by Indemnity. Indemnity also has an exposure to a concentration of credit risk related to the unsecured receivables due from the Exchange for its management fee, reinsurance recoverables from unpaid losses and loss expenses and unearned premium balances ceded under the pooling arrangement and cost reimbursements.</w:t>
      </w:r>
    </w:p>
    <w:p>
      <w:pPr>
        <w:spacing w:after="0" w:line="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Indemnity has not provided financial or other support to the Exchange for the reporting periods presented. At September 30, 2010, there are no explicit or implicit arrangements that would require Indemnity to provide future financial support to the Exchange. Indemnity is not liable if the Exchange was to be in violation of its debt covenants or was unable to meet its obligation for unfunded commitments to limited partnerships.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a result of the changes in our reporting entity at January 1, 2010 (see Note 2), our reportable segments have increased from three to four. Our reportable segments include management operations, property and casualty insurance operations, life insurance operations and investment operations. The segment information presented below includes reclassification of all comparative prior period segment information. Accounting policies for segments are the same as those described in the summary of significant accounting policies. For further information, refer to the consolidated financial statements and footnotes for the year ended December 31, 2009 included in our Form 8-K as filed with the Securities and Exchange Commission on May 6, 2010. Assets are not allocated to the segments but rather are reviewed in total for purposes of decision-making. No single customer or agent provides 10% or more of revenues.</w:t>
      </w:r>
    </w:p>
    <w:p>
      <w:pPr>
        <w:spacing w:after="0" w:line="5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management operations segment reflects the results of serving as attorney-in-fact for the Exchange. Indemnity operates in this capacity solely for the Exchange. We evaluate profitability of our management operations segment principally on the gross margin from management operations.</w:t>
      </w:r>
    </w:p>
    <w:p>
      <w:pPr>
        <w:spacing w:after="0" w:line="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Indemnity earns management fees from the Exchange for providing sales, underwriting and policy issuance services. The management fee revenue, which is eliminated in consolidation, is calculated as a percentage of the direct written premium of the Property and Casualty Group. The Exchange issues policies with annual terms only. Management fees are recorded upon policy issuance or renewal, as substantially all of the services required to be performed by Indemnity have been satisfied at that time. Certain activities are performed and related costs are incurred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by Indemnity subsequent to policy issuance in connection with the services provided to the Exchange; however, these activities are inconsequential and perfunctory. Although these management fee revenues and expenses are eliminated in consolidation, the amount of the fee directly impacts allocations of our consolidated net income between noncontrolling interest, which bears the management fee expense and represents the interests of the Exchange subscribers, and Indemnity’s interests, which earns the management fee revenue and represents Indemnity shareholder interest in net income.</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property and casualty insurance operations segment includes personal and commercial lines of business. Personal lines consist primarily of personal auto and homeowners and are marketed to individuals. Commercial lines consist primarily of commercial multi-peril, commercial auto and workers compensation and are marketed to small and medium-sized businesses. Our property and casualty policies are sold by independent agents. Our property and casualty insurance underwriting operations are conducted through Indemnity subsidiaries and the Exchange and its subsidiaries, and include assumed voluntary reinsurance from nonaffiliated domestic and foreign sources, assumed involuntary and ceded reinsurance business. The Exchange exited the assumed voluntary reinsurance business effective December 31, 2003, and therefore unaffiliated reinsurance includes only run-off activity of the previously assumed voluntary reinsurance business. We evaluate profitability of the property and casualty operations principally based on net underwriting results represented by the combined ratio.</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life insurance operations segment includes traditional and universal life insurance products and fixed annuities marketed to individuals using the same independent agency force utilized by our property and casualty operations. We evaluate profitability of the life insurance operations segment principally based on segment net income, including investments, which for segment purposes are reflected in the investment operations segment. At the same time, we recognize that investment-related income is integral to the evaluation of the life insurance segment because of the long duration of life products. For the third quarter 2010 and 2009, investment activities on life insurance-related assets generated revenues of $27 million and $19 million, respectively, resulting in EFL reporting income before income taxes of $16 million and $8 million, respectively, before intercompany eliminations. For the nine months ended September 30, 2010 and 2009, investment activities on life insurance and related assets generated revenues of $79 million and $45 million, respectively, resulting in EFL reporting income before taxes of $37 million and $8 million, respectively, before intercompany eliminations. See Note 15 for EFL supplemental information.</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investment operations segment performance is evaluated based on appreciation of assets, rate of return and overall return. Investment-related income for the life operations is included in the investment segment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Consolidated Statements of Operations by reportable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153"/>
              <w:spacing w:after="0"/>
              <w:rPr>
                <w:sz w:val="20"/>
                <w:szCs w:val="20"/>
                <w:color w:val="auto"/>
              </w:rPr>
            </w:pPr>
            <w:r>
              <w:rPr>
                <w:rFonts w:ascii="Arial" w:cs="Arial" w:eastAsia="Arial" w:hAnsi="Arial"/>
                <w:sz w:val="14"/>
                <w:szCs w:val="14"/>
                <w:color w:val="auto"/>
                <w:w w:val="93"/>
              </w:rPr>
              <w:t>Erie Insurance Group</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center"/>
              <w:ind w:right="194"/>
              <w:spacing w:after="0"/>
              <w:rPr>
                <w:sz w:val="20"/>
                <w:szCs w:val="20"/>
                <w:color w:val="auto"/>
              </w:rPr>
            </w:pPr>
            <w:r>
              <w:rPr>
                <w:rFonts w:ascii="Arial" w:cs="Arial" w:eastAsia="Arial" w:hAnsi="Arial"/>
                <w:sz w:val="14"/>
                <w:szCs w:val="14"/>
                <w:color w:val="auto"/>
                <w:w w:val="94"/>
              </w:rPr>
              <w:t>Property</w:t>
            </w:r>
          </w:p>
        </w:tc>
        <w:tc>
          <w:tcPr>
            <w:tcW w:w="3060" w:type="dxa"/>
            <w:vAlign w:val="bottom"/>
            <w:gridSpan w:val="4"/>
          </w:tcPr>
          <w:p>
            <w:pPr>
              <w:jc w:val="center"/>
              <w:spacing w:after="0"/>
              <w:rPr>
                <w:sz w:val="20"/>
                <w:szCs w:val="20"/>
                <w:color w:val="auto"/>
              </w:rPr>
            </w:pPr>
            <w:r>
              <w:rPr>
                <w:rFonts w:ascii="Arial" w:cs="Arial" w:eastAsia="Arial" w:hAnsi="Arial"/>
                <w:sz w:val="14"/>
                <w:szCs w:val="14"/>
                <w:color w:val="auto"/>
                <w:w w:val="90"/>
              </w:rPr>
              <w:t>For the three months ended September 30, 2010</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center"/>
              <w:ind w:right="174"/>
              <w:spacing w:after="0" w:line="149" w:lineRule="exact"/>
              <w:rPr>
                <w:sz w:val="20"/>
                <w:szCs w:val="20"/>
                <w:color w:val="auto"/>
              </w:rPr>
            </w:pPr>
            <w:r>
              <w:rPr>
                <w:rFonts w:ascii="Arial" w:cs="Arial" w:eastAsia="Arial" w:hAnsi="Arial"/>
                <w:sz w:val="14"/>
                <w:szCs w:val="14"/>
                <w:color w:val="auto"/>
                <w:w w:val="85"/>
              </w:rPr>
              <w:t>and</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center"/>
              <w:ind w:right="174"/>
              <w:spacing w:after="0" w:line="149" w:lineRule="exact"/>
              <w:rPr>
                <w:sz w:val="20"/>
                <w:szCs w:val="20"/>
                <w:color w:val="auto"/>
              </w:rPr>
            </w:pPr>
            <w:r>
              <w:rPr>
                <w:rFonts w:ascii="Arial" w:cs="Arial" w:eastAsia="Arial" w:hAnsi="Arial"/>
                <w:sz w:val="14"/>
                <w:szCs w:val="14"/>
                <w:color w:val="auto"/>
                <w:w w:val="93"/>
              </w:rPr>
              <w:t>casualty</w:t>
            </w:r>
          </w:p>
        </w:tc>
        <w:tc>
          <w:tcPr>
            <w:tcW w:w="640" w:type="dxa"/>
            <w:vAlign w:val="bottom"/>
          </w:tcPr>
          <w:p>
            <w:pPr>
              <w:spacing w:after="0"/>
              <w:rPr>
                <w:sz w:val="12"/>
                <w:szCs w:val="12"/>
                <w:color w:val="auto"/>
              </w:rPr>
            </w:pPr>
          </w:p>
        </w:tc>
        <w:tc>
          <w:tcPr>
            <w:tcW w:w="900" w:type="dxa"/>
            <w:vAlign w:val="bottom"/>
          </w:tcPr>
          <w:p>
            <w:pPr>
              <w:jc w:val="center"/>
              <w:ind w:right="453"/>
              <w:spacing w:after="0" w:line="149" w:lineRule="exact"/>
              <w:rPr>
                <w:sz w:val="20"/>
                <w:szCs w:val="20"/>
                <w:color w:val="auto"/>
              </w:rPr>
            </w:pPr>
            <w:r>
              <w:rPr>
                <w:rFonts w:ascii="Arial" w:cs="Arial" w:eastAsia="Arial" w:hAnsi="Arial"/>
                <w:sz w:val="14"/>
                <w:szCs w:val="14"/>
                <w:color w:val="auto"/>
              </w:rPr>
              <w:t>Life</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2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Management</w:t>
            </w:r>
          </w:p>
        </w:tc>
        <w:tc>
          <w:tcPr>
            <w:tcW w:w="1200" w:type="dxa"/>
            <w:vAlign w:val="bottom"/>
            <w:gridSpan w:val="2"/>
          </w:tcPr>
          <w:p>
            <w:pPr>
              <w:jc w:val="center"/>
              <w:ind w:left="79"/>
              <w:spacing w:after="0" w:line="149" w:lineRule="exact"/>
              <w:rPr>
                <w:sz w:val="20"/>
                <w:szCs w:val="20"/>
                <w:color w:val="auto"/>
              </w:rPr>
            </w:pPr>
            <w:r>
              <w:rPr>
                <w:rFonts w:ascii="Arial" w:cs="Arial" w:eastAsia="Arial" w:hAnsi="Arial"/>
                <w:sz w:val="14"/>
                <w:szCs w:val="14"/>
                <w:color w:val="auto"/>
                <w:w w:val="92"/>
              </w:rPr>
              <w:t>insurance</w:t>
            </w:r>
          </w:p>
        </w:tc>
        <w:tc>
          <w:tcPr>
            <w:tcW w:w="1540" w:type="dxa"/>
            <w:vAlign w:val="bottom"/>
            <w:gridSpan w:val="2"/>
          </w:tcPr>
          <w:p>
            <w:pPr>
              <w:jc w:val="center"/>
              <w:ind w:left="41"/>
              <w:spacing w:after="0" w:line="149" w:lineRule="exact"/>
              <w:rPr>
                <w:sz w:val="20"/>
                <w:szCs w:val="20"/>
                <w:color w:val="auto"/>
              </w:rPr>
            </w:pPr>
            <w:r>
              <w:rPr>
                <w:rFonts w:ascii="Arial" w:cs="Arial" w:eastAsia="Arial" w:hAnsi="Arial"/>
                <w:sz w:val="14"/>
                <w:szCs w:val="14"/>
                <w:color w:val="auto"/>
                <w:w w:val="88"/>
              </w:rPr>
              <w:t>insurance</w:t>
            </w:r>
          </w:p>
        </w:tc>
        <w:tc>
          <w:tcPr>
            <w:tcW w:w="15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Investment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0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operations</w:t>
            </w:r>
          </w:p>
        </w:tc>
        <w:tc>
          <w:tcPr>
            <w:tcW w:w="120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4"/>
                <w:szCs w:val="14"/>
                <w:color w:val="auto"/>
                <w:w w:val="91"/>
              </w:rPr>
              <w:t>operations</w:t>
            </w:r>
          </w:p>
        </w:tc>
        <w:tc>
          <w:tcPr>
            <w:tcW w:w="15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4"/>
                <w:szCs w:val="14"/>
                <w:color w:val="auto"/>
                <w:w w:val="91"/>
              </w:rPr>
              <w:t>operations</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operations</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Eliminations</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w w:val="99"/>
              </w:rPr>
              <w:t>113</w:t>
            </w:r>
          </w:p>
        </w:tc>
        <w:tc>
          <w:tcPr>
            <w:tcW w:w="38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205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earnings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limited partnerships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Management fee revenue</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(266)</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2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990</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346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(270)</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690</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Benefits and other changes in policy</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Policy acquisition and underwriting</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20"/>
              <w:spacing w:after="0"/>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288</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978</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7"/>
                <w:szCs w:val="17"/>
                <w:color w:val="auto"/>
              </w:rPr>
            </w:pPr>
          </w:p>
        </w:tc>
        <w:tc>
          <w:tcPr>
            <w:tcW w:w="780" w:type="dxa"/>
            <w:vAlign w:val="bottom"/>
          </w:tcPr>
          <w:p>
            <w:pPr>
              <w:jc w:val="right"/>
              <w:ind w:right="94"/>
              <w:spacing w:after="0" w:line="203" w:lineRule="exact"/>
              <w:rPr>
                <w:sz w:val="20"/>
                <w:szCs w:val="20"/>
                <w:color w:val="auto"/>
              </w:rPr>
            </w:pPr>
            <w:r>
              <w:rPr>
                <w:rFonts w:ascii="Arial" w:cs="Arial" w:eastAsia="Arial" w:hAnsi="Arial"/>
                <w:sz w:val="18"/>
                <w:szCs w:val="18"/>
                <w:color w:val="auto"/>
              </w:rPr>
              <w:t>12</w:t>
            </w:r>
          </w:p>
        </w:tc>
        <w:tc>
          <w:tcPr>
            <w:tcW w:w="640" w:type="dxa"/>
            <w:vAlign w:val="bottom"/>
          </w:tcPr>
          <w:p>
            <w:pPr>
              <w:spacing w:after="0"/>
              <w:rPr>
                <w:sz w:val="17"/>
                <w:szCs w:val="17"/>
                <w:color w:val="auto"/>
              </w:rPr>
            </w:pPr>
          </w:p>
        </w:tc>
        <w:tc>
          <w:tcPr>
            <w:tcW w:w="900" w:type="dxa"/>
            <w:vAlign w:val="bottom"/>
          </w:tcPr>
          <w:p>
            <w:pPr>
              <w:jc w:val="right"/>
              <w:ind w:right="233"/>
              <w:spacing w:after="0" w:line="203"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860" w:type="dxa"/>
            <w:vAlign w:val="bottom"/>
          </w:tcPr>
          <w:p>
            <w:pPr>
              <w:jc w:val="right"/>
              <w:ind w:right="450"/>
              <w:spacing w:after="0" w:line="203" w:lineRule="exact"/>
              <w:rPr>
                <w:sz w:val="20"/>
                <w:szCs w:val="20"/>
                <w:color w:val="auto"/>
              </w:rPr>
            </w:pPr>
            <w:r>
              <w:rPr>
                <w:rFonts w:ascii="Arial" w:cs="Arial" w:eastAsia="Arial" w:hAnsi="Arial"/>
                <w:sz w:val="18"/>
                <w:szCs w:val="18"/>
                <w:color w:val="auto"/>
                <w:w w:val="99"/>
              </w:rPr>
              <w:t>346</w:t>
            </w:r>
          </w:p>
        </w:tc>
        <w:tc>
          <w:tcPr>
            <w:tcW w:w="380" w:type="dxa"/>
            <w:vAlign w:val="bottom"/>
          </w:tcPr>
          <w:p>
            <w:pPr>
              <w:spacing w:after="0"/>
              <w:rPr>
                <w:sz w:val="17"/>
                <w:szCs w:val="17"/>
                <w:color w:val="auto"/>
              </w:rPr>
            </w:pPr>
          </w:p>
        </w:tc>
        <w:tc>
          <w:tcPr>
            <w:tcW w:w="8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108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3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238</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vMerge w:val="restart"/>
          </w:tcPr>
          <w:p>
            <w:pPr>
              <w:jc w:val="center"/>
              <w:ind w:right="175"/>
              <w:spacing w:after="0"/>
              <w:rPr>
                <w:sz w:val="20"/>
                <w:szCs w:val="20"/>
                <w:color w:val="auto"/>
              </w:rPr>
            </w:pPr>
            <w:r>
              <w:rPr>
                <w:rFonts w:ascii="Arial" w:cs="Arial" w:eastAsia="Arial" w:hAnsi="Arial"/>
                <w:sz w:val="14"/>
                <w:szCs w:val="14"/>
                <w:color w:val="auto"/>
                <w:w w:val="92"/>
              </w:rPr>
              <w:t>Property and</w:t>
            </w:r>
          </w:p>
        </w:tc>
        <w:tc>
          <w:tcPr>
            <w:tcW w:w="3060" w:type="dxa"/>
            <w:vAlign w:val="bottom"/>
            <w:gridSpan w:val="4"/>
          </w:tcPr>
          <w:p>
            <w:pPr>
              <w:jc w:val="center"/>
              <w:ind w:right="90"/>
              <w:spacing w:after="0"/>
              <w:rPr>
                <w:sz w:val="20"/>
                <w:szCs w:val="20"/>
                <w:color w:val="auto"/>
              </w:rPr>
            </w:pPr>
            <w:r>
              <w:rPr>
                <w:rFonts w:ascii="Arial" w:cs="Arial" w:eastAsia="Arial" w:hAnsi="Arial"/>
                <w:sz w:val="14"/>
                <w:szCs w:val="14"/>
                <w:color w:val="auto"/>
                <w:w w:val="90"/>
              </w:rPr>
              <w:t>For the three months ended September 30, 2009</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Management</w:t>
            </w:r>
          </w:p>
        </w:tc>
        <w:tc>
          <w:tcPr>
            <w:tcW w:w="1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casualty insurance</w:t>
            </w:r>
          </w:p>
        </w:tc>
        <w:tc>
          <w:tcPr>
            <w:tcW w:w="16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Life insurance</w:t>
            </w:r>
          </w:p>
        </w:tc>
        <w:tc>
          <w:tcPr>
            <w:tcW w:w="14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Investment</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w w:val="97"/>
              </w:rPr>
              <w:t>operations</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1"/>
              </w:rPr>
              <w:t>operations</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color w:val="auto"/>
                <w:w w:val="91"/>
              </w:rPr>
              <w:t>operations</w:t>
            </w: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operations</w:t>
            </w:r>
            <w:r>
              <w:rPr>
                <w:rFonts w:ascii="Arial" w:cs="Arial" w:eastAsia="Arial" w:hAnsi="Arial"/>
                <w:sz w:val="12"/>
                <w:szCs w:val="12"/>
                <w:color w:val="auto"/>
              </w:rPr>
              <w:t>(1)</w:t>
            </w: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Eliminations</w:t>
            </w: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964</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limited partnerships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Management fee revenue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(253)</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964</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(257)</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613</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Benefits and other changes in policy</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Policy acquisition and underwriting</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2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335</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w:t>
            </w: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948</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(257)</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48</w:t>
            </w:r>
          </w:p>
        </w:tc>
        <w:tc>
          <w:tcPr>
            <w:tcW w:w="440" w:type="dxa"/>
            <w:vAlign w:val="bottom"/>
          </w:tcPr>
          <w:p>
            <w:pPr>
              <w:spacing w:after="0"/>
              <w:rPr>
                <w:sz w:val="17"/>
                <w:szCs w:val="17"/>
                <w:color w:val="auto"/>
              </w:rPr>
            </w:pPr>
          </w:p>
        </w:tc>
        <w:tc>
          <w:tcPr>
            <w:tcW w:w="1040" w:type="dxa"/>
            <w:vAlign w:val="bottom"/>
          </w:tcPr>
          <w:p>
            <w:pPr>
              <w:jc w:val="right"/>
              <w:ind w:right="35"/>
              <w:spacing w:after="0" w:line="203" w:lineRule="exact"/>
              <w:rPr>
                <w:sz w:val="20"/>
                <w:szCs w:val="20"/>
                <w:color w:val="auto"/>
              </w:rPr>
            </w:pPr>
            <w:r>
              <w:rPr>
                <w:rFonts w:ascii="Arial" w:cs="Arial" w:eastAsia="Arial" w:hAnsi="Arial"/>
                <w:sz w:val="18"/>
                <w:szCs w:val="18"/>
                <w:color w:val="auto"/>
              </w:rPr>
              <w:t>16</w:t>
            </w:r>
          </w:p>
        </w:tc>
        <w:tc>
          <w:tcPr>
            <w:tcW w:w="600" w:type="dxa"/>
            <w:vAlign w:val="bottom"/>
          </w:tcPr>
          <w:p>
            <w:pPr>
              <w:spacing w:after="0"/>
              <w:rPr>
                <w:sz w:val="17"/>
                <w:szCs w:val="17"/>
                <w:color w:val="auto"/>
              </w:rPr>
            </w:pPr>
          </w:p>
        </w:tc>
        <w:tc>
          <w:tcPr>
            <w:tcW w:w="106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7"/>
                <w:szCs w:val="17"/>
                <w:color w:val="auto"/>
              </w:rPr>
            </w:pPr>
          </w:p>
        </w:tc>
        <w:tc>
          <w:tcPr>
            <w:tcW w:w="8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303</w:t>
            </w:r>
          </w:p>
        </w:tc>
        <w:tc>
          <w:tcPr>
            <w:tcW w:w="460" w:type="dxa"/>
            <w:vAlign w:val="bottom"/>
          </w:tcPr>
          <w:p>
            <w:pPr>
              <w:spacing w:after="0"/>
              <w:rPr>
                <w:sz w:val="17"/>
                <w:szCs w:val="17"/>
                <w:color w:val="auto"/>
              </w:rPr>
            </w:pPr>
          </w:p>
        </w:tc>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356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225</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vMerge w:val="restart"/>
          </w:tcPr>
          <w:p>
            <w:pPr>
              <w:jc w:val="center"/>
              <w:ind w:right="175"/>
              <w:spacing w:after="0"/>
              <w:rPr>
                <w:sz w:val="20"/>
                <w:szCs w:val="20"/>
                <w:color w:val="auto"/>
              </w:rPr>
            </w:pPr>
            <w:r>
              <w:rPr>
                <w:rFonts w:ascii="Arial" w:cs="Arial" w:eastAsia="Arial" w:hAnsi="Arial"/>
                <w:sz w:val="14"/>
                <w:szCs w:val="14"/>
                <w:color w:val="auto"/>
                <w:w w:val="94"/>
              </w:rPr>
              <w:t>Property</w:t>
            </w:r>
          </w:p>
        </w:tc>
        <w:tc>
          <w:tcPr>
            <w:tcW w:w="3060" w:type="dxa"/>
            <w:vAlign w:val="bottom"/>
            <w:gridSpan w:val="4"/>
          </w:tcPr>
          <w:p>
            <w:pPr>
              <w:jc w:val="center"/>
              <w:ind w:right="90"/>
              <w:spacing w:after="0"/>
              <w:rPr>
                <w:sz w:val="20"/>
                <w:szCs w:val="20"/>
                <w:color w:val="auto"/>
              </w:rPr>
            </w:pPr>
            <w:r>
              <w:rPr>
                <w:rFonts w:ascii="Arial" w:cs="Arial" w:eastAsia="Arial" w:hAnsi="Arial"/>
                <w:sz w:val="14"/>
                <w:szCs w:val="14"/>
                <w:color w:val="auto"/>
                <w:w w:val="91"/>
              </w:rPr>
              <w:t>For the nine months ended September 30, 2010</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85"/>
              </w:rPr>
              <w:t>and</w:t>
            </w: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93"/>
              </w:rPr>
              <w:t>casualty</w:t>
            </w:r>
          </w:p>
        </w:tc>
        <w:tc>
          <w:tcPr>
            <w:tcW w:w="600" w:type="dxa"/>
            <w:vAlign w:val="bottom"/>
          </w:tcPr>
          <w:p>
            <w:pPr>
              <w:spacing w:after="0"/>
              <w:rPr>
                <w:sz w:val="12"/>
                <w:szCs w:val="12"/>
                <w:color w:val="auto"/>
              </w:rPr>
            </w:pPr>
          </w:p>
        </w:tc>
        <w:tc>
          <w:tcPr>
            <w:tcW w:w="1060" w:type="dxa"/>
            <w:vAlign w:val="bottom"/>
          </w:tcPr>
          <w:p>
            <w:pPr>
              <w:jc w:val="center"/>
              <w:ind w:right="374"/>
              <w:spacing w:after="0" w:line="149" w:lineRule="exact"/>
              <w:rPr>
                <w:sz w:val="20"/>
                <w:szCs w:val="20"/>
                <w:color w:val="auto"/>
              </w:rPr>
            </w:pPr>
            <w:r>
              <w:rPr>
                <w:rFonts w:ascii="Arial" w:cs="Arial" w:eastAsia="Arial" w:hAnsi="Arial"/>
                <w:sz w:val="14"/>
                <w:szCs w:val="14"/>
                <w:color w:val="auto"/>
              </w:rPr>
              <w:t>Life</w:t>
            </w: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Management</w:t>
            </w:r>
          </w:p>
        </w:tc>
        <w:tc>
          <w:tcPr>
            <w:tcW w:w="44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92"/>
              </w:rPr>
              <w:t>insurance</w:t>
            </w:r>
          </w:p>
        </w:tc>
        <w:tc>
          <w:tcPr>
            <w:tcW w:w="600" w:type="dxa"/>
            <w:vAlign w:val="bottom"/>
          </w:tcPr>
          <w:p>
            <w:pPr>
              <w:spacing w:after="0"/>
              <w:rPr>
                <w:sz w:val="12"/>
                <w:szCs w:val="12"/>
                <w:color w:val="auto"/>
              </w:rPr>
            </w:pPr>
          </w:p>
        </w:tc>
        <w:tc>
          <w:tcPr>
            <w:tcW w:w="106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92"/>
              </w:rPr>
              <w:t>insurance</w:t>
            </w:r>
          </w:p>
        </w:tc>
        <w:tc>
          <w:tcPr>
            <w:tcW w:w="14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Investment</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w w:val="97"/>
              </w:rPr>
              <w:t>operations</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1"/>
              </w:rPr>
              <w:t>operations</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color w:val="auto"/>
                <w:w w:val="91"/>
              </w:rPr>
              <w:t>operations</w:t>
            </w:r>
          </w:p>
        </w:tc>
        <w:tc>
          <w:tcPr>
            <w:tcW w:w="14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operations</w:t>
            </w: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Eliminations</w:t>
            </w: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2,926</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earnings of limited</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partnerships</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Management fee revenue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799</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2,926</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499</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(783)</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(626)</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2,145</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Benefits and other changes in policy</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Policy acquisition and underwriting</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2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829</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(153)</w:t>
            </w: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2,974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(783)</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173</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600" w:type="dxa"/>
            <w:vAlign w:val="bottom"/>
          </w:tcPr>
          <w:p>
            <w:pPr>
              <w:spacing w:after="0"/>
              <w:rPr>
                <w:sz w:val="17"/>
                <w:szCs w:val="17"/>
                <w:color w:val="auto"/>
              </w:rPr>
            </w:pPr>
          </w:p>
        </w:tc>
        <w:tc>
          <w:tcPr>
            <w:tcW w:w="106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(42)</w:t>
            </w:r>
          </w:p>
        </w:tc>
        <w:tc>
          <w:tcPr>
            <w:tcW w:w="560" w:type="dxa"/>
            <w:vAlign w:val="bottom"/>
          </w:tcPr>
          <w:p>
            <w:pPr>
              <w:spacing w:after="0"/>
              <w:rPr>
                <w:sz w:val="17"/>
                <w:szCs w:val="17"/>
                <w:color w:val="auto"/>
              </w:rPr>
            </w:pPr>
          </w:p>
        </w:tc>
        <w:tc>
          <w:tcPr>
            <w:tcW w:w="8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499</w:t>
            </w:r>
          </w:p>
        </w:tc>
        <w:tc>
          <w:tcPr>
            <w:tcW w:w="460" w:type="dxa"/>
            <w:vAlign w:val="bottom"/>
          </w:tcPr>
          <w:p>
            <w:pPr>
              <w:spacing w:after="0"/>
              <w:rPr>
                <w:sz w:val="17"/>
                <w:szCs w:val="17"/>
                <w:color w:val="auto"/>
              </w:rPr>
            </w:pPr>
          </w:p>
        </w:tc>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582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(27)</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352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color w:val="auto"/>
                <w:w w:val="93"/>
              </w:rPr>
              <w:t>Erie Insurance Group</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restart"/>
          </w:tcPr>
          <w:p>
            <w:pPr>
              <w:jc w:val="center"/>
              <w:ind w:right="215"/>
              <w:spacing w:after="0"/>
              <w:rPr>
                <w:sz w:val="20"/>
                <w:szCs w:val="20"/>
                <w:color w:val="auto"/>
              </w:rPr>
            </w:pPr>
            <w:r>
              <w:rPr>
                <w:rFonts w:ascii="Arial" w:cs="Arial" w:eastAsia="Arial" w:hAnsi="Arial"/>
                <w:sz w:val="14"/>
                <w:szCs w:val="14"/>
                <w:color w:val="auto"/>
                <w:w w:val="94"/>
              </w:rPr>
              <w:t>Property</w:t>
            </w:r>
          </w:p>
        </w:tc>
        <w:tc>
          <w:tcPr>
            <w:tcW w:w="3020" w:type="dxa"/>
            <w:vAlign w:val="bottom"/>
            <w:gridSpan w:val="4"/>
          </w:tcPr>
          <w:p>
            <w:pPr>
              <w:jc w:val="center"/>
              <w:spacing w:after="0"/>
              <w:rPr>
                <w:sz w:val="20"/>
                <w:szCs w:val="20"/>
                <w:color w:val="auto"/>
              </w:rPr>
            </w:pPr>
            <w:r>
              <w:rPr>
                <w:rFonts w:ascii="Arial" w:cs="Arial" w:eastAsia="Arial" w:hAnsi="Arial"/>
                <w:sz w:val="14"/>
                <w:szCs w:val="14"/>
                <w:color w:val="auto"/>
                <w:w w:val="91"/>
              </w:rPr>
              <w:t>For the nine months ended September 30, 2009</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85"/>
              </w:rPr>
              <w:t>and</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93"/>
              </w:rPr>
              <w:t>casualty</w:t>
            </w:r>
          </w:p>
        </w:tc>
        <w:tc>
          <w:tcPr>
            <w:tcW w:w="600" w:type="dxa"/>
            <w:vAlign w:val="bottom"/>
          </w:tcPr>
          <w:p>
            <w:pPr>
              <w:spacing w:after="0"/>
              <w:rPr>
                <w:sz w:val="12"/>
                <w:szCs w:val="12"/>
                <w:color w:val="auto"/>
              </w:rPr>
            </w:pPr>
          </w:p>
        </w:tc>
        <w:tc>
          <w:tcPr>
            <w:tcW w:w="880" w:type="dxa"/>
            <w:vAlign w:val="bottom"/>
          </w:tcPr>
          <w:p>
            <w:pPr>
              <w:jc w:val="center"/>
              <w:ind w:right="433"/>
              <w:spacing w:after="0" w:line="149" w:lineRule="exact"/>
              <w:rPr>
                <w:sz w:val="20"/>
                <w:szCs w:val="20"/>
                <w:color w:val="auto"/>
              </w:rPr>
            </w:pPr>
            <w:r>
              <w:rPr>
                <w:rFonts w:ascii="Arial" w:cs="Arial" w:eastAsia="Arial" w:hAnsi="Arial"/>
                <w:sz w:val="14"/>
                <w:szCs w:val="14"/>
                <w:color w:val="auto"/>
              </w:rPr>
              <w:t>Life</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Management</w:t>
            </w:r>
          </w:p>
        </w:tc>
        <w:tc>
          <w:tcPr>
            <w:tcW w:w="1220" w:type="dxa"/>
            <w:vAlign w:val="bottom"/>
            <w:gridSpan w:val="2"/>
          </w:tcPr>
          <w:p>
            <w:pPr>
              <w:jc w:val="center"/>
              <w:ind w:left="19"/>
              <w:spacing w:after="0" w:line="149" w:lineRule="exact"/>
              <w:rPr>
                <w:sz w:val="20"/>
                <w:szCs w:val="20"/>
                <w:color w:val="auto"/>
              </w:rPr>
            </w:pPr>
            <w:r>
              <w:rPr>
                <w:rFonts w:ascii="Arial" w:cs="Arial" w:eastAsia="Arial" w:hAnsi="Arial"/>
                <w:sz w:val="14"/>
                <w:szCs w:val="14"/>
                <w:color w:val="auto"/>
                <w:w w:val="92"/>
              </w:rPr>
              <w:t>insurance</w:t>
            </w:r>
          </w:p>
        </w:tc>
        <w:tc>
          <w:tcPr>
            <w:tcW w:w="1480" w:type="dxa"/>
            <w:vAlign w:val="bottom"/>
            <w:gridSpan w:val="2"/>
          </w:tcPr>
          <w:p>
            <w:pPr>
              <w:jc w:val="center"/>
              <w:ind w:left="1"/>
              <w:spacing w:after="0" w:line="149" w:lineRule="exact"/>
              <w:rPr>
                <w:sz w:val="20"/>
                <w:szCs w:val="20"/>
                <w:color w:val="auto"/>
              </w:rPr>
            </w:pPr>
            <w:r>
              <w:rPr>
                <w:rFonts w:ascii="Arial" w:cs="Arial" w:eastAsia="Arial" w:hAnsi="Arial"/>
                <w:sz w:val="14"/>
                <w:szCs w:val="14"/>
                <w:color w:val="auto"/>
                <w:w w:val="92"/>
              </w:rPr>
              <w:t>insurance</w:t>
            </w:r>
          </w:p>
        </w:tc>
        <w:tc>
          <w:tcPr>
            <w:tcW w:w="1540" w:type="dxa"/>
            <w:vAlign w:val="bottom"/>
            <w:gridSpan w:val="2"/>
          </w:tcPr>
          <w:p>
            <w:pPr>
              <w:jc w:val="right"/>
              <w:ind w:right="470"/>
              <w:spacing w:after="0" w:line="149" w:lineRule="exact"/>
              <w:rPr>
                <w:sz w:val="20"/>
                <w:szCs w:val="20"/>
                <w:color w:val="auto"/>
              </w:rPr>
            </w:pPr>
            <w:r>
              <w:rPr>
                <w:rFonts w:ascii="Arial" w:cs="Arial" w:eastAsia="Arial" w:hAnsi="Arial"/>
                <w:sz w:val="14"/>
                <w:szCs w:val="14"/>
                <w:color w:val="auto"/>
              </w:rPr>
              <w:t>Investment</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w w:val="97"/>
              </w:rPr>
              <w:t>operations</w:t>
            </w:r>
          </w:p>
        </w:tc>
        <w:tc>
          <w:tcPr>
            <w:tcW w:w="12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color w:val="auto"/>
                <w:w w:val="91"/>
              </w:rPr>
              <w:t>operations</w:t>
            </w:r>
          </w:p>
        </w:tc>
        <w:tc>
          <w:tcPr>
            <w:tcW w:w="148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color w:val="auto"/>
                <w:w w:val="91"/>
              </w:rPr>
              <w:t>operations</w:t>
            </w: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operations</w:t>
            </w:r>
            <w:r>
              <w:rPr>
                <w:rFonts w:ascii="Arial" w:cs="Arial" w:eastAsia="Arial" w:hAnsi="Arial"/>
                <w:sz w:val="12"/>
                <w:szCs w:val="12"/>
                <w:color w:val="auto"/>
              </w:rPr>
              <w:t>(1)</w:t>
            </w: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Eliminations</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0"/>
              </w:rPr>
              <w:t>Consolidated</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2,852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limited partnerships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0"/>
              </w:rPr>
              <w:t>(324)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Management fee revenue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742</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(742)</w:t>
            </w:r>
          </w:p>
        </w:tc>
        <w:tc>
          <w:tcPr>
            <w:tcW w:w="5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768</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2,852</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49</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213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(752)</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(615)</w:t>
            </w: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2,033</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Benefits and other changes in policy</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65</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Policy acquisition and underwriting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2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874</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w:t>
            </w: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2,907</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86</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(752)</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153</w:t>
            </w:r>
          </w:p>
        </w:tc>
        <w:tc>
          <w:tcPr>
            <w:tcW w:w="420" w:type="dxa"/>
            <w:vAlign w:val="bottom"/>
          </w:tcPr>
          <w:p>
            <w:pPr>
              <w:spacing w:after="0"/>
              <w:rPr>
                <w:sz w:val="17"/>
                <w:szCs w:val="17"/>
                <w:color w:val="auto"/>
              </w:rPr>
            </w:pPr>
          </w:p>
        </w:tc>
        <w:tc>
          <w:tcPr>
            <w:tcW w:w="800" w:type="dxa"/>
            <w:vAlign w:val="bottom"/>
          </w:tcPr>
          <w:p>
            <w:pPr>
              <w:jc w:val="right"/>
              <w:ind w:right="75"/>
              <w:spacing w:after="0" w:line="203" w:lineRule="exact"/>
              <w:rPr>
                <w:sz w:val="20"/>
                <w:szCs w:val="20"/>
                <w:color w:val="auto"/>
              </w:rPr>
            </w:pPr>
            <w:r>
              <w:rPr>
                <w:rFonts w:ascii="Arial" w:cs="Arial" w:eastAsia="Arial" w:hAnsi="Arial"/>
                <w:sz w:val="18"/>
                <w:szCs w:val="18"/>
                <w:color w:val="auto"/>
              </w:rPr>
              <w:t>(55)</w:t>
            </w:r>
          </w:p>
        </w:tc>
        <w:tc>
          <w:tcPr>
            <w:tcW w:w="600" w:type="dxa"/>
            <w:vAlign w:val="bottom"/>
          </w:tcPr>
          <w:p>
            <w:pPr>
              <w:spacing w:after="0"/>
              <w:rPr>
                <w:sz w:val="17"/>
                <w:szCs w:val="17"/>
                <w:color w:val="auto"/>
              </w:rPr>
            </w:pPr>
          </w:p>
        </w:tc>
        <w:tc>
          <w:tcPr>
            <w:tcW w:w="880" w:type="dxa"/>
            <w:vAlign w:val="bottom"/>
          </w:tcPr>
          <w:p>
            <w:pPr>
              <w:jc w:val="right"/>
              <w:ind w:right="213"/>
              <w:spacing w:after="0" w:line="203" w:lineRule="exact"/>
              <w:rPr>
                <w:sz w:val="20"/>
                <w:szCs w:val="20"/>
                <w:color w:val="auto"/>
              </w:rPr>
            </w:pPr>
            <w:r>
              <w:rPr>
                <w:rFonts w:ascii="Arial" w:cs="Arial" w:eastAsia="Arial" w:hAnsi="Arial"/>
                <w:sz w:val="18"/>
                <w:szCs w:val="18"/>
                <w:color w:val="auto"/>
              </w:rPr>
              <w:t>(37)</w:t>
            </w:r>
          </w:p>
        </w:tc>
        <w:tc>
          <w:tcPr>
            <w:tcW w:w="680" w:type="dxa"/>
            <w:vAlign w:val="bottom"/>
          </w:tcPr>
          <w:p>
            <w:pPr>
              <w:spacing w:after="0"/>
              <w:rPr>
                <w:sz w:val="17"/>
                <w:szCs w:val="17"/>
                <w:color w:val="auto"/>
              </w:rPr>
            </w:pPr>
          </w:p>
        </w:tc>
        <w:tc>
          <w:tcPr>
            <w:tcW w:w="86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213</w:t>
            </w:r>
          </w:p>
        </w:tc>
        <w:tc>
          <w:tcPr>
            <w:tcW w:w="400" w:type="dxa"/>
            <w:vAlign w:val="bottom"/>
          </w:tcPr>
          <w:p>
            <w:pPr>
              <w:spacing w:after="0"/>
              <w:rPr>
                <w:sz w:val="17"/>
                <w:szCs w:val="17"/>
                <w:color w:val="auto"/>
              </w:rPr>
            </w:pPr>
          </w:p>
        </w:tc>
        <w:tc>
          <w:tcPr>
            <w:tcW w:w="8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274</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233</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significant realized losses, impairment charges and market value adjustments on limited partnership investments were impacted by the significant disruption in the financial markets.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the “Results of the Erie Insurance Group’s operations by interest” table in the Management’s Discussion and Analysis for the composition of income attributable to Indemnity and income attributable to the noncontrolling interest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on observable and unobservable inputs. Observable inputs reflect market data obtained from independent sources.</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Unobservable inputs reflect our own assumptions regarding fair market value for these securities. Although the majority of our prices are obtained from third party sources, we also perform an internal pricing review for securities with low trading volumes in the current market conditions. Financial instruments are categorized based upon the following characteristics or inputs to the valuation techniques:</w:t>
      </w:r>
    </w:p>
    <w:p>
      <w:pPr>
        <w:spacing w:after="0" w:line="18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instruments in active markets not subject to adjustments or discounts.</w:t>
      </w:r>
    </w:p>
    <w:p>
      <w:pPr>
        <w:spacing w:after="0" w:line="225" w:lineRule="exact"/>
        <w:rPr>
          <w:sz w:val="20"/>
          <w:szCs w:val="20"/>
          <w:color w:val="auto"/>
        </w:rPr>
      </w:pPr>
    </w:p>
    <w:p>
      <w:pPr>
        <w:ind w:left="1040" w:right="320" w:hanging="688"/>
        <w:spacing w:after="0" w:line="277" w:lineRule="auto"/>
        <w:tabs>
          <w:tab w:leader="none" w:pos="1020" w:val="left"/>
        </w:tabs>
        <w:rPr>
          <w:sz w:val="20"/>
          <w:szCs w:val="20"/>
          <w:color w:val="auto"/>
        </w:rPr>
      </w:pPr>
      <w:r>
        <w:rPr>
          <w:rFonts w:ascii="Arial" w:cs="Arial" w:eastAsia="Arial" w:hAnsi="Arial"/>
          <w:sz w:val="18"/>
          <w:szCs w:val="18"/>
          <w:color w:val="auto"/>
        </w:rPr>
        <w:t>Level 2</w:t>
        <w:tab/>
        <w:t>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1040" w:right="280" w:hanging="688"/>
        <w:spacing w:after="0" w:line="277" w:lineRule="auto"/>
        <w:tabs>
          <w:tab w:leader="none" w:pos="1020" w:val="left"/>
        </w:tabs>
        <w:rPr>
          <w:sz w:val="20"/>
          <w:szCs w:val="20"/>
          <w:color w:val="auto"/>
        </w:rPr>
      </w:pPr>
      <w:r>
        <w:rPr>
          <w:rFonts w:ascii="Arial" w:cs="Arial" w:eastAsia="Arial" w:hAnsi="Arial"/>
          <w:sz w:val="18"/>
          <w:szCs w:val="18"/>
          <w:color w:val="auto"/>
        </w:rPr>
        <w:t>Level 3</w:t>
        <w:tab/>
        <w:t>Instruments whose significant value drivers are unobservable and reflect management’s estimate of fair value based on assumptions used by market participants in an orderly transaction as of the valuation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asset class and level of input at September 30,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center"/>
              <w:ind w:left="133"/>
              <w:spacing w:after="0"/>
              <w:rPr>
                <w:sz w:val="20"/>
                <w:szCs w:val="20"/>
                <w:color w:val="auto"/>
              </w:rPr>
            </w:pPr>
            <w:r>
              <w:rPr>
                <w:rFonts w:ascii="Arial" w:cs="Arial" w:eastAsia="Arial" w:hAnsi="Arial"/>
                <w:sz w:val="14"/>
                <w:szCs w:val="14"/>
                <w:color w:val="auto"/>
                <w:w w:val="93"/>
              </w:rPr>
              <w:t>Erie Insurance Group</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80" w:type="dxa"/>
            <w:vAlign w:val="bottom"/>
            <w:gridSpan w:val="2"/>
          </w:tcPr>
          <w:p>
            <w:pPr>
              <w:jc w:val="center"/>
              <w:ind w:left="133"/>
              <w:spacing w:after="0" w:line="123" w:lineRule="exact"/>
              <w:rPr>
                <w:sz w:val="20"/>
                <w:szCs w:val="20"/>
                <w:color w:val="auto"/>
              </w:rPr>
            </w:pPr>
            <w:r>
              <w:rPr>
                <w:rFonts w:ascii="Arial" w:cs="Arial" w:eastAsia="Arial" w:hAnsi="Arial"/>
                <w:sz w:val="14"/>
                <w:szCs w:val="14"/>
                <w:color w:val="auto"/>
                <w:w w:val="91"/>
              </w:rPr>
              <w:t>September 30, 2010</w:t>
            </w: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gridSpan w:val="2"/>
          </w:tcPr>
          <w:p>
            <w:pPr>
              <w:jc w:val="center"/>
              <w:ind w:left="133"/>
              <w:spacing w:after="0" w:line="149" w:lineRule="exact"/>
              <w:rPr>
                <w:sz w:val="20"/>
                <w:szCs w:val="20"/>
                <w:color w:val="auto"/>
              </w:rPr>
            </w:pPr>
            <w:r>
              <w:rPr>
                <w:rFonts w:ascii="Arial" w:cs="Arial" w:eastAsia="Arial" w:hAnsi="Arial"/>
                <w:sz w:val="14"/>
                <w:szCs w:val="14"/>
                <w:color w:val="auto"/>
                <w:w w:val="92"/>
              </w:rPr>
              <w:t>Fair value measurements using:</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Quoted prices in</w:t>
            </w: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3"/>
          </w:tcPr>
          <w:p>
            <w:pPr>
              <w:jc w:val="center"/>
              <w:ind w:left="114"/>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active markets for</w:t>
            </w:r>
          </w:p>
        </w:tc>
        <w:tc>
          <w:tcPr>
            <w:tcW w:w="1620" w:type="dxa"/>
            <w:vAlign w:val="bottom"/>
            <w:gridSpan w:val="2"/>
          </w:tcPr>
          <w:p>
            <w:pPr>
              <w:jc w:val="right"/>
              <w:ind w:right="410"/>
              <w:spacing w:after="0" w:line="149" w:lineRule="exact"/>
              <w:rPr>
                <w:sz w:val="20"/>
                <w:szCs w:val="20"/>
                <w:color w:val="auto"/>
              </w:rPr>
            </w:pPr>
            <w:r>
              <w:rPr>
                <w:rFonts w:ascii="Arial" w:cs="Arial" w:eastAsia="Arial" w:hAnsi="Arial"/>
                <w:sz w:val="14"/>
                <w:szCs w:val="14"/>
                <w:color w:val="auto"/>
              </w:rPr>
              <w:t>Significant</w:t>
            </w:r>
          </w:p>
        </w:tc>
        <w:tc>
          <w:tcPr>
            <w:tcW w:w="118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9"/>
              </w:rPr>
              <w:t>unobservable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16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observable inputs</w:t>
            </w:r>
          </w:p>
        </w:tc>
        <w:tc>
          <w:tcPr>
            <w:tcW w:w="4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5"/>
                <w:szCs w:val="15"/>
                <w:color w:val="auto"/>
              </w:rPr>
            </w:pPr>
          </w:p>
        </w:tc>
        <w:tc>
          <w:tcPr>
            <w:tcW w:w="1160" w:type="dxa"/>
            <w:vAlign w:val="bottom"/>
          </w:tcPr>
          <w:p>
            <w:pPr>
              <w:jc w:val="center"/>
              <w:ind w:right="433"/>
              <w:spacing w:after="0"/>
              <w:rPr>
                <w:sz w:val="20"/>
                <w:szCs w:val="20"/>
                <w:color w:val="auto"/>
              </w:rPr>
            </w:pPr>
            <w:r>
              <w:rPr>
                <w:rFonts w:ascii="Arial" w:cs="Arial" w:eastAsia="Arial" w:hAnsi="Arial"/>
                <w:sz w:val="14"/>
                <w:szCs w:val="14"/>
                <w:color w:val="auto"/>
                <w:w w:val="97"/>
              </w:rPr>
              <w:t>Level 1</w:t>
            </w:r>
          </w:p>
        </w:tc>
        <w:tc>
          <w:tcPr>
            <w:tcW w:w="1020" w:type="dxa"/>
            <w:vAlign w:val="bottom"/>
          </w:tcPr>
          <w:p>
            <w:pPr>
              <w:ind w:left="580"/>
              <w:spacing w:after="0"/>
              <w:rPr>
                <w:sz w:val="20"/>
                <w:szCs w:val="20"/>
                <w:color w:val="auto"/>
              </w:rPr>
            </w:pPr>
            <w:r>
              <w:rPr>
                <w:rFonts w:ascii="Arial" w:cs="Arial" w:eastAsia="Arial" w:hAnsi="Arial"/>
                <w:sz w:val="14"/>
                <w:szCs w:val="14"/>
                <w:color w:val="auto"/>
                <w:w w:val="92"/>
              </w:rPr>
              <w:t>Level 2</w:t>
            </w: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102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sponsored enterprises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263</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non-financial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180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corporate debt — financial</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149</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147</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non-financial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Foreign corporate debt — financial</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Structured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Asset-backed securities — auto loans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Collateralized debt obligations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Commercial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820"/>
              <w:spacing w:after="0"/>
              <w:rPr>
                <w:sz w:val="20"/>
                <w:szCs w:val="20"/>
                <w:color w:val="auto"/>
              </w:rPr>
            </w:pPr>
            <w:r>
              <w:rPr>
                <w:rFonts w:ascii="Arial" w:cs="Arial" w:eastAsia="Arial" w:hAnsi="Arial"/>
                <w:sz w:val="18"/>
                <w:szCs w:val="18"/>
                <w:color w:val="auto"/>
              </w:rPr>
              <w:t>Government sponsored enterprises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Non-government sponsored enterprises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maturities — Indemnity</w:t>
            </w:r>
          </w:p>
        </w:tc>
        <w:tc>
          <w:tcPr>
            <w:tcW w:w="1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695</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682</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nonredeemable preferred securities: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Non-financial</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Total equity securities — Indemnity</w:t>
            </w:r>
          </w:p>
        </w:tc>
        <w:tc>
          <w:tcPr>
            <w:tcW w:w="1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available-for-sale securities — Indemnity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713</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Trading securities:</w:t>
            </w: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26</w:t>
            </w: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20"/>
              <w:spacing w:after="0"/>
              <w:rPr>
                <w:sz w:val="20"/>
                <w:szCs w:val="20"/>
                <w:color w:val="auto"/>
              </w:rPr>
            </w:pPr>
            <w:r>
              <w:rPr>
                <w:rFonts w:ascii="Arial" w:cs="Arial" w:eastAsia="Arial" w:hAnsi="Arial"/>
                <w:sz w:val="18"/>
                <w:szCs w:val="18"/>
                <w:color w:val="auto"/>
              </w:rPr>
              <w:t>Total trading securities</w:t>
            </w:r>
          </w:p>
        </w:tc>
        <w:tc>
          <w:tcPr>
            <w:tcW w:w="1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Indemnity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767</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43</w:t>
            </w: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713</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center"/>
              <w:ind w:right="331"/>
              <w:spacing w:after="0"/>
              <w:rPr>
                <w:sz w:val="20"/>
                <w:szCs w:val="20"/>
                <w:color w:val="auto"/>
              </w:rPr>
            </w:pPr>
            <w:r>
              <w:rPr>
                <w:rFonts w:ascii="Arial" w:cs="Arial" w:eastAsia="Arial" w:hAnsi="Arial"/>
                <w:sz w:val="14"/>
                <w:szCs w:val="14"/>
                <w:color w:val="auto"/>
                <w:w w:val="93"/>
              </w:rPr>
              <w:t>Erie Insurance Group</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80" w:type="dxa"/>
            <w:vAlign w:val="bottom"/>
            <w:gridSpan w:val="3"/>
          </w:tcPr>
          <w:p>
            <w:pPr>
              <w:jc w:val="center"/>
              <w:ind w:right="351"/>
              <w:spacing w:after="0" w:line="123" w:lineRule="exact"/>
              <w:rPr>
                <w:sz w:val="20"/>
                <w:szCs w:val="20"/>
                <w:color w:val="auto"/>
              </w:rPr>
            </w:pPr>
            <w:r>
              <w:rPr>
                <w:rFonts w:ascii="Arial" w:cs="Arial" w:eastAsia="Arial" w:hAnsi="Arial"/>
                <w:sz w:val="14"/>
                <w:szCs w:val="14"/>
                <w:color w:val="auto"/>
                <w:w w:val="89"/>
              </w:rPr>
              <w:t>September 30, 2010</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80" w:type="dxa"/>
            <w:vAlign w:val="bottom"/>
            <w:gridSpan w:val="3"/>
          </w:tcPr>
          <w:p>
            <w:pPr>
              <w:jc w:val="center"/>
              <w:ind w:right="351"/>
              <w:spacing w:after="0" w:line="149" w:lineRule="exact"/>
              <w:rPr>
                <w:sz w:val="20"/>
                <w:szCs w:val="20"/>
                <w:color w:val="auto"/>
              </w:rPr>
            </w:pPr>
            <w:r>
              <w:rPr>
                <w:rFonts w:ascii="Arial" w:cs="Arial" w:eastAsia="Arial" w:hAnsi="Arial"/>
                <w:sz w:val="14"/>
                <w:szCs w:val="14"/>
                <w:color w:val="auto"/>
                <w:w w:val="91"/>
              </w:rPr>
              <w:t>Fair value measurements using:</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 in</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3"/>
          </w:tcPr>
          <w:p>
            <w:pPr>
              <w:jc w:val="center"/>
              <w:ind w:left="93"/>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active markets for</w:t>
            </w:r>
          </w:p>
        </w:tc>
        <w:tc>
          <w:tcPr>
            <w:tcW w:w="440" w:type="dxa"/>
            <w:vAlign w:val="bottom"/>
          </w:tcPr>
          <w:p>
            <w:pPr>
              <w:spacing w:after="0"/>
              <w:rPr>
                <w:sz w:val="12"/>
                <w:szCs w:val="12"/>
                <w:color w:val="auto"/>
              </w:rPr>
            </w:pPr>
          </w:p>
        </w:tc>
        <w:tc>
          <w:tcPr>
            <w:tcW w:w="118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Significant</w:t>
            </w:r>
          </w:p>
        </w:tc>
        <w:tc>
          <w:tcPr>
            <w:tcW w:w="11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9"/>
              </w:rPr>
              <w:t>unobservable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6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observable inputs</w:t>
            </w:r>
          </w:p>
        </w:tc>
        <w:tc>
          <w:tcPr>
            <w:tcW w:w="4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5"/>
                <w:szCs w:val="15"/>
                <w:color w:val="auto"/>
              </w:rPr>
            </w:pPr>
          </w:p>
        </w:tc>
        <w:tc>
          <w:tcPr>
            <w:tcW w:w="1160" w:type="dxa"/>
            <w:vAlign w:val="bottom"/>
          </w:tcPr>
          <w:p>
            <w:pPr>
              <w:jc w:val="center"/>
              <w:ind w:right="432"/>
              <w:spacing w:after="0"/>
              <w:rPr>
                <w:sz w:val="20"/>
                <w:szCs w:val="20"/>
                <w:color w:val="auto"/>
              </w:rPr>
            </w:pPr>
            <w:r>
              <w:rPr>
                <w:rFonts w:ascii="Arial" w:cs="Arial" w:eastAsia="Arial" w:hAnsi="Arial"/>
                <w:sz w:val="14"/>
                <w:szCs w:val="14"/>
                <w:color w:val="auto"/>
                <w:w w:val="97"/>
              </w:rPr>
              <w:t>Level 1</w:t>
            </w:r>
          </w:p>
        </w:tc>
        <w:tc>
          <w:tcPr>
            <w:tcW w:w="440" w:type="dxa"/>
            <w:vAlign w:val="bottom"/>
          </w:tcPr>
          <w:p>
            <w:pPr>
              <w:spacing w:after="0"/>
              <w:rPr>
                <w:sz w:val="15"/>
                <w:szCs w:val="15"/>
                <w:color w:val="auto"/>
              </w:rPr>
            </w:pPr>
          </w:p>
        </w:tc>
        <w:tc>
          <w:tcPr>
            <w:tcW w:w="1180" w:type="dxa"/>
            <w:vAlign w:val="bottom"/>
          </w:tcPr>
          <w:p>
            <w:pPr>
              <w:jc w:val="right"/>
              <w:ind w:right="511"/>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5</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sponsored enterprises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Foreign government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1,445</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1,445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corporate debt — non-financial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2,347</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2,332</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financial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1,828</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1,822</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Foreign corporate debt — non-financial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449</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449</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financial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Structured securities: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Asset-backed securities — auto loans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Asset-backed securities — other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Collateralized debt obligations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Commercial mortgage-backed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 mortgage-backed: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820"/>
              <w:spacing w:after="0"/>
              <w:rPr>
                <w:sz w:val="20"/>
                <w:szCs w:val="20"/>
                <w:color w:val="auto"/>
              </w:rPr>
            </w:pPr>
            <w:r>
              <w:rPr>
                <w:rFonts w:ascii="Arial" w:cs="Arial" w:eastAsia="Arial" w:hAnsi="Arial"/>
                <w:sz w:val="18"/>
                <w:szCs w:val="18"/>
                <w:color w:val="auto"/>
              </w:rPr>
              <w:t>Government sponsored enterprises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201</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Non-government sponsored enterprises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maturities — Exchange</w:t>
            </w:r>
          </w:p>
        </w:tc>
        <w:tc>
          <w:tcPr>
            <w:tcW w:w="1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7,019</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6,946</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U.S. nonredeemable preferred securities: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Financial</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349</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40" w:type="dxa"/>
            <w:vAlign w:val="bottom"/>
          </w:tcPr>
          <w:p>
            <w:pPr>
              <w:ind w:left="620"/>
              <w:spacing w:after="0"/>
              <w:rPr>
                <w:sz w:val="20"/>
                <w:szCs w:val="20"/>
                <w:color w:val="auto"/>
              </w:rPr>
            </w:pPr>
            <w:r>
              <w:rPr>
                <w:rFonts w:ascii="Arial" w:cs="Arial" w:eastAsia="Arial" w:hAnsi="Arial"/>
                <w:sz w:val="18"/>
                <w:szCs w:val="18"/>
                <w:color w:val="auto"/>
              </w:rPr>
              <w:t>Non-financial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Government sponsored enterprises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640" w:type="dxa"/>
            <w:vAlign w:val="bottom"/>
          </w:tcPr>
          <w:p>
            <w:pPr>
              <w:ind w:left="620"/>
              <w:spacing w:after="0"/>
              <w:rPr>
                <w:sz w:val="20"/>
                <w:szCs w:val="20"/>
                <w:color w:val="auto"/>
              </w:rPr>
            </w:pPr>
            <w:r>
              <w:rPr>
                <w:rFonts w:ascii="Arial" w:cs="Arial" w:eastAsia="Arial" w:hAnsi="Arial"/>
                <w:sz w:val="18"/>
                <w:szCs w:val="18"/>
                <w:color w:val="auto"/>
              </w:rPr>
              <w:t>Non-financial</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 securities — Exchange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538</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available for sale securities — Exchange</w:t>
            </w:r>
          </w:p>
        </w:tc>
        <w:tc>
          <w:tcPr>
            <w:tcW w:w="1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7,557</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177</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7,319</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Trading securities: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1,985</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1,974</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trading securities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1,985</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1,974</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20"/>
              <w:spacing w:after="0"/>
              <w:rPr>
                <w:sz w:val="20"/>
                <w:szCs w:val="20"/>
                <w:color w:val="auto"/>
              </w:rPr>
            </w:pPr>
            <w:r>
              <w:rPr>
                <w:rFonts w:ascii="Arial" w:cs="Arial" w:eastAsia="Arial" w:hAnsi="Arial"/>
                <w:sz w:val="18"/>
                <w:szCs w:val="18"/>
                <w:color w:val="auto"/>
              </w:rPr>
              <w:t>Total — Exchange</w:t>
            </w:r>
          </w:p>
        </w:tc>
        <w:tc>
          <w:tcPr>
            <w:tcW w:w="1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9,542</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2,151</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7,319</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 Erie Insurance Group</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4"/>
              </w:rPr>
              <w:t>10,309</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2,194</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8,032</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Erie Insurance Group</w:t>
            </w: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Ending</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93"/>
              </w:rPr>
              <w:t>Beginning</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Included in other</w:t>
            </w:r>
          </w:p>
        </w:tc>
        <w:tc>
          <w:tcPr>
            <w:tcW w:w="1340" w:type="dxa"/>
            <w:vAlign w:val="bottom"/>
            <w:gridSpan w:val="2"/>
          </w:tcPr>
          <w:p>
            <w:pPr>
              <w:jc w:val="right"/>
              <w:ind w:right="290"/>
              <w:spacing w:after="0" w:line="149" w:lineRule="exact"/>
              <w:rPr>
                <w:sz w:val="20"/>
                <w:szCs w:val="20"/>
                <w:color w:val="auto"/>
              </w:rPr>
            </w:pPr>
            <w:r>
              <w:rPr>
                <w:rFonts w:ascii="Arial" w:cs="Arial" w:eastAsia="Arial" w:hAnsi="Arial"/>
                <w:sz w:val="14"/>
                <w:szCs w:val="14"/>
                <w:color w:val="auto"/>
              </w:rPr>
              <w:t>Purchases,</w:t>
            </w:r>
          </w:p>
        </w:tc>
        <w:tc>
          <w:tcPr>
            <w:tcW w:w="1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w:t>
            </w:r>
          </w:p>
        </w:tc>
        <w:tc>
          <w:tcPr>
            <w:tcW w:w="4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balance at</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6"/>
              </w:rPr>
              <w:t>balance at</w:t>
            </w:r>
          </w:p>
        </w:tc>
        <w:tc>
          <w:tcPr>
            <w:tcW w:w="13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Included in</w:t>
            </w:r>
          </w:p>
        </w:tc>
        <w:tc>
          <w:tcPr>
            <w:tcW w:w="15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comprehensive</w:t>
            </w:r>
          </w:p>
        </w:tc>
        <w:tc>
          <w:tcPr>
            <w:tcW w:w="1340" w:type="dxa"/>
            <w:vAlign w:val="bottom"/>
            <w:gridSpan w:val="2"/>
          </w:tcPr>
          <w:p>
            <w:pPr>
              <w:jc w:val="right"/>
              <w:ind w:right="350"/>
              <w:spacing w:after="0" w:line="149" w:lineRule="exact"/>
              <w:rPr>
                <w:sz w:val="20"/>
                <w:szCs w:val="20"/>
                <w:color w:val="auto"/>
              </w:rPr>
            </w:pPr>
            <w:r>
              <w:rPr>
                <w:rFonts w:ascii="Arial" w:cs="Arial" w:eastAsia="Arial" w:hAnsi="Arial"/>
                <w:sz w:val="14"/>
                <w:szCs w:val="14"/>
                <w:color w:val="auto"/>
              </w:rPr>
              <w:t>sales and</w:t>
            </w:r>
          </w:p>
        </w:tc>
        <w:tc>
          <w:tcPr>
            <w:tcW w:w="1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and (out) of</w:t>
            </w:r>
          </w:p>
        </w:tc>
        <w:tc>
          <w:tcPr>
            <w:tcW w:w="12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June 30, 2010</w:t>
            </w: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income</w:t>
            </w:r>
          </w:p>
        </w:tc>
        <w:tc>
          <w:tcPr>
            <w:tcW w:w="13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adjustments</w:t>
            </w: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(2)</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U.S. nonredeemable — financial</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backed securities —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9"/>
                <w:szCs w:val="19"/>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Level 3 assets — Exchange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81</w:t>
            </w:r>
          </w:p>
        </w:tc>
        <w:tc>
          <w:tcPr>
            <w:tcW w:w="6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09"/>
        </w:trPr>
        <w:tc>
          <w:tcPr>
            <w:tcW w:w="3540" w:type="dxa"/>
            <w:vAlign w:val="bottom"/>
            <w:gridSpan w:val="2"/>
          </w:tcPr>
          <w:p>
            <w:pPr>
              <w:spacing w:after="0"/>
              <w:rPr>
                <w:sz w:val="20"/>
                <w:szCs w:val="20"/>
                <w:color w:val="auto"/>
              </w:rPr>
            </w:pPr>
            <w:r>
              <w:rPr>
                <w:rFonts w:ascii="Arial" w:cs="Arial" w:eastAsia="Arial" w:hAnsi="Arial"/>
                <w:sz w:val="18"/>
                <w:szCs w:val="18"/>
                <w:color w:val="auto"/>
              </w:rPr>
              <w:t>Total Level 3 assets — Erie Insurance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Group</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92</w:t>
            </w: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Erie Insurance Group</w:t>
            </w: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33"/>
              <w:spacing w:after="0" w:line="123" w:lineRule="exact"/>
              <w:rPr>
                <w:sz w:val="20"/>
                <w:szCs w:val="20"/>
                <w:color w:val="auto"/>
              </w:rPr>
            </w:pPr>
            <w:r>
              <w:rPr>
                <w:rFonts w:ascii="Arial" w:cs="Arial" w:eastAsia="Arial" w:hAnsi="Arial"/>
                <w:sz w:val="14"/>
                <w:szCs w:val="14"/>
                <w:color w:val="auto"/>
                <w:w w:val="96"/>
              </w:rPr>
              <w:t>Beginning</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133"/>
              <w:spacing w:after="0" w:line="123" w:lineRule="exact"/>
              <w:rPr>
                <w:sz w:val="20"/>
                <w:szCs w:val="20"/>
                <w:color w:val="auto"/>
              </w:rPr>
            </w:pPr>
            <w:r>
              <w:rPr>
                <w:rFonts w:ascii="Arial" w:cs="Arial" w:eastAsia="Arial" w:hAnsi="Arial"/>
                <w:sz w:val="14"/>
                <w:szCs w:val="14"/>
                <w:color w:val="auto"/>
                <w:w w:val="91"/>
              </w:rPr>
              <w:t>Ending</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9"/>
              </w:rPr>
              <w:t>balance at</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Included in other</w:t>
            </w:r>
          </w:p>
        </w:tc>
        <w:tc>
          <w:tcPr>
            <w:tcW w:w="130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rPr>
              <w:t>Purchases,</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Transfers in</w:t>
            </w:r>
          </w:p>
        </w:tc>
        <w:tc>
          <w:tcPr>
            <w:tcW w:w="400" w:type="dxa"/>
            <w:vAlign w:val="bottom"/>
          </w:tcPr>
          <w:p>
            <w:pPr>
              <w:spacing w:after="0"/>
              <w:rPr>
                <w:sz w:val="12"/>
                <w:szCs w:val="12"/>
                <w:color w:val="auto"/>
              </w:rPr>
            </w:pPr>
          </w:p>
        </w:tc>
        <w:tc>
          <w:tcPr>
            <w:tcW w:w="8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86"/>
              </w:rPr>
              <w:t>balance at</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3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Included in</w:t>
            </w:r>
          </w:p>
        </w:tc>
        <w:tc>
          <w:tcPr>
            <w:tcW w:w="160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comprehensive</w:t>
            </w:r>
          </w:p>
        </w:tc>
        <w:tc>
          <w:tcPr>
            <w:tcW w:w="1300" w:type="dxa"/>
            <w:vAlign w:val="bottom"/>
            <w:gridSpan w:val="2"/>
          </w:tcPr>
          <w:p>
            <w:pPr>
              <w:jc w:val="right"/>
              <w:ind w:right="310"/>
              <w:spacing w:after="0" w:line="149" w:lineRule="exact"/>
              <w:rPr>
                <w:sz w:val="20"/>
                <w:szCs w:val="20"/>
                <w:color w:val="auto"/>
              </w:rPr>
            </w:pPr>
            <w:r>
              <w:rPr>
                <w:rFonts w:ascii="Arial" w:cs="Arial" w:eastAsia="Arial" w:hAnsi="Arial"/>
                <w:sz w:val="14"/>
                <w:szCs w:val="14"/>
                <w:color w:val="auto"/>
              </w:rPr>
              <w:t>sales and</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and (out) of</w:t>
            </w:r>
          </w:p>
        </w:tc>
        <w:tc>
          <w:tcPr>
            <w:tcW w:w="1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color w:val="auto"/>
                <w:w w:val="89"/>
              </w:rPr>
              <w:t>2009</w:t>
            </w:r>
          </w:p>
        </w:tc>
        <w:tc>
          <w:tcPr>
            <w:tcW w:w="13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income</w:t>
            </w: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adjustments</w:t>
            </w:r>
          </w:p>
        </w:tc>
        <w:tc>
          <w:tcPr>
            <w:tcW w:w="13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(2)</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89"/>
              </w:rPr>
              <w:t>2010</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U.S. nonredeemable — financial</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11</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backed securities —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49</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9"/>
                <w:szCs w:val="19"/>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w:t>
            </w: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Level 3 assets — Exchange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84</w:t>
            </w:r>
          </w:p>
        </w:tc>
        <w:tc>
          <w:tcPr>
            <w:tcW w:w="6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09"/>
        </w:trPr>
        <w:tc>
          <w:tcPr>
            <w:tcW w:w="3540" w:type="dxa"/>
            <w:vAlign w:val="bottom"/>
            <w:gridSpan w:val="2"/>
          </w:tcPr>
          <w:p>
            <w:pPr>
              <w:spacing w:after="0"/>
              <w:rPr>
                <w:sz w:val="20"/>
                <w:szCs w:val="20"/>
                <w:color w:val="auto"/>
              </w:rPr>
            </w:pPr>
            <w:r>
              <w:rPr>
                <w:rFonts w:ascii="Arial" w:cs="Arial" w:eastAsia="Arial" w:hAnsi="Arial"/>
                <w:sz w:val="18"/>
                <w:szCs w:val="18"/>
                <w:color w:val="auto"/>
              </w:rPr>
              <w:t>Total Level 3 assets — Erie Insurance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Group</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95</w:t>
            </w: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6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losses as a result of other-than-temporary impairments and accrual of discount and amortization of premium. These amounts are reported in the Consolidated Statement of Operations. There were no unrealized gains or losses included in earnings for the three or nine months ended September 30, 2010 on Level 3 securities.</w:t>
      </w:r>
    </w:p>
    <w:p>
      <w:pPr>
        <w:spacing w:after="0" w:line="32" w:lineRule="exact"/>
        <w:rPr>
          <w:rFonts w:ascii="Arial" w:cs="Arial" w:eastAsia="Arial" w:hAnsi="Arial"/>
          <w:sz w:val="18"/>
          <w:szCs w:val="18"/>
          <w:i w:val="1"/>
          <w:iCs w:val="1"/>
          <w:color w:val="auto"/>
        </w:rPr>
      </w:pPr>
    </w:p>
    <w:p>
      <w:pPr>
        <w:ind w:left="460" w:right="260" w:hanging="452"/>
        <w:spacing w:after="0" w:line="342"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Transfers in and out of Level 3 are attributable to changes in the availability of market observable information for individual securities within the respective categories. There were no significant transfers in and out of Level 3. Transfers in and out of levels are recognized at the end of the period.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significant transfers between Levels 1 and 2 during the nine months ended September 30, 2010.</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asset class and level of input at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40" w:type="dxa"/>
            <w:vAlign w:val="bottom"/>
            <w:gridSpan w:val="3"/>
          </w:tcPr>
          <w:p>
            <w:pPr>
              <w:jc w:val="right"/>
              <w:ind w:right="693"/>
              <w:spacing w:after="0" w:line="123" w:lineRule="exact"/>
              <w:rPr>
                <w:sz w:val="20"/>
                <w:szCs w:val="20"/>
                <w:color w:val="auto"/>
              </w:rPr>
            </w:pPr>
            <w:r>
              <w:rPr>
                <w:rFonts w:ascii="Arial" w:cs="Arial" w:eastAsia="Arial" w:hAnsi="Arial"/>
                <w:sz w:val="14"/>
                <w:szCs w:val="14"/>
                <w:color w:val="auto"/>
              </w:rPr>
              <w:t>At December 31, 2009</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3"/>
          </w:tcPr>
          <w:p>
            <w:pPr>
              <w:jc w:val="right"/>
              <w:ind w:right="433"/>
              <w:spacing w:after="0" w:line="149" w:lineRule="exact"/>
              <w:rPr>
                <w:sz w:val="20"/>
                <w:szCs w:val="20"/>
                <w:color w:val="auto"/>
              </w:rPr>
            </w:pPr>
            <w:r>
              <w:rPr>
                <w:rFonts w:ascii="Arial" w:cs="Arial" w:eastAsia="Arial" w:hAnsi="Arial"/>
                <w:sz w:val="14"/>
                <w:szCs w:val="14"/>
                <w:color w:val="auto"/>
                <w:w w:val="95"/>
              </w:rPr>
              <w:t>Fair value measurements using:</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center"/>
              <w:ind w:right="357"/>
              <w:spacing w:after="0" w:line="149" w:lineRule="exact"/>
              <w:rPr>
                <w:sz w:val="20"/>
                <w:szCs w:val="20"/>
                <w:color w:val="auto"/>
              </w:rPr>
            </w:pPr>
            <w:r>
              <w:rPr>
                <w:rFonts w:ascii="Arial" w:cs="Arial" w:eastAsia="Arial" w:hAnsi="Arial"/>
                <w:sz w:val="14"/>
                <w:szCs w:val="14"/>
                <w:color w:val="auto"/>
                <w:w w:val="97"/>
              </w:rPr>
              <w:t>in active</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Significant</w:t>
            </w:r>
          </w:p>
        </w:tc>
        <w:tc>
          <w:tcPr>
            <w:tcW w:w="1200" w:type="dxa"/>
            <w:vAlign w:val="bottom"/>
            <w:gridSpan w:val="2"/>
          </w:tcPr>
          <w:p>
            <w:pPr>
              <w:jc w:val="center"/>
              <w:ind w:left="135"/>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center"/>
              <w:ind w:right="357"/>
              <w:spacing w:after="0" w:line="149" w:lineRule="exact"/>
              <w:rPr>
                <w:sz w:val="20"/>
                <w:szCs w:val="20"/>
                <w:color w:val="auto"/>
              </w:rPr>
            </w:pPr>
            <w:r>
              <w:rPr>
                <w:rFonts w:ascii="Arial" w:cs="Arial" w:eastAsia="Arial" w:hAnsi="Arial"/>
                <w:sz w:val="14"/>
                <w:szCs w:val="14"/>
                <w:color w:val="auto"/>
                <w:w w:val="94"/>
              </w:rPr>
              <w:t>markets for</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observable</w:t>
            </w:r>
          </w:p>
        </w:tc>
        <w:tc>
          <w:tcPr>
            <w:tcW w:w="120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identical assets</w:t>
            </w:r>
          </w:p>
        </w:tc>
        <w:tc>
          <w:tcPr>
            <w:tcW w:w="440" w:type="dxa"/>
            <w:vAlign w:val="bottom"/>
          </w:tcPr>
          <w:p>
            <w:pPr>
              <w:spacing w:after="0"/>
              <w:rPr>
                <w:sz w:val="12"/>
                <w:szCs w:val="12"/>
                <w:color w:val="auto"/>
              </w:rPr>
            </w:pPr>
          </w:p>
        </w:tc>
        <w:tc>
          <w:tcPr>
            <w:tcW w:w="90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inputs</w:t>
            </w:r>
          </w:p>
        </w:tc>
        <w:tc>
          <w:tcPr>
            <w:tcW w:w="460" w:type="dxa"/>
            <w:vAlign w:val="bottom"/>
          </w:tcPr>
          <w:p>
            <w:pPr>
              <w:spacing w:after="0"/>
              <w:rPr>
                <w:sz w:val="12"/>
                <w:szCs w:val="12"/>
                <w:color w:val="auto"/>
              </w:rPr>
            </w:pPr>
          </w:p>
        </w:tc>
        <w:tc>
          <w:tcPr>
            <w:tcW w:w="740" w:type="dxa"/>
            <w:vAlign w:val="bottom"/>
          </w:tcPr>
          <w:p>
            <w:pPr>
              <w:jc w:val="center"/>
              <w:ind w:right="153"/>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74"/>
        </w:trPr>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color w:val="auto"/>
                <w:w w:val="92"/>
              </w:rPr>
              <w:t>Level 1</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w w:val="97"/>
              </w:rPr>
              <w:t>Level 2</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664</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 — common stock</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 — Indemnity</w:t>
            </w:r>
          </w:p>
        </w:tc>
        <w:tc>
          <w:tcPr>
            <w:tcW w:w="2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744</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57</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676</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6,517</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6,415</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472</w:t>
            </w:r>
          </w:p>
        </w:tc>
        <w:tc>
          <w:tcPr>
            <w:tcW w:w="440" w:type="dxa"/>
            <w:vAlign w:val="bottom"/>
          </w:tcPr>
          <w:p>
            <w:pPr>
              <w:spacing w:after="0"/>
              <w:rPr>
                <w:sz w:val="18"/>
                <w:szCs w:val="18"/>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 — common stock</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1,835</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1,826</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Total — Exchange</w:t>
            </w:r>
          </w:p>
        </w:tc>
        <w:tc>
          <w:tcPr>
            <w:tcW w:w="2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8,824</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6,726</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 Erie Insurance Group</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9,568</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2,071</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7,402</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20" w:type="dxa"/>
            <w:vAlign w:val="bottom"/>
            <w:vMerge w:val="restart"/>
          </w:tcPr>
          <w:p>
            <w:pPr>
              <w:jc w:val="right"/>
              <w:ind w:right="45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Erie Insurance Group</w:t>
            </w: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132"/>
              <w:spacing w:after="0" w:line="123" w:lineRule="exact"/>
              <w:rPr>
                <w:sz w:val="20"/>
                <w:szCs w:val="20"/>
                <w:color w:val="auto"/>
              </w:rPr>
            </w:pPr>
            <w:r>
              <w:rPr>
                <w:rFonts w:ascii="Arial" w:cs="Arial" w:eastAsia="Arial" w:hAnsi="Arial"/>
                <w:sz w:val="14"/>
                <w:szCs w:val="14"/>
                <w:color w:val="auto"/>
                <w:w w:val="91"/>
              </w:rPr>
              <w:t>Ending</w:t>
            </w: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80" w:type="dxa"/>
            <w:vAlign w:val="bottom"/>
            <w:gridSpan w:val="2"/>
          </w:tcPr>
          <w:p>
            <w:pPr>
              <w:jc w:val="right"/>
              <w:ind w:right="311"/>
              <w:spacing w:after="0" w:line="149" w:lineRule="exact"/>
              <w:rPr>
                <w:sz w:val="20"/>
                <w:szCs w:val="20"/>
                <w:color w:val="auto"/>
              </w:rPr>
            </w:pPr>
            <w:r>
              <w:rPr>
                <w:rFonts w:ascii="Arial" w:cs="Arial" w:eastAsia="Arial" w:hAnsi="Arial"/>
                <w:sz w:val="14"/>
                <w:szCs w:val="14"/>
                <w:color w:val="auto"/>
              </w:rPr>
              <w:t>Beginning</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Included in other</w:t>
            </w:r>
          </w:p>
        </w:tc>
        <w:tc>
          <w:tcPr>
            <w:tcW w:w="130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rPr>
              <w:t>Purchases,</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Transfers in</w:t>
            </w:r>
          </w:p>
        </w:tc>
        <w:tc>
          <w:tcPr>
            <w:tcW w:w="400" w:type="dxa"/>
            <w:vAlign w:val="bottom"/>
          </w:tcPr>
          <w:p>
            <w:pPr>
              <w:spacing w:after="0"/>
              <w:rPr>
                <w:sz w:val="12"/>
                <w:szCs w:val="12"/>
                <w:color w:val="auto"/>
              </w:rPr>
            </w:pPr>
          </w:p>
        </w:tc>
        <w:tc>
          <w:tcPr>
            <w:tcW w:w="8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6"/>
              </w:rPr>
              <w:t>balance at</w:t>
            </w: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31"/>
              <w:spacing w:after="0" w:line="149" w:lineRule="exact"/>
              <w:rPr>
                <w:sz w:val="20"/>
                <w:szCs w:val="20"/>
                <w:color w:val="auto"/>
              </w:rPr>
            </w:pPr>
            <w:r>
              <w:rPr>
                <w:rFonts w:ascii="Arial" w:cs="Arial" w:eastAsia="Arial" w:hAnsi="Arial"/>
                <w:sz w:val="14"/>
                <w:szCs w:val="14"/>
                <w:color w:val="auto"/>
                <w:w w:val="86"/>
              </w:rPr>
              <w:t>balance at</w:t>
            </w:r>
          </w:p>
        </w:tc>
        <w:tc>
          <w:tcPr>
            <w:tcW w:w="14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Included in</w:t>
            </w:r>
          </w:p>
        </w:tc>
        <w:tc>
          <w:tcPr>
            <w:tcW w:w="15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comprehensive</w:t>
            </w:r>
          </w:p>
        </w:tc>
        <w:tc>
          <w:tcPr>
            <w:tcW w:w="1300" w:type="dxa"/>
            <w:vAlign w:val="bottom"/>
            <w:gridSpan w:val="2"/>
          </w:tcPr>
          <w:p>
            <w:pPr>
              <w:jc w:val="right"/>
              <w:ind w:right="310"/>
              <w:spacing w:after="0" w:line="149" w:lineRule="exact"/>
              <w:rPr>
                <w:sz w:val="20"/>
                <w:szCs w:val="20"/>
                <w:color w:val="auto"/>
              </w:rPr>
            </w:pPr>
            <w:r>
              <w:rPr>
                <w:rFonts w:ascii="Arial" w:cs="Arial" w:eastAsia="Arial" w:hAnsi="Arial"/>
                <w:sz w:val="14"/>
                <w:szCs w:val="14"/>
                <w:color w:val="auto"/>
              </w:rPr>
              <w:t>sales and</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and (out) of</w:t>
            </w:r>
          </w:p>
        </w:tc>
        <w:tc>
          <w:tcPr>
            <w:tcW w:w="1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June 30,2009</w:t>
            </w:r>
          </w:p>
        </w:tc>
        <w:tc>
          <w:tcPr>
            <w:tcW w:w="14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income</w:t>
            </w: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adjustments</w:t>
            </w:r>
          </w:p>
        </w:tc>
        <w:tc>
          <w:tcPr>
            <w:tcW w:w="13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(2)</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9"/>
              </w:rPr>
              <w:t>2009</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8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U.S. nonredeemable — financial</w:t>
            </w:r>
          </w:p>
        </w:tc>
        <w:tc>
          <w:tcPr>
            <w:tcW w:w="8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nonredeemable — non-</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Level 3 assets — Indemnity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corporate debt — financial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54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corporate debt — financial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540" w:type="dxa"/>
            <w:vAlign w:val="bottom"/>
          </w:tcPr>
          <w:p>
            <w:pPr>
              <w:ind w:left="400"/>
              <w:spacing w:after="0" w:line="201" w:lineRule="exact"/>
              <w:rPr>
                <w:sz w:val="20"/>
                <w:szCs w:val="20"/>
                <w:color w:val="auto"/>
              </w:rPr>
            </w:pPr>
            <w:r>
              <w:rPr>
                <w:rFonts w:ascii="Arial" w:cs="Arial" w:eastAsia="Arial" w:hAnsi="Arial"/>
                <w:sz w:val="18"/>
                <w:szCs w:val="18"/>
                <w:color w:val="auto"/>
              </w:rPr>
              <w:t>Foreign corporate debt — non-</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backed securities — other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76</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02"/>
        </w:trPr>
        <w:tc>
          <w:tcPr>
            <w:tcW w:w="20" w:type="dxa"/>
            <w:vAlign w:val="bottom"/>
          </w:tcPr>
          <w:p>
            <w:pPr>
              <w:spacing w:after="0"/>
              <w:rPr>
                <w:sz w:val="17"/>
                <w:szCs w:val="17"/>
                <w:color w:val="auto"/>
              </w:rPr>
            </w:pPr>
          </w:p>
        </w:tc>
        <w:tc>
          <w:tcPr>
            <w:tcW w:w="3540" w:type="dxa"/>
            <w:vAlign w:val="bottom"/>
          </w:tcPr>
          <w:p>
            <w:pPr>
              <w:ind w:left="400"/>
              <w:spacing w:after="0" w:line="201" w:lineRule="exact"/>
              <w:rPr>
                <w:sz w:val="20"/>
                <w:szCs w:val="20"/>
                <w:color w:val="auto"/>
              </w:rPr>
            </w:pPr>
            <w:r>
              <w:rPr>
                <w:rFonts w:ascii="Arial" w:cs="Arial" w:eastAsia="Arial" w:hAnsi="Arial"/>
                <w:sz w:val="18"/>
                <w:szCs w:val="18"/>
                <w:color w:val="auto"/>
              </w:rPr>
              <w:t>U.S. nonredeemable — non-</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24</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44</w:t>
            </w: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Total Level 3 assets — Exchange</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162</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Level 3 assets — Erie Insurance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187</w:t>
            </w: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w:t>
            </w:r>
          </w:p>
        </w:tc>
        <w:tc>
          <w:tcPr>
            <w:tcW w:w="7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Erie Insurance Group</w:t>
            </w: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jc w:val="center"/>
              <w:ind w:right="32"/>
              <w:spacing w:after="0" w:line="123" w:lineRule="exact"/>
              <w:rPr>
                <w:sz w:val="20"/>
                <w:szCs w:val="20"/>
                <w:color w:val="auto"/>
              </w:rPr>
            </w:pPr>
            <w:r>
              <w:rPr>
                <w:rFonts w:ascii="Arial" w:cs="Arial" w:eastAsia="Arial" w:hAnsi="Arial"/>
                <w:sz w:val="14"/>
                <w:szCs w:val="14"/>
                <w:color w:val="auto"/>
                <w:w w:val="91"/>
              </w:rPr>
              <w:t>Ending</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Beginning</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Included in other</w:t>
            </w:r>
          </w:p>
        </w:tc>
        <w:tc>
          <w:tcPr>
            <w:tcW w:w="1300" w:type="dxa"/>
            <w:vAlign w:val="bottom"/>
            <w:gridSpan w:val="2"/>
          </w:tcPr>
          <w:p>
            <w:pPr>
              <w:jc w:val="right"/>
              <w:ind w:right="270"/>
              <w:spacing w:after="0" w:line="149" w:lineRule="exact"/>
              <w:rPr>
                <w:sz w:val="20"/>
                <w:szCs w:val="20"/>
                <w:color w:val="auto"/>
              </w:rPr>
            </w:pPr>
            <w:r>
              <w:rPr>
                <w:rFonts w:ascii="Arial" w:cs="Arial" w:eastAsia="Arial" w:hAnsi="Arial"/>
                <w:sz w:val="14"/>
                <w:szCs w:val="14"/>
                <w:color w:val="auto"/>
              </w:rPr>
              <w:t>Purchases,</w:t>
            </w: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Transfers in</w:t>
            </w:r>
          </w:p>
        </w:tc>
        <w:tc>
          <w:tcPr>
            <w:tcW w:w="3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balance at</w:t>
            </w: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92"/>
              <w:spacing w:after="0" w:line="149" w:lineRule="exact"/>
              <w:rPr>
                <w:sz w:val="20"/>
                <w:szCs w:val="20"/>
                <w:color w:val="auto"/>
              </w:rPr>
            </w:pPr>
            <w:r>
              <w:rPr>
                <w:rFonts w:ascii="Arial" w:cs="Arial" w:eastAsia="Arial" w:hAnsi="Arial"/>
                <w:sz w:val="14"/>
                <w:szCs w:val="14"/>
                <w:color w:val="auto"/>
                <w:w w:val="99"/>
              </w:rPr>
              <w:t>balance at</w:t>
            </w:r>
          </w:p>
        </w:tc>
        <w:tc>
          <w:tcPr>
            <w:tcW w:w="12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Included in</w:t>
            </w:r>
          </w:p>
        </w:tc>
        <w:tc>
          <w:tcPr>
            <w:tcW w:w="154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comprehensive</w:t>
            </w:r>
          </w:p>
        </w:tc>
        <w:tc>
          <w:tcPr>
            <w:tcW w:w="13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sales and</w:t>
            </w: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(out) of</w:t>
            </w:r>
          </w:p>
        </w:tc>
        <w:tc>
          <w:tcPr>
            <w:tcW w:w="1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2008</w:t>
            </w:r>
          </w:p>
        </w:tc>
        <w:tc>
          <w:tcPr>
            <w:tcW w:w="12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income</w:t>
            </w:r>
          </w:p>
        </w:tc>
        <w:tc>
          <w:tcPr>
            <w:tcW w:w="1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adjustments</w:t>
            </w:r>
          </w:p>
        </w:tc>
        <w:tc>
          <w:tcPr>
            <w:tcW w:w="12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(2)</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2"/>
        </w:trPr>
        <w:tc>
          <w:tcPr>
            <w:tcW w:w="20" w:type="dxa"/>
            <w:vAlign w:val="bottom"/>
          </w:tcPr>
          <w:p>
            <w:pPr>
              <w:spacing w:after="0"/>
              <w:rPr>
                <w:sz w:val="17"/>
                <w:szCs w:val="17"/>
                <w:color w:val="auto"/>
              </w:rPr>
            </w:pPr>
          </w:p>
        </w:tc>
        <w:tc>
          <w:tcPr>
            <w:tcW w:w="3400" w:type="dxa"/>
            <w:vAlign w:val="bottom"/>
          </w:tcPr>
          <w:p>
            <w:pPr>
              <w:ind w:left="400"/>
              <w:spacing w:after="0" w:line="201" w:lineRule="exact"/>
              <w:rPr>
                <w:sz w:val="20"/>
                <w:szCs w:val="20"/>
                <w:color w:val="auto"/>
              </w:rPr>
            </w:pPr>
            <w:r>
              <w:rPr>
                <w:rFonts w:ascii="Arial" w:cs="Arial" w:eastAsia="Arial" w:hAnsi="Arial"/>
                <w:sz w:val="18"/>
                <w:szCs w:val="18"/>
                <w:color w:val="auto"/>
              </w:rPr>
              <w:t>Commercial mortgage-backed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nonredeemable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20" w:type="dxa"/>
            <w:vAlign w:val="bottom"/>
          </w:tcPr>
          <w:p>
            <w:pPr>
              <w:spacing w:after="0"/>
              <w:rPr>
                <w:sz w:val="17"/>
                <w:szCs w:val="17"/>
                <w:color w:val="auto"/>
              </w:rPr>
            </w:pPr>
          </w:p>
        </w:tc>
        <w:tc>
          <w:tcPr>
            <w:tcW w:w="3400" w:type="dxa"/>
            <w:vAlign w:val="bottom"/>
          </w:tcPr>
          <w:p>
            <w:pPr>
              <w:ind w:left="600"/>
              <w:spacing w:after="0" w:line="201" w:lineRule="exact"/>
              <w:rPr>
                <w:sz w:val="20"/>
                <w:szCs w:val="20"/>
                <w:color w:val="auto"/>
              </w:rPr>
            </w:pPr>
            <w:r>
              <w:rPr>
                <w:rFonts w:ascii="Arial" w:cs="Arial" w:eastAsia="Arial" w:hAnsi="Arial"/>
                <w:sz w:val="18"/>
                <w:szCs w:val="18"/>
                <w:color w:val="auto"/>
              </w:rPr>
              <w:t>U.S. nonredeemable — non-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U.S. corporate debt —financial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Foreign corporate debt —financial</w:t>
            </w:r>
          </w:p>
        </w:tc>
        <w:tc>
          <w:tcPr>
            <w:tcW w:w="180" w:type="dxa"/>
            <w:vAlign w:val="bottom"/>
          </w:tcPr>
          <w:p>
            <w:pPr>
              <w:spacing w:after="0"/>
              <w:rPr>
                <w:sz w:val="18"/>
                <w:szCs w:val="18"/>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Foreign corporate debt — non-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Asset backed securities — other</w:t>
            </w:r>
          </w:p>
        </w:tc>
        <w:tc>
          <w:tcPr>
            <w:tcW w:w="180" w:type="dxa"/>
            <w:vAlign w:val="bottom"/>
          </w:tcPr>
          <w:p>
            <w:pPr>
              <w:spacing w:after="0"/>
              <w:rPr>
                <w:sz w:val="18"/>
                <w:szCs w:val="18"/>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02"/>
        </w:trPr>
        <w:tc>
          <w:tcPr>
            <w:tcW w:w="20" w:type="dxa"/>
            <w:vAlign w:val="bottom"/>
          </w:tcPr>
          <w:p>
            <w:pPr>
              <w:spacing w:after="0"/>
              <w:rPr>
                <w:sz w:val="17"/>
                <w:szCs w:val="17"/>
                <w:color w:val="auto"/>
              </w:rPr>
            </w:pPr>
          </w:p>
        </w:tc>
        <w:tc>
          <w:tcPr>
            <w:tcW w:w="3400" w:type="dxa"/>
            <w:vAlign w:val="bottom"/>
          </w:tcPr>
          <w:p>
            <w:pPr>
              <w:ind w:left="400"/>
              <w:spacing w:after="0" w:line="201" w:lineRule="exact"/>
              <w:rPr>
                <w:sz w:val="20"/>
                <w:szCs w:val="20"/>
                <w:color w:val="auto"/>
              </w:rPr>
            </w:pPr>
            <w:r>
              <w:rPr>
                <w:rFonts w:ascii="Arial" w:cs="Arial" w:eastAsia="Arial" w:hAnsi="Arial"/>
                <w:sz w:val="18"/>
                <w:szCs w:val="18"/>
                <w:color w:val="auto"/>
              </w:rPr>
              <w:t>Commercial mortgage-backed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2"/>
        </w:trPr>
        <w:tc>
          <w:tcPr>
            <w:tcW w:w="20" w:type="dxa"/>
            <w:vAlign w:val="bottom"/>
          </w:tcPr>
          <w:p>
            <w:pPr>
              <w:spacing w:after="0"/>
              <w:rPr>
                <w:sz w:val="17"/>
                <w:szCs w:val="17"/>
                <w:color w:val="auto"/>
              </w:rPr>
            </w:pPr>
          </w:p>
        </w:tc>
        <w:tc>
          <w:tcPr>
            <w:tcW w:w="3400" w:type="dxa"/>
            <w:vAlign w:val="bottom"/>
          </w:tcPr>
          <w:p>
            <w:pPr>
              <w:ind w:left="400"/>
              <w:spacing w:after="0" w:line="201" w:lineRule="exact"/>
              <w:rPr>
                <w:sz w:val="20"/>
                <w:szCs w:val="20"/>
                <w:color w:val="auto"/>
              </w:rPr>
            </w:pPr>
            <w:r>
              <w:rPr>
                <w:rFonts w:ascii="Arial" w:cs="Arial" w:eastAsia="Arial" w:hAnsi="Arial"/>
                <w:sz w:val="18"/>
                <w:szCs w:val="18"/>
                <w:color w:val="auto"/>
              </w:rPr>
              <w:t>U.S. nonredeemable — non-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46</w:t>
            </w: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Total Level 3 assets — Exchange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154</w:t>
            </w:r>
          </w:p>
        </w:tc>
        <w:tc>
          <w:tcPr>
            <w:tcW w:w="6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Level 3 assets — Erie Insurance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179</w:t>
            </w: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26</w:t>
            </w: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64"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losses as a result of other-than-temporary impairments and accrual of discount and amortization of premium. These amounts are reported in the Consolidated Statement of Operations. There were no unrealized gains or losses included in earnings for the three or nine months ended September 30, 2009 on Level 3 securities.</w:t>
      </w:r>
    </w:p>
    <w:p>
      <w:pPr>
        <w:spacing w:after="0" w:line="32" w:lineRule="exact"/>
        <w:rPr>
          <w:rFonts w:ascii="Arial" w:cs="Arial" w:eastAsia="Arial" w:hAnsi="Arial"/>
          <w:sz w:val="18"/>
          <w:szCs w:val="18"/>
          <w:i w:val="1"/>
          <w:iCs w:val="1"/>
          <w:color w:val="auto"/>
        </w:rPr>
      </w:pPr>
    </w:p>
    <w:p>
      <w:pPr>
        <w:ind w:left="460" w:right="460" w:hanging="452"/>
        <w:spacing w:after="0" w:line="277"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in and out of Level 3 are attributable to changes in the availability of market observable information for individual securities within the respective categories. Transfers in and out of levels are recognized at the end of the period.</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At September 30, 2010, we adjusted some prices received by the pricing service to reflect an alternate fair market value based on observable market data such as a disparity in price of comparable securities and/or non-binding broker quotes.</w:t>
      </w:r>
    </w:p>
    <w:p>
      <w:pPr>
        <w:sectPr>
          <w:pgSz w:w="11900" w:h="16838" w:orient="portrait"/>
          <w:cols w:equalWidth="0" w:num="1">
            <w:col w:w="11420"/>
          </w:cols>
          <w:pgMar w:left="240" w:top="41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number and values of these adjustments at September 30,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39"/>
              <w:spacing w:after="0"/>
              <w:rPr>
                <w:sz w:val="20"/>
                <w:szCs w:val="20"/>
                <w:color w:val="auto"/>
              </w:rPr>
            </w:pPr>
            <w:r>
              <w:rPr>
                <w:rFonts w:ascii="Arial" w:cs="Arial" w:eastAsia="Arial" w:hAnsi="Arial"/>
                <w:sz w:val="14"/>
                <w:szCs w:val="14"/>
                <w:color w:val="auto"/>
                <w:w w:val="93"/>
              </w:rPr>
              <w:t>Value of</w:t>
            </w:r>
          </w:p>
        </w:tc>
        <w:tc>
          <w:tcPr>
            <w:tcW w:w="440" w:type="dxa"/>
            <w:vAlign w:val="bottom"/>
          </w:tcPr>
          <w:p>
            <w:pPr>
              <w:spacing w:after="0"/>
              <w:rPr>
                <w:sz w:val="14"/>
                <w:szCs w:val="14"/>
                <w:color w:val="auto"/>
              </w:rPr>
            </w:pPr>
          </w:p>
        </w:tc>
        <w:tc>
          <w:tcPr>
            <w:tcW w:w="980" w:type="dxa"/>
            <w:vAlign w:val="bottom"/>
          </w:tcPr>
          <w:p>
            <w:pPr>
              <w:jc w:val="center"/>
              <w:ind w:right="139"/>
              <w:spacing w:after="0"/>
              <w:rPr>
                <w:sz w:val="20"/>
                <w:szCs w:val="20"/>
                <w:color w:val="auto"/>
              </w:rPr>
            </w:pPr>
            <w:r>
              <w:rPr>
                <w:rFonts w:ascii="Arial" w:cs="Arial" w:eastAsia="Arial" w:hAnsi="Arial"/>
                <w:sz w:val="14"/>
                <w:szCs w:val="14"/>
                <w:color w:val="auto"/>
                <w:w w:val="93"/>
              </w:rPr>
              <w:t>Value of</w:t>
            </w: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9"/>
              <w:spacing w:after="0" w:line="149" w:lineRule="exact"/>
              <w:rPr>
                <w:sz w:val="20"/>
                <w:szCs w:val="20"/>
                <w:color w:val="auto"/>
              </w:rPr>
            </w:pPr>
            <w:r>
              <w:rPr>
                <w:rFonts w:ascii="Arial" w:cs="Arial" w:eastAsia="Arial" w:hAnsi="Arial"/>
                <w:sz w:val="14"/>
                <w:szCs w:val="14"/>
                <w:color w:val="auto"/>
                <w:w w:val="91"/>
              </w:rPr>
              <w:t>securities</w:t>
            </w:r>
          </w:p>
        </w:tc>
        <w:tc>
          <w:tcPr>
            <w:tcW w:w="14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securities used in</w:t>
            </w: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60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Number of</w:t>
            </w: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using pricing</w:t>
            </w:r>
          </w:p>
        </w:tc>
        <w:tc>
          <w:tcPr>
            <w:tcW w:w="440" w:type="dxa"/>
            <w:vAlign w:val="bottom"/>
          </w:tcPr>
          <w:p>
            <w:pPr>
              <w:spacing w:after="0"/>
              <w:rPr>
                <w:sz w:val="12"/>
                <w:szCs w:val="12"/>
                <w:color w:val="auto"/>
              </w:rPr>
            </w:pPr>
          </w:p>
        </w:tc>
        <w:tc>
          <w:tcPr>
            <w:tcW w:w="98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6"/>
              </w:rPr>
              <w:t>the financial</w:t>
            </w:r>
          </w:p>
        </w:tc>
      </w:tr>
      <w:tr>
        <w:trPr>
          <w:trHeight w:val="174"/>
        </w:trPr>
        <w:tc>
          <w:tcPr>
            <w:tcW w:w="50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600" w:type="dxa"/>
            <w:vAlign w:val="bottom"/>
          </w:tcPr>
          <w:p>
            <w:pPr>
              <w:jc w:val="right"/>
              <w:ind w:right="339"/>
              <w:spacing w:after="0"/>
              <w:rPr>
                <w:sz w:val="20"/>
                <w:szCs w:val="20"/>
                <w:color w:val="auto"/>
              </w:rPr>
            </w:pPr>
            <w:r>
              <w:rPr>
                <w:rFonts w:ascii="Arial" w:cs="Arial" w:eastAsia="Arial" w:hAnsi="Arial"/>
                <w:sz w:val="14"/>
                <w:szCs w:val="14"/>
                <w:color w:val="auto"/>
              </w:rPr>
              <w:t>holdings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59"/>
              <w:spacing w:after="0"/>
              <w:rPr>
                <w:sz w:val="20"/>
                <w:szCs w:val="20"/>
                <w:color w:val="auto"/>
              </w:rPr>
            </w:pPr>
            <w:r>
              <w:rPr>
                <w:rFonts w:ascii="Arial" w:cs="Arial" w:eastAsia="Arial" w:hAnsi="Arial"/>
                <w:sz w:val="14"/>
                <w:szCs w:val="14"/>
                <w:color w:val="auto"/>
                <w:w w:val="94"/>
              </w:rPr>
              <w:t>service</w:t>
            </w:r>
          </w:p>
        </w:tc>
        <w:tc>
          <w:tcPr>
            <w:tcW w:w="44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Arial" w:cs="Arial" w:eastAsia="Arial" w:hAnsi="Arial"/>
                <w:sz w:val="14"/>
                <w:szCs w:val="14"/>
                <w:color w:val="auto"/>
                <w:w w:val="87"/>
              </w:rPr>
              <w:t>statements</w:t>
            </w:r>
          </w:p>
        </w:tc>
      </w:tr>
      <w:tr>
        <w:trPr>
          <w:trHeight w:val="216"/>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Indemnity</w:t>
            </w:r>
          </w:p>
        </w:tc>
        <w:tc>
          <w:tcPr>
            <w:tcW w:w="36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Exchange</w:t>
            </w:r>
          </w:p>
        </w:tc>
        <w:tc>
          <w:tcPr>
            <w:tcW w:w="3600" w:type="dxa"/>
            <w:vAlign w:val="bottom"/>
          </w:tcPr>
          <w:p>
            <w:pPr>
              <w:jc w:val="right"/>
              <w:ind w:right="259"/>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 Erie Insurance Group</w:t>
            </w:r>
          </w:p>
        </w:tc>
        <w:tc>
          <w:tcPr>
            <w:tcW w:w="3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level classification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cases in which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 For certain structured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the consolidated fixed maturity and preferred stock securities by pricing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Erie Insurance Group</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September 30, 2010</w:t>
            </w: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6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71"/>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color w:val="auto"/>
                <w:w w:val="97"/>
              </w:rPr>
              <w:t>Level 1</w:t>
            </w:r>
          </w:p>
        </w:tc>
        <w:tc>
          <w:tcPr>
            <w:tcW w:w="1360" w:type="dxa"/>
            <w:vAlign w:val="bottom"/>
            <w:gridSpan w:val="2"/>
          </w:tcPr>
          <w:p>
            <w:pPr>
              <w:jc w:val="right"/>
              <w:ind w:right="370"/>
              <w:spacing w:after="0"/>
              <w:rPr>
                <w:sz w:val="20"/>
                <w:szCs w:val="20"/>
                <w:color w:val="auto"/>
              </w:rPr>
            </w:pPr>
            <w:r>
              <w:rPr>
                <w:rFonts w:ascii="Arial" w:cs="Arial" w:eastAsia="Arial" w:hAnsi="Arial"/>
                <w:sz w:val="14"/>
                <w:szCs w:val="14"/>
                <w:color w:val="auto"/>
              </w:rPr>
              <w:t>Level 2</w:t>
            </w:r>
          </w:p>
        </w:tc>
        <w:tc>
          <w:tcPr>
            <w:tcW w:w="4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Priced via pricing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684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Priced via market comparables/non-binding broker quote</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maturity securities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695</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682</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Priced via pricing services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preferred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Common stock securities: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Priced via pricing services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20"/>
              <w:spacing w:after="0"/>
              <w:rPr>
                <w:sz w:val="20"/>
                <w:szCs w:val="20"/>
                <w:color w:val="auto"/>
              </w:rPr>
            </w:pPr>
            <w:r>
              <w:rPr>
                <w:rFonts w:ascii="Arial" w:cs="Arial" w:eastAsia="Arial" w:hAnsi="Arial"/>
                <w:sz w:val="18"/>
                <w:szCs w:val="18"/>
                <w:color w:val="auto"/>
              </w:rPr>
              <w:t>Total common stock securities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available-for-sale/trading securities — Indemnity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Priced via pricing services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6,913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17</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6,896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maturity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7,019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8"/>
              </w:rPr>
              <w:t>6,946</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Preferred stock securities: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Priced via pricing services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521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356</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20"/>
              <w:spacing w:after="0"/>
              <w:rPr>
                <w:sz w:val="20"/>
                <w:szCs w:val="20"/>
                <w:color w:val="auto"/>
              </w:rPr>
            </w:pPr>
            <w:r>
              <w:rPr>
                <w:rFonts w:ascii="Arial" w:cs="Arial" w:eastAsia="Arial" w:hAnsi="Arial"/>
                <w:sz w:val="18"/>
                <w:szCs w:val="18"/>
                <w:color w:val="auto"/>
              </w:rPr>
              <w:t>Total preferred stock securities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538</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160</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373</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Priced via pricing services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1,973</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1,973</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1,985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1,974</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available-for-sale/trading securities — Exchange</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9,542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2,151</w:t>
            </w: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8"/>
              </w:rPr>
              <w:t>7,319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available-for-sale/trading securities — Erie Insurance Group</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line="196" w:lineRule="exact"/>
              <w:rPr>
                <w:sz w:val="20"/>
                <w:szCs w:val="20"/>
                <w:color w:val="auto"/>
              </w:rPr>
            </w:pPr>
            <w:r>
              <w:rPr>
                <w:rFonts w:ascii="Arial" w:cs="Arial" w:eastAsia="Arial" w:hAnsi="Arial"/>
                <w:sz w:val="18"/>
                <w:szCs w:val="18"/>
                <w:color w:val="auto"/>
                <w:w w:val="98"/>
              </w:rPr>
              <w:t>10,309</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2,194</w:t>
            </w:r>
          </w:p>
        </w:tc>
        <w:tc>
          <w:tcPr>
            <w:tcW w:w="60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8"/>
              </w:rPr>
              <w:t>8,032</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77"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All broker quotes obtained for securities were non-binding. When a non-binding broker quote was the only price available, the security was classified as Level 3.</w:t>
      </w:r>
    </w:p>
    <w:p>
      <w:pPr>
        <w:spacing w:after="0" w:line="21" w:lineRule="exact"/>
        <w:rPr>
          <w:rFonts w:ascii="Arial" w:cs="Arial" w:eastAsia="Arial" w:hAnsi="Arial"/>
          <w:sz w:val="18"/>
          <w:szCs w:val="18"/>
          <w:i w:val="1"/>
          <w:iCs w:val="1"/>
          <w:color w:val="auto"/>
        </w:rPr>
      </w:pPr>
    </w:p>
    <w:p>
      <w:pPr>
        <w:ind w:left="460" w:right="380" w:hanging="452"/>
        <w:spacing w:after="0" w:line="277"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Internal modeling using a discounted cash flow model was performed on 15 fixed maturities and 3 common equity securities representing less than 0.7% of the total portfolio of the Erie Insurance Group.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that were measured at fair value on a nonrecurring basis during the nine months ended September 30, 2010.</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our available-for-sale securities at September 30, 2010 and December 31,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371"/>
              <w:spacing w:after="0"/>
              <w:rPr>
                <w:sz w:val="20"/>
                <w:szCs w:val="20"/>
                <w:color w:val="auto"/>
              </w:rPr>
            </w:pPr>
            <w:r>
              <w:rPr>
                <w:rFonts w:ascii="Arial" w:cs="Arial" w:eastAsia="Arial" w:hAnsi="Arial"/>
                <w:sz w:val="14"/>
                <w:szCs w:val="14"/>
                <w:color w:val="auto"/>
                <w:w w:val="93"/>
              </w:rPr>
              <w:t>Erie Insurance Group</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00" w:type="dxa"/>
            <w:vAlign w:val="bottom"/>
            <w:gridSpan w:val="2"/>
          </w:tcPr>
          <w:p>
            <w:pPr>
              <w:jc w:val="center"/>
              <w:ind w:left="351"/>
              <w:spacing w:after="0" w:line="123" w:lineRule="exact"/>
              <w:rPr>
                <w:sz w:val="20"/>
                <w:szCs w:val="20"/>
                <w:color w:val="auto"/>
              </w:rPr>
            </w:pPr>
            <w:r>
              <w:rPr>
                <w:rFonts w:ascii="Arial" w:cs="Arial" w:eastAsia="Arial" w:hAnsi="Arial"/>
                <w:sz w:val="14"/>
                <w:szCs w:val="14"/>
                <w:color w:val="auto"/>
                <w:w w:val="89"/>
              </w:rPr>
              <w:t>September 30, 2010</w:t>
            </w: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Amortized</w:t>
            </w:r>
          </w:p>
        </w:tc>
        <w:tc>
          <w:tcPr>
            <w:tcW w:w="1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1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81"/>
        </w:trPr>
        <w:tc>
          <w:tcPr>
            <w:tcW w:w="6120" w:type="dxa"/>
            <w:vAlign w:val="bottom"/>
          </w:tcPr>
          <w:p>
            <w:pPr>
              <w:spacing w:after="0"/>
              <w:rPr>
                <w:sz w:val="20"/>
                <w:szCs w:val="20"/>
                <w:color w:val="auto"/>
              </w:rPr>
            </w:pPr>
            <w:r>
              <w:rPr>
                <w:rFonts w:ascii="Arial" w:cs="Arial" w:eastAsia="Arial" w:hAnsi="Arial"/>
                <w:sz w:val="14"/>
                <w:szCs w:val="14"/>
                <w:color w:val="auto"/>
              </w:rPr>
              <w:t>Available-for-sale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color w:val="auto"/>
              </w:rPr>
              <w:t>cost</w:t>
            </w:r>
          </w:p>
        </w:tc>
        <w:tc>
          <w:tcPr>
            <w:tcW w:w="540" w:type="dxa"/>
            <w:vAlign w:val="bottom"/>
          </w:tcPr>
          <w:p>
            <w:pPr>
              <w:spacing w:after="0"/>
              <w:rPr>
                <w:sz w:val="15"/>
                <w:szCs w:val="15"/>
                <w:color w:val="auto"/>
              </w:rPr>
            </w:pPr>
          </w:p>
        </w:tc>
        <w:tc>
          <w:tcPr>
            <w:tcW w:w="1080" w:type="dxa"/>
            <w:vAlign w:val="bottom"/>
          </w:tcPr>
          <w:p>
            <w:pPr>
              <w:jc w:val="right"/>
              <w:ind w:right="571"/>
              <w:spacing w:after="0"/>
              <w:rPr>
                <w:sz w:val="20"/>
                <w:szCs w:val="20"/>
                <w:color w:val="auto"/>
              </w:rPr>
            </w:pPr>
            <w:r>
              <w:rPr>
                <w:rFonts w:ascii="Arial" w:cs="Arial" w:eastAsia="Arial" w:hAnsi="Arial"/>
                <w:sz w:val="14"/>
                <w:szCs w:val="14"/>
                <w:color w:val="auto"/>
              </w:rPr>
              <w:t>gains</w:t>
            </w:r>
          </w:p>
        </w:tc>
        <w:tc>
          <w:tcPr>
            <w:tcW w:w="620" w:type="dxa"/>
            <w:vAlign w:val="bottom"/>
          </w:tcPr>
          <w:p>
            <w:pPr>
              <w:spacing w:after="0"/>
              <w:rPr>
                <w:sz w:val="15"/>
                <w:szCs w:val="15"/>
                <w:color w:val="auto"/>
              </w:rPr>
            </w:pPr>
          </w:p>
        </w:tc>
        <w:tc>
          <w:tcPr>
            <w:tcW w:w="980" w:type="dxa"/>
            <w:vAlign w:val="bottom"/>
          </w:tcPr>
          <w:p>
            <w:pPr>
              <w:jc w:val="right"/>
              <w:ind w:right="550"/>
              <w:spacing w:after="0"/>
              <w:rPr>
                <w:sz w:val="20"/>
                <w:szCs w:val="20"/>
                <w:color w:val="auto"/>
              </w:rPr>
            </w:pPr>
            <w:r>
              <w:rPr>
                <w:rFonts w:ascii="Arial" w:cs="Arial" w:eastAsia="Arial" w:hAnsi="Arial"/>
                <w:sz w:val="14"/>
                <w:szCs w:val="14"/>
                <w:color w:val="auto"/>
                <w:w w:val="80"/>
              </w:rPr>
              <w:t>losses</w:t>
            </w:r>
          </w:p>
        </w:tc>
        <w:tc>
          <w:tcPr>
            <w:tcW w:w="1100" w:type="dxa"/>
            <w:vAlign w:val="bottom"/>
            <w:gridSpan w:val="4"/>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corporate debt — non-financial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164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corporate debt — non-financial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Structured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Asset-backed securities — auto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Collateralized debt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Commercial mortgage-backed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Residential mortgage-backed: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20"/>
              <w:spacing w:after="0"/>
              <w:rPr>
                <w:sz w:val="20"/>
                <w:szCs w:val="20"/>
                <w:color w:val="auto"/>
              </w:rPr>
            </w:pPr>
            <w:r>
              <w:rPr>
                <w:rFonts w:ascii="Arial" w:cs="Arial" w:eastAsia="Arial" w:hAnsi="Arial"/>
                <w:sz w:val="18"/>
                <w:szCs w:val="18"/>
                <w:color w:val="auto"/>
              </w:rPr>
              <w:t>Non-government sponsored enterprises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maturities-Indemnity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649</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 securities — Indemnity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Total available-for-sale securities — Indemnity</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689</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54</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1,364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2,114</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corporate debt — 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1,666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168</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407</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corporate debt — 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Structured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Asset-backed securities — auto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Asset-backed securities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Collateralized debt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Commercial mortgage-backed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Residential mortgage-backed: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20"/>
              <w:spacing w:after="0"/>
              <w:rPr>
                <w:sz w:val="20"/>
                <w:szCs w:val="20"/>
                <w:color w:val="auto"/>
              </w:rPr>
            </w:pPr>
            <w:r>
              <w:rPr>
                <w:rFonts w:ascii="Arial" w:cs="Arial" w:eastAsia="Arial" w:hAnsi="Arial"/>
                <w:sz w:val="18"/>
                <w:szCs w:val="18"/>
                <w:color w:val="auto"/>
              </w:rPr>
              <w:t>Non-government sponsored enterprises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 — Exchange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6,453</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584</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291</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equity securities — Exchange</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467</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available-for-sale securities — Exchange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6,920</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659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Total available-for-sale securities — Erie Insurance Group</w:t>
            </w: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line="204" w:lineRule="exact"/>
              <w:rPr>
                <w:sz w:val="20"/>
                <w:szCs w:val="20"/>
                <w:color w:val="auto"/>
              </w:rPr>
            </w:pPr>
            <w:r>
              <w:rPr>
                <w:rFonts w:ascii="Arial" w:cs="Arial" w:eastAsia="Arial" w:hAnsi="Arial"/>
                <w:sz w:val="18"/>
                <w:szCs w:val="18"/>
                <w:color w:val="auto"/>
              </w:rPr>
              <w:t>7,609</w:t>
            </w:r>
          </w:p>
        </w:tc>
        <w:tc>
          <w:tcPr>
            <w:tcW w:w="540" w:type="dxa"/>
            <w:vAlign w:val="bottom"/>
            <w:tcBorders>
              <w:bottom w:val="single" w:sz="8" w:color="auto"/>
            </w:tcBorders>
          </w:tcPr>
          <w:p>
            <w:pPr>
              <w:ind w:left="320"/>
              <w:spacing w:after="0" w:line="204"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line="204" w:lineRule="exact"/>
              <w:rPr>
                <w:sz w:val="20"/>
                <w:szCs w:val="20"/>
                <w:color w:val="auto"/>
              </w:rPr>
            </w:pPr>
            <w:r>
              <w:rPr>
                <w:rFonts w:ascii="Arial" w:cs="Arial" w:eastAsia="Arial" w:hAnsi="Arial"/>
                <w:sz w:val="18"/>
                <w:szCs w:val="18"/>
                <w:color w:val="auto"/>
              </w:rPr>
              <w:t>713</w:t>
            </w:r>
          </w:p>
        </w:tc>
        <w:tc>
          <w:tcPr>
            <w:tcW w:w="620" w:type="dxa"/>
            <w:vAlign w:val="bottom"/>
            <w:tcBorders>
              <w:bottom w:val="single" w:sz="8" w:color="auto"/>
            </w:tcBorders>
          </w:tcPr>
          <w:p>
            <w:pPr>
              <w:ind w:left="300"/>
              <w:spacing w:after="0" w:line="204"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line="204" w:lineRule="exact"/>
              <w:rPr>
                <w:sz w:val="20"/>
                <w:szCs w:val="20"/>
                <w:color w:val="auto"/>
              </w:rPr>
            </w:pPr>
            <w:r>
              <w:rPr>
                <w:rFonts w:ascii="Arial" w:cs="Arial" w:eastAsia="Arial" w:hAnsi="Arial"/>
                <w:sz w:val="18"/>
                <w:szCs w:val="18"/>
                <w:color w:val="auto"/>
              </w:rPr>
              <w:t>24</w:t>
            </w:r>
          </w:p>
        </w:tc>
        <w:tc>
          <w:tcPr>
            <w:tcW w:w="500" w:type="dxa"/>
            <w:vAlign w:val="bottom"/>
            <w:tcBorders>
              <w:bottom w:val="single" w:sz="8" w:color="auto"/>
            </w:tcBorders>
          </w:tcPr>
          <w:p>
            <w:pPr>
              <w:jc w:val="right"/>
              <w:ind w:right="13"/>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8,298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095" w:gutter="0" w:footer="0" w:header="0"/>
        </w:sect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95"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371"/>
              <w:spacing w:after="0"/>
              <w:rPr>
                <w:sz w:val="20"/>
                <w:szCs w:val="20"/>
                <w:color w:val="auto"/>
              </w:rPr>
            </w:pPr>
            <w:r>
              <w:rPr>
                <w:rFonts w:ascii="Arial" w:cs="Arial" w:eastAsia="Arial" w:hAnsi="Arial"/>
                <w:sz w:val="14"/>
                <w:szCs w:val="14"/>
                <w:color w:val="auto"/>
                <w:w w:val="93"/>
              </w:rPr>
              <w:t>Erie Insurance Group</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00" w:type="dxa"/>
            <w:vAlign w:val="bottom"/>
            <w:gridSpan w:val="2"/>
          </w:tcPr>
          <w:p>
            <w:pPr>
              <w:jc w:val="center"/>
              <w:ind w:left="351"/>
              <w:spacing w:after="0" w:line="123" w:lineRule="exact"/>
              <w:rPr>
                <w:sz w:val="20"/>
                <w:szCs w:val="20"/>
                <w:color w:val="auto"/>
              </w:rPr>
            </w:pPr>
            <w:r>
              <w:rPr>
                <w:rFonts w:ascii="Arial" w:cs="Arial" w:eastAsia="Arial" w:hAnsi="Arial"/>
                <w:sz w:val="14"/>
                <w:szCs w:val="14"/>
                <w:color w:val="auto"/>
                <w:w w:val="92"/>
              </w:rPr>
              <w:t>December 31, 2009</w:t>
            </w: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Amortized</w:t>
            </w:r>
          </w:p>
        </w:tc>
        <w:tc>
          <w:tcPr>
            <w:tcW w:w="1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1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81"/>
        </w:trPr>
        <w:tc>
          <w:tcPr>
            <w:tcW w:w="6120" w:type="dxa"/>
            <w:vAlign w:val="bottom"/>
          </w:tcPr>
          <w:p>
            <w:pPr>
              <w:spacing w:after="0"/>
              <w:rPr>
                <w:sz w:val="20"/>
                <w:szCs w:val="20"/>
                <w:color w:val="auto"/>
              </w:rPr>
            </w:pPr>
            <w:r>
              <w:rPr>
                <w:rFonts w:ascii="Arial" w:cs="Arial" w:eastAsia="Arial" w:hAnsi="Arial"/>
                <w:sz w:val="14"/>
                <w:szCs w:val="14"/>
                <w:color w:val="auto"/>
              </w:rPr>
              <w:t>Available-for-sale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color w:val="auto"/>
              </w:rPr>
              <w:t>cost</w:t>
            </w:r>
          </w:p>
        </w:tc>
        <w:tc>
          <w:tcPr>
            <w:tcW w:w="540" w:type="dxa"/>
            <w:vAlign w:val="bottom"/>
          </w:tcPr>
          <w:p>
            <w:pPr>
              <w:spacing w:after="0"/>
              <w:rPr>
                <w:sz w:val="15"/>
                <w:szCs w:val="15"/>
                <w:color w:val="auto"/>
              </w:rPr>
            </w:pPr>
          </w:p>
        </w:tc>
        <w:tc>
          <w:tcPr>
            <w:tcW w:w="1080" w:type="dxa"/>
            <w:vAlign w:val="bottom"/>
          </w:tcPr>
          <w:p>
            <w:pPr>
              <w:jc w:val="right"/>
              <w:ind w:right="571"/>
              <w:spacing w:after="0"/>
              <w:rPr>
                <w:sz w:val="20"/>
                <w:szCs w:val="20"/>
                <w:color w:val="auto"/>
              </w:rPr>
            </w:pPr>
            <w:r>
              <w:rPr>
                <w:rFonts w:ascii="Arial" w:cs="Arial" w:eastAsia="Arial" w:hAnsi="Arial"/>
                <w:sz w:val="14"/>
                <w:szCs w:val="14"/>
                <w:color w:val="auto"/>
              </w:rPr>
              <w:t>gains</w:t>
            </w:r>
          </w:p>
        </w:tc>
        <w:tc>
          <w:tcPr>
            <w:tcW w:w="620" w:type="dxa"/>
            <w:vAlign w:val="bottom"/>
          </w:tcPr>
          <w:p>
            <w:pPr>
              <w:spacing w:after="0"/>
              <w:rPr>
                <w:sz w:val="15"/>
                <w:szCs w:val="15"/>
                <w:color w:val="auto"/>
              </w:rPr>
            </w:pPr>
          </w:p>
        </w:tc>
        <w:tc>
          <w:tcPr>
            <w:tcW w:w="980" w:type="dxa"/>
            <w:vAlign w:val="bottom"/>
          </w:tcPr>
          <w:p>
            <w:pPr>
              <w:jc w:val="right"/>
              <w:ind w:right="550"/>
              <w:spacing w:after="0"/>
              <w:rPr>
                <w:sz w:val="20"/>
                <w:szCs w:val="20"/>
                <w:color w:val="auto"/>
              </w:rPr>
            </w:pPr>
            <w:r>
              <w:rPr>
                <w:rFonts w:ascii="Arial" w:cs="Arial" w:eastAsia="Arial" w:hAnsi="Arial"/>
                <w:sz w:val="14"/>
                <w:szCs w:val="14"/>
                <w:color w:val="auto"/>
                <w:w w:val="80"/>
              </w:rPr>
              <w:t>losses</w:t>
            </w:r>
          </w:p>
        </w:tc>
        <w:tc>
          <w:tcPr>
            <w:tcW w:w="1100" w:type="dxa"/>
            <w:vAlign w:val="bottom"/>
            <w:gridSpan w:val="4"/>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235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corporate debt — 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corporate debt — 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Structured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Asset-backed securities — auto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Collateralized debt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Commercial mortgage-backed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 mortgage-backed: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8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Non-government sponsored enterprises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maturities-Indemnity</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642</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nonredeemable preferred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Financial</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equity securities — Indemnity</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35</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available-for-sale securities — Indemnity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677</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sponsored enterprises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government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1,389</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U.S. corporate debt — non-financial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2,078</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corporate debt — 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1,498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corporate debt — non-financial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corporate debt — 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Structured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Asset-backed securities — auto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Asset-backed securities — credit cards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Asset-backed securities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Collateralized debt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Commercial mortgage-backed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Residential mortgage-backed: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20"/>
              <w:spacing w:after="0"/>
              <w:rPr>
                <w:sz w:val="20"/>
                <w:szCs w:val="20"/>
                <w:color w:val="auto"/>
              </w:rPr>
            </w:pPr>
            <w:r>
              <w:rPr>
                <w:rFonts w:ascii="Arial" w:cs="Arial" w:eastAsia="Arial" w:hAnsi="Arial"/>
                <w:sz w:val="18"/>
                <w:szCs w:val="18"/>
                <w:color w:val="auto"/>
              </w:rPr>
              <w:t>Non-government sponsored enterprises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 — Exchange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6,277</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316</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259</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53</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Government sponsored enterprises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nonredeemable preferred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2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equity securities — Exchange</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425</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63</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available-for-sale securities — Exchange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6,702</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379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Total available-for-sale securities — Erie Insurance Group</w:t>
            </w: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0"/>
              <w:spacing w:after="0" w:line="204" w:lineRule="exact"/>
              <w:rPr>
                <w:sz w:val="20"/>
                <w:szCs w:val="20"/>
                <w:color w:val="auto"/>
              </w:rPr>
            </w:pPr>
            <w:r>
              <w:rPr>
                <w:rFonts w:ascii="Arial" w:cs="Arial" w:eastAsia="Arial" w:hAnsi="Arial"/>
                <w:sz w:val="18"/>
                <w:szCs w:val="18"/>
                <w:color w:val="auto"/>
              </w:rPr>
              <w:t>7,379</w:t>
            </w:r>
          </w:p>
        </w:tc>
        <w:tc>
          <w:tcPr>
            <w:tcW w:w="540" w:type="dxa"/>
            <w:vAlign w:val="bottom"/>
            <w:tcBorders>
              <w:bottom w:val="single" w:sz="8" w:color="auto"/>
            </w:tcBorders>
          </w:tcPr>
          <w:p>
            <w:pPr>
              <w:ind w:left="320"/>
              <w:spacing w:after="0" w:line="204"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line="204" w:lineRule="exact"/>
              <w:rPr>
                <w:sz w:val="20"/>
                <w:szCs w:val="20"/>
                <w:color w:val="auto"/>
              </w:rPr>
            </w:pPr>
            <w:r>
              <w:rPr>
                <w:rFonts w:ascii="Arial" w:cs="Arial" w:eastAsia="Arial" w:hAnsi="Arial"/>
                <w:sz w:val="18"/>
                <w:szCs w:val="18"/>
                <w:color w:val="auto"/>
              </w:rPr>
              <w:t>413</w:t>
            </w:r>
          </w:p>
        </w:tc>
        <w:tc>
          <w:tcPr>
            <w:tcW w:w="620" w:type="dxa"/>
            <w:vAlign w:val="bottom"/>
            <w:tcBorders>
              <w:bottom w:val="single" w:sz="8" w:color="auto"/>
            </w:tcBorders>
          </w:tcPr>
          <w:p>
            <w:pPr>
              <w:ind w:left="300"/>
              <w:spacing w:after="0" w:line="204"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line="204" w:lineRule="exact"/>
              <w:rPr>
                <w:sz w:val="20"/>
                <w:szCs w:val="20"/>
                <w:color w:val="auto"/>
              </w:rPr>
            </w:pPr>
            <w:r>
              <w:rPr>
                <w:rFonts w:ascii="Arial" w:cs="Arial" w:eastAsia="Arial" w:hAnsi="Arial"/>
                <w:sz w:val="18"/>
                <w:szCs w:val="18"/>
                <w:color w:val="auto"/>
              </w:rPr>
              <w:t>101</w:t>
            </w:r>
          </w:p>
        </w:tc>
        <w:tc>
          <w:tcPr>
            <w:tcW w:w="500" w:type="dxa"/>
            <w:vAlign w:val="bottom"/>
            <w:tcBorders>
              <w:bottom w:val="single" w:sz="8" w:color="auto"/>
            </w:tcBorders>
          </w:tcPr>
          <w:p>
            <w:pPr>
              <w:jc w:val="right"/>
              <w:ind w:right="13"/>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7,691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amortized cost and estimated fair value of fixed maturities at September 30, 2010,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ind w:left="240"/>
              <w:spacing w:after="0"/>
              <w:rPr>
                <w:sz w:val="20"/>
                <w:szCs w:val="20"/>
                <w:color w:val="auto"/>
              </w:rPr>
            </w:pPr>
            <w:r>
              <w:rPr>
                <w:rFonts w:ascii="Arial" w:cs="Arial" w:eastAsia="Arial" w:hAnsi="Arial"/>
                <w:sz w:val="14"/>
                <w:szCs w:val="14"/>
                <w:color w:val="auto"/>
              </w:rPr>
              <w:t>Erie Insurance Group</w:t>
            </w:r>
          </w:p>
        </w:tc>
      </w:tr>
      <w:tr>
        <w:trPr>
          <w:trHeight w:val="123"/>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80"/>
              <w:spacing w:after="0" w:line="123" w:lineRule="exact"/>
              <w:rPr>
                <w:sz w:val="20"/>
                <w:szCs w:val="20"/>
                <w:color w:val="auto"/>
              </w:rPr>
            </w:pPr>
            <w:r>
              <w:rPr>
                <w:rFonts w:ascii="Arial" w:cs="Arial" w:eastAsia="Arial" w:hAnsi="Arial"/>
                <w:sz w:val="14"/>
                <w:szCs w:val="14"/>
                <w:color w:val="auto"/>
                <w:w w:val="98"/>
              </w:rPr>
              <w:t>Amortized</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9"/>
              </w:rPr>
              <w:t>Estimated</w:t>
            </w:r>
          </w:p>
        </w:tc>
        <w:tc>
          <w:tcPr>
            <w:tcW w:w="100" w:type="dxa"/>
            <w:vAlign w:val="bottom"/>
          </w:tcPr>
          <w:p>
            <w:pPr>
              <w:spacing w:after="0"/>
              <w:rPr>
                <w:sz w:val="10"/>
                <w:szCs w:val="10"/>
                <w:color w:val="auto"/>
              </w:rPr>
            </w:pPr>
          </w:p>
        </w:tc>
      </w:tr>
      <w:tr>
        <w:trPr>
          <w:trHeight w:val="167"/>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fixed maturities — Indemnity</w:t>
            </w:r>
          </w:p>
        </w:tc>
        <w:tc>
          <w:tcPr>
            <w:tcW w:w="29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2,575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fixed maturities — Exchange</w:t>
            </w:r>
          </w:p>
        </w:tc>
        <w:tc>
          <w:tcPr>
            <w:tcW w:w="29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 — Erie Insurance Group</w:t>
            </w:r>
          </w:p>
        </w:tc>
        <w:tc>
          <w:tcPr>
            <w:tcW w:w="31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7,102</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7,714</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September 30, 2010 are as follows for Indemnity.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w w:val="99"/>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60" w:type="dxa"/>
            <w:vAlign w:val="bottom"/>
            <w:tcBorders>
              <w:bottom w:val="single" w:sz="8" w:color="auto"/>
            </w:tcBorders>
            <w:gridSpan w:val="5"/>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260"/>
              <w:spacing w:after="0" w:line="142" w:lineRule="exact"/>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520" w:type="dxa"/>
            <w:vAlign w:val="bottom"/>
          </w:tcPr>
          <w:p>
            <w:pPr>
              <w:jc w:val="center"/>
              <w:ind w:left="99"/>
              <w:spacing w:after="0" w:line="123"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jc w:val="center"/>
              <w:ind w:left="99"/>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Fixed maturities: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sponsored</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Municipal securities</w:t>
            </w:r>
          </w:p>
        </w:tc>
        <w:tc>
          <w:tcPr>
            <w:tcW w:w="52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non-financial</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U.S. corporate debt — financial</w:t>
            </w:r>
          </w:p>
        </w:tc>
        <w:tc>
          <w:tcPr>
            <w:tcW w:w="52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 non-</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Foreign corporate debt — financial</w:t>
            </w:r>
          </w:p>
        </w:tc>
        <w:tc>
          <w:tcPr>
            <w:tcW w:w="52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Collateralized debt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obligations</w:t>
            </w:r>
          </w:p>
        </w:tc>
        <w:tc>
          <w:tcPr>
            <w:tcW w:w="520" w:type="dxa"/>
            <w:vAlign w:val="bottom"/>
          </w:tcPr>
          <w:p>
            <w:pPr>
              <w:spacing w:after="0"/>
              <w:rPr>
                <w:sz w:val="20"/>
                <w:szCs w:val="20"/>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Commercial mortgage-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backed</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maturities —</w:t>
            </w: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620"/>
              <w:spacing w:after="0"/>
              <w:rPr>
                <w:sz w:val="20"/>
                <w:szCs w:val="20"/>
                <w:color w:val="auto"/>
              </w:rPr>
            </w:pPr>
            <w:r>
              <w:rPr>
                <w:rFonts w:ascii="Arial" w:cs="Arial" w:eastAsia="Arial" w:hAnsi="Arial"/>
                <w:sz w:val="18"/>
                <w:szCs w:val="18"/>
                <w:color w:val="auto"/>
              </w:rPr>
              <w:t>Indemnity</w:t>
            </w: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580" w:type="dxa"/>
            <w:vAlign w:val="bottom"/>
          </w:tcPr>
          <w:p>
            <w:pPr>
              <w:spacing w:after="0"/>
              <w:rPr>
                <w:sz w:val="20"/>
                <w:szCs w:val="20"/>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U.S. nonredeemable preferred</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Non-financial</w:t>
            </w:r>
          </w:p>
        </w:tc>
        <w:tc>
          <w:tcPr>
            <w:tcW w:w="52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Government sponsored</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enterprises</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Foreign nonredeemable preferred</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820"/>
              <w:spacing w:after="0"/>
              <w:rPr>
                <w:sz w:val="20"/>
                <w:szCs w:val="20"/>
                <w:color w:val="auto"/>
              </w:rPr>
            </w:pPr>
            <w:r>
              <w:rPr>
                <w:rFonts w:ascii="Arial" w:cs="Arial" w:eastAsia="Arial" w:hAnsi="Arial"/>
                <w:sz w:val="18"/>
                <w:szCs w:val="18"/>
                <w:color w:val="auto"/>
              </w:rPr>
              <w:t>Total equity securities —</w:t>
            </w: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020"/>
              <w:spacing w:after="0"/>
              <w:rPr>
                <w:sz w:val="20"/>
                <w:szCs w:val="20"/>
                <w:color w:val="auto"/>
              </w:rPr>
            </w:pPr>
            <w:r>
              <w:rPr>
                <w:rFonts w:ascii="Arial" w:cs="Arial" w:eastAsia="Arial" w:hAnsi="Arial"/>
                <w:sz w:val="18"/>
                <w:szCs w:val="18"/>
                <w:color w:val="auto"/>
              </w:rPr>
              <w:t>Indemnity</w:t>
            </w: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Quality breakdown of fixed maturities at September 30, 2010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100" w:type="dxa"/>
            <w:vAlign w:val="bottom"/>
          </w:tcPr>
          <w:p>
            <w:pPr>
              <w:spacing w:after="0"/>
              <w:rPr>
                <w:sz w:val="24"/>
                <w:szCs w:val="24"/>
                <w:color w:val="auto"/>
              </w:rPr>
            </w:pPr>
          </w:p>
        </w:tc>
        <w:tc>
          <w:tcPr>
            <w:tcW w:w="18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520" w:type="dxa"/>
            <w:vAlign w:val="bottom"/>
          </w:tcPr>
          <w:p>
            <w:pPr>
              <w:jc w:val="center"/>
              <w:ind w:left="99"/>
              <w:spacing w:after="0" w:line="123"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jc w:val="center"/>
              <w:ind w:left="99"/>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Investment grade</w:t>
            </w: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fixed maturities — Indemnity</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13</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325" w:gutter="0" w:footer="0" w:header="0"/>
        </w:sect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325"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September 30, 2010 are as follows for the Exchange.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w w:val="99"/>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6"/>
          </w:tcPr>
          <w:p>
            <w:pPr>
              <w:jc w:val="right"/>
              <w:ind w:right="960"/>
              <w:spacing w:after="0" w:line="142" w:lineRule="exact"/>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70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5"/>
                <w:szCs w:val="15"/>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5"/>
                <w:szCs w:val="15"/>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U.S. corporate debt — financial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Foreign corporate debt — financial</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620"/>
              <w:spacing w:after="0"/>
              <w:rPr>
                <w:sz w:val="20"/>
                <w:szCs w:val="20"/>
                <w:color w:val="auto"/>
              </w:rPr>
            </w:pPr>
            <w:r>
              <w:rPr>
                <w:rFonts w:ascii="Arial" w:cs="Arial" w:eastAsia="Arial" w:hAnsi="Arial"/>
                <w:sz w:val="18"/>
                <w:szCs w:val="18"/>
                <w:color w:val="auto"/>
              </w:rPr>
              <w:t>Asset backed — other</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102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2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220"/>
              <w:spacing w:after="0"/>
              <w:rPr>
                <w:sz w:val="20"/>
                <w:szCs w:val="20"/>
                <w:color w:val="auto"/>
              </w:rPr>
            </w:pPr>
            <w:r>
              <w:rPr>
                <w:rFonts w:ascii="Arial" w:cs="Arial" w:eastAsia="Arial" w:hAnsi="Arial"/>
                <w:sz w:val="18"/>
                <w:szCs w:val="18"/>
                <w:color w:val="auto"/>
              </w:rPr>
              <w:t>enterprises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Total fixed maturities —</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Government sponsored enterprises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Total equity securities —</w:t>
            </w: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Quality breakdown of fixed maturities at September 30, 2010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6"/>
          </w:tcPr>
          <w:p>
            <w:pPr>
              <w:jc w:val="right"/>
              <w:ind w:right="960"/>
              <w:spacing w:after="0"/>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70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fixed maturities — Exchange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above securities for Indemnity and the Exchange have been evaluated and determined to be temporary impairments for which we expect to recover our entire principal plus interest. The primary components of this analysis are a general review of market conditions and financial performance of the issuer along with the extent and duration of which fair value is less than cost. A large portion of the unrealized losses greater than 12 months are related to U.S. financial sector securities. Any debt securities that we intend to sell or will more likely than not be required to sell before recovery are included in other-than-temporary impairments with the impairment charges recognized in earnings.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2009 are as follows for Indemnity.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w w:val="99"/>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4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U.S. corporate debt – financial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Foreign corporate debt – financial</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Government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sponsored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100" w:type="dxa"/>
            <w:vAlign w:val="bottom"/>
          </w:tcPr>
          <w:p>
            <w:pPr>
              <w:ind w:left="102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2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220"/>
              <w:spacing w:after="0"/>
              <w:rPr>
                <w:sz w:val="20"/>
                <w:szCs w:val="20"/>
                <w:color w:val="auto"/>
              </w:rPr>
            </w:pPr>
            <w:r>
              <w:rPr>
                <w:rFonts w:ascii="Arial" w:cs="Arial" w:eastAsia="Arial" w:hAnsi="Arial"/>
                <w:sz w:val="18"/>
                <w:szCs w:val="18"/>
                <w:color w:val="auto"/>
              </w:rPr>
              <w:t>enterprises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Total fixed maturities –</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Indemnity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w:t>
            </w:r>
          </w:p>
        </w:tc>
        <w:tc>
          <w:tcPr>
            <w:tcW w:w="4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100" w:type="dxa"/>
            <w:vAlign w:val="bottom"/>
          </w:tcPr>
          <w:p>
            <w:pPr>
              <w:ind w:left="820"/>
              <w:spacing w:after="0"/>
              <w:rPr>
                <w:sz w:val="20"/>
                <w:szCs w:val="20"/>
                <w:color w:val="auto"/>
              </w:rPr>
            </w:pPr>
            <w:r>
              <w:rPr>
                <w:rFonts w:ascii="Arial" w:cs="Arial" w:eastAsia="Arial" w:hAnsi="Arial"/>
                <w:sz w:val="18"/>
                <w:szCs w:val="18"/>
                <w:color w:val="auto"/>
              </w:rPr>
              <w:t>Total equity securities –</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020"/>
              <w:spacing w:after="0"/>
              <w:rPr>
                <w:sz w:val="20"/>
                <w:szCs w:val="20"/>
                <w:color w:val="auto"/>
              </w:rPr>
            </w:pPr>
            <w:r>
              <w:rPr>
                <w:rFonts w:ascii="Arial" w:cs="Arial" w:eastAsia="Arial" w:hAnsi="Arial"/>
                <w:sz w:val="18"/>
                <w:szCs w:val="18"/>
                <w:color w:val="auto"/>
              </w:rPr>
              <w:t>Indemnity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60" w:type="dxa"/>
            <w:vAlign w:val="bottom"/>
            <w:gridSpan w:val="6"/>
          </w:tcPr>
          <w:p>
            <w:pPr>
              <w:spacing w:after="0"/>
              <w:rPr>
                <w:sz w:val="20"/>
                <w:szCs w:val="20"/>
                <w:color w:val="auto"/>
              </w:rPr>
            </w:pPr>
            <w:r>
              <w:rPr>
                <w:rFonts w:ascii="Arial" w:cs="Arial" w:eastAsia="Arial" w:hAnsi="Arial"/>
                <w:sz w:val="18"/>
                <w:szCs w:val="18"/>
                <w:color w:val="auto"/>
              </w:rPr>
              <w:t>Quality breakdown of fixed maturities at December 31, 2009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fixed maturities – Indemnity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2009 are as follows for the Exchange.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w w:val="99"/>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6"/>
          </w:tcPr>
          <w:p>
            <w:pPr>
              <w:jc w:val="right"/>
              <w:ind w:right="960"/>
              <w:spacing w:after="0" w:line="142" w:lineRule="exact"/>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4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non-financial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U.S. corporate debt – financial</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Foreign corporate debt – financial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620"/>
              <w:spacing w:after="0"/>
              <w:rPr>
                <w:sz w:val="20"/>
                <w:szCs w:val="20"/>
                <w:color w:val="auto"/>
              </w:rPr>
            </w:pPr>
            <w:r>
              <w:rPr>
                <w:rFonts w:ascii="Arial" w:cs="Arial" w:eastAsia="Arial" w:hAnsi="Arial"/>
                <w:sz w:val="18"/>
                <w:szCs w:val="18"/>
                <w:color w:val="auto"/>
              </w:rPr>
              <w:t>Asset backed – credit cards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 backed – other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100" w:type="dxa"/>
            <w:vAlign w:val="bottom"/>
          </w:tcPr>
          <w:p>
            <w:pPr>
              <w:ind w:left="62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82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Government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sponsored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100" w:type="dxa"/>
            <w:vAlign w:val="bottom"/>
          </w:tcPr>
          <w:p>
            <w:pPr>
              <w:ind w:left="102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2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220"/>
              <w:spacing w:after="0"/>
              <w:rPr>
                <w:sz w:val="20"/>
                <w:szCs w:val="20"/>
                <w:color w:val="auto"/>
              </w:rPr>
            </w:pPr>
            <w:r>
              <w:rPr>
                <w:rFonts w:ascii="Arial" w:cs="Arial" w:eastAsia="Arial" w:hAnsi="Arial"/>
                <w:sz w:val="18"/>
                <w:szCs w:val="18"/>
                <w:color w:val="auto"/>
              </w:rPr>
              <w:t>enterprises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Total fixed maturities –</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8</w:t>
            </w:r>
          </w:p>
        </w:tc>
        <w:tc>
          <w:tcPr>
            <w:tcW w:w="4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3100" w:type="dxa"/>
            <w:vAlign w:val="bottom"/>
          </w:tcPr>
          <w:p>
            <w:pPr>
              <w:ind w:left="820"/>
              <w:spacing w:after="0"/>
              <w:rPr>
                <w:sz w:val="20"/>
                <w:szCs w:val="20"/>
                <w:color w:val="auto"/>
              </w:rPr>
            </w:pPr>
            <w:r>
              <w:rPr>
                <w:rFonts w:ascii="Arial" w:cs="Arial" w:eastAsia="Arial" w:hAnsi="Arial"/>
                <w:sz w:val="18"/>
                <w:szCs w:val="18"/>
                <w:color w:val="auto"/>
              </w:rPr>
              <w:t>Total equity securities –</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020"/>
              <w:spacing w:after="0"/>
              <w:rPr>
                <w:sz w:val="20"/>
                <w:szCs w:val="20"/>
                <w:color w:val="auto"/>
              </w:rPr>
            </w:pPr>
            <w:r>
              <w:rPr>
                <w:rFonts w:ascii="Arial" w:cs="Arial" w:eastAsia="Arial" w:hAnsi="Arial"/>
                <w:sz w:val="18"/>
                <w:szCs w:val="18"/>
                <w:color w:val="auto"/>
              </w:rPr>
              <w:t>Exchange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20"/>
                <w:szCs w:val="20"/>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60" w:type="dxa"/>
            <w:vAlign w:val="bottom"/>
            <w:gridSpan w:val="6"/>
          </w:tcPr>
          <w:p>
            <w:pPr>
              <w:spacing w:after="0"/>
              <w:rPr>
                <w:sz w:val="20"/>
                <w:szCs w:val="20"/>
                <w:color w:val="auto"/>
              </w:rPr>
            </w:pPr>
            <w:r>
              <w:rPr>
                <w:rFonts w:ascii="Arial" w:cs="Arial" w:eastAsia="Arial" w:hAnsi="Arial"/>
                <w:sz w:val="18"/>
                <w:szCs w:val="18"/>
                <w:color w:val="auto"/>
              </w:rPr>
              <w:t>Quality breakdown of fixed maturities at December 31, 2009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6"/>
          </w:tcPr>
          <w:p>
            <w:pPr>
              <w:jc w:val="right"/>
              <w:ind w:right="960"/>
              <w:spacing w:after="0"/>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494</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w:t>
            </w: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fixed maturities – Exchange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4"/>
          </w:tcPr>
          <w:p>
            <w:pPr>
              <w:jc w:val="center"/>
              <w:ind w:right="82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1"/>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left="294"/>
              <w:spacing w:after="0" w:line="149" w:lineRule="exact"/>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4"/>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Fixed maturities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25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Cash equivalents and other</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Less: investment expenses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 of expenses – Indemnity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other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94"/>
              <w:spacing w:after="0" w:line="203" w:lineRule="exact"/>
              <w:rPr>
                <w:sz w:val="20"/>
                <w:szCs w:val="20"/>
                <w:color w:val="auto"/>
              </w:rPr>
            </w:pPr>
            <w:r>
              <w:rPr>
                <w:rFonts w:ascii="Arial" w:cs="Arial" w:eastAsia="Arial" w:hAnsi="Arial"/>
                <w:sz w:val="18"/>
                <w:szCs w:val="18"/>
                <w:color w:val="auto"/>
              </w:rPr>
              <w:t>107</w:t>
            </w:r>
          </w:p>
        </w:tc>
        <w:tc>
          <w:tcPr>
            <w:tcW w:w="4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314</w:t>
            </w:r>
          </w:p>
        </w:tc>
        <w:tc>
          <w:tcPr>
            <w:tcW w:w="4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investment expenses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Investment income, net of expenses – Exchange</w:t>
            </w: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294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consolidated investment income, net of expenses – Erie Insurance Group</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w w:val="95"/>
              </w:rPr>
              <w:t>Dividend income is recognized as earned and recorded to net investment income.</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0"/>
                <w:szCs w:val="20"/>
                <w:color w:val="auto"/>
              </w:rPr>
            </w:pPr>
            <w:r>
              <w:rPr>
                <w:rFonts w:ascii="Arial" w:cs="Arial" w:eastAsia="Arial" w:hAnsi="Arial"/>
                <w:sz w:val="18"/>
                <w:szCs w:val="18"/>
                <w:color w:val="auto"/>
              </w:rPr>
              <w:t>Realized gains (losses) on investments were as follows: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4"/>
          </w:tcPr>
          <w:p>
            <w:pPr>
              <w:jc w:val="center"/>
              <w:ind w:right="82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1"/>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left="294"/>
              <w:spacing w:after="0" w:line="149" w:lineRule="exact"/>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4"/>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Gross realized gains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20"/>
              <w:spacing w:after="0"/>
              <w:rPr>
                <w:sz w:val="20"/>
                <w:szCs w:val="20"/>
                <w:color w:val="auto"/>
              </w:rPr>
            </w:pPr>
            <w:r>
              <w:rPr>
                <w:rFonts w:ascii="Arial" w:cs="Arial" w:eastAsia="Arial" w:hAnsi="Arial"/>
                <w:sz w:val="18"/>
                <w:szCs w:val="18"/>
                <w:color w:val="auto"/>
              </w:rPr>
              <w:t>Net realized gains (losses)</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Gross realized gains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 (losses)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20"/>
              <w:spacing w:after="0"/>
              <w:rPr>
                <w:sz w:val="20"/>
                <w:szCs w:val="20"/>
                <w:color w:val="auto"/>
              </w:rPr>
            </w:pPr>
            <w:r>
              <w:rPr>
                <w:rFonts w:ascii="Arial" w:cs="Arial" w:eastAsia="Arial" w:hAnsi="Arial"/>
                <w:sz w:val="18"/>
                <w:szCs w:val="18"/>
                <w:color w:val="auto"/>
              </w:rPr>
              <w:t>Net realized gains</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Gross realized losses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Valuation adjustments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20"/>
              <w:spacing w:after="0"/>
              <w:rPr>
                <w:sz w:val="20"/>
                <w:szCs w:val="20"/>
                <w:color w:val="auto"/>
              </w:rPr>
            </w:pPr>
            <w:r>
              <w:rPr>
                <w:rFonts w:ascii="Arial" w:cs="Arial" w:eastAsia="Arial" w:hAnsi="Arial"/>
                <w:sz w:val="18"/>
                <w:szCs w:val="18"/>
                <w:color w:val="auto"/>
              </w:rPr>
              <w:t>Net realized gains</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investments – Indemnity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6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5"/>
          </w:tcPr>
          <w:p>
            <w:pPr>
              <w:jc w:val="right"/>
              <w:ind w:right="1120"/>
              <w:spacing w:after="0" w:line="123" w:lineRule="exact"/>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0"/>
                <w:szCs w:val="10"/>
                <w:color w:val="auto"/>
              </w:rPr>
            </w:pPr>
          </w:p>
        </w:tc>
        <w:tc>
          <w:tcPr>
            <w:tcW w:w="1900" w:type="dxa"/>
            <w:vAlign w:val="bottom"/>
            <w:gridSpan w:val="3"/>
          </w:tcPr>
          <w:p>
            <w:pPr>
              <w:jc w:val="right"/>
              <w:ind w:right="371"/>
              <w:spacing w:after="0" w:line="123" w:lineRule="exact"/>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5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gains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38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Net realized gains (losses)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Valuation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191</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79</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investments – Exchange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realized gains on investments – Erie Insurance Group</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205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other-than-temporary impairments on investments are included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4"/>
          </w:tcPr>
          <w:p>
            <w:pPr>
              <w:ind w:left="300"/>
              <w:spacing w:after="0" w:line="123" w:lineRule="exact"/>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0"/>
                <w:szCs w:val="10"/>
                <w:color w:val="auto"/>
              </w:rPr>
            </w:pPr>
          </w:p>
        </w:tc>
        <w:tc>
          <w:tcPr>
            <w:tcW w:w="1900" w:type="dxa"/>
            <w:vAlign w:val="bottom"/>
            <w:gridSpan w:val="3"/>
          </w:tcPr>
          <w:p>
            <w:pPr>
              <w:jc w:val="right"/>
              <w:ind w:right="371"/>
              <w:spacing w:after="0" w:line="123" w:lineRule="exact"/>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7"/>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Fixed maturities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46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ind w:left="460"/>
              <w:spacing w:after="0" w:line="203" w:lineRule="exact"/>
              <w:rPr>
                <w:sz w:val="20"/>
                <w:szCs w:val="20"/>
                <w:color w:val="auto"/>
              </w:rPr>
            </w:pPr>
            <w:r>
              <w:rPr>
                <w:rFonts w:ascii="Arial" w:cs="Arial" w:eastAsia="Arial" w:hAnsi="Arial"/>
                <w:sz w:val="18"/>
                <w:szCs w:val="18"/>
                <w:color w:val="auto"/>
              </w:rPr>
              <w:t>0</w:t>
            </w:r>
          </w:p>
        </w:tc>
        <w:tc>
          <w:tcPr>
            <w:tcW w:w="500" w:type="dxa"/>
            <w:vAlign w:val="bottom"/>
          </w:tcPr>
          <w:p>
            <w:pPr>
              <w:spacing w:after="0"/>
              <w:rPr>
                <w:sz w:val="17"/>
                <w:szCs w:val="17"/>
                <w:color w:val="auto"/>
              </w:rPr>
            </w:pPr>
          </w:p>
        </w:tc>
        <w:tc>
          <w:tcPr>
            <w:tcW w:w="120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900" w:type="dxa"/>
            <w:vAlign w:val="bottom"/>
          </w:tcPr>
          <w:p>
            <w:pPr>
              <w:jc w:val="right"/>
              <w:ind w:right="214"/>
              <w:spacing w:after="0" w:line="203"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impairment losses recognized in earnings – Indemnity</w:t>
            </w:r>
          </w:p>
        </w:tc>
        <w:tc>
          <w:tcPr>
            <w:tcW w:w="7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46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Fixed maturities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46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ind w:left="460"/>
              <w:spacing w:after="0" w:line="203" w:lineRule="exact"/>
              <w:rPr>
                <w:sz w:val="20"/>
                <w:szCs w:val="20"/>
                <w:color w:val="auto"/>
              </w:rPr>
            </w:pPr>
            <w:r>
              <w:rPr>
                <w:rFonts w:ascii="Arial" w:cs="Arial" w:eastAsia="Arial" w:hAnsi="Arial"/>
                <w:sz w:val="18"/>
                <w:szCs w:val="18"/>
                <w:color w:val="auto"/>
              </w:rPr>
              <w:t>0</w:t>
            </w:r>
          </w:p>
        </w:tc>
        <w:tc>
          <w:tcPr>
            <w:tcW w:w="5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(13)</w:t>
            </w: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14"/>
              <w:spacing w:after="0" w:line="203"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(89)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impairment losses recognized in earnings – Exchange</w:t>
            </w:r>
          </w:p>
        </w:tc>
        <w:tc>
          <w:tcPr>
            <w:tcW w:w="7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losses recognized in earnings – Erie Insurance Group</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considering if fixed maturity securities were credit 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Prior to the second quarter of 2009 when new impairment guidance was issued for debt securities, the impairment policy for fixed maturities was consistent with that of equity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limited partnership investments are recorded using the equity method of accounting. As these investments are generally reported on a one-quarter lag, our limited partnership results through September 30, 2010 are comprised of general partnership financial results for the fourth quarter of 2009 and the first two quarters of 2010. Given the lag in reporting, our limited partnership results do not reflect the market conditions of the third quarter of 2010. Cash contributions made to and distributions received from the partnerships are recorded in the period in which the transaction occurs.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provided summarized financial information in the following table for the nine months ended September 30, 2010 and for the year ended December 31, 2009. Amounts provided in the table are presented using the latest available financial statements received from the partnerships. Limited partnership financial information has been presented based on the investment percentage in the partnerships for the Erie Insurance Group consistent with how management evaluates the investments.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September 30, 2010 include the general partnership financial results for the fourth quarter of 2009 and the first six months of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color w:val="auto"/>
                <w:w w:val="95"/>
              </w:rPr>
              <w:t>As of and for the nine months ended September 30, 2010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jc w:val="center"/>
              <w:ind w:right="552"/>
              <w:spacing w:after="0" w:line="123" w:lineRule="exact"/>
              <w:rPr>
                <w:sz w:val="20"/>
                <w:szCs w:val="20"/>
                <w:color w:val="auto"/>
              </w:rPr>
            </w:pPr>
            <w:r>
              <w:rPr>
                <w:rFonts w:ascii="Arial" w:cs="Arial" w:eastAsia="Arial" w:hAnsi="Arial"/>
                <w:sz w:val="14"/>
                <w:szCs w:val="14"/>
                <w:color w:val="auto"/>
                <w:w w:val="95"/>
              </w:rPr>
              <w:t>Income (loss)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jc w:val="center"/>
              <w:ind w:right="552"/>
              <w:spacing w:after="0" w:line="149" w:lineRule="exact"/>
              <w:rPr>
                <w:sz w:val="20"/>
                <w:szCs w:val="20"/>
                <w:color w:val="auto"/>
              </w:rPr>
            </w:pPr>
            <w:r>
              <w:rPr>
                <w:rFonts w:ascii="Arial" w:cs="Arial" w:eastAsia="Arial" w:hAnsi="Arial"/>
                <w:sz w:val="14"/>
                <w:szCs w:val="14"/>
                <w:color w:val="auto"/>
                <w:w w:val="93"/>
              </w:rPr>
              <w:t>recognized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(dollars in millions)</w:t>
            </w: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gridSpan w:val="2"/>
          </w:tcPr>
          <w:p>
            <w:pPr>
              <w:jc w:val="center"/>
              <w:ind w:right="112"/>
              <w:spacing w:after="0" w:line="149" w:lineRule="exact"/>
              <w:rPr>
                <w:sz w:val="20"/>
                <w:szCs w:val="20"/>
                <w:color w:val="auto"/>
              </w:rPr>
            </w:pPr>
            <w:r>
              <w:rPr>
                <w:rFonts w:ascii="Arial" w:cs="Arial" w:eastAsia="Arial" w:hAnsi="Arial"/>
                <w:sz w:val="14"/>
                <w:szCs w:val="14"/>
                <w:color w:val="auto"/>
                <w:w w:val="93"/>
              </w:rPr>
              <w:t>due to valuation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80"/>
              <w:spacing w:after="0" w:line="149" w:lineRule="exact"/>
              <w:rPr>
                <w:sz w:val="20"/>
                <w:szCs w:val="20"/>
                <w:color w:val="auto"/>
              </w:rPr>
            </w:pPr>
            <w:r>
              <w:rPr>
                <w:rFonts w:ascii="Arial" w:cs="Arial" w:eastAsia="Arial" w:hAnsi="Arial"/>
                <w:sz w:val="14"/>
                <w:szCs w:val="14"/>
                <w:color w:val="auto"/>
              </w:rPr>
              <w:t>Investment percentage in partnership</w:t>
            </w:r>
          </w:p>
        </w:tc>
        <w:tc>
          <w:tcPr>
            <w:tcW w:w="110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Number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jc w:val="center"/>
              <w:ind w:right="552"/>
              <w:spacing w:after="0" w:line="149" w:lineRule="exact"/>
              <w:rPr>
                <w:sz w:val="20"/>
                <w:szCs w:val="20"/>
                <w:color w:val="auto"/>
              </w:rPr>
            </w:pPr>
            <w:r>
              <w:rPr>
                <w:rFonts w:ascii="Arial" w:cs="Arial" w:eastAsia="Arial" w:hAnsi="Arial"/>
                <w:sz w:val="14"/>
                <w:szCs w:val="14"/>
                <w:color w:val="auto"/>
                <w:w w:val="90"/>
              </w:rPr>
              <w:t>adjustments</w:t>
            </w:r>
          </w:p>
        </w:tc>
        <w:tc>
          <w:tcPr>
            <w:tcW w:w="10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Income (loss)</w:t>
            </w:r>
          </w:p>
        </w:tc>
      </w:t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tcPr>
          <w:p>
            <w:pPr>
              <w:ind w:left="2020"/>
              <w:spacing w:after="0"/>
              <w:rPr>
                <w:sz w:val="20"/>
                <w:szCs w:val="20"/>
                <w:color w:val="auto"/>
              </w:rPr>
            </w:pPr>
            <w:r>
              <w:rPr>
                <w:rFonts w:ascii="Arial" w:cs="Arial" w:eastAsia="Arial" w:hAnsi="Arial"/>
                <w:sz w:val="14"/>
                <w:szCs w:val="14"/>
                <w:color w:val="auto"/>
              </w:rPr>
              <w:t>for Erie Insurance Group</w:t>
            </w:r>
          </w:p>
        </w:tc>
        <w:tc>
          <w:tcPr>
            <w:tcW w:w="19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partnerships</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Asset recorded</w:t>
            </w: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by the partnerships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4"/>
              </w:rPr>
              <w:t>recorded</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Private equity:</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1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Total private equity</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8"/>
                <w:szCs w:val="18"/>
                <w:color w:val="auto"/>
              </w:rPr>
            </w:pP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mezzanine debt</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Total real estate</w:t>
            </w:r>
          </w:p>
        </w:tc>
        <w:tc>
          <w:tcPr>
            <w:tcW w:w="1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95</w:t>
            </w: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limited partnerships — Indemnity</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43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Exchange</w:t>
            </w:r>
          </w:p>
        </w:tc>
        <w:tc>
          <w:tcPr>
            <w:tcW w:w="1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491</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26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private equity</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533</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Mezzanine debt:</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Total mezzanine debt</w:t>
            </w:r>
          </w:p>
        </w:tc>
        <w:tc>
          <w:tcPr>
            <w:tcW w:w="1100" w:type="dxa"/>
            <w:vAlign w:val="bottom"/>
          </w:tcPr>
          <w:p>
            <w:pPr>
              <w:spacing w:after="0"/>
              <w:rPr>
                <w:sz w:val="19"/>
                <w:szCs w:val="19"/>
                <w:color w:val="auto"/>
              </w:rPr>
            </w:pPr>
          </w:p>
        </w:tc>
        <w:tc>
          <w:tcPr>
            <w:tcW w:w="8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w:t>
            </w:r>
          </w:p>
        </w:tc>
        <w:tc>
          <w:tcPr>
            <w:tcW w:w="4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223</w:t>
            </w: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than 10%</w:t>
            </w:r>
          </w:p>
        </w:tc>
        <w:tc>
          <w:tcPr>
            <w:tcW w:w="19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18"/>
                <w:szCs w:val="18"/>
                <w:color w:val="auto"/>
              </w:rPr>
            </w:pP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real estate</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392</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Total limited partnerships — Exchange</w:t>
            </w:r>
          </w:p>
        </w:tc>
        <w:tc>
          <w:tcPr>
            <w:tcW w:w="1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110</w:t>
            </w:r>
          </w:p>
        </w:tc>
        <w:tc>
          <w:tcPr>
            <w:tcW w:w="72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1,148</w:t>
            </w:r>
          </w:p>
        </w:tc>
        <w:tc>
          <w:tcPr>
            <w:tcW w:w="4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limited partnerships — Erie Insurance Group</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1,382</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$56 billion and total partnership liabilities were $10 billion at September 30, 2010 (as recorded in the June 30, 2010 limited partnership financial statements). For the nine month period comparable to that presented in the preceding table (fourth quarter 2009 and first two quarters of 2010), total partnership valuation adjustment gains were $4 billion and total partnership net income was $449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2009 include the general partnership results for the fourth quarter of 2008 and the first three quarters of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color w:val="auto"/>
              </w:rPr>
              <w:t>As of and for the year ended December 31, 2009</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jc w:val="center"/>
              <w:ind w:right="412"/>
              <w:spacing w:after="0" w:line="123" w:lineRule="exact"/>
              <w:rPr>
                <w:sz w:val="20"/>
                <w:szCs w:val="20"/>
                <w:color w:val="auto"/>
              </w:rPr>
            </w:pPr>
            <w:r>
              <w:rPr>
                <w:rFonts w:ascii="Arial" w:cs="Arial" w:eastAsia="Arial" w:hAnsi="Arial"/>
                <w:sz w:val="14"/>
                <w:szCs w:val="14"/>
                <w:color w:val="auto"/>
                <w:w w:val="95"/>
              </w:rPr>
              <w:t>(Loss) income</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center"/>
              <w:ind w:right="412"/>
              <w:spacing w:after="0" w:line="149" w:lineRule="exact"/>
              <w:rPr>
                <w:sz w:val="20"/>
                <w:szCs w:val="20"/>
                <w:color w:val="auto"/>
              </w:rPr>
            </w:pPr>
            <w:r>
              <w:rPr>
                <w:rFonts w:ascii="Arial" w:cs="Arial" w:eastAsia="Arial" w:hAnsi="Arial"/>
                <w:sz w:val="14"/>
                <w:szCs w:val="14"/>
                <w:color w:val="auto"/>
                <w:w w:val="93"/>
              </w:rPr>
              <w:t>recognized</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due to valuation</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1660"/>
              <w:spacing w:after="0" w:line="149" w:lineRule="exact"/>
              <w:rPr>
                <w:sz w:val="20"/>
                <w:szCs w:val="20"/>
                <w:color w:val="auto"/>
              </w:rPr>
            </w:pPr>
            <w:r>
              <w:rPr>
                <w:rFonts w:ascii="Arial" w:cs="Arial" w:eastAsia="Arial" w:hAnsi="Arial"/>
                <w:sz w:val="14"/>
                <w:szCs w:val="14"/>
                <w:color w:val="auto"/>
              </w:rPr>
              <w:t>Investment percentage in partnership</w:t>
            </w:r>
          </w:p>
        </w:tc>
        <w:tc>
          <w:tcPr>
            <w:tcW w:w="98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97"/>
              </w:rPr>
              <w:t>Number of</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center"/>
              <w:ind w:right="412"/>
              <w:spacing w:after="0" w:line="149" w:lineRule="exact"/>
              <w:rPr>
                <w:sz w:val="20"/>
                <w:szCs w:val="20"/>
                <w:color w:val="auto"/>
              </w:rPr>
            </w:pPr>
            <w:r>
              <w:rPr>
                <w:rFonts w:ascii="Arial" w:cs="Arial" w:eastAsia="Arial" w:hAnsi="Arial"/>
                <w:sz w:val="14"/>
                <w:szCs w:val="14"/>
                <w:color w:val="auto"/>
                <w:w w:val="90"/>
              </w:rPr>
              <w:t>adjustments</w:t>
            </w:r>
          </w:p>
        </w:tc>
        <w:tc>
          <w:tcPr>
            <w:tcW w:w="11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(Loss) income</w:t>
            </w:r>
          </w:p>
        </w:tc>
      </w:tr>
      <w:tr>
        <w:trPr>
          <w:trHeight w:val="174"/>
        </w:trPr>
        <w:tc>
          <w:tcPr>
            <w:tcW w:w="20" w:type="dxa"/>
            <w:vAlign w:val="bottom"/>
          </w:tcPr>
          <w:p>
            <w:pPr>
              <w:spacing w:after="0"/>
              <w:rPr>
                <w:sz w:val="15"/>
                <w:szCs w:val="15"/>
                <w:color w:val="auto"/>
              </w:rPr>
            </w:pPr>
          </w:p>
        </w:tc>
        <w:tc>
          <w:tcPr>
            <w:tcW w:w="59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for Erie Insurance Group</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88"/>
              </w:rPr>
              <w:t>partnerships</w:t>
            </w: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Asset recorded</w:t>
            </w:r>
          </w:p>
        </w:tc>
        <w:tc>
          <w:tcPr>
            <w:tcW w:w="18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by the partnerships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4"/>
              </w:rPr>
              <w:t>recorded</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Private equity:</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 private equity</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than 10%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mezzanine debt</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Real estate: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 real estate</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limited partnerships — Indemnity</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74</w:t>
            </w:r>
          </w:p>
        </w:tc>
        <w:tc>
          <w:tcPr>
            <w:tcW w:w="60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235</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43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Exchange</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than 10%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466</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(46)</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private equity</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Mezzanine debt: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 mezzanine debt</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9"/>
                <w:szCs w:val="19"/>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than 10%</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Greater than 50%</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real estate</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397</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limited partnerships — Exchange</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109</w:t>
            </w:r>
          </w:p>
        </w:tc>
        <w:tc>
          <w:tcPr>
            <w:tcW w:w="6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1,116</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(315)</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limited partnerships — Erie Insurance Group</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1,351</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(391)</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$53 billion and total partnership liabilities were $11 billion at December 31, 2009 (as recorded in the September 30, 2009 limited partnership financial statements). For the twelve month period comparable to that presented in the preceding table (fourth quarter of 2008 and first three quarters of 2009), total partnership valuation adjustment losses were $8 billion and total partnership net losses were $1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12 for investment commitments related to limited partnerships.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Bank Line of Credit</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September 30, 2010, Indemnity has available a $100 million line of credit that expires on December 31, 2011. There were no borrowings outstanding on the line of credit as of September 30, 2010. Bonds with a fair value of $128 million are pledged as collateral on the line at September 30, 2010.</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September 30, 2010, the Exchange has available a $200 million revolving line of credit that expires on September 30, 2012. There were no borrowings outstanding on the line of credit as of September 30, 2010. Bonds with a fair value of $258 million are pledged as collateral on the line at September 30, 2010.</w:t>
      </w:r>
    </w:p>
    <w:p>
      <w:pPr>
        <w:spacing w:after="0" w:line="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Securities pledged as collateral on both lines have no restrictions and are reported as available-for-sale fixed maturities in the Consolidated Statements of Financial Position as of September 30, 2010. The banks require compliance with certain covenants, which include statutory surplus and risk based capital ratios for the Exchange’s line of credit and minimum net worth and leverage ratios for Indemnity’s line of credit. We are in compliance with all covenants at September 30,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Deferred tax assets and liabilities are recognized for the expected future tax consequences of events that have been included in the financial statement or tax returns. Valuation allowances are established, when necessary, to reduce deferred tax assets to the amount expected to be realized. At September 30, 2010, we recorded a net deferred tax liability of $92 million on our Consolidated Statements of Financial Position. Of this amount, $103 million represents a net deferred tax liability relating to the Exchange, offset by a net deferred tax asset of $11 million relating to Indemnity. Although realization of the deferred tax asset is not assured, management believes it is more likely than not that the deferred tax asset will be realized based on our assessment that the losses ultimately recognized for tax purposes will be fully utilized. As such, there was no deferred tax valuation allowance recorded at September 30, 2010. The Exchange records an actual period-to-date tax rate rather than the annual projected effective tax rate. This is primarily due to the uncertainty in making a reliable estimate of the annual projected effective tax rate due to the volatility of pre-tax income related to investment and underwriting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liabilities for the plans described in this note are presented in total for all employees of the Erie Insurance Group. The gross liability for the pension plans is presented in the Consolidated Statements of Financial Position as part of other liabilities. A portion of annual expenses related to the pension plans is allocated to related entities within the Erie Insurance Group.</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offer a noncontributory defined benefit pension plan that covers substantially all employees. This is the largest benefit plan we offer. We also offer an unfunded supplemental retirement plan (SERP) for certain members of executive and senior management of the Erie Insurance Group. The components of net periodic benefit cost for our pension benefits 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jc w:val="right"/>
              <w:ind w:right="473"/>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
          </w:tcPr>
          <w:p>
            <w:pPr>
              <w:jc w:val="right"/>
              <w:ind w:right="4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0"/>
              <w:spacing w:after="0" w:line="149" w:lineRule="exact"/>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6"/>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500" w:type="dxa"/>
            <w:vAlign w:val="bottom"/>
            <w:vMerge w:val="restart"/>
          </w:tcPr>
          <w:p>
            <w:pPr>
              <w:jc w:val="right"/>
              <w:ind w:right="650"/>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Reconciliation of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shareholders’ equity follows for the year to date December 31, 2009 and September 30, 2010:</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351"/>
              <w:spacing w:after="0"/>
              <w:rPr>
                <w:sz w:val="20"/>
                <w:szCs w:val="20"/>
                <w:color w:val="auto"/>
              </w:rPr>
            </w:pPr>
            <w:r>
              <w:rPr>
                <w:rFonts w:ascii="Arial" w:cs="Arial" w:eastAsia="Arial" w:hAnsi="Arial"/>
                <w:sz w:val="14"/>
                <w:szCs w:val="14"/>
                <w:color w:val="auto"/>
                <w:w w:val="98"/>
              </w:rPr>
              <w:t>Indemnity</w:t>
            </w:r>
          </w:p>
        </w:tc>
        <w:tc>
          <w:tcPr>
            <w:tcW w:w="400" w:type="dxa"/>
            <w:vAlign w:val="bottom"/>
          </w:tcPr>
          <w:p>
            <w:pPr>
              <w:spacing w:after="0"/>
              <w:rPr>
                <w:sz w:val="14"/>
                <w:szCs w:val="14"/>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color w:val="auto"/>
                <w:w w:val="93"/>
              </w:rPr>
              <w:t>Exchange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271"/>
              <w:spacing w:after="0" w:line="149" w:lineRule="exact"/>
              <w:rPr>
                <w:sz w:val="20"/>
                <w:szCs w:val="20"/>
                <w:color w:val="auto"/>
              </w:rPr>
            </w:pPr>
            <w:r>
              <w:rPr>
                <w:rFonts w:ascii="Arial" w:cs="Arial" w:eastAsia="Arial" w:hAnsi="Arial"/>
                <w:sz w:val="14"/>
                <w:szCs w:val="14"/>
                <w:color w:val="auto"/>
                <w:w w:val="90"/>
              </w:rPr>
              <w:t>shareholders’</w:t>
            </w: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noncontrolling</w:t>
            </w:r>
          </w:p>
        </w:tc>
        <w:tc>
          <w:tcPr>
            <w:tcW w:w="12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Erie Insurance</w:t>
            </w:r>
          </w:p>
        </w:tc>
        <w:tc>
          <w:tcPr>
            <w:tcW w:w="0" w:type="dxa"/>
            <w:vAlign w:val="bottom"/>
          </w:tcPr>
          <w:p>
            <w:pPr>
              <w:spacing w:after="0"/>
              <w:rPr>
                <w:sz w:val="1"/>
                <w:szCs w:val="1"/>
                <w:color w:val="auto"/>
              </w:rPr>
            </w:pP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3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color w:val="auto"/>
                <w:w w:val="91"/>
              </w:rPr>
              <w:t>interest</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interest</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Group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792</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3,967</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Comprehensive income: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338</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Other comprehensive income, net of tax:</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gains on securities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518</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Postretirement plans:</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Prior service cost</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600"/>
              <w:spacing w:after="0"/>
              <w:rPr>
                <w:sz w:val="20"/>
                <w:szCs w:val="20"/>
                <w:color w:val="auto"/>
              </w:rPr>
            </w:pPr>
            <w:r>
              <w:rPr>
                <w:rFonts w:ascii="Arial" w:cs="Arial" w:eastAsia="Arial" w:hAnsi="Arial"/>
                <w:sz w:val="18"/>
                <w:szCs w:val="18"/>
                <w:color w:val="auto"/>
              </w:rPr>
              <w:t>Net actuarial gain</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due to amendments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600"/>
              <w:spacing w:after="0"/>
              <w:rPr>
                <w:sz w:val="20"/>
                <w:szCs w:val="20"/>
                <w:color w:val="auto"/>
              </w:rPr>
            </w:pPr>
            <w:r>
              <w:rPr>
                <w:rFonts w:ascii="Arial" w:cs="Arial" w:eastAsia="Arial" w:hAnsi="Arial"/>
                <w:sz w:val="18"/>
                <w:szCs w:val="18"/>
                <w:color w:val="auto"/>
              </w:rPr>
              <w:t>Curtailment/settlement loss</w:t>
            </w:r>
          </w:p>
        </w:tc>
        <w:tc>
          <w:tcPr>
            <w:tcW w:w="3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Postretirement plans</w:t>
            </w:r>
          </w:p>
        </w:tc>
        <w:tc>
          <w:tcPr>
            <w:tcW w:w="3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Other comprehensive income, net of tax</w:t>
            </w:r>
          </w:p>
        </w:tc>
        <w:tc>
          <w:tcPr>
            <w:tcW w:w="3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99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518</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207</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856</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Purchase of treasury stock</w:t>
            </w:r>
          </w:p>
        </w:tc>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Class B shares to Class A shares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 declared:</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$1.83 per share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Class B $274.50 per share</w:t>
            </w:r>
          </w:p>
        </w:tc>
        <w:tc>
          <w:tcPr>
            <w:tcW w:w="3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902</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4,823</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Other comprehensive income, net of tax:</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gains on securities</w:t>
            </w:r>
          </w:p>
        </w:tc>
        <w:tc>
          <w:tcPr>
            <w:tcW w:w="3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Other comprehensive income, net of tax</w:t>
            </w:r>
          </w:p>
        </w:tc>
        <w:tc>
          <w:tcPr>
            <w:tcW w:w="3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176</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445</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Purchase of treasury stock</w:t>
            </w:r>
          </w:p>
        </w:tc>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Class A $1.44 per share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$216.00 per share</w:t>
            </w:r>
          </w:p>
        </w:tc>
        <w:tc>
          <w:tcPr>
            <w:tcW w:w="3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2010</w:t>
            </w:r>
          </w:p>
        </w:tc>
        <w:tc>
          <w:tcPr>
            <w:tcW w:w="3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958</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5,268</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60" w:type="dxa"/>
            <w:vAlign w:val="bottom"/>
            <w:vMerge w:val="restart"/>
          </w:tcPr>
          <w:p>
            <w:pPr>
              <w:jc w:val="right"/>
              <w:ind w:right="169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Indemnity has contractual commitments to invest up to $60 million related to its limited partnership investments at September 30, 2010. These commitments are split between private equity securities of $27 million, real estate activities of $21 million and mezzanine debt securities of $12 million. These commitments will be funded as required by the partnership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including EFL, has contractual commitments to invest up to $472 million related to its limited partnership investments at September 30, 2010. These commitments are split between private equity securities of $215 million, real estate activities of $173 million and mezzanine debt securities of $84 million. These commitments will be funded as required by the partnership agreements.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Statutory Information</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Cash and securities with a carrying value of $14 million and $13 million were deposited by the property and casualty and life entities with regulatory authorities under statutory requirements at September 30, 2010 and December 31, 2009, respectively.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Indemnity Supplemental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color w:val="auto"/>
              </w:rPr>
              <w:t>Consolidated Statement of Financial Position</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2010</w:t>
            </w:r>
          </w:p>
        </w:tc>
        <w:tc>
          <w:tcPr>
            <w:tcW w:w="960" w:type="dxa"/>
            <w:vAlign w:val="bottom"/>
            <w:gridSpan w:val="2"/>
          </w:tcPr>
          <w:p>
            <w:pPr>
              <w:jc w:val="right"/>
              <w:ind w:right="231"/>
              <w:spacing w:after="0" w:line="123" w:lineRule="exact"/>
              <w:rPr>
                <w:sz w:val="20"/>
                <w:szCs w:val="20"/>
                <w:color w:val="auto"/>
              </w:rPr>
            </w:pPr>
            <w:r>
              <w:rPr>
                <w:rFonts w:ascii="Arial" w:cs="Arial" w:eastAsia="Arial" w:hAnsi="Arial"/>
                <w:sz w:val="14"/>
                <w:szCs w:val="14"/>
                <w:color w:val="auto"/>
              </w:rPr>
              <w:t>Indemnity</w:t>
            </w:r>
          </w:p>
        </w:tc>
        <w:tc>
          <w:tcPr>
            <w:tcW w:w="480" w:type="dxa"/>
            <w:vAlign w:val="bottom"/>
          </w:tcPr>
          <w:p>
            <w:pPr>
              <w:spacing w:after="0"/>
              <w:rPr>
                <w:sz w:val="10"/>
                <w:szCs w:val="10"/>
                <w:color w:val="auto"/>
              </w:rPr>
            </w:pPr>
          </w:p>
        </w:tc>
        <w:tc>
          <w:tcPr>
            <w:tcW w:w="1060" w:type="dxa"/>
            <w:vAlign w:val="bottom"/>
          </w:tcPr>
          <w:p>
            <w:pPr>
              <w:jc w:val="right"/>
              <w:ind w:right="371"/>
              <w:spacing w:after="0" w:line="123" w:lineRule="exact"/>
              <w:rPr>
                <w:sz w:val="20"/>
                <w:szCs w:val="20"/>
                <w:color w:val="auto"/>
              </w:rPr>
            </w:pPr>
            <w:r>
              <w:rPr>
                <w:rFonts w:ascii="Arial" w:cs="Arial" w:eastAsia="Arial" w:hAnsi="Arial"/>
                <w:sz w:val="14"/>
                <w:szCs w:val="14"/>
                <w:color w:val="auto"/>
                <w:w w:val="93"/>
              </w:rPr>
              <w:t>Exchange</w:t>
            </w:r>
          </w:p>
        </w:tc>
        <w:tc>
          <w:tcPr>
            <w:tcW w:w="1640" w:type="dxa"/>
            <w:vAlign w:val="bottom"/>
            <w:gridSpan w:val="2"/>
          </w:tcPr>
          <w:p>
            <w:pPr>
              <w:ind w:left="320"/>
              <w:spacing w:after="0" w:line="123" w:lineRule="exact"/>
              <w:rPr>
                <w:sz w:val="20"/>
                <w:szCs w:val="20"/>
                <w:color w:val="auto"/>
              </w:rPr>
            </w:pPr>
            <w:r>
              <w:rPr>
                <w:rFonts w:ascii="Arial" w:cs="Arial" w:eastAsia="Arial" w:hAnsi="Arial"/>
                <w:sz w:val="14"/>
                <w:szCs w:val="14"/>
                <w:color w:val="auto"/>
              </w:rPr>
              <w:t>Reclassifications</w:t>
            </w:r>
          </w:p>
        </w:tc>
        <w:tc>
          <w:tcPr>
            <w:tcW w:w="420" w:type="dxa"/>
            <w:vAlign w:val="bottom"/>
          </w:tcPr>
          <w:p>
            <w:pPr>
              <w:spacing w:after="0"/>
              <w:rPr>
                <w:sz w:val="10"/>
                <w:szCs w:val="10"/>
                <w:color w:val="auto"/>
              </w:rPr>
            </w:pPr>
          </w:p>
        </w:tc>
        <w:tc>
          <w:tcPr>
            <w:tcW w:w="560" w:type="dxa"/>
            <w:vAlign w:val="bottom"/>
          </w:tcPr>
          <w:p>
            <w:pPr>
              <w:jc w:val="center"/>
              <w:ind w:right="31"/>
              <w:spacing w:after="0" w:line="123" w:lineRule="exact"/>
              <w:rPr>
                <w:sz w:val="20"/>
                <w:szCs w:val="20"/>
                <w:color w:val="auto"/>
              </w:rPr>
            </w:pPr>
            <w:r>
              <w:rPr>
                <w:rFonts w:ascii="Arial" w:cs="Arial" w:eastAsia="Arial" w:hAnsi="Arial"/>
                <w:sz w:val="14"/>
                <w:szCs w:val="14"/>
                <w:color w:val="auto"/>
                <w:w w:val="96"/>
              </w:rPr>
              <w:t>Erie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shareholder</w:t>
            </w:r>
          </w:p>
        </w:tc>
        <w:tc>
          <w:tcPr>
            <w:tcW w:w="15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220" w:type="dxa"/>
            <w:vAlign w:val="bottom"/>
          </w:tcPr>
          <w:p>
            <w:pPr>
              <w:jc w:val="right"/>
              <w:ind w:right="651"/>
              <w:spacing w:after="0" w:line="149" w:lineRule="exact"/>
              <w:rPr>
                <w:sz w:val="20"/>
                <w:szCs w:val="20"/>
                <w:color w:val="auto"/>
              </w:rPr>
            </w:pPr>
            <w:r>
              <w:rPr>
                <w:rFonts w:ascii="Arial" w:cs="Arial" w:eastAsia="Arial" w:hAnsi="Arial"/>
                <w:sz w:val="14"/>
                <w:szCs w:val="14"/>
                <w:color w:val="auto"/>
              </w:rPr>
              <w:t>and</w:t>
            </w:r>
          </w:p>
        </w:tc>
        <w:tc>
          <w:tcPr>
            <w:tcW w:w="1080" w:type="dxa"/>
            <w:vAlign w:val="bottom"/>
            <w:gridSpan w:val="3"/>
          </w:tcPr>
          <w:p>
            <w:pPr>
              <w:jc w:val="center"/>
              <w:ind w:left="114"/>
              <w:spacing w:after="0" w:line="149" w:lineRule="exact"/>
              <w:rPr>
                <w:sz w:val="20"/>
                <w:szCs w:val="20"/>
                <w:color w:val="auto"/>
              </w:rPr>
            </w:pPr>
            <w:r>
              <w:rPr>
                <w:rFonts w:ascii="Arial" w:cs="Arial" w:eastAsia="Arial" w:hAnsi="Arial"/>
                <w:sz w:val="14"/>
                <w:szCs w:val="14"/>
                <w:color w:val="auto"/>
                <w:w w:val="91"/>
              </w:rPr>
              <w:t>Insurance</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1"/>
              </w:rPr>
              <w:t>interest</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Interest</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7"/>
              </w:rPr>
              <w:t>eliminations</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695</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7,019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538</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Trading securities, at fair value</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1,985</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234</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1,148</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invested assets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10,709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from policyholders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997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acquisition costs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9"/>
              </w:rPr>
              <w:t>Reinsurance recoverables and receivables from Exchange and other affiliates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1,075</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color w:val="auto"/>
              </w:rPr>
              <w:t>(1,075)</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EFL</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87</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2,709</w:t>
            </w:r>
          </w:p>
        </w:tc>
        <w:tc>
          <w:tcPr>
            <w:tcW w:w="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12,902</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(1,453)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14,158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expense reserves</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931</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3,442</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Life policy and deposit contract reserves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1,600</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premiums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474</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2,039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346</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363</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(251)</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1,751</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7,547</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(1,366)</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 Indemnity shareholders’ equity</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958</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consolidated entity — Exchange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5,355</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958</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5,355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shareholders’ equity and noncontrolling interest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2,709</w:t>
            </w:r>
          </w:p>
        </w:tc>
        <w:tc>
          <w:tcPr>
            <w:tcW w:w="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12,902</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(1,453)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59"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Indemnity’s insurance related accounts in this table include its wholly-owned property and casualty insurance subsidiaries’ direct business in addition to their share of the pooling transactions, which represents 5.5% of the total Property and Casualty Group business. The Consolidated Statements of Financial Position include direct business only as the 5.5% of activity assumed in accordance with the intercompany pooling arrangement has been eliminated in the consolidated presentation.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color w:val="auto"/>
              </w:rPr>
              <w:t>Consolidated Statement of Financial Position</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960" w:type="dxa"/>
            <w:vAlign w:val="bottom"/>
            <w:gridSpan w:val="2"/>
          </w:tcPr>
          <w:p>
            <w:pPr>
              <w:jc w:val="right"/>
              <w:ind w:right="231"/>
              <w:spacing w:after="0" w:line="123" w:lineRule="exact"/>
              <w:rPr>
                <w:sz w:val="20"/>
                <w:szCs w:val="20"/>
                <w:color w:val="auto"/>
              </w:rPr>
            </w:pPr>
            <w:r>
              <w:rPr>
                <w:rFonts w:ascii="Arial" w:cs="Arial" w:eastAsia="Arial" w:hAnsi="Arial"/>
                <w:sz w:val="14"/>
                <w:szCs w:val="14"/>
                <w:color w:val="auto"/>
              </w:rPr>
              <w:t>Indemnity</w:t>
            </w:r>
          </w:p>
        </w:tc>
        <w:tc>
          <w:tcPr>
            <w:tcW w:w="480" w:type="dxa"/>
            <w:vAlign w:val="bottom"/>
          </w:tcPr>
          <w:p>
            <w:pPr>
              <w:spacing w:after="0"/>
              <w:rPr>
                <w:sz w:val="10"/>
                <w:szCs w:val="10"/>
                <w:color w:val="auto"/>
              </w:rPr>
            </w:pPr>
          </w:p>
        </w:tc>
        <w:tc>
          <w:tcPr>
            <w:tcW w:w="1060" w:type="dxa"/>
            <w:vAlign w:val="bottom"/>
          </w:tcPr>
          <w:p>
            <w:pPr>
              <w:jc w:val="right"/>
              <w:ind w:right="371"/>
              <w:spacing w:after="0" w:line="123" w:lineRule="exact"/>
              <w:rPr>
                <w:sz w:val="20"/>
                <w:szCs w:val="20"/>
                <w:color w:val="auto"/>
              </w:rPr>
            </w:pPr>
            <w:r>
              <w:rPr>
                <w:rFonts w:ascii="Arial" w:cs="Arial" w:eastAsia="Arial" w:hAnsi="Arial"/>
                <w:sz w:val="14"/>
                <w:szCs w:val="14"/>
                <w:color w:val="auto"/>
                <w:w w:val="93"/>
              </w:rPr>
              <w:t>Exchange</w:t>
            </w:r>
          </w:p>
        </w:tc>
        <w:tc>
          <w:tcPr>
            <w:tcW w:w="1640" w:type="dxa"/>
            <w:vAlign w:val="bottom"/>
            <w:gridSpan w:val="2"/>
          </w:tcPr>
          <w:p>
            <w:pPr>
              <w:ind w:left="320"/>
              <w:spacing w:after="0" w:line="123" w:lineRule="exact"/>
              <w:rPr>
                <w:sz w:val="20"/>
                <w:szCs w:val="20"/>
                <w:color w:val="auto"/>
              </w:rPr>
            </w:pPr>
            <w:r>
              <w:rPr>
                <w:rFonts w:ascii="Arial" w:cs="Arial" w:eastAsia="Arial" w:hAnsi="Arial"/>
                <w:sz w:val="14"/>
                <w:szCs w:val="14"/>
                <w:color w:val="auto"/>
              </w:rPr>
              <w:t>Reclassifications</w:t>
            </w:r>
          </w:p>
        </w:tc>
        <w:tc>
          <w:tcPr>
            <w:tcW w:w="420" w:type="dxa"/>
            <w:vAlign w:val="bottom"/>
          </w:tcPr>
          <w:p>
            <w:pPr>
              <w:spacing w:after="0"/>
              <w:rPr>
                <w:sz w:val="10"/>
                <w:szCs w:val="10"/>
                <w:color w:val="auto"/>
              </w:rPr>
            </w:pPr>
          </w:p>
        </w:tc>
        <w:tc>
          <w:tcPr>
            <w:tcW w:w="560" w:type="dxa"/>
            <w:vAlign w:val="bottom"/>
          </w:tcPr>
          <w:p>
            <w:pPr>
              <w:jc w:val="center"/>
              <w:ind w:right="31"/>
              <w:spacing w:after="0" w:line="123" w:lineRule="exact"/>
              <w:rPr>
                <w:sz w:val="20"/>
                <w:szCs w:val="20"/>
                <w:color w:val="auto"/>
              </w:rPr>
            </w:pPr>
            <w:r>
              <w:rPr>
                <w:rFonts w:ascii="Arial" w:cs="Arial" w:eastAsia="Arial" w:hAnsi="Arial"/>
                <w:sz w:val="14"/>
                <w:szCs w:val="14"/>
                <w:color w:val="auto"/>
                <w:w w:val="96"/>
              </w:rPr>
              <w:t>Erie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shareholder</w:t>
            </w:r>
          </w:p>
        </w:tc>
        <w:tc>
          <w:tcPr>
            <w:tcW w:w="15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220" w:type="dxa"/>
            <w:vAlign w:val="bottom"/>
          </w:tcPr>
          <w:p>
            <w:pPr>
              <w:jc w:val="right"/>
              <w:ind w:right="651"/>
              <w:spacing w:after="0" w:line="149" w:lineRule="exact"/>
              <w:rPr>
                <w:sz w:val="20"/>
                <w:szCs w:val="20"/>
                <w:color w:val="auto"/>
              </w:rPr>
            </w:pPr>
            <w:r>
              <w:rPr>
                <w:rFonts w:ascii="Arial" w:cs="Arial" w:eastAsia="Arial" w:hAnsi="Arial"/>
                <w:sz w:val="14"/>
                <w:szCs w:val="14"/>
                <w:color w:val="auto"/>
              </w:rPr>
              <w:t>and</w:t>
            </w:r>
          </w:p>
        </w:tc>
        <w:tc>
          <w:tcPr>
            <w:tcW w:w="1080" w:type="dxa"/>
            <w:vAlign w:val="bottom"/>
            <w:gridSpan w:val="3"/>
          </w:tcPr>
          <w:p>
            <w:pPr>
              <w:jc w:val="center"/>
              <w:ind w:left="114"/>
              <w:spacing w:after="0" w:line="149" w:lineRule="exact"/>
              <w:rPr>
                <w:sz w:val="20"/>
                <w:szCs w:val="20"/>
                <w:color w:val="auto"/>
              </w:rPr>
            </w:pPr>
            <w:r>
              <w:rPr>
                <w:rFonts w:ascii="Arial" w:cs="Arial" w:eastAsia="Arial" w:hAnsi="Arial"/>
                <w:sz w:val="14"/>
                <w:szCs w:val="14"/>
                <w:color w:val="auto"/>
                <w:w w:val="91"/>
              </w:rPr>
              <w:t>Insurance</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1"/>
              </w:rPr>
              <w:t>interest</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interest</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7"/>
              </w:rPr>
              <w:t>eliminations</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664</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6,517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472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Trading securities, at fair value</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1,835</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1,116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invested assets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980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9,960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from policyholders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237</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872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213</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acquisition costs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9"/>
              </w:rPr>
              <w:t>Reinsurance recoverables and receivables from Exchange and other affiliates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1,115</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color w:val="auto"/>
              </w:rPr>
              <w:t>(1,115)</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EFL</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72</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2,667</w:t>
            </w:r>
          </w:p>
        </w:tc>
        <w:tc>
          <w:tcPr>
            <w:tcW w:w="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12,036</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(1,416)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13,287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expense reserves</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965</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3,424</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Life policy and deposit contract reserves</w:t>
            </w:r>
          </w:p>
        </w:tc>
        <w:tc>
          <w:tcPr>
            <w:tcW w:w="12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1,540</w:t>
            </w:r>
          </w:p>
        </w:tc>
        <w:tc>
          <w:tcPr>
            <w:tcW w:w="4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premiums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434</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1,872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366</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305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1,765</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7,141</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(1,344)</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Indemnity shareholders’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902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Noncontrolling interest in consolidated entity — Exchange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4,895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902</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4,895</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Total liabilities, shareholders’ equity and noncontrolling interest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2,667</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12,036</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(1,416)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13,287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59"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Indemnity’s insurance related accounts in this table include its wholly-owned property and casualty insurance subsidiaries’ direct business in addition to their share of the pooling transactions, which represents 5.5% of the total Property and Casualty Group business. The Consolidated Statements of Financial Position include direct business only as the 5.5% of activity assumed in accordance with the intercompany pooling arrangement has been eliminated in the consolidated presentation.</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Indemnity is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w:t>
      </w:r>
    </w:p>
    <w:p>
      <w:pPr>
        <w:ind w:right="180"/>
        <w:spacing w:after="0" w:line="261" w:lineRule="auto"/>
        <w:rPr>
          <w:sz w:val="20"/>
          <w:szCs w:val="20"/>
          <w:color w:val="auto"/>
        </w:rPr>
      </w:pPr>
      <w:r>
        <w:rPr>
          <w:rFonts w:ascii="Arial" w:cs="Arial" w:eastAsia="Arial" w:hAnsi="Arial"/>
          <w:sz w:val="18"/>
          <w:szCs w:val="18"/>
          <w:color w:val="auto"/>
        </w:rPr>
        <w:t>6.7% and will be payable on demand on or after December 31, 2018, with interest scheduled to be paid semi-annually. EFL accrued interest to Indemnity of $0.4 million in each of the third quarters ended September 30, 2010 and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color w:val="auto"/>
                <w:w w:val="93"/>
              </w:rPr>
              <w:t>Income attributable to Indemnity shareholder interest</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3"/>
          </w:tcPr>
          <w:p>
            <w:pPr>
              <w:jc w:val="right"/>
              <w:ind w:right="711"/>
              <w:spacing w:after="0" w:line="123" w:lineRule="exact"/>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0"/>
                <w:szCs w:val="10"/>
                <w:color w:val="auto"/>
              </w:rPr>
            </w:pPr>
          </w:p>
        </w:tc>
        <w:tc>
          <w:tcPr>
            <w:tcW w:w="1900" w:type="dxa"/>
            <w:vAlign w:val="bottom"/>
            <w:gridSpan w:val="3"/>
          </w:tcPr>
          <w:p>
            <w:pPr>
              <w:jc w:val="right"/>
              <w:ind w:right="371"/>
              <w:spacing w:after="0" w:line="123" w:lineRule="exact"/>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51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14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Percent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operations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Management fee revenue, net</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100.0%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266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773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agreement revenue</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26</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Total revenue from management operations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799</w:t>
            </w:r>
          </w:p>
        </w:tc>
        <w:tc>
          <w:tcPr>
            <w:tcW w:w="4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management operations</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217</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214</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626</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r>
      <w:tr>
        <w:trPr>
          <w:trHeight w:val="230"/>
        </w:trPr>
        <w:tc>
          <w:tcPr>
            <w:tcW w:w="20" w:type="dxa"/>
            <w:vAlign w:val="bottom"/>
          </w:tcPr>
          <w:p>
            <w:pPr>
              <w:spacing w:after="0"/>
              <w:rPr>
                <w:sz w:val="20"/>
                <w:szCs w:val="20"/>
                <w:color w:val="auto"/>
              </w:rPr>
            </w:pPr>
          </w:p>
        </w:tc>
        <w:tc>
          <w:tcPr>
            <w:tcW w:w="514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Income from management operations before taxes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173</w:t>
            </w: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casualty insurance operations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Premiums earned</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expenses</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Underwriting expenses</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b w:val="1"/>
                <w:bCs w:val="1"/>
                <w:i w:val="1"/>
                <w:iCs w:val="1"/>
                <w:color w:val="auto"/>
              </w:rPr>
              <w:t>Income (loss) from property and casualty insurance</w:t>
            </w: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800"/>
              <w:spacing w:after="0"/>
              <w:rPr>
                <w:sz w:val="20"/>
                <w:szCs w:val="20"/>
                <w:color w:val="auto"/>
              </w:rPr>
            </w:pPr>
            <w:r>
              <w:rPr>
                <w:rFonts w:ascii="Arial" w:cs="Arial" w:eastAsia="Arial" w:hAnsi="Arial"/>
                <w:sz w:val="18"/>
                <w:szCs w:val="18"/>
                <w:b w:val="1"/>
                <w:bCs w:val="1"/>
                <w:i w:val="1"/>
                <w:iCs w:val="1"/>
                <w:color w:val="auto"/>
              </w:rPr>
              <w:t>operations before taxes</w:t>
            </w: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Life insurance operations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Total benefits and expenses</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00"/>
              <w:spacing w:after="0"/>
              <w:rPr>
                <w:sz w:val="20"/>
                <w:szCs w:val="20"/>
                <w:color w:val="auto"/>
              </w:rPr>
            </w:pPr>
            <w:r>
              <w:rPr>
                <w:rFonts w:ascii="Arial" w:cs="Arial" w:eastAsia="Arial" w:hAnsi="Arial"/>
                <w:sz w:val="18"/>
                <w:szCs w:val="18"/>
                <w:b w:val="1"/>
                <w:bCs w:val="1"/>
                <w:i w:val="1"/>
                <w:iCs w:val="1"/>
                <w:color w:val="auto"/>
              </w:rPr>
              <w:t>Income from life insurance operations before taxes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Investment operations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 net of expenses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Net realized gains on investments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losses recognized in earnings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Equity in earnings (losses) of limited partnerships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b w:val="1"/>
                <w:bCs w:val="1"/>
                <w:i w:val="1"/>
                <w:iCs w:val="1"/>
                <w:color w:val="auto"/>
              </w:rPr>
              <w:t>Income (loss) from investment operations before</w:t>
            </w: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800"/>
              <w:spacing w:after="0"/>
              <w:rPr>
                <w:sz w:val="20"/>
                <w:szCs w:val="20"/>
                <w:color w:val="auto"/>
              </w:rPr>
            </w:pPr>
            <w:r>
              <w:rPr>
                <w:rFonts w:ascii="Arial" w:cs="Arial" w:eastAsia="Arial" w:hAnsi="Arial"/>
                <w:sz w:val="18"/>
                <w:szCs w:val="18"/>
                <w:b w:val="1"/>
                <w:bCs w:val="1"/>
                <w:i w:val="1"/>
                <w:iCs w:val="1"/>
                <w:color w:val="auto"/>
              </w:rPr>
              <w:t>taxes</w:t>
            </w: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05"/>
        </w:trPr>
        <w:tc>
          <w:tcPr>
            <w:tcW w:w="51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Income from operations before income taxes and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28</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73</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Indemnity’s components of direct cash flows as presented in the Consolidated Statements of Cash Flows is as follows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method of cash flows</w:t>
      </w:r>
    </w:p>
    <w:p>
      <w:pPr>
        <w:sectPr>
          <w:pgSz w:w="11900" w:h="16838" w:orient="portrait"/>
          <w:cols w:equalWidth="0" w:num="1">
            <w:col w:w="11420"/>
          </w:cols>
          <w:pgMar w:left="240" w:top="419"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 agreement fee received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Premiums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income received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Decrease in reimbursements collected from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bonuses paid to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Salaries and wages paid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Pension contribution and employee 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Losses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underwriting and acquisition costs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operating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 paid</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Indemnity</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74"/>
              <w:spacing w:after="0" w:line="142" w:lineRule="exact"/>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574"/>
              <w:spacing w:after="0"/>
              <w:rPr>
                <w:sz w:val="20"/>
                <w:szCs w:val="20"/>
                <w:color w:val="auto"/>
              </w:rPr>
            </w:pPr>
            <w:r>
              <w:rPr>
                <w:rFonts w:ascii="Arial" w:cs="Arial" w:eastAsia="Arial" w:hAnsi="Arial"/>
                <w:sz w:val="18"/>
                <w:szCs w:val="18"/>
                <w:color w:val="auto"/>
              </w:rPr>
              <w:t>713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74"/>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74"/>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74"/>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7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14"/>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ind w:left="1700" w:hanging="134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(420)</w:t>
      </w:r>
    </w:p>
    <w:p>
      <w:pPr>
        <w:spacing w:after="0" w:line="9" w:lineRule="exact"/>
        <w:rPr>
          <w:sz w:val="20"/>
          <w:szCs w:val="20"/>
          <w:color w:val="auto"/>
        </w:rPr>
      </w:pPr>
    </w:p>
    <w:p>
      <w:pPr>
        <w:ind w:left="1800" w:hanging="1359"/>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(80)</w:t>
      </w:r>
    </w:p>
    <w:p>
      <w:pPr>
        <w:spacing w:after="0" w:line="9" w:lineRule="exact"/>
        <w:rPr>
          <w:sz w:val="20"/>
          <w:szCs w:val="20"/>
          <w:color w:val="auto"/>
        </w:rPr>
      </w:pPr>
    </w:p>
    <w:p>
      <w:pPr>
        <w:ind w:left="1800" w:hanging="1359"/>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w:t>
      </w:r>
    </w:p>
    <w:p>
      <w:pPr>
        <w:spacing w:after="0" w:line="9" w:lineRule="exact"/>
        <w:rPr>
          <w:sz w:val="20"/>
          <w:szCs w:val="20"/>
          <w:color w:val="auto"/>
        </w:rPr>
      </w:pPr>
    </w:p>
    <w:p>
      <w:pPr>
        <w:ind w:left="1800" w:hanging="1359"/>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(94)</w:t>
      </w:r>
    </w:p>
    <w:p>
      <w:pPr>
        <w:spacing w:after="0" w:line="9" w:lineRule="exact"/>
        <w:rPr>
          <w:sz w:val="20"/>
          <w:szCs w:val="20"/>
          <w:color w:val="auto"/>
        </w:rPr>
      </w:pPr>
    </w:p>
    <w:p>
      <w:pPr>
        <w:ind w:left="1800" w:hanging="1359"/>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w:t>
      </w:r>
    </w:p>
    <w:p>
      <w:pPr>
        <w:spacing w:after="0" w:line="9" w:lineRule="exact"/>
        <w:rPr>
          <w:sz w:val="20"/>
          <w:szCs w:val="20"/>
          <w:color w:val="auto"/>
        </w:rPr>
      </w:pPr>
    </w:p>
    <w:p>
      <w:pPr>
        <w:ind w:left="1800" w:hanging="1359"/>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(45)</w:t>
      </w:r>
    </w:p>
    <w:p>
      <w:pPr>
        <w:spacing w:after="0" w:line="9" w:lineRule="exact"/>
        <w:rPr>
          <w:sz w:val="20"/>
          <w:szCs w:val="20"/>
          <w:color w:val="auto"/>
        </w:rPr>
      </w:pPr>
    </w:p>
    <w:p>
      <w:pPr>
        <w:ind w:left="1800" w:hanging="1359"/>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(81)</w:t>
      </w:r>
    </w:p>
    <w:p>
      <w:pPr>
        <w:spacing w:after="0" w:line="9" w:lineRule="exact"/>
        <w:rPr>
          <w:sz w:val="20"/>
          <w:szCs w:val="20"/>
          <w:color w:val="auto"/>
        </w:rPr>
      </w:pPr>
    </w:p>
    <w:p>
      <w:pPr>
        <w:ind w:left="1800" w:hanging="1359"/>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3633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 w:lineRule="exact"/>
        <w:rPr>
          <w:sz w:val="20"/>
          <w:szCs w:val="20"/>
          <w:color w:val="auto"/>
        </w:rPr>
      </w:pPr>
    </w:p>
    <w:p>
      <w:pPr>
        <w:ind w:left="1860" w:hanging="1449"/>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89</w:t>
      </w:r>
    </w:p>
    <w:p>
      <w:pPr>
        <w:spacing w:after="0" w:line="23" w:lineRule="exact"/>
        <w:rPr>
          <w:rFonts w:ascii="Arial" w:cs="Arial" w:eastAsia="Arial" w:hAnsi="Arial"/>
          <w:sz w:val="18"/>
          <w:szCs w:val="18"/>
          <w:color w:val="auto"/>
        </w:rPr>
      </w:pPr>
    </w:p>
    <w:p>
      <w:pPr>
        <w:ind w:left="1800" w:hanging="1359"/>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(42)</w:t>
      </w:r>
    </w:p>
    <w:p>
      <w:pPr>
        <w:spacing w:after="0" w:line="9" w:lineRule="exact"/>
        <w:rPr>
          <w:sz w:val="20"/>
          <w:szCs w:val="20"/>
          <w:color w:val="auto"/>
        </w:rPr>
      </w:pPr>
    </w:p>
    <w:p>
      <w:pPr>
        <w:ind w:left="1800" w:hanging="1442"/>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(71)</w:t>
      </w:r>
    </w:p>
    <w:p>
      <w:pPr>
        <w:spacing w:after="0" w:line="9" w:lineRule="exact"/>
        <w:rPr>
          <w:sz w:val="20"/>
          <w:szCs w:val="20"/>
          <w:color w:val="auto"/>
        </w:rPr>
      </w:pPr>
    </w:p>
    <w:p>
      <w:pPr>
        <w:sectPr>
          <w:pgSz w:w="11900" w:h="16838" w:orient="portrait"/>
          <w:cols w:equalWidth="0" w:num="2">
            <w:col w:w="8560" w:space="720"/>
            <w:col w:w="21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decrease in cash</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5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76</w:t>
            </w: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73</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EFL Supplemental Information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EFL is a Pennsylvania-domiciled life insurance company operating in 10 states and the District of Columbia. Indemnity owns 21.6% of EFL’s common shares outstanding and accounts for its ownership interest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condensed financial information for EFL on a U.S. GAAP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jc w:val="right"/>
              <w:ind w:right="472"/>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
          </w:tcPr>
          <w:p>
            <w:pPr>
              <w:jc w:val="right"/>
              <w:ind w:right="472"/>
              <w:spacing w:after="0"/>
              <w:rPr>
                <w:sz w:val="20"/>
                <w:szCs w:val="20"/>
                <w:color w:val="auto"/>
              </w:rPr>
            </w:pPr>
            <w:r>
              <w:rPr>
                <w:rFonts w:ascii="Arial" w:cs="Arial" w:eastAsia="Arial" w:hAnsi="Arial"/>
                <w:sz w:val="14"/>
                <w:szCs w:val="14"/>
                <w:color w:val="auto"/>
              </w:rPr>
              <w:t>Nine months ended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0"/>
              <w:spacing w:after="0" w:line="149" w:lineRule="exact"/>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2"/>
                <w:szCs w:val="12"/>
                <w:color w:val="auto"/>
              </w:rPr>
            </w:pPr>
          </w:p>
        </w:tc>
      </w:tr>
      <w:tr>
        <w:trPr>
          <w:trHeight w:val="174"/>
        </w:trPr>
        <w:tc>
          <w:tcPr>
            <w:tcW w:w="4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2009</w:t>
            </w: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Policy and other revenues</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5"/>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27</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90</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55"/>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EFL recorded no impairment charges in the third quarter of 2010 compared to $3 million in the third quarter of 2009. Realized gains on investments totaled</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$3 million in both the third quarter of 2010 and 2009. Equity in earnings of limited partnerships improved by $3 million in the third quarter of 2010 compared to the third quarter of 2009.</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Net income in the third quarter of 2009 was positively impacted by the reversal of the deferred tax valuation allowance of $19 million. As a result of improved market conditions, the valuation allowance was reduced by $4 million to $0 in the first quarter of 2010 and remains at $0 at September 30, 2010.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EFL experienced unrealized gains, after tax of $13 million in the third quarter of 2010 which contributed to the change in comprehensive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third quarter of 2009 included unrealized gains after tax of $38 million.</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nine months ended September 30, 2010, total investment income increased $34 million over the nine months ended September 30, 2009 primarily as a result of a $10 million increase in realized gains, a $16 million decrease in impairment losses and a $7 million decrease in equity in losses of limited partnerships.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At September 30,</w:t>
            </w:r>
          </w:p>
        </w:tc>
        <w:tc>
          <w:tcPr>
            <w:tcW w:w="1420" w:type="dxa"/>
            <w:vAlign w:val="bottom"/>
            <w:gridSpan w:val="2"/>
          </w:tcPr>
          <w:p>
            <w:pPr>
              <w:ind w:left="320"/>
              <w:spacing w:after="0"/>
              <w:rPr>
                <w:sz w:val="20"/>
                <w:szCs w:val="20"/>
                <w:color w:val="auto"/>
              </w:rPr>
            </w:pPr>
            <w:r>
              <w:rPr>
                <w:rFonts w:ascii="Arial" w:cs="Arial" w:eastAsia="Arial" w:hAnsi="Arial"/>
                <w:sz w:val="14"/>
                <w:szCs w:val="14"/>
                <w:color w:val="auto"/>
              </w:rPr>
              <w:t>At December 31,</w:t>
            </w:r>
          </w:p>
        </w:tc>
      </w:tr>
      <w:tr>
        <w:trPr>
          <w:trHeight w:val="174"/>
        </w:trPr>
        <w:tc>
          <w:tcPr>
            <w:tcW w:w="86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2010</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1,823</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2,090</w:t>
            </w:r>
          </w:p>
        </w:tc>
        <w:tc>
          <w:tcPr>
            <w:tcW w:w="5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1,941</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1,690</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1,609</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400</w:t>
            </w:r>
          </w:p>
        </w:tc>
        <w:tc>
          <w:tcPr>
            <w:tcW w:w="5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42.36</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35.19</w:t>
            </w:r>
          </w:p>
        </w:tc>
      </w:tr>
    </w:tbl>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EFL shareholders’ equity increased $67 million at September 30, 2010 compared to December 31, 2009. The main factors driving this increase were $38 million in unrealized gains, net of tax and net income of $29 million.</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2009, Indemnity made a $12 million capital contribution to EFL and the Exchange made a $43 million capital contribution to EFL to strengthen its surplus. The $55 million in capital contributions increased EFL’s investments and total shareholders’ equity. Also in 2009, a required cumulative effect adjustment reclassified previously recognized non-credit other-than-temporary impairments of $27 million out of retained earnings. Deferred taxes of $9 million related to this cumulative effect adjustment were offset by a reduction in the valuation allowance in the same amount related to previously recognized impairments.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April 2010, our Board of Directors approved a continuation of the current stock repurchase program through June 30, 2011 for a total of $100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for recognized and nonrecognized subsequent events through the date of financial statement issuance and have identified the following:</w:t>
      </w:r>
    </w:p>
    <w:p>
      <w:pPr>
        <w:spacing w:after="0" w:line="14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November 4, 2010, Erie Indemnity Company (“Indemnity”) entered into a definitive agreement (the “Wholly Owned Subsidiaries Stock Purchase Agreement”) with Erie Insurance Exchange (“the Exchange”) for the sale of Indemnity’s wholly-owned property and casualty subsidiaries — Erie Insurance Company, Erie Insurance Company of New York and Erie Insurance Property and Casualty Company (collectively, the “Wholly Owned Subsidiaries”)—to the Exchange for an aggregate purchase price equal to the GAAP book value as of December 31, 2010, of the Wholly Owned Subsidiaries (the “Final Purchase Price of the Wholly Owned Subsidiaries”).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on November 4, 2010, Indemnity entered into a definitive agreement (the “Erie Family Life Stock Purchase Agreement”) for the sale of Indemnity’s 21.6% ownership interest in Erie Family Life Insurance Company (“EFL”) to the Exchange for a per share purchase price equal to 95% of GAAP book value per share as of March 31, 2011, (the “Final Purchase Price of the Erie Family Life Stock Purchase Agreement”).</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new structure, all property and casualty and life insurance operations will be owned by the Exchange, and Indemnity will continue to function as the management company. This structure removes underwriting volatility from Indemnity’s operations and allows it to better utilize capital. It also centralizes underwriting risk and its supporting capital within the Exchange, providing greater capital management flexibility to enhance service and product offerings. There is no impact to the pooling agreement between the Exchange and the Wholly Owned Subsidiaries, and there is no impact to policyholders, agents, or employees as a result of these transactions.</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sale of the Wholly Owned Subsidiaries, pending regulatory approval, is scheduled to close by December 31, 2010. On the closing date, the Exchange will pay Indemnity $293 million in cash based on an estimated purchase price (the “Estimated Purchase Price of the Wholly Owned Subsidiaries”). Within ninety</w:t>
      </w:r>
    </w:p>
    <w:p>
      <w:pPr>
        <w:ind w:right="160" w:firstLine="8"/>
        <w:spacing w:after="0" w:line="255"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days following the closing date, the financials of the Wholly Owned Subsidiaries for the year ending December 31, 2010, will be finalized. In the event that the final December 31, 2010, GAAP book value is higher than the Estimated Purchase Price of the Wholly Owned Subsidiaries, the Exchange will pay Indemnity the difference; if it is lower, Indemnity will pay the Exchange the difference.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Net cash proceeds to Indemnity from the sale of the Wholly Owned Subsidiaries to the Exchange are estimated to be $290 million to $300 million.</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sale of Indemnity’s 21.6% ownership interest in EFL, pending regulatory approval, is scheduled to be completed by March 31, 2011. On the closing date, the Exchange will pay Indemnity approximately $82 million in cash based on an estimated purchase price (the “Estimated Purchase Price of Indemnity’s ownership interest in EFL”). Within ninety (90) days following the closing date, the financials of EFL as of March 31, 2011, will be finalized. In the event that the final March 31, 2011, GAAP book value per share is higher than the Estimated Purchase Price of Indemnity’s ownership interest in EFL, the Exchange will pay Indemnity 95% of the difference; if it is lower, Indemnity will pay the Exchange 95% of the difference.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Net cash proceeds to Indemnity from the sale of Indemnity’s 21.6% ownership interest in EFL are estimated to be $55 million to $60 million.</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Because Indemnity and the Exchange are under common control for financial reporting purposes, any gains or losses resulting from the sale of the Wholly Owned Subsidiaries and Indemnity’s equity interest in EFL will be recorded as an adjustment directly to the equity balance of Indemnity.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Indemnity will record a deferred tax liability of approximately $17 million in the fourth quarter of 2010 related to its equity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 EFL. This deferred tax charge is required due to Indemnity’s decision to sell its 21.6% ownership interest in EFL rather than receiving its share of EFL’s capital in the form of future dividends, which would have been eligible for an 80% dividend received deduction.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agreements for each sale contain customary representations, warranties, agreements, indemnification rights and termination provisions. The completion of each transaction is subject to regulatory approvals and the satisfaction of other customary conditions, some of which are beyond our control, and no assurance can be given that such completion will occur.</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On June 12, 2009, the Financial Accounting Standards Board (FASB) updated Accounting Standards Codification (ASC) 810, </w:t>
      </w:r>
      <w:r>
        <w:rPr>
          <w:rFonts w:ascii="Arial" w:cs="Arial" w:eastAsia="Arial" w:hAnsi="Arial"/>
          <w:sz w:val="17"/>
          <w:szCs w:val="17"/>
          <w:i w:val="1"/>
          <w:iCs w:val="1"/>
          <w:color w:val="auto"/>
        </w:rPr>
        <w:t>Consolidation</w:t>
      </w:r>
      <w:r>
        <w:rPr>
          <w:rFonts w:ascii="Arial" w:cs="Arial" w:eastAsia="Arial" w:hAnsi="Arial"/>
          <w:sz w:val="17"/>
          <w:szCs w:val="17"/>
          <w:color w:val="auto"/>
        </w:rPr>
        <w:t>, which amended the existing guidance for determining whether an enterprise is the primary beneficiary of a variable interest entity (“VIE”). As of January 1, 2010 Erie Indemnity Company (“Indemnity”) adopted the new accounting principle on a retrospective basis since inception.</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discussion of financial condition and results of operations highlights significant factors influencing Erie Insurance Group (“we,” “us,” “our”). This discussion should be read in conjunction with the historical financial information and the related notes thereto included in Item 1. “Financial Statements” of this Quarterly Report on Form 10-Q and with Item 7. “Management’s Discussion and Analysis of Financial Condition and Results of Operations” for the year ended December 31, 2009 contained in our Form 8-K as filed with the Securities and Exchange Commission on May 6,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gridSpan w:val="15"/>
            <w:vMerge w:val="restart"/>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Cautionary statement regarding forward-looking information</w:t>
              </w:r>
            </w:hyperlink>
          </w:p>
        </w:tc>
        <w:tc>
          <w:tcPr>
            <w:tcW w:w="6220" w:type="dxa"/>
            <w:vAlign w:val="bottom"/>
            <w:vMerge w:val="restart"/>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Page Number</w:t>
            </w:r>
          </w:p>
        </w:tc>
        <w:tc>
          <w:tcPr>
            <w:tcW w:w="0" w:type="dxa"/>
            <w:vAlign w:val="bottom"/>
          </w:tcPr>
          <w:p>
            <w:pPr>
              <w:spacing w:after="0"/>
              <w:rPr>
                <w:sz w:val="1"/>
                <w:szCs w:val="1"/>
                <w:color w:val="auto"/>
              </w:rPr>
            </w:pPr>
          </w:p>
        </w:tc>
      </w:tr>
      <w:tr>
        <w:trPr>
          <w:trHeight w:val="174"/>
        </w:trPr>
        <w:tc>
          <w:tcPr>
            <w:tcW w:w="4400" w:type="dxa"/>
            <w:vAlign w:val="bottom"/>
            <w:tcBorders>
              <w:bottom w:val="single" w:sz="8" w:color="0000EE"/>
            </w:tcBorders>
            <w:gridSpan w:val="15"/>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Recent accounting pronouncements</w:t>
              </w:r>
            </w:hyperlink>
          </w:p>
        </w:tc>
        <w:tc>
          <w:tcPr>
            <w:tcW w:w="804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96"/>
        </w:trPr>
        <w:tc>
          <w:tcPr>
            <w:tcW w:w="1062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Operating review</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Results of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Management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Property and casualty insurance operations</w:t>
              </w:r>
            </w:hyperlink>
          </w:p>
        </w:tc>
        <w:tc>
          <w:tcPr>
            <w:tcW w:w="732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Life insurance operations</w:t>
              </w:r>
            </w:hyperlink>
          </w:p>
        </w:tc>
        <w:tc>
          <w:tcPr>
            <w:tcW w:w="8580" w:type="dxa"/>
            <w:vAlign w:val="bottom"/>
            <w:gridSpan w:val="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Investment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condition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Investments</w:t>
              </w:r>
            </w:hyperlink>
          </w:p>
        </w:tc>
        <w:tc>
          <w:tcPr>
            <w:tcW w:w="9220" w:type="dxa"/>
            <w:vAlign w:val="bottom"/>
            <w:gridSpan w:val="1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Liabilities</w:t>
              </w:r>
            </w:hyperlink>
          </w:p>
        </w:tc>
        <w:tc>
          <w:tcPr>
            <w:tcW w:w="9540" w:type="dxa"/>
            <w:vAlign w:val="bottom"/>
            <w:gridSpan w:val="1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Impact of inflation</w:t>
              </w:r>
            </w:hyperlink>
          </w:p>
        </w:tc>
        <w:tc>
          <w:tcPr>
            <w:tcW w:w="9260" w:type="dxa"/>
            <w:vAlign w:val="bottom"/>
            <w:gridSpan w:val="11"/>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Liquidity and capital resources</w:t>
              </w:r>
            </w:hyperlink>
          </w:p>
        </w:tc>
        <w:tc>
          <w:tcPr>
            <w:tcW w:w="838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Critical accounting estimates</w:t>
              </w:r>
            </w:hyperlink>
          </w:p>
        </w:tc>
        <w:tc>
          <w:tcPr>
            <w:tcW w:w="852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580"/>
        <w:spacing w:after="0" w:line="445" w:lineRule="auto"/>
        <w:rPr>
          <w:sz w:val="20"/>
          <w:szCs w:val="20"/>
          <w:color w:val="auto"/>
        </w:rPr>
      </w:pPr>
      <w:r>
        <w:rPr>
          <w:rFonts w:ascii="Arial" w:cs="Arial" w:eastAsia="Arial" w:hAnsi="Arial"/>
          <w:sz w:val="17"/>
          <w:szCs w:val="17"/>
          <w:b w:val="1"/>
          <w:bCs w:val="1"/>
          <w:u w:val="single" w:color="auto"/>
          <w:color w:val="auto"/>
        </w:rPr>
        <w:t xml:space="preserve">CAUTIONARY STATEMENT REGARDING FORWARD-LOOKING INFORMATION </w:t>
      </w:r>
      <w:r>
        <w:rPr>
          <w:rFonts w:ascii="Arial" w:cs="Arial" w:eastAsia="Arial" w:hAnsi="Arial"/>
          <w:sz w:val="17"/>
          <w:szCs w:val="17"/>
          <w:b w:val="1"/>
          <w:bCs w:val="1"/>
          <w:color w:val="auto"/>
        </w:rPr>
        <w:t>“Safe Harbor” Statement under the Private Securities Litigation Reform Act of 1995:</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agency relationships,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Indemnity’s business:</w:t>
      </w:r>
    </w:p>
    <w:p>
      <w:pPr>
        <w:spacing w:after="0" w:line="117"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dependence on Indemnity’s relationship with the Exchange and the management fee under the agreement with the subscribers at the Exchange;</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dependence on the independent agency system;</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accuracy and adequacy of pricing and loss reserving methodologies;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geographic concentration of business as a result of being a regional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ability to maintain the uninterrupted operations of our business, including our information technology system;</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quality and liquidity of our investment portfolio;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outcome of pending and potential litigations against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business of the property/casualty and life insurance industry:</w:t>
      </w:r>
    </w:p>
    <w:p>
      <w:pPr>
        <w:spacing w:after="0" w:line="117"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factors affecting price competition;</w:t>
      </w:r>
    </w:p>
    <w:p>
      <w:pPr>
        <w:spacing w:after="0" w:line="130" w:lineRule="exact"/>
        <w:rPr>
          <w:rFonts w:ascii="Arial" w:cs="Arial" w:eastAsia="Arial" w:hAnsi="Arial"/>
          <w:sz w:val="18"/>
          <w:szCs w:val="18"/>
          <w:b w:val="1"/>
          <w:bCs w:val="1"/>
          <w:color w:val="auto"/>
        </w:rPr>
      </w:pPr>
    </w:p>
    <w:p>
      <w:pPr>
        <w:ind w:left="660" w:right="420" w:hanging="314"/>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government regulation of the insurance industry, including approval of rate increases and rating factors such as credit and prior experience, and required processes related to underwriting and claims handling;</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uncertain role of the Federal Government, and the ongoing role of the States, in regulating the property/casualty or life insurance industries;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frequency and severity of claims and trends in auto and home repair costs;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changes in driving habits;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weather conditions and natural disasters;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exposure to environmental claims;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fluctuations in interest rates;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inflation and general business and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trends in litigation;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changes in the laws and regulations that govern the insurance industry;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acts of war and terrorist activities.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forward-looking statement speaks only as of the date on which it is made and reflects Indemnity’s analysis only as of that date. Indemnity undertakes no obligation to publicly update or revise any forward-looking statement, whether as a result of new information, future events, changes in assumptions, or otherwise.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Indemnity adopted amended guidance related to the consolidation of affiliated entities that became effective January 1, 2010 as required under generally accepted accounting principles (“GAAP”). As a result of this new guidance, Indemnity is considered to have a controlling financial interest in its affiliated entity, the Erie Insurance Exchange (“Exchange”). Indemnity is named as, and serves as, the Exchange’s attorney-in-fact. Consolidation of the Exchange is required given the significance of the management fee to the Exchange and because Indemnity has the power to direct the activities of the Exchange that most significantly impact the Exchange’s economic performance. The consolidation of the Exchange resulted in no change to Indemnity’s net income or equity. The Exchange’s net income and equity is identified as the noncontrolling interest net income or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Erie Insurance Group represents the consolidated results of Indemnity and the results of its VIE, the Exchange. The Erie Insurance Group operates as a property and casualty insurer through its regional insurance carriers that write a broad line of personal and commercial lines coverages. The property and casualty insurance companies include the Exchange, a consolidated affiliate and its property and casualty insurance subsidiary, Flagship City Insurance Company (“Flagship”), and Indemnity’s three wholly-owned property and casualty insurance subsidiaries, Erie Insurance Company (“EIC”), Erie Insurance Property and Casualty Company (“EPC”) and Erie Insurance Company of New York (“ENY”). These entities operate collectively as the Property and Casualty Group. The Erie Insurance Group also operates as a life insurer through its affiliate, Erie Family Life Insurance Company (“EFL”), which is owned 21.6% by Indemnity and 78.4% by the Exchange. EFL underwrites and sells nonparticipating individual and group life insurance policies and fixed annuities.</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 As attorney-in-fact, Indemnity is required to perform certain services relating to the sales, underwriting and issuance of policies on behalf of the Exchange. The Exchange is a VIE.</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Exchange’s equity, which is comprised of its retained earnings and accumulated other comprehensive income, is held for the benefit of its subscribers (policyholders) and meets the definition of a noncontrolling interest and is reflected as such in our consolidated financial statements. Indemnity shareholders benefit from their interest in Indemnity’s income and equity but not in the noncontrolling interest’s income or equity.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Generally, Indemnity shareholders’ interest in income comprises:</w:t>
      </w:r>
    </w:p>
    <w:p>
      <w:pPr>
        <w:spacing w:after="0" w:line="117" w:lineRule="exact"/>
        <w:rPr>
          <w:sz w:val="20"/>
          <w:szCs w:val="20"/>
          <w:color w:val="auto"/>
        </w:rPr>
      </w:pPr>
    </w:p>
    <w:p>
      <w:pPr>
        <w:ind w:left="660" w:right="80" w:hanging="314"/>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25% management fee on all property and casualty insurance policies written, less the costs associated with the sales, underwriting and issuance of these policies,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5.5% interest in the net underwriting results of the property and casualty lines operations,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21.6% equity interest in the net earnings of EFL,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net investment income and results on investments that do not belong to the Exchange or its subsidiaries,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other income and expenses, including income taxes, that are not the responsibility of the Exchange or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Generally, the noncontrolling interest’s income comprises:</w:t>
      </w:r>
    </w:p>
    <w:p>
      <w:pPr>
        <w:spacing w:after="0" w:line="117" w:lineRule="exact"/>
        <w:rPr>
          <w:sz w:val="20"/>
          <w:szCs w:val="20"/>
          <w:color w:val="auto"/>
        </w:rPr>
      </w:pPr>
    </w:p>
    <w:p>
      <w:pPr>
        <w:ind w:left="660" w:hanging="31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94.5% interest in the net underwriting results of the property and casualty lines operations,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78.4% equity interest in the net earnings of EFL,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net investment income and related results on investments that belong to the Exchange and its subsidiaries,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other income and expenses, including income taxes, that are the responsibility of the Exchange and its subsidiaries.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“Indemnity shareholder interest” refers to the interest in Indemnity owned by the Class A and Class B shareholders. Exchange refers to the noncontrolling interest held for the benefit of the subscribers (policyholders) and includes its interests in Flagship and EFL.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200"/>
        <w:spacing w:after="0" w:line="264" w:lineRule="auto"/>
        <w:rPr>
          <w:sz w:val="20"/>
          <w:szCs w:val="20"/>
          <w:color w:val="auto"/>
        </w:rPr>
      </w:pPr>
      <w:r>
        <w:rPr>
          <w:rFonts w:ascii="Arial" w:cs="Arial" w:eastAsia="Arial" w:hAnsi="Arial"/>
          <w:sz w:val="18"/>
          <w:szCs w:val="18"/>
          <w:color w:val="auto"/>
        </w:rPr>
        <w:t>The following tables represent a breakdown of the composition of the income attributable to Indemnity and the income attributable to the noncontrolling interest (Exchange) for the three and nine months ended September 30, 2010. For purposes of this discussion, EFL’s investments are included in the life insurance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259"/>
              <w:spacing w:after="0"/>
              <w:rPr>
                <w:sz w:val="20"/>
                <w:szCs w:val="20"/>
                <w:color w:val="auto"/>
              </w:rPr>
            </w:pPr>
            <w:r>
              <w:rPr>
                <w:rFonts w:ascii="Arial" w:cs="Arial" w:eastAsia="Arial" w:hAnsi="Arial"/>
                <w:sz w:val="14"/>
                <w:szCs w:val="14"/>
                <w:color w:val="auto"/>
                <w:w w:val="96"/>
              </w:rPr>
              <w:t>Eliminations of</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Indemnity shareholder</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40" w:type="dxa"/>
            <w:vAlign w:val="bottom"/>
            <w:gridSpan w:val="4"/>
          </w:tcPr>
          <w:p>
            <w:pPr>
              <w:jc w:val="center"/>
              <w:ind w:left="682"/>
              <w:spacing w:after="0" w:line="149" w:lineRule="exact"/>
              <w:rPr>
                <w:sz w:val="20"/>
                <w:szCs w:val="20"/>
                <w:color w:val="auto"/>
              </w:rPr>
            </w:pPr>
            <w:r>
              <w:rPr>
                <w:rFonts w:ascii="Arial" w:cs="Arial" w:eastAsia="Arial" w:hAnsi="Arial"/>
                <w:sz w:val="14"/>
                <w:szCs w:val="14"/>
                <w:color w:val="auto"/>
                <w:w w:val="96"/>
              </w:rPr>
              <w:t>Noncontrolling interest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left="141"/>
              <w:spacing w:after="0" w:line="149" w:lineRule="exact"/>
              <w:rPr>
                <w:sz w:val="20"/>
                <w:szCs w:val="20"/>
                <w:color w:val="auto"/>
              </w:rPr>
            </w:pPr>
            <w:r>
              <w:rPr>
                <w:rFonts w:ascii="Arial" w:cs="Arial" w:eastAsia="Arial" w:hAnsi="Arial"/>
                <w:sz w:val="14"/>
                <w:szCs w:val="14"/>
                <w:color w:val="auto"/>
                <w:w w:val="92"/>
              </w:rPr>
              <w:t>related party</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interest</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4"/>
              </w:rPr>
              <w:t>(Exchange)</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41"/>
              <w:spacing w:after="0"/>
              <w:rPr>
                <w:sz w:val="20"/>
                <w:szCs w:val="20"/>
                <w:color w:val="auto"/>
              </w:rPr>
            </w:pPr>
            <w:r>
              <w:rPr>
                <w:rFonts w:ascii="Arial" w:cs="Arial" w:eastAsia="Arial" w:hAnsi="Arial"/>
                <w:sz w:val="14"/>
                <w:szCs w:val="14"/>
                <w:color w:val="auto"/>
                <w:w w:val="90"/>
              </w:rPr>
              <w:t>transactions</w:t>
            </w: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color w:val="auto"/>
              </w:rPr>
              <w:t>Erie Insurance Group</w:t>
            </w:r>
          </w:p>
        </w:tc>
      </w:tr>
      <w:tr>
        <w:trPr>
          <w:trHeight w:val="123"/>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jc w:val="right"/>
              <w:ind w:right="139"/>
              <w:spacing w:after="0" w:line="123" w:lineRule="exact"/>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right"/>
              <w:ind w:right="259"/>
              <w:spacing w:after="0" w:line="123" w:lineRule="exact"/>
              <w:rPr>
                <w:sz w:val="20"/>
                <w:szCs w:val="20"/>
                <w:color w:val="auto"/>
              </w:rPr>
            </w:pPr>
            <w:r>
              <w:rPr>
                <w:rFonts w:ascii="Arial" w:cs="Arial" w:eastAsia="Arial" w:hAnsi="Arial"/>
                <w:sz w:val="14"/>
                <w:szCs w:val="14"/>
                <w:color w:val="auto"/>
                <w:w w:val="88"/>
              </w:rPr>
              <w:t>Three months ended</w:t>
            </w:r>
          </w:p>
        </w:tc>
        <w:tc>
          <w:tcPr>
            <w:tcW w:w="280" w:type="dxa"/>
            <w:vAlign w:val="bottom"/>
          </w:tcPr>
          <w:p>
            <w:pPr>
              <w:spacing w:after="0"/>
              <w:rPr>
                <w:sz w:val="10"/>
                <w:szCs w:val="10"/>
                <w:color w:val="auto"/>
              </w:rPr>
            </w:pPr>
          </w:p>
        </w:tc>
        <w:tc>
          <w:tcPr>
            <w:tcW w:w="1500" w:type="dxa"/>
            <w:vAlign w:val="bottom"/>
            <w:gridSpan w:val="3"/>
          </w:tcPr>
          <w:p>
            <w:pPr>
              <w:jc w:val="center"/>
              <w:ind w:right="259"/>
              <w:spacing w:after="0" w:line="123" w:lineRule="exact"/>
              <w:rPr>
                <w:sz w:val="20"/>
                <w:szCs w:val="20"/>
                <w:color w:val="auto"/>
              </w:rPr>
            </w:pPr>
            <w:r>
              <w:rPr>
                <w:rFonts w:ascii="Arial" w:cs="Arial" w:eastAsia="Arial" w:hAnsi="Arial"/>
                <w:sz w:val="14"/>
                <w:szCs w:val="14"/>
                <w:color w:val="auto"/>
                <w:w w:val="89"/>
              </w:rPr>
              <w:t>Three months ended</w:t>
            </w:r>
          </w:p>
        </w:tc>
        <w:tc>
          <w:tcPr>
            <w:tcW w:w="280" w:type="dxa"/>
            <w:vAlign w:val="bottom"/>
          </w:tcPr>
          <w:p>
            <w:pPr>
              <w:spacing w:after="0"/>
              <w:rPr>
                <w:sz w:val="10"/>
                <w:szCs w:val="10"/>
                <w:color w:val="auto"/>
              </w:rPr>
            </w:pPr>
          </w:p>
        </w:tc>
        <w:tc>
          <w:tcPr>
            <w:tcW w:w="1360" w:type="dxa"/>
            <w:vAlign w:val="bottom"/>
            <w:gridSpan w:val="3"/>
          </w:tcPr>
          <w:p>
            <w:pPr>
              <w:jc w:val="right"/>
              <w:ind w:right="99"/>
              <w:spacing w:after="0" w:line="123" w:lineRule="exact"/>
              <w:rPr>
                <w:sz w:val="20"/>
                <w:szCs w:val="20"/>
                <w:color w:val="auto"/>
              </w:rPr>
            </w:pPr>
            <w:r>
              <w:rPr>
                <w:rFonts w:ascii="Arial" w:cs="Arial" w:eastAsia="Arial" w:hAnsi="Arial"/>
                <w:sz w:val="14"/>
                <w:szCs w:val="14"/>
                <w:color w:val="auto"/>
                <w:w w:val="89"/>
              </w:rPr>
              <w:t>Three months ended</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319"/>
              <w:spacing w:after="0" w:line="149" w:lineRule="exact"/>
              <w:rPr>
                <w:sz w:val="20"/>
                <w:szCs w:val="20"/>
                <w:color w:val="auto"/>
              </w:rPr>
            </w:pPr>
            <w:r>
              <w:rPr>
                <w:rFonts w:ascii="Arial" w:cs="Arial" w:eastAsia="Arial" w:hAnsi="Arial"/>
                <w:sz w:val="14"/>
                <w:szCs w:val="14"/>
                <w:color w:val="auto"/>
              </w:rPr>
              <w:t>September 30,</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419"/>
              <w:spacing w:after="0" w:line="149"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1500" w:type="dxa"/>
            <w:vAlign w:val="bottom"/>
            <w:gridSpan w:val="3"/>
          </w:tcPr>
          <w:p>
            <w:pPr>
              <w:jc w:val="center"/>
              <w:ind w:right="259"/>
              <w:spacing w:after="0" w:line="149" w:lineRule="exact"/>
              <w:rPr>
                <w:sz w:val="20"/>
                <w:szCs w:val="20"/>
                <w:color w:val="auto"/>
              </w:rPr>
            </w:pPr>
            <w:r>
              <w:rPr>
                <w:rFonts w:ascii="Arial" w:cs="Arial" w:eastAsia="Arial" w:hAnsi="Arial"/>
                <w:sz w:val="14"/>
                <w:szCs w:val="14"/>
                <w:color w:val="auto"/>
                <w:w w:val="91"/>
              </w:rPr>
              <w:t>September 30,</w:t>
            </w:r>
          </w:p>
        </w:tc>
        <w:tc>
          <w:tcPr>
            <w:tcW w:w="280" w:type="dxa"/>
            <w:vAlign w:val="bottom"/>
          </w:tcPr>
          <w:p>
            <w:pPr>
              <w:spacing w:after="0"/>
              <w:rPr>
                <w:sz w:val="12"/>
                <w:szCs w:val="12"/>
                <w:color w:val="auto"/>
              </w:rPr>
            </w:pPr>
          </w:p>
        </w:tc>
        <w:tc>
          <w:tcPr>
            <w:tcW w:w="1360" w:type="dxa"/>
            <w:vAlign w:val="bottom"/>
            <w:gridSpan w:val="3"/>
          </w:tcPr>
          <w:p>
            <w:pPr>
              <w:jc w:val="right"/>
              <w:ind w:right="279"/>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26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w w:val="91"/>
              </w:rPr>
              <w:t>Percent</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w w:val="83"/>
              </w:rPr>
              <w:t>2009</w:t>
            </w: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Percent</w:t>
            </w:r>
          </w:p>
        </w:tc>
        <w:tc>
          <w:tcPr>
            <w:tcW w:w="11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96"/>
              </w:rPr>
              <w:t>2010</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83"/>
              </w:rPr>
              <w:t>2009</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w w:val="83"/>
              </w:rPr>
              <w:t>2010</w:t>
            </w:r>
          </w:p>
        </w:tc>
        <w:tc>
          <w:tcPr>
            <w:tcW w:w="9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color w:val="auto"/>
              </w:rPr>
              <w:t>2009</w:t>
            </w: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w w:val="89"/>
              </w:rPr>
              <w:t>2009</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Management operations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Management fee revenue, net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100.0%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266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01"/>
              <w:spacing w:after="0"/>
              <w:rPr>
                <w:sz w:val="20"/>
                <w:szCs w:val="20"/>
                <w:color w:val="auto"/>
              </w:rPr>
            </w:pPr>
            <w:r>
              <w:rPr>
                <w:rFonts w:ascii="Arial" w:cs="Arial" w:eastAsia="Arial" w:hAnsi="Arial"/>
                <w:sz w:val="16"/>
                <w:szCs w:val="16"/>
                <w:color w:val="auto"/>
              </w:rPr>
              <w:t>(266)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w w:val="90"/>
              </w:rPr>
              <w:t>(253)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 agreement revenue</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00"/>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Total revenue from</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management operations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00" w:type="dxa"/>
            <w:vAlign w:val="bottom"/>
          </w:tcPr>
          <w:p>
            <w:pPr>
              <w:jc w:val="right"/>
              <w:ind w:right="101"/>
              <w:spacing w:after="0"/>
              <w:rPr>
                <w:sz w:val="20"/>
                <w:szCs w:val="20"/>
                <w:color w:val="auto"/>
              </w:rPr>
            </w:pPr>
            <w:r>
              <w:rPr>
                <w:rFonts w:ascii="Arial" w:cs="Arial" w:eastAsia="Arial" w:hAnsi="Arial"/>
                <w:sz w:val="16"/>
                <w:szCs w:val="16"/>
                <w:color w:val="auto"/>
              </w:rPr>
              <w:t>(266)</w:t>
            </w:r>
          </w:p>
        </w:tc>
        <w:tc>
          <w:tcPr>
            <w:tcW w:w="3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w w:val="90"/>
              </w:rPr>
              <w:t>(253)</w:t>
            </w:r>
          </w:p>
        </w:tc>
        <w:tc>
          <w:tcPr>
            <w:tcW w:w="280" w:type="dxa"/>
            <w:vAlign w:val="bottom"/>
          </w:tcPr>
          <w:p>
            <w:pPr>
              <w:spacing w:after="0"/>
              <w:rPr>
                <w:sz w:val="18"/>
                <w:szCs w:val="18"/>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management operations</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217</w:t>
            </w: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(217)</w:t>
            </w: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0"/>
              </w:rPr>
              <w:t>(214)</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20" w:type="dxa"/>
            <w:vAlign w:val="bottom"/>
          </w:tcPr>
          <w:p>
            <w:pPr>
              <w:spacing w:after="0"/>
              <w:rPr>
                <w:sz w:val="17"/>
                <w:szCs w:val="17"/>
                <w:color w:val="auto"/>
              </w:rPr>
            </w:pPr>
          </w:p>
        </w:tc>
        <w:tc>
          <w:tcPr>
            <w:tcW w:w="2640" w:type="dxa"/>
            <w:vAlign w:val="bottom"/>
          </w:tcPr>
          <w:p>
            <w:pPr>
              <w:ind w:left="600"/>
              <w:spacing w:after="0"/>
              <w:rPr>
                <w:sz w:val="20"/>
                <w:szCs w:val="20"/>
                <w:color w:val="auto"/>
              </w:rPr>
            </w:pPr>
            <w:r>
              <w:rPr>
                <w:rFonts w:ascii="Arial" w:cs="Arial" w:eastAsia="Arial" w:hAnsi="Arial"/>
                <w:sz w:val="16"/>
                <w:szCs w:val="16"/>
                <w:b w:val="1"/>
                <w:bCs w:val="1"/>
                <w:i w:val="1"/>
                <w:iCs w:val="1"/>
                <w:color w:val="auto"/>
              </w:rPr>
              <w:t>Income from</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management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operations before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taxes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58</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casualty insurance</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operations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Premiums earned</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94.5%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7"/>
                <w:szCs w:val="17"/>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911</w:t>
            </w:r>
          </w:p>
        </w:tc>
        <w:tc>
          <w:tcPr>
            <w:tcW w:w="280" w:type="dxa"/>
            <w:vAlign w:val="bottom"/>
          </w:tcPr>
          <w:p>
            <w:pPr>
              <w:spacing w:after="0"/>
              <w:rPr>
                <w:sz w:val="17"/>
                <w:szCs w:val="17"/>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990</w:t>
            </w:r>
          </w:p>
        </w:tc>
        <w:tc>
          <w:tcPr>
            <w:tcW w:w="30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964</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Losses and loss expenses</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652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579</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689</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10"/>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Underwriting expenses</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94.5%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272</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317</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237</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i w:val="1"/>
                <w:iCs w:val="1"/>
                <w:color w:val="auto"/>
              </w:rPr>
              <w:t>Income from property</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and casualty</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insurance operations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before taxes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52</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42</w:t>
            </w: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64</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10"/>
        </w:trPr>
        <w:tc>
          <w:tcPr>
            <w:tcW w:w="266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Life insurance operations </w:t>
            </w:r>
            <w:r>
              <w:rPr>
                <w:rFonts w:ascii="Arial" w:cs="Arial" w:eastAsia="Arial" w:hAnsi="Arial"/>
                <w:sz w:val="24"/>
                <w:szCs w:val="24"/>
                <w:color w:val="auto"/>
                <w:vertAlign w:val="superscript"/>
              </w:rPr>
              <w:t>(1)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0"/>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Total benefits and expenses</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21.6%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78.4%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i w:val="1"/>
                <w:iCs w:val="1"/>
                <w:color w:val="auto"/>
              </w:rPr>
              <w:t>Income from life</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insurance operations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before taxes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Investment operations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income, net of</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193"/>
        </w:trPr>
        <w:tc>
          <w:tcPr>
            <w:tcW w:w="20" w:type="dxa"/>
            <w:vAlign w:val="bottom"/>
          </w:tcPr>
          <w:p>
            <w:pPr>
              <w:spacing w:after="0"/>
              <w:rPr>
                <w:sz w:val="16"/>
                <w:szCs w:val="16"/>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Net realized gains 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investments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244</w:t>
            </w:r>
          </w:p>
        </w:tc>
        <w:tc>
          <w:tcPr>
            <w:tcW w:w="280" w:type="dxa"/>
            <w:vAlign w:val="bottom"/>
          </w:tcPr>
          <w:p>
            <w:pPr>
              <w:spacing w:after="0"/>
              <w:rPr>
                <w:sz w:val="18"/>
                <w:szCs w:val="18"/>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202</w:t>
            </w:r>
          </w:p>
        </w:tc>
        <w:tc>
          <w:tcPr>
            <w:tcW w:w="3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losses recognized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 earnings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3"/>
        </w:trPr>
        <w:tc>
          <w:tcPr>
            <w:tcW w:w="20" w:type="dxa"/>
            <w:vAlign w:val="bottom"/>
          </w:tcPr>
          <w:p>
            <w:pPr>
              <w:spacing w:after="0"/>
              <w:rPr>
                <w:sz w:val="16"/>
                <w:szCs w:val="16"/>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Equity in earnings (losses) of</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limited partnerships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6"/>
                <w:szCs w:val="16"/>
                <w:b w:val="1"/>
                <w:bCs w:val="1"/>
                <w:i w:val="1"/>
                <w:iCs w:val="1"/>
                <w:color w:val="auto"/>
              </w:rPr>
              <w:t>Income from investment</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i w:val="1"/>
                <w:iCs w:val="1"/>
                <w:color w:val="auto"/>
              </w:rPr>
              <w:t>operations before taxes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299</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281</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316</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19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before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b w:val="1"/>
                <w:bCs w:val="1"/>
                <w:color w:val="auto"/>
              </w:rPr>
              <w:t>income taxes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b w:val="1"/>
                <w:bCs w:val="1"/>
                <w:color w:val="auto"/>
              </w:rPr>
              <w:t>noncontrolling interest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302</w:t>
            </w:r>
          </w:p>
        </w:tc>
        <w:tc>
          <w:tcPr>
            <w:tcW w:w="280" w:type="dxa"/>
            <w:vAlign w:val="bottom"/>
          </w:tcPr>
          <w:p>
            <w:pPr>
              <w:spacing w:after="0"/>
              <w:rPr>
                <w:sz w:val="18"/>
                <w:szCs w:val="18"/>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405</w:t>
            </w:r>
          </w:p>
        </w:tc>
        <w:tc>
          <w:tcPr>
            <w:tcW w:w="3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130</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800" w:type="dxa"/>
            <w:vAlign w:val="bottom"/>
          </w:tcPr>
          <w:p>
            <w:pPr>
              <w:spacing w:after="0"/>
              <w:rPr>
                <w:sz w:val="17"/>
                <w:szCs w:val="17"/>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40"/>
              <w:spacing w:after="0"/>
              <w:rPr>
                <w:sz w:val="20"/>
                <w:szCs w:val="20"/>
                <w:color w:val="auto"/>
              </w:rPr>
            </w:pPr>
            <w:r>
              <w:rPr>
                <w:rFonts w:ascii="Arial" w:cs="Arial" w:eastAsia="Arial" w:hAnsi="Arial"/>
                <w:sz w:val="16"/>
                <w:szCs w:val="16"/>
                <w:color w:val="auto"/>
              </w:rPr>
              <w:t>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60"/>
              <w:spacing w:after="0"/>
              <w:rPr>
                <w:sz w:val="20"/>
                <w:szCs w:val="20"/>
                <w:color w:val="auto"/>
              </w:rPr>
            </w:pPr>
            <w:r>
              <w:rPr>
                <w:rFonts w:ascii="Arial" w:cs="Arial" w:eastAsia="Arial" w:hAnsi="Arial"/>
                <w:sz w:val="16"/>
                <w:szCs w:val="16"/>
                <w:color w:val="auto"/>
              </w:rPr>
              <w:t>221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212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275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59" w:lineRule="auto"/>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Earnings on life insurance-related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239"/>
              <w:spacing w:after="0"/>
              <w:rPr>
                <w:sz w:val="20"/>
                <w:szCs w:val="20"/>
                <w:color w:val="auto"/>
              </w:rPr>
            </w:pPr>
            <w:r>
              <w:rPr>
                <w:rFonts w:ascii="Arial" w:cs="Arial" w:eastAsia="Arial" w:hAnsi="Arial"/>
                <w:sz w:val="14"/>
                <w:szCs w:val="14"/>
                <w:color w:val="auto"/>
                <w:w w:val="98"/>
              </w:rPr>
              <w:t>Eliminations of</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Indemnity shareholder</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gridSpan w:val="3"/>
          </w:tcPr>
          <w:p>
            <w:pPr>
              <w:jc w:val="center"/>
              <w:ind w:left="722"/>
              <w:spacing w:after="0" w:line="149" w:lineRule="exact"/>
              <w:rPr>
                <w:sz w:val="20"/>
                <w:szCs w:val="20"/>
                <w:color w:val="auto"/>
              </w:rPr>
            </w:pPr>
            <w:r>
              <w:rPr>
                <w:rFonts w:ascii="Arial" w:cs="Arial" w:eastAsia="Arial" w:hAnsi="Arial"/>
                <w:sz w:val="14"/>
                <w:szCs w:val="14"/>
                <w:color w:val="auto"/>
                <w:w w:val="96"/>
              </w:rPr>
              <w:t>Noncontrolling interest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left="121"/>
              <w:spacing w:after="0" w:line="149" w:lineRule="exact"/>
              <w:rPr>
                <w:sz w:val="20"/>
                <w:szCs w:val="20"/>
                <w:color w:val="auto"/>
              </w:rPr>
            </w:pPr>
            <w:r>
              <w:rPr>
                <w:rFonts w:ascii="Arial" w:cs="Arial" w:eastAsia="Arial" w:hAnsi="Arial"/>
                <w:sz w:val="14"/>
                <w:szCs w:val="14"/>
                <w:color w:val="auto"/>
                <w:w w:val="92"/>
              </w:rPr>
              <w:t>related party</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color w:val="auto"/>
                <w:w w:val="92"/>
              </w:rPr>
              <w:t>(Exchange)</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41"/>
              <w:spacing w:after="0"/>
              <w:rPr>
                <w:sz w:val="20"/>
                <w:szCs w:val="20"/>
                <w:color w:val="auto"/>
              </w:rPr>
            </w:pPr>
            <w:r>
              <w:rPr>
                <w:rFonts w:ascii="Arial" w:cs="Arial" w:eastAsia="Arial" w:hAnsi="Arial"/>
                <w:sz w:val="14"/>
                <w:szCs w:val="14"/>
                <w:color w:val="auto"/>
                <w:w w:val="92"/>
              </w:rPr>
              <w:t>transactions</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22"/>
              <w:spacing w:after="0"/>
              <w:rPr>
                <w:sz w:val="20"/>
                <w:szCs w:val="20"/>
                <w:color w:val="auto"/>
              </w:rPr>
            </w:pPr>
            <w:r>
              <w:rPr>
                <w:rFonts w:ascii="Arial" w:cs="Arial" w:eastAsia="Arial" w:hAnsi="Arial"/>
                <w:sz w:val="14"/>
                <w:szCs w:val="14"/>
                <w:color w:val="auto"/>
                <w:w w:val="93"/>
              </w:rPr>
              <w:t>Erie Insurance Group</w:t>
            </w:r>
          </w:p>
        </w:tc>
      </w:tr>
      <w:tr>
        <w:trPr>
          <w:trHeight w:val="123"/>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3"/>
          </w:tcPr>
          <w:p>
            <w:pPr>
              <w:jc w:val="right"/>
              <w:ind w:right="139"/>
              <w:spacing w:after="0" w:line="123" w:lineRule="exact"/>
              <w:rPr>
                <w:sz w:val="20"/>
                <w:szCs w:val="20"/>
                <w:color w:val="auto"/>
              </w:rPr>
            </w:pPr>
            <w:r>
              <w:rPr>
                <w:rFonts w:ascii="Arial" w:cs="Arial" w:eastAsia="Arial" w:hAnsi="Arial"/>
                <w:sz w:val="14"/>
                <w:szCs w:val="14"/>
                <w:color w:val="auto"/>
                <w:w w:val="92"/>
              </w:rPr>
              <w:t>Nine months ended</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right"/>
              <w:ind w:right="299"/>
              <w:spacing w:after="0" w:line="123" w:lineRule="exact"/>
              <w:rPr>
                <w:sz w:val="20"/>
                <w:szCs w:val="20"/>
                <w:color w:val="auto"/>
              </w:rPr>
            </w:pPr>
            <w:r>
              <w:rPr>
                <w:rFonts w:ascii="Arial" w:cs="Arial" w:eastAsia="Arial" w:hAnsi="Arial"/>
                <w:sz w:val="14"/>
                <w:szCs w:val="14"/>
                <w:color w:val="auto"/>
                <w:w w:val="95"/>
              </w:rPr>
              <w:t>Nine months ended</w:t>
            </w:r>
          </w:p>
        </w:tc>
        <w:tc>
          <w:tcPr>
            <w:tcW w:w="280" w:type="dxa"/>
            <w:vAlign w:val="bottom"/>
          </w:tcPr>
          <w:p>
            <w:pPr>
              <w:spacing w:after="0"/>
              <w:rPr>
                <w:sz w:val="10"/>
                <w:szCs w:val="10"/>
                <w:color w:val="auto"/>
              </w:rPr>
            </w:pPr>
          </w:p>
        </w:tc>
        <w:tc>
          <w:tcPr>
            <w:tcW w:w="1500" w:type="dxa"/>
            <w:vAlign w:val="bottom"/>
            <w:gridSpan w:val="3"/>
          </w:tcPr>
          <w:p>
            <w:pPr>
              <w:jc w:val="center"/>
              <w:ind w:right="259"/>
              <w:spacing w:after="0" w:line="123" w:lineRule="exact"/>
              <w:rPr>
                <w:sz w:val="20"/>
                <w:szCs w:val="20"/>
                <w:color w:val="auto"/>
              </w:rPr>
            </w:pPr>
            <w:r>
              <w:rPr>
                <w:rFonts w:ascii="Arial" w:cs="Arial" w:eastAsia="Arial" w:hAnsi="Arial"/>
                <w:sz w:val="14"/>
                <w:szCs w:val="14"/>
                <w:color w:val="auto"/>
                <w:w w:val="92"/>
              </w:rPr>
              <w:t>Nine months ended</w:t>
            </w:r>
          </w:p>
        </w:tc>
        <w:tc>
          <w:tcPr>
            <w:tcW w:w="280" w:type="dxa"/>
            <w:vAlign w:val="bottom"/>
          </w:tcPr>
          <w:p>
            <w:pPr>
              <w:spacing w:after="0"/>
              <w:rPr>
                <w:sz w:val="10"/>
                <w:szCs w:val="10"/>
                <w:color w:val="auto"/>
              </w:rPr>
            </w:pPr>
          </w:p>
        </w:tc>
        <w:tc>
          <w:tcPr>
            <w:tcW w:w="1420" w:type="dxa"/>
            <w:vAlign w:val="bottom"/>
            <w:gridSpan w:val="3"/>
          </w:tcPr>
          <w:p>
            <w:pPr>
              <w:jc w:val="center"/>
              <w:ind w:right="99"/>
              <w:spacing w:after="0" w:line="123" w:lineRule="exact"/>
              <w:rPr>
                <w:sz w:val="20"/>
                <w:szCs w:val="20"/>
                <w:color w:val="auto"/>
              </w:rPr>
            </w:pPr>
            <w:r>
              <w:rPr>
                <w:rFonts w:ascii="Arial" w:cs="Arial" w:eastAsia="Arial" w:hAnsi="Arial"/>
                <w:sz w:val="14"/>
                <w:szCs w:val="14"/>
                <w:color w:val="auto"/>
                <w:w w:val="92"/>
              </w:rPr>
              <w:t>Nine months ended</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right"/>
              <w:ind w:right="439"/>
              <w:spacing w:after="0" w:line="149"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1500" w:type="dxa"/>
            <w:vAlign w:val="bottom"/>
            <w:gridSpan w:val="3"/>
          </w:tcPr>
          <w:p>
            <w:pPr>
              <w:jc w:val="center"/>
              <w:ind w:right="239"/>
              <w:spacing w:after="0" w:line="149" w:lineRule="exact"/>
              <w:rPr>
                <w:sz w:val="20"/>
                <w:szCs w:val="20"/>
                <w:color w:val="auto"/>
              </w:rPr>
            </w:pPr>
            <w:r>
              <w:rPr>
                <w:rFonts w:ascii="Arial" w:cs="Arial" w:eastAsia="Arial" w:hAnsi="Arial"/>
                <w:sz w:val="14"/>
                <w:szCs w:val="14"/>
                <w:color w:val="auto"/>
                <w:w w:val="89"/>
              </w:rPr>
              <w:t>September 30,</w:t>
            </w:r>
          </w:p>
        </w:tc>
        <w:tc>
          <w:tcPr>
            <w:tcW w:w="280" w:type="dxa"/>
            <w:vAlign w:val="bottom"/>
          </w:tcPr>
          <w:p>
            <w:pPr>
              <w:spacing w:after="0"/>
              <w:rPr>
                <w:sz w:val="12"/>
                <w:szCs w:val="12"/>
                <w:color w:val="auto"/>
              </w:rPr>
            </w:pPr>
          </w:p>
        </w:tc>
        <w:tc>
          <w:tcPr>
            <w:tcW w:w="1420" w:type="dxa"/>
            <w:vAlign w:val="bottom"/>
            <w:gridSpan w:val="3"/>
          </w:tcPr>
          <w:p>
            <w:pPr>
              <w:jc w:val="center"/>
              <w:ind w:right="99"/>
              <w:spacing w:after="0" w:line="149" w:lineRule="exact"/>
              <w:rPr>
                <w:sz w:val="20"/>
                <w:szCs w:val="20"/>
                <w:color w:val="auto"/>
              </w:rPr>
            </w:pPr>
            <w:r>
              <w:rPr>
                <w:rFonts w:ascii="Arial" w:cs="Arial" w:eastAsia="Arial" w:hAnsi="Arial"/>
                <w:sz w:val="14"/>
                <w:szCs w:val="14"/>
                <w:color w:val="auto"/>
                <w:w w:val="91"/>
              </w:rPr>
              <w:t>September 30,</w:t>
            </w:r>
          </w:p>
        </w:tc>
      </w:tr>
      <w:tr>
        <w:trPr>
          <w:trHeight w:val="174"/>
        </w:trPr>
        <w:tc>
          <w:tcPr>
            <w:tcW w:w="26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w w:val="86"/>
              </w:rPr>
              <w:t>Percent</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w w:val="83"/>
              </w:rPr>
              <w:t>2010</w:t>
            </w:r>
          </w:p>
        </w:tc>
        <w:tc>
          <w:tcPr>
            <w:tcW w:w="5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2009</w:t>
            </w:r>
          </w:p>
        </w:tc>
        <w:tc>
          <w:tcPr>
            <w:tcW w:w="13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rPr>
              <w:t>Percent</w:t>
            </w:r>
          </w:p>
        </w:tc>
        <w:tc>
          <w:tcPr>
            <w:tcW w:w="84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color w:val="auto"/>
                <w:w w:val="89"/>
              </w:rPr>
              <w:t>2010</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w w:val="83"/>
              </w:rPr>
              <w:t>2010</w:t>
            </w:r>
          </w:p>
        </w:tc>
        <w:tc>
          <w:tcPr>
            <w:tcW w:w="8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w w:val="89"/>
              </w:rPr>
              <w:t>2010</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w w:val="89"/>
              </w:rPr>
              <w:t>2009</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Management operations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Management fee revenue, net</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100.0%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773</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742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(773)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w w:val="85"/>
              </w:rPr>
              <w:t>(742)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 agreement revenue</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00"/>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Total revenue from</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management operations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799</w:t>
            </w:r>
          </w:p>
        </w:tc>
        <w:tc>
          <w:tcPr>
            <w:tcW w:w="2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768</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(773)</w:t>
            </w:r>
          </w:p>
        </w:tc>
        <w:tc>
          <w:tcPr>
            <w:tcW w:w="34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w w:val="85"/>
              </w:rPr>
              <w:t>(742)</w:t>
            </w:r>
          </w:p>
        </w:tc>
        <w:tc>
          <w:tcPr>
            <w:tcW w:w="2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management operations</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626</w:t>
            </w:r>
          </w:p>
        </w:tc>
        <w:tc>
          <w:tcPr>
            <w:tcW w:w="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615</w:t>
            </w:r>
          </w:p>
        </w:tc>
        <w:tc>
          <w:tcPr>
            <w:tcW w:w="1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(626)</w:t>
            </w: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5"/>
              </w:rPr>
              <w:t>(615)</w:t>
            </w: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20" w:type="dxa"/>
            <w:vAlign w:val="bottom"/>
          </w:tcPr>
          <w:p>
            <w:pPr>
              <w:spacing w:after="0"/>
              <w:rPr>
                <w:sz w:val="17"/>
                <w:szCs w:val="17"/>
                <w:color w:val="auto"/>
              </w:rPr>
            </w:pPr>
          </w:p>
        </w:tc>
        <w:tc>
          <w:tcPr>
            <w:tcW w:w="2640" w:type="dxa"/>
            <w:vAlign w:val="bottom"/>
          </w:tcPr>
          <w:p>
            <w:pPr>
              <w:ind w:left="600"/>
              <w:spacing w:after="0"/>
              <w:rPr>
                <w:sz w:val="20"/>
                <w:szCs w:val="20"/>
                <w:color w:val="auto"/>
              </w:rPr>
            </w:pPr>
            <w:r>
              <w:rPr>
                <w:rFonts w:ascii="Arial" w:cs="Arial" w:eastAsia="Arial" w:hAnsi="Arial"/>
                <w:sz w:val="16"/>
                <w:szCs w:val="16"/>
                <w:b w:val="1"/>
                <w:bCs w:val="1"/>
                <w:i w:val="1"/>
                <w:iCs w:val="1"/>
                <w:color w:val="auto"/>
              </w:rPr>
              <w:t>Income from</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management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operations before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64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taxes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153</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(147)</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5"/>
              </w:rPr>
              <w:t>(127)</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casualty insurance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operations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Premiums earned</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157</w:t>
            </w:r>
          </w:p>
        </w:tc>
        <w:tc>
          <w:tcPr>
            <w:tcW w:w="1260" w:type="dxa"/>
            <w:vAlign w:val="bottom"/>
          </w:tcPr>
          <w:p>
            <w:pPr>
              <w:jc w:val="right"/>
              <w:ind w:right="262"/>
              <w:spacing w:after="0"/>
              <w:rPr>
                <w:sz w:val="20"/>
                <w:szCs w:val="20"/>
                <w:color w:val="auto"/>
              </w:rPr>
            </w:pPr>
            <w:r>
              <w:rPr>
                <w:rFonts w:ascii="Arial" w:cs="Arial" w:eastAsia="Arial" w:hAnsi="Arial"/>
                <w:sz w:val="16"/>
                <w:szCs w:val="16"/>
                <w:color w:val="auto"/>
              </w:rPr>
              <w:t>94.5%</w:t>
            </w:r>
          </w:p>
        </w:tc>
        <w:tc>
          <w:tcPr>
            <w:tcW w:w="80" w:type="dxa"/>
            <w:vAlign w:val="bottom"/>
          </w:tcPr>
          <w:p>
            <w:pPr>
              <w:spacing w:after="0"/>
              <w:rPr>
                <w:sz w:val="17"/>
                <w:szCs w:val="17"/>
                <w:color w:val="auto"/>
              </w:rPr>
            </w:pPr>
          </w:p>
        </w:tc>
        <w:tc>
          <w:tcPr>
            <w:tcW w:w="840" w:type="dxa"/>
            <w:vAlign w:val="bottom"/>
          </w:tcPr>
          <w:p>
            <w:pPr>
              <w:jc w:val="right"/>
              <w:ind w:right="360"/>
              <w:spacing w:after="0"/>
              <w:rPr>
                <w:sz w:val="20"/>
                <w:szCs w:val="20"/>
                <w:color w:val="auto"/>
              </w:rPr>
            </w:pPr>
            <w:r>
              <w:rPr>
                <w:rFonts w:ascii="Arial" w:cs="Arial" w:eastAsia="Arial" w:hAnsi="Arial"/>
                <w:sz w:val="16"/>
                <w:szCs w:val="16"/>
                <w:color w:val="auto"/>
                <w:w w:val="94"/>
              </w:rPr>
              <w:t>2,765</w:t>
            </w:r>
          </w:p>
        </w:tc>
        <w:tc>
          <w:tcPr>
            <w:tcW w:w="8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w w:val="94"/>
              </w:rPr>
              <w:t>2,695</w:t>
            </w:r>
          </w:p>
        </w:tc>
        <w:tc>
          <w:tcPr>
            <w:tcW w:w="280" w:type="dxa"/>
            <w:vAlign w:val="bottom"/>
          </w:tcPr>
          <w:p>
            <w:pPr>
              <w:spacing w:after="0"/>
              <w:rPr>
                <w:sz w:val="17"/>
                <w:szCs w:val="17"/>
                <w:color w:val="auto"/>
              </w:rPr>
            </w:pPr>
          </w:p>
        </w:tc>
        <w:tc>
          <w:tcPr>
            <w:tcW w:w="6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2,926</w:t>
            </w:r>
          </w:p>
        </w:tc>
        <w:tc>
          <w:tcPr>
            <w:tcW w:w="28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2,852</w:t>
            </w: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Losses and loss expenses</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118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112</w:t>
            </w:r>
          </w:p>
        </w:tc>
        <w:tc>
          <w:tcPr>
            <w:tcW w:w="12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94.5%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94"/>
              </w:rPr>
              <w:t>2,027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1,921</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94"/>
              </w:rPr>
              <w:t>2,141</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4"/>
              </w:rPr>
              <w:t>2,029</w:t>
            </w:r>
          </w:p>
        </w:tc>
      </w:tr>
      <w:tr>
        <w:trPr>
          <w:trHeight w:val="210"/>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Underwriting expenses</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260" w:type="dxa"/>
            <w:vAlign w:val="bottom"/>
          </w:tcPr>
          <w:p>
            <w:pPr>
              <w:jc w:val="right"/>
              <w:ind w:right="262"/>
              <w:spacing w:after="0"/>
              <w:rPr>
                <w:sz w:val="20"/>
                <w:szCs w:val="20"/>
                <w:color w:val="auto"/>
              </w:rPr>
            </w:pPr>
            <w:r>
              <w:rPr>
                <w:rFonts w:ascii="Arial" w:cs="Arial" w:eastAsia="Arial" w:hAnsi="Arial"/>
                <w:sz w:val="16"/>
                <w:szCs w:val="16"/>
                <w:color w:val="auto"/>
              </w:rPr>
              <w:t>94.5%</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783</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826</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(151)</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5"/>
              </w:rPr>
              <w:t>(131)</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678</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Loss) Income from</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property and casualty</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insurance operations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before taxes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155</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10"/>
        </w:trPr>
        <w:tc>
          <w:tcPr>
            <w:tcW w:w="266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Life insurance operations </w:t>
            </w:r>
            <w:r>
              <w:rPr>
                <w:rFonts w:ascii="Arial" w:cs="Arial" w:eastAsia="Arial" w:hAnsi="Arial"/>
                <w:sz w:val="24"/>
                <w:szCs w:val="24"/>
                <w:color w:val="auto"/>
                <w:vertAlign w:val="superscript"/>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78.4%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74</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125</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10"/>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Total benefits and expenses</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260" w:type="dxa"/>
            <w:vAlign w:val="bottom"/>
          </w:tcPr>
          <w:p>
            <w:pPr>
              <w:jc w:val="right"/>
              <w:ind w:right="262"/>
              <w:spacing w:after="0"/>
              <w:rPr>
                <w:sz w:val="20"/>
                <w:szCs w:val="20"/>
                <w:color w:val="auto"/>
              </w:rPr>
            </w:pPr>
            <w:r>
              <w:rPr>
                <w:rFonts w:ascii="Arial" w:cs="Arial" w:eastAsia="Arial" w:hAnsi="Arial"/>
                <w:sz w:val="16"/>
                <w:szCs w:val="16"/>
                <w:color w:val="auto"/>
              </w:rPr>
              <w:t>78.4%</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88</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i w:val="1"/>
                <w:iCs w:val="1"/>
                <w:color w:val="auto"/>
              </w:rPr>
              <w:t>Income from life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insurance operations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before taxes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Investment operations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income, net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193"/>
        </w:trPr>
        <w:tc>
          <w:tcPr>
            <w:tcW w:w="20" w:type="dxa"/>
            <w:vAlign w:val="bottom"/>
          </w:tcPr>
          <w:p>
            <w:pPr>
              <w:spacing w:after="0"/>
              <w:rPr>
                <w:sz w:val="16"/>
                <w:szCs w:val="16"/>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Net realized gains on</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investments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298</w:t>
            </w:r>
          </w:p>
        </w:tc>
        <w:tc>
          <w:tcPr>
            <w:tcW w:w="280" w:type="dxa"/>
            <w:vAlign w:val="bottom"/>
          </w:tcPr>
          <w:p>
            <w:pPr>
              <w:spacing w:after="0"/>
              <w:rPr>
                <w:sz w:val="18"/>
                <w:szCs w:val="18"/>
                <w:color w:val="auto"/>
              </w:rPr>
            </w:pPr>
          </w:p>
        </w:tc>
        <w:tc>
          <w:tcPr>
            <w:tcW w:w="6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losses recognized</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 earnings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193"/>
        </w:trPr>
        <w:tc>
          <w:tcPr>
            <w:tcW w:w="20" w:type="dxa"/>
            <w:vAlign w:val="bottom"/>
          </w:tcPr>
          <w:p>
            <w:pPr>
              <w:spacing w:after="0"/>
              <w:rPr>
                <w:sz w:val="16"/>
                <w:szCs w:val="16"/>
                <w:color w:val="auto"/>
              </w:rPr>
            </w:pPr>
          </w:p>
        </w:tc>
        <w:tc>
          <w:tcPr>
            <w:tcW w:w="2640" w:type="dxa"/>
            <w:vAlign w:val="bottom"/>
          </w:tcPr>
          <w:p>
            <w:pPr>
              <w:ind w:left="200"/>
              <w:spacing w:after="0"/>
              <w:rPr>
                <w:sz w:val="20"/>
                <w:szCs w:val="20"/>
                <w:color w:val="auto"/>
              </w:rPr>
            </w:pPr>
            <w:r>
              <w:rPr>
                <w:rFonts w:ascii="Arial" w:cs="Arial" w:eastAsia="Arial" w:hAnsi="Arial"/>
                <w:sz w:val="16"/>
                <w:szCs w:val="16"/>
                <w:color w:val="auto"/>
              </w:rPr>
              <w:t>Equity in earnings (losses) of</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limited partnerships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(253)</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58</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ind w:left="600"/>
              <w:spacing w:after="0"/>
              <w:rPr>
                <w:sz w:val="20"/>
                <w:szCs w:val="20"/>
                <w:color w:val="auto"/>
              </w:rPr>
            </w:pPr>
            <w:r>
              <w:rPr>
                <w:rFonts w:ascii="Arial" w:cs="Arial" w:eastAsia="Arial" w:hAnsi="Arial"/>
                <w:sz w:val="16"/>
                <w:szCs w:val="16"/>
                <w:b w:val="1"/>
                <w:bCs w:val="1"/>
                <w:i w:val="1"/>
                <w:iCs w:val="1"/>
                <w:color w:val="auto"/>
              </w:rPr>
              <w:t>Income (loss) from</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investment operations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800"/>
              <w:spacing w:after="0"/>
              <w:rPr>
                <w:sz w:val="20"/>
                <w:szCs w:val="20"/>
                <w:color w:val="auto"/>
              </w:rPr>
            </w:pPr>
            <w:r>
              <w:rPr>
                <w:rFonts w:ascii="Arial" w:cs="Arial" w:eastAsia="Arial" w:hAnsi="Arial"/>
                <w:sz w:val="16"/>
                <w:szCs w:val="16"/>
                <w:b w:val="1"/>
                <w:bCs w:val="1"/>
                <w:i w:val="1"/>
                <w:iCs w:val="1"/>
                <w:color w:val="auto"/>
              </w:rPr>
              <w:t>before taxes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375</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205</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412</w:t>
            </w: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19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before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rPr>
                <w:sz w:val="20"/>
                <w:szCs w:val="20"/>
                <w:color w:val="auto"/>
              </w:rPr>
            </w:pPr>
            <w:r>
              <w:rPr>
                <w:rFonts w:ascii="Arial" w:cs="Arial" w:eastAsia="Arial" w:hAnsi="Arial"/>
                <w:sz w:val="16"/>
                <w:szCs w:val="16"/>
                <w:b w:val="1"/>
                <w:bCs w:val="1"/>
                <w:color w:val="auto"/>
              </w:rPr>
              <w:t>income taxes and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6"/>
                <w:szCs w:val="16"/>
                <w:b w:val="1"/>
                <w:bCs w:val="1"/>
                <w:color w:val="auto"/>
              </w:rPr>
              <w:t>noncontrolling interest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115</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8"/>
                <w:szCs w:val="18"/>
                <w:color w:val="auto"/>
              </w:rPr>
            </w:pPr>
          </w:p>
        </w:tc>
        <w:tc>
          <w:tcPr>
            <w:tcW w:w="6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582</w:t>
            </w:r>
          </w:p>
        </w:tc>
        <w:tc>
          <w:tcPr>
            <w:tcW w:w="2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274</w:t>
            </w: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176</w:t>
            </w: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760" w:type="dxa"/>
            <w:vAlign w:val="bottom"/>
          </w:tcPr>
          <w:p>
            <w:pPr>
              <w:spacing w:after="0"/>
              <w:rPr>
                <w:sz w:val="17"/>
                <w:szCs w:val="17"/>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40"/>
              <w:spacing w:after="0"/>
              <w:rPr>
                <w:sz w:val="20"/>
                <w:szCs w:val="20"/>
                <w:color w:val="auto"/>
              </w:rPr>
            </w:pPr>
            <w:r>
              <w:rPr>
                <w:rFonts w:ascii="Arial" w:cs="Arial" w:eastAsia="Arial" w:hAnsi="Arial"/>
                <w:sz w:val="16"/>
                <w:szCs w:val="16"/>
                <w:color w:val="auto"/>
              </w:rPr>
              <w:t>150</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256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406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59"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Earnings on life insurance-related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net income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investors’ understanding of our performance related to the Indemnity shareholder interest is enhanced by the disclosure of the following non-GAAP financial measure. Our method of calculating this measure may differ from those used by other companies and therefore comparability may be limited.</w:t>
      </w:r>
    </w:p>
    <w:p>
      <w:pPr>
        <w:spacing w:after="0" w:line="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Operating income is net income excluding realized capital gains and losses, impairment losses and related federal income taxes. Our common stock portfolio is measured at fair value. As such, changes in fair value related to common stocks are reported in earnings. These unrealized gains or losses are included in the net realized gains and losses on investments in our Consolidated Statements of Operations that is used to calculate operating income. Equity in earnings or losses of EFL and equity in earnings or losses of limited partnerships are included in the calculation of operating income. Equity in earnings or losses of limited partnerships includes the respective investment’s realized capital gains and losses, as well as unrealized gains and losses.</w:t>
      </w:r>
    </w:p>
    <w:p>
      <w:pPr>
        <w:spacing w:after="0" w:line="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income is the generally accepted accounting principle (“GAAP”) measure that is most directly comparable to operating income. We use operating income to evaluate the results of operations. It reveals trends in our management services, insurance underwriting and investment operations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the timing of which is unrelated to our management services and insurance underwriting processes. We believe it is useful for investors to evaluate these components separately and in the aggregate when reviewing our performance. We are aware that the price to earnings multiple commonly used by investors as a forward-looking valuation technique uses operating income as the denominator. Operating income should not be considered as a substitute for net income and does not reflect our overall profitability.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and net income for Indemnity shareholder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color w:val="auto"/>
                <w:w w:val="92"/>
              </w:rPr>
              <w:t>Indemnity Shareholder Interest</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4"/>
          </w:tcPr>
          <w:p>
            <w:pPr>
              <w:jc w:val="center"/>
              <w:ind w:right="82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2"/>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left="355"/>
              <w:spacing w:after="0" w:line="149" w:lineRule="exact"/>
              <w:rPr>
                <w:sz w:val="20"/>
                <w:szCs w:val="20"/>
                <w:color w:val="auto"/>
              </w:rPr>
            </w:pPr>
            <w:r>
              <w:rPr>
                <w:rFonts w:ascii="Arial" w:cs="Arial" w:eastAsia="Arial" w:hAnsi="Arial"/>
                <w:sz w:val="14"/>
                <w:szCs w:val="14"/>
                <w:color w:val="auto"/>
                <w:w w:val="89"/>
              </w:rPr>
              <w:t>September 30,</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left="455"/>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2" w:lineRule="exact"/>
              <w:rPr>
                <w:sz w:val="20"/>
                <w:szCs w:val="20"/>
                <w:color w:val="auto"/>
              </w:rPr>
            </w:pPr>
            <w:r>
              <w:rPr>
                <w:rFonts w:ascii="Arial" w:cs="Arial" w:eastAsia="Arial" w:hAnsi="Arial"/>
                <w:sz w:val="14"/>
                <w:szCs w:val="14"/>
                <w:color w:val="auto"/>
                <w:w w:val="92"/>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attributable to Indemnity</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realized gains and impairments on investments</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95"/>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6</w:t>
            </w: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Realized gains and impairments, net of income taxes</w:t>
            </w:r>
          </w:p>
        </w:tc>
        <w:tc>
          <w:tcPr>
            <w:tcW w:w="1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color w:val="auto"/>
              </w:rPr>
              <w:t>4</w:t>
            </w: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Per Indemnity Class A common share-diluted:</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attributable to Indemnity</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realized gains and impairments on investments</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95"/>
              <w:spacing w:after="0"/>
              <w:rPr>
                <w:sz w:val="20"/>
                <w:szCs w:val="20"/>
                <w:color w:val="auto"/>
              </w:rPr>
            </w:pPr>
            <w:r>
              <w:rPr>
                <w:rFonts w:ascii="Arial" w:cs="Arial" w:eastAsia="Arial" w:hAnsi="Arial"/>
                <w:sz w:val="18"/>
                <w:szCs w:val="18"/>
                <w:color w:val="auto"/>
              </w:rPr>
              <w:t>0.08</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0.11</w:t>
            </w: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Realized gains and impairments, net of income taxes</w:t>
            </w:r>
          </w:p>
        </w:tc>
        <w:tc>
          <w:tcPr>
            <w:tcW w:w="1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color w:val="auto"/>
              </w:rPr>
              <w:t>0.07</w:t>
            </w: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operating income was primarily the result of Indemnity’s limited partnership investments generating earnings of $5 million in the third quarter of 2010, compared to generating losses of $9 million in the third quarter of 2009. For the nine months ended September 30, 2010, limited partnership earnings totaled $11 million compared to losses of $64 million recorded for the same period in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result of the changes in our reporting entity at January 1, 2010 (see Note 2), our reportable segments have increased from three to four. Our reportable segments include management operations, property and casualty insurance operations, life insurance operations and investment operations. The segment information presented below includes reclassification of all comparative prior period segment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Management operations generate internal fee revenue by providing services to the Exchange. Management fee revenue is based upon the management fee rate, determined by our Board of Directors, and the direct written premiums of the Property and Casualty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property and casualty insurance industry is highly cyclical, with periods of rising premium rates and shortages of underwriting capacity followed by periods of substantial price competition and excess capacity. The cyclical nature of the insurance industry has a direct impact on the direct written premiums of the Property and Casualty Group. The Property and Casualty Group’s economically sensitive lines, such as workers compensation and commercial auto, continue to experience reduced exposures and reduced average premium per policy due to continuing unfavorable economic conditions. Industry premium exposures in property and casualty lines were suppressed in 2009, with premium rates for personal lines showing signs of firming and most commercial lines reflecting rate reductions.</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property and casualty insurance business is driven by premium growth, the combined ratio and investment returns. The property and casualty operations premium growth strategy focuses on growth by expansion of existing operations including a careful agency selection process and increased market penetration in existing operating territories. Expanding the size of our existing agency force of almost 2,100 independent agencies will contribute to future growth as new agents build up their books of business with the Property and Casualty Group. We appointed 83 new agencies during the first nine months of 2010. In 2009, we appointed 120 new agencies and plan to appoint a similar number during 2010.</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property and casualty insurance operations insure standard and preferred risks while adhering to a set of consistent underwriting standards. Nearly 50% of premiums are derived from personal auto, 20% from homeowners and 30% from commercial lines. Pennsylvania, Maryland and Virginia made up 64% of the property and casualty lines insurance business based on 2009 direct written premium. As a result of the intercompany pooling arrangement, Indemnity retains a 5.5% interest in the net underwriting results of the Property and Casualty Group. The Exchange retains 94.5% of the net underwriting results of the Property and Casualty Group.</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combined ratio, expressed as a percentage, is the key measure of underwriting profitability traditionally used in the property and casualty insurance industry. It is the sum of the ratio of losses and loss expenses to premiums earned (loss ratio) plus the ratio of policy acquisition and other underwriting expenses to premiums earned (expense ratio). When the combined ratio is less than 100%, underwriting results are generally considered profitable; when the combined ratio is greater than 100%, underwriting results are generally considered unprofitable.</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Factors affecting loss and loss expenses include the frequency and severity of losses, the nature and severity of catastrophic losses, the quality of risks underwritten and underlying claims and settlement expenses related to medical costs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Investments held by the Property and Casualty Group are reported in the investment operations segment, separate from the underwriting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EFL generates revenues through sales of its individual and group life insurance policies and fixed individual and group annuities. These products provide our property and casualty agency force an opportunity to cross-sell both personal and commercial accounts. EFL’s profitability depends principally on the ability to develop, price and distribute insurance products, attract and retain deposit funds, generate investment returns and manage expenses. Other drivers include mortality and morbidity experience, persistency experience to enable the recovery of acquisition costs, maintaining interest spreads over the amounts credited to deposit funds and the maintenance of strong ratings from rating agencies.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Earnings on life insurance-related invested assets are integral to the evaluation of the life insurance operations because of the long duration of life products. On that basis, for presentation purposes in the Management’s Discussion and Analysis, the life insurance operations include life insurance related investment results. However, for presentation purposes in the segment footnote, the life insurance investment results are included in the investment operations segment discussion as part of the Exchange’s investment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generate revenues from our fixed maturity, equity security and alternative investment portfolios. The portfolios are managed with a view toward maximizing after-tax returns on a risk-adjusted basis. Management actively evaluates the portfolios for impairments. We record impairment writedowns on investments in circumstances where the fair value of the investment is substantially below cost, and we conclude that the decline in fair value is other-than-temporary.</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investment operations reflect the improvement experienced in the financial markets. During the third quarter 2010, there were no impairments of securities compared to impairments of $16 million in the third quarter 2009.</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alternative investments benefited from improving financial market conditions in the fourth quarter of 2009 and the first six months of 2010. In particular, the improvement in the private equity and mezzanine debt markets had a positive impact on our limited partnership portfolio. Equity in earnings of limited partnerships was $58 million through September 30, 2010 compared to losses of $324 million through September 30, 2009. The valuation adjustments in the limited partnerships are based on financial statements received from our general partners, which are generally received on a quarter lag. As a result, the third quarter partnership earnings do not reflect the valuation changes from the third quarter of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Unfavorable changes in economic conditions, including declining consumer confidence, inflation, unemployment and recession, among others, may lead the Property and Casualty Group’s customers to modify coverage, not renew policies, or even cancel policies. Our key challenge is to generate profitable revenue growth in a highly competitive market that currently continues to experience the effects of these unfavorable economic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volatility</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portfolio of fixed income, preferred and common stocks and limited partnerships is subject to market volatility. Depending upon market conditions, this could cause considerable fluctuation in reported total investment income.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that follows is presented on a segment basis prior to eliminations.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 earned by Indemnity from services provided to the Exchange is eliminated upon consolidation.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4"/>
                <w:szCs w:val="14"/>
                <w:color w:val="auto"/>
              </w:rPr>
              <w:t>Erie Insurance Group</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0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Three months ended September 30,</w:t>
            </w: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Nine months ended September 30,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2010</w:t>
            </w: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rPr>
              <w:t>2009</w:t>
            </w: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w w:val="94"/>
              </w:rPr>
              <w:t>%Change</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2009</w:t>
            </w: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56"/>
        </w:trPr>
        <w:tc>
          <w:tcPr>
            <w:tcW w:w="3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9"/>
              <w:spacing w:after="0" w:line="155" w:lineRule="exact"/>
              <w:rPr>
                <w:sz w:val="20"/>
                <w:szCs w:val="20"/>
                <w:color w:val="auto"/>
              </w:rPr>
            </w:pPr>
            <w:r>
              <w:rPr>
                <w:rFonts w:ascii="Arial" w:cs="Arial" w:eastAsia="Arial" w:hAnsi="Arial"/>
                <w:sz w:val="14"/>
                <w:szCs w:val="14"/>
                <w:color w:val="auto"/>
                <w:w w:val="92"/>
              </w:rPr>
              <w:t>(Unaudited)</w:t>
            </w: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253</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742</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revenue from management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262</w:t>
            </w: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768</w:t>
            </w: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214</w:t>
            </w: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rPr>
              <w:t>626</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615</w:t>
            </w: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from management operations —</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Indemnity </w:t>
            </w:r>
            <w:r>
              <w:rPr>
                <w:rFonts w:ascii="Arial" w:cs="Arial" w:eastAsia="Arial" w:hAnsi="Arial"/>
                <w:sz w:val="15"/>
                <w:szCs w:val="15"/>
                <w:color w:val="auto"/>
              </w:rPr>
              <w:t>(1)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48</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153</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8"/>
                <w:szCs w:val="18"/>
                <w:color w:val="auto"/>
              </w:rPr>
              <w:t>21.1%</w:t>
            </w: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18.1%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pts.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21.7%</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19.9%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pts.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Indemnity retains 100% of the income from management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direct written premium of the Property and Casualty Group and the calculation of the management fee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1057"/>
              <w:spacing w:after="0"/>
              <w:rPr>
                <w:sz w:val="20"/>
                <w:szCs w:val="20"/>
                <w:color w:val="auto"/>
              </w:rPr>
            </w:pPr>
            <w:r>
              <w:rPr>
                <w:rFonts w:ascii="Arial" w:cs="Arial" w:eastAsia="Arial" w:hAnsi="Arial"/>
                <w:sz w:val="14"/>
                <w:szCs w:val="14"/>
                <w:color w:val="auto"/>
              </w:rPr>
              <w:t>Erie Insurance Group</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8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Three months ended September 30,</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Nine months ended September 30,</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94"/>
              </w:rPr>
              <w:t>%Change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Casualty Group direct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written premiums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1,009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3,098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2,974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Management fee rate</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25.00%</w:t>
            </w:r>
          </w:p>
        </w:tc>
        <w:tc>
          <w:tcPr>
            <w:tcW w:w="8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25.00%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25.00%</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 gross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252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w w:val="97"/>
              </w:rPr>
              <w:t>Change in allowance for management fee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returned on cancelled policies</w:t>
            </w:r>
            <w:r>
              <w:rPr>
                <w:rFonts w:ascii="Arial" w:cs="Arial" w:eastAsia="Arial" w:hAnsi="Arial"/>
                <w:sz w:val="15"/>
                <w:szCs w:val="15"/>
                <w:color w:val="auto"/>
              </w:rPr>
              <w:t>(1)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Management fee revenue, net of</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253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77" w:lineRule="exact"/>
        <w:rPr>
          <w:sz w:val="20"/>
          <w:szCs w:val="20"/>
          <w:color w:val="auto"/>
        </w:rPr>
      </w:pPr>
    </w:p>
    <w:p>
      <w:pPr>
        <w:ind w:left="460" w:right="300" w:hanging="452"/>
        <w:spacing w:after="0" w:line="277"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fees are returned to the Exchange when policies are cancelled mid-term and unearned premiums are refunded. We record an estimated allowance for management fees returned on mid-term policy cancellations.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Management fee revenue is based upon the management fee rate, determined by our Board of Directors, and the direct written premiums of the Property and Casualty Group. Changes in the management fee rate can affect the segment’s revenue and net income significantly. The management fee rate was set at 25%, the maximum rate, for both 2010 and 2009.</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Direct written premiums of the Property and Casualty Group increased 5.2% in the third quarter of 2010, compared to the third quarter of 2009, due to a 3.4% increase in policies in force and modest increases in average premium. The year-over-year average premium per policy for all lines of business increased</w:t>
      </w:r>
    </w:p>
    <w:p>
      <w:pPr>
        <w:ind w:right="240"/>
        <w:spacing w:after="0" w:line="255" w:lineRule="auto"/>
        <w:rPr>
          <w:sz w:val="20"/>
          <w:szCs w:val="20"/>
          <w:color w:val="auto"/>
        </w:rPr>
      </w:pPr>
      <w:r>
        <w:rPr>
          <w:rFonts w:ascii="Arial" w:cs="Arial" w:eastAsia="Arial" w:hAnsi="Arial"/>
          <w:sz w:val="18"/>
          <w:szCs w:val="18"/>
          <w:color w:val="auto"/>
        </w:rPr>
        <w:t>0.4% at September 30, 2010, compared to a decrease of 2.2% at September 30, 2009. The policy retention ratio remained steady at 90.6% at September 30, 2010, compared to 90.6% at December 31, 2009, and 90.7% at September 30, 2009. See the “Property and casualty insurance operations” segment that follows for a complete discussion of property and casualty direct written premiums.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Service agreement revenue includes service charges Indemnity collects from policyholders for providing extended payment terms on policies written by the Property and Casualty Group and late payment and policy reinstatement fees. The service charges are fixed dollar amounts per billed installment. Service agreement revenue totaled $9 million in both third quarters of 2010 and 2009.</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management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color w:val="auto"/>
              </w:rPr>
              <w:t>Erie Insurance Group</w:t>
            </w: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3"/>
          </w:tcPr>
          <w:p>
            <w:pPr>
              <w:ind w:left="520"/>
              <w:spacing w:after="0" w:line="123" w:lineRule="exact"/>
              <w:rPr>
                <w:sz w:val="20"/>
                <w:szCs w:val="20"/>
                <w:color w:val="auto"/>
              </w:rPr>
            </w:pPr>
            <w:r>
              <w:rPr>
                <w:rFonts w:ascii="Arial" w:cs="Arial" w:eastAsia="Arial" w:hAnsi="Arial"/>
                <w:sz w:val="14"/>
                <w:szCs w:val="14"/>
                <w:color w:val="auto"/>
                <w:w w:val="91"/>
              </w:rPr>
              <w:t>Three months ended September 30,</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Nine months ended September 30,</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%Change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2010</w:t>
            </w: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(Unaudited)</w:t>
            </w: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56"/>
              <w:spacing w:after="0" w:line="142" w:lineRule="exact"/>
              <w:rPr>
                <w:sz w:val="20"/>
                <w:szCs w:val="20"/>
                <w:color w:val="auto"/>
              </w:rPr>
            </w:pPr>
            <w:r>
              <w:rPr>
                <w:rFonts w:ascii="Arial" w:cs="Arial" w:eastAsia="Arial" w:hAnsi="Arial"/>
                <w:sz w:val="14"/>
                <w:szCs w:val="14"/>
                <w:color w:val="auto"/>
              </w:rPr>
              <w:t>(Unaudited)</w:t>
            </w: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149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146</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1.3%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419</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Non-commission expense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68</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196</w:t>
            </w: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management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214</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1.1%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615</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 Scheduled rate commissions increased $8 million in the third quarter of 2010 and $18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compared to the same periods in 2009, impacted by the 5.2% and 4.2%, respectively, increase in direct written premiums of the Property and Casualty Group. Offsetting these increases were decreases in agent bonuses of $5 million in the third quarter of 2010 and $10 million for the nine months ended September 30, 2010, reflecting a reduction in our estimate of the profitability component of the bonus when factoring in the most recent year’s underwriting data.</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Non-commission expense </w:t>
      </w:r>
      <w:r>
        <w:rPr>
          <w:rFonts w:ascii="Arial" w:cs="Arial" w:eastAsia="Arial" w:hAnsi="Arial"/>
          <w:sz w:val="18"/>
          <w:szCs w:val="18"/>
          <w:color w:val="auto"/>
        </w:rPr>
        <w:t>— Non-commission expense was flat in the third quarter of 2010 compared to the third quarter of 2009. Personnel costs,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component in the cost of management operations, increased $1 million primarily due to an increase in salaries and wages as a result of higher average pay rates and staffing levels. Hardware and software costs also increased $1 million, offset by a $3 million decrease in professional fees due to the capitalization of contract labor costs, related to our technology initiatives.</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nine months ended September 30, 2010, non-commission expense increased $4 million. Driving this increase was a $4 million increase in software costs related to various technology initiatives, a $4 million increase in personnel costs as salaries and wages were impacted by higher average pay rates and staffing levels, and a $2 million increase in survey and underwriting expense. These increases were offset by a $5 million reduction for a favorable ruling related to an outstanding judgment against us, and a $4 million decrease in professional fees primarily resulting from the capitalization of contract labor costs related to various technology initiatives.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gross margin of 21.7% for the nine months ended September 30, 2010, was positively impacted by a $5 million reduction for a favorable court ruling. Excluding this adjustment, the gross margin would have been 21.0%, compared to 19.9% for the first nine months of 2009. The improved gross margin in the first nine months of 2010, compared to the first nine months of 2009, resulted from revenue growth slightly outpacing expense growth.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operations of our property and casualty insurance business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color w:val="auto"/>
              </w:rPr>
              <w:t>Property and Casualty Group</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gridSpan w:val="3"/>
          </w:tcPr>
          <w:p>
            <w:pPr>
              <w:jc w:val="center"/>
              <w:ind w:right="80"/>
              <w:spacing w:after="0" w:line="123" w:lineRule="exact"/>
              <w:rPr>
                <w:sz w:val="20"/>
                <w:szCs w:val="20"/>
                <w:color w:val="auto"/>
              </w:rPr>
            </w:pPr>
            <w:r>
              <w:rPr>
                <w:rFonts w:ascii="Arial" w:cs="Arial" w:eastAsia="Arial" w:hAnsi="Arial"/>
                <w:sz w:val="14"/>
                <w:szCs w:val="14"/>
                <w:color w:val="auto"/>
                <w:w w:val="91"/>
              </w:rPr>
              <w:t>Three months ended</w:t>
            </w:r>
          </w:p>
        </w:tc>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40" w:type="dxa"/>
            <w:vAlign w:val="bottom"/>
            <w:gridSpan w:val="3"/>
          </w:tcPr>
          <w:p>
            <w:pPr>
              <w:jc w:val="center"/>
              <w:ind w:right="100"/>
              <w:spacing w:after="0" w:line="123" w:lineRule="exact"/>
              <w:rPr>
                <w:sz w:val="20"/>
                <w:szCs w:val="20"/>
                <w:color w:val="auto"/>
              </w:rPr>
            </w:pPr>
            <w:r>
              <w:rPr>
                <w:rFonts w:ascii="Arial" w:cs="Arial" w:eastAsia="Arial" w:hAnsi="Arial"/>
                <w:sz w:val="14"/>
                <w:szCs w:val="14"/>
                <w:color w:val="auto"/>
                <w:w w:val="92"/>
              </w:rPr>
              <w:t>Nine months ended</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September 30,</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September 30,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96"/>
              </w:rPr>
              <w:t>2010</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89"/>
              </w:rPr>
              <w:t>2009</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%Change</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89"/>
              </w:rPr>
              <w:t>2009</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36"/>
              <w:spacing w:after="0" w:line="142" w:lineRule="exact"/>
              <w:rPr>
                <w:sz w:val="20"/>
                <w:szCs w:val="20"/>
                <w:color w:val="auto"/>
              </w:rPr>
            </w:pPr>
            <w:r>
              <w:rPr>
                <w:rFonts w:ascii="Arial" w:cs="Arial" w:eastAsia="Arial" w:hAnsi="Arial"/>
                <w:sz w:val="14"/>
                <w:szCs w:val="14"/>
                <w:color w:val="auto"/>
              </w:rPr>
              <w:t>(Unaudited)</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36"/>
              <w:spacing w:after="0" w:line="142" w:lineRule="exact"/>
              <w:rPr>
                <w:sz w:val="20"/>
                <w:szCs w:val="20"/>
                <w:color w:val="auto"/>
              </w:rPr>
            </w:pPr>
            <w:r>
              <w:rPr>
                <w:rFonts w:ascii="Arial" w:cs="Arial" w:eastAsia="Arial" w:hAnsi="Arial"/>
                <w:sz w:val="14"/>
                <w:szCs w:val="14"/>
                <w:color w:val="auto"/>
              </w:rPr>
              <w:t>(Unaudited)</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Direct written premium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3,098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2,974</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Reinsurance — assumed and ceded</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NM</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1,057</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1,011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3,087</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2,978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Change in unearned premium</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67</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44.3</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161</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990</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964</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2,926</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2,852</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14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690</w:t>
            </w:r>
          </w:p>
        </w:tc>
        <w:tc>
          <w:tcPr>
            <w:tcW w:w="520" w:type="dxa"/>
            <w:vAlign w:val="bottom"/>
          </w:tcPr>
          <w:p>
            <w:pPr>
              <w:spacing w:after="0"/>
              <w:rPr>
                <w:sz w:val="19"/>
                <w:szCs w:val="19"/>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613</w:t>
            </w:r>
          </w:p>
        </w:tc>
        <w:tc>
          <w:tcPr>
            <w:tcW w:w="3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2,145</w:t>
            </w:r>
          </w:p>
        </w:tc>
        <w:tc>
          <w:tcPr>
            <w:tcW w:w="520" w:type="dxa"/>
            <w:vAlign w:val="bottom"/>
          </w:tcPr>
          <w:p>
            <w:pPr>
              <w:spacing w:after="0"/>
              <w:rPr>
                <w:sz w:val="19"/>
                <w:szCs w:val="19"/>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2,033</w:t>
            </w:r>
          </w:p>
        </w:tc>
        <w:tc>
          <w:tcPr>
            <w:tcW w:w="320" w:type="dxa"/>
            <w:vAlign w:val="bottom"/>
          </w:tcPr>
          <w:p>
            <w:pPr>
              <w:spacing w:after="0"/>
              <w:rPr>
                <w:sz w:val="19"/>
                <w:szCs w:val="19"/>
                <w:color w:val="auto"/>
              </w:rPr>
            </w:pP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Policy acquisition and 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288</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335</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829</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874</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Total losses and expenses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978</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948</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2,974</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2,907</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Underwriting income (loss) — Erie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20"/>
              <w:spacing w:after="0"/>
              <w:rPr>
                <w:sz w:val="20"/>
                <w:szCs w:val="20"/>
                <w:color w:val="auto"/>
              </w:rPr>
            </w:pPr>
            <w:r>
              <w:rPr>
                <w:rFonts w:ascii="Arial" w:cs="Arial" w:eastAsia="Arial" w:hAnsi="Arial"/>
                <w:sz w:val="18"/>
                <w:szCs w:val="18"/>
                <w:color w:val="auto"/>
              </w:rPr>
              <w:t>Underwriting income (loss)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420"/>
              <w:spacing w:after="0"/>
              <w:rPr>
                <w:sz w:val="20"/>
                <w:szCs w:val="20"/>
                <w:color w:val="auto"/>
              </w:rPr>
            </w:pPr>
            <w:r>
              <w:rPr>
                <w:rFonts w:ascii="Arial" w:cs="Arial" w:eastAsia="Arial" w:hAnsi="Arial"/>
                <w:sz w:val="18"/>
                <w:szCs w:val="18"/>
                <w:color w:val="auto"/>
              </w:rPr>
              <w:t>Indemnity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Underwriting income (loss) —</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tcPr>
          <w:p>
            <w:pPr>
              <w:spacing w:after="0"/>
              <w:rPr>
                <w:sz w:val="20"/>
                <w:szCs w:val="20"/>
                <w:color w:val="auto"/>
              </w:rPr>
            </w:pPr>
            <w:r>
              <w:rPr>
                <w:rFonts w:ascii="Arial" w:cs="Arial" w:eastAsia="Arial" w:hAnsi="Arial"/>
                <w:sz w:val="18"/>
                <w:szCs w:val="18"/>
                <w:color w:val="auto"/>
              </w:rPr>
              <w:t>Loss and loss expense ratio</w:t>
            </w:r>
          </w:p>
        </w:tc>
        <w:tc>
          <w:tcPr>
            <w:tcW w:w="14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69.7%</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 pts.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73.3%</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pts.</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Policy acquisition and 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expense ratio</w:t>
            </w: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29.0</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28.4</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Combined ratio</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98.7%</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pts.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101.7%</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pts.</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measure profit or loss for our property and casualty segment based upon underwriting results, which represent net earned premium less loss and loss expenses and underwriting expenses on a pre-tax basis. Loss and combined ratios are key performance indicators that we use to assess business trends and to make comparisons to industry results. Investment results of our property and casualty insurance company subsidiaries are included in our investment operations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Direct written premiums of the Property and Casualty Group increased 5.2% to nearly $1.1 billion in the third quarter of 2010, compared to the third quarter of 2009, driven by an increase in policies in force and modest increases in average premium per policy. The combined impact of these increases was seen primarily in personal lines renewal business, commercial lines new business, and commercial multi-peril renewal business.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Premiums generated from new business increased 4.3% in the third quarter of 2010, compared to 4.8% in the third quarter of 2009. Underlying the trend in new business premiums was an increase in new business policies in force of 4.4% in the third quarter of 2010, compared to 6.3% in the third quarter of 2009, while the year-over-year average premium per policy on new business increased 2.1% at September 30, 2010, compared to a decline of 1.9% at September 30, 2009.</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Premiums generated from renewal business increased 5.4% in the third quarter of 2010, compared to 1.6% in the third quarter of 2009. Underlying the trend in renewal business premiums was an increase in renewal business policies in force of 3.3% in the third quarter of 2010, compared to 3.0% in the third quarter of 2009, while the year-over-year average premium per policy on renewal business increased 0.3% at September 30, 2010, compared to a decline of 2.2% at September 30, 2009. The Property and Casualty Group’s year-over-year policy retention ratio was 90.6% at September 30, 2010, compared to 90.6% at December 31, 2009, and 90.7% at September 30, 2009.</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Personal lines </w:t>
      </w:r>
      <w:r>
        <w:rPr>
          <w:rFonts w:ascii="Arial" w:cs="Arial" w:eastAsia="Arial" w:hAnsi="Arial"/>
          <w:sz w:val="18"/>
          <w:szCs w:val="18"/>
          <w:color w:val="auto"/>
        </w:rPr>
        <w:t>— Total personal lines premiums written increased 5.7% to $803 million in the third quarter of 2010, compared to $759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2009. Total personal lines policies in force increased 3.3% in the third quarter of 2010 and the total personal lines year-over-year average premium per policy increased 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business premiums written on personal lines decreased 0.6% in the third quarter of 2010, compared to an increase of 6.5% in the third quarter of 2009. Personal lines new business policies in force increased 3.2% for the twelve months ended September 30, 2010, compared to 7.9% for the same period in the prior year. The year-over-year average premium per policy on personal lines new business increased 1.7% at September 30, 2010, compared to 0.3% at September 30, 2009.</w:t>
      </w:r>
    </w:p>
    <w:p>
      <w:pPr>
        <w:spacing w:after="0" w:line="79" w:lineRule="exact"/>
        <w:rPr>
          <w:sz w:val="20"/>
          <w:szCs w:val="20"/>
          <w:color w:val="auto"/>
        </w:rPr>
      </w:pPr>
    </w:p>
    <w:p>
      <w:pPr>
        <w:ind w:left="660" w:hanging="314"/>
        <w:spacing w:after="0" w:line="259"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Private passenger auto new business premiums written decreased 0.6% in the third quarter of 2010, compared to an increase of 6.9% in the third quarter of 2009. Private passenger auto new business policies in force increased 2.2% for the twelve months ended September 30, 2010, compared to 9.4% for the same period in the prior year. The new business year-over-year average premium per policy for private passenger auto increased 2.2% at September 30, 2010, compared to a decrease of 0.9% at September 30, 2009.</w:t>
      </w:r>
    </w:p>
    <w:p>
      <w:pPr>
        <w:spacing w:after="0" w:line="92" w:lineRule="exact"/>
        <w:rPr>
          <w:rFonts w:ascii="Arial" w:cs="Arial" w:eastAsia="Arial" w:hAnsi="Arial"/>
          <w:sz w:val="18"/>
          <w:szCs w:val="18"/>
          <w:b w:val="1"/>
          <w:bCs w:val="1"/>
          <w:color w:val="auto"/>
        </w:rPr>
      </w:pPr>
    </w:p>
    <w:p>
      <w:pPr>
        <w:jc w:val="both"/>
        <w:ind w:left="660" w:right="260" w:hanging="314"/>
        <w:spacing w:after="0" w:line="259"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Homeowners new business premiums written decreased 3.9% in the third quarter of 2010, compared to an increase of 9.0% in the third quarter of 2009. Homeowners new business policies in force increased 4.9% compared to 5.6% for the twelve months ended September 30, 2010 and 2009, respectively. The new business year-over-year average premium per policy for homeowners increased 1.5% at September 30, 2010, compared to 1.8% at September 30, 2009.</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Renewal premiums written on personal lines increased 6.5% in the third quarter 2010, compared to 3.7% in the third quarter of 2009, driven by a modest increase in average premium per policy and steady policy retention ratio trends. The year-over-year average premium per policy on personal lines renewal business increased 2.0% at September 30, 2010, compared to a decline of 0.5% at September 30, 2009. The year-over-year policy retention ratio for personal lines was 91.4% at September 30, 2010, 91.5% at December 31, 2009, and 91.6% at September 30, 2009.</w:t>
      </w:r>
    </w:p>
    <w:p>
      <w:pPr>
        <w:spacing w:after="0" w:line="63" w:lineRule="exact"/>
        <w:rPr>
          <w:sz w:val="20"/>
          <w:szCs w:val="20"/>
          <w:color w:val="auto"/>
        </w:rPr>
      </w:pPr>
    </w:p>
    <w:p>
      <w:pPr>
        <w:ind w:left="660" w:right="100" w:hanging="314"/>
        <w:spacing w:after="0" w:line="259"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Private passenger auto renewal premiums written increased 5.1% in the third quarter of 2010 compared to 2.1% in the third quarter of 2009. The year-over-year average premium per policy on private passenger auto renewal business increased 1.8% at September 30, 2010, compared to a decline of 0.9% at September 30, 2009. The private passenger auto year-over-year policy retention ratio remained steady at 91.8% at September 30, 2010, compared to 91.9% at December 31, 2009 and September 30, 2009.</w:t>
      </w:r>
    </w:p>
    <w:p>
      <w:pPr>
        <w:spacing w:after="0" w:line="92" w:lineRule="exact"/>
        <w:rPr>
          <w:rFonts w:ascii="Arial" w:cs="Arial" w:eastAsia="Arial" w:hAnsi="Arial"/>
          <w:sz w:val="18"/>
          <w:szCs w:val="18"/>
          <w:b w:val="1"/>
          <w:bCs w:val="1"/>
          <w:color w:val="auto"/>
        </w:rPr>
      </w:pPr>
    </w:p>
    <w:p>
      <w:pPr>
        <w:ind w:left="660" w:right="160" w:hanging="314"/>
        <w:spacing w:after="0" w:line="259"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Homeowners renewal premiums written increased 9.3% in the third quarter of 2010, compared to 6.8% in the third quarter of 2009. The year-over-year average premium per policy on homeowners renewal business increased 4.1% at September 30, 2010, compared to 1.9% at September 30, 2009. The homeowners year-over-year policyholder retention ratio was 91.0% at September 30, 2010, 91.2% at December 31, 2009, and 91.4% at September 30, 2009.</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Commercial lines </w:t>
      </w:r>
      <w:r>
        <w:rPr>
          <w:rFonts w:ascii="Arial" w:cs="Arial" w:eastAsia="Arial" w:hAnsi="Arial"/>
          <w:sz w:val="18"/>
          <w:szCs w:val="18"/>
          <w:color w:val="auto"/>
        </w:rPr>
        <w:t>— Total commercial lines premiums written increased 3.8% to $259 million in the third quarter of 2010, compared to $249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2009. Total commercial lines policies in force increased 3.9% while the total commercial lines year-over-year average premium per policy decreased 3.7%.</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business premiums written on commercial lines increased 15.4% in the third quarter of 2010, compared to 1.1% in the third quarter of 2009. Commercial lines new business policies in force increased 9.9% in the third quarter of 2010, compared to a decline of 0.4% in the third quarter of 2009. The year-over-year average premium per policy on commercial lines new business was flat at September 30, 2010, compared to a decline of 2.5% at September 30, 2009.</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Renewal premiums for commercial lines increased 1.9% in the third quarter of 2010 compared to a decrease of 4.5% in the third quarter of 2009, driven by improved policy retention trends and smaller decreases in average premium per policy, the combined impact of which was seen primarily in the commercial multi-peril line of business. The commercial lines year-over-year policy retention ratio improved to 85.2% at September 30, 2010, compared to 84.9% at December 31, 2009, and 84.8% at September 30, 2009. The year-over-year average premium per policy on commercial lines renewal business decreased</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4.0% at September 30, 2010, compared to 6.5% at September 30, 2009, driven primarily by the workers compensation and commercial auto lines of business in both years. The workers compensation and commercial auto year-over-year average premium per policy decreases were 10.6% and 3.3%, respectively, at September 30, 2010, compared to decreases of 14.5% and 4.2%, respectively, at September 30, 2009. Contributing to the workers compensation lower average premium per policy were shifts in the mix of our book of business and lower exposures driven by reductions in payroll levels. The commercial auto average premium per policy decrease was driven by shifts in the mix of our book of business and fewer insured vehicles.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Future trends—premium revenue </w:t>
      </w:r>
      <w:r>
        <w:rPr>
          <w:rFonts w:ascii="Arial" w:cs="Arial" w:eastAsia="Arial" w:hAnsi="Arial"/>
          <w:sz w:val="16"/>
          <w:szCs w:val="16"/>
          <w:color w:val="auto"/>
        </w:rPr>
        <w:t>— We are continuing our efforts to grow Property and Casualty Group premiums and improve our competitive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marketplace. Expanding the size of the agency force will contribute to future growth as existing and new agents build up their book of business with the Property and Casualty Group. Through the first nine months of 2010, we appointed 83 new agencies, which increased our total to 2,087 agencies. We expect our pricing actions to result in a net increase in direct written premium in 2010, however, exposure reductions and changes in our mix of business could impact the average premium written by the Property and Casualty Group as customers may continue to reduce coverages.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 losses and loss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current accident year loss and loss expense ratio, excluding catastrophe losses, was 72.2% in the third quarter of 2010 compared to 67.6% in the third quarter of 2009.</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personal lines loss and loss expense ratio related to the current accident year, excluding catastrophe losses, was 72.6% in the third quarter of 2010 compared to 65.5% in the third quarter of 2009. Excluding catastrophe losses, the current accident year loss and loss expense ratio for personal auto increased to 73.7% in the third quarter of 2010 from 72.9% in the third quarter of 2009, while the homeowners loss and loss expense ratio increased to 71.5% from</w:t>
      </w:r>
    </w:p>
    <w:p>
      <w:pPr>
        <w:ind w:right="80"/>
        <w:spacing w:after="0" w:line="261" w:lineRule="auto"/>
        <w:rPr>
          <w:sz w:val="20"/>
          <w:szCs w:val="20"/>
          <w:color w:val="auto"/>
        </w:rPr>
      </w:pPr>
      <w:r>
        <w:rPr>
          <w:rFonts w:ascii="Arial" w:cs="Arial" w:eastAsia="Arial" w:hAnsi="Arial"/>
          <w:sz w:val="18"/>
          <w:szCs w:val="18"/>
          <w:color w:val="auto"/>
        </w:rPr>
        <w:t>54.2% for the same periods, respectively. The homeowners line of business experienced an increase in frequency in the third quarter of 2010 compared to the third quarter 2009.</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commercial lines loss and loss expense ratio related to the current accident year, excluding catastrophe losses, was 71.0% in the third quarter of 2010 compared to 72.7% in the third quarter of 2009. Excluding catastrophe losses, the current accident year loss and loss expense ratios for the third quarters of 2010 and 2009, respectively, were 69.9% and 95.0% for the workers compensation line of business, 72.7% and 60.6% for the commercial multi-peril line of business, and 79.3% and 70.2% for the commercial auto line of business. The workers compensation line of business was impacted by three new large workers compensation claims in the third quarter of 2009, while the commercial multi-peril line of business experienced an increase in frequency in the third quarter of 2010.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losses</w:t>
      </w:r>
    </w:p>
    <w:p>
      <w:pPr>
        <w:spacing w:after="0" w:line="11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Catastrophes are an inherent risk of the property and casualty insurance business and can have a material impact on our insurance underwriting results. In addressing this risk, we employ what we believe are reasonable underwriting standards and monitor our exposure by geographic region. The Property and Casualty Group’s definition of catastrophes includes those weather-related or other loss events which we consider significant to our geographic footprint which, individually or in the aggregate, may not reach the level of a national catastrophe as defined by the Property Claim Service (PCS). The Property and Casualty Group maintains sufficient property catastrophe reinsurance coverage from unaffiliated reinsurers and no longer participates in the voluntary assumed reinsurance business, which lowers the variability of the underwriting results of the Property and Casualty Group.</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Catastrophe losses, as defined by the Property and Casualty Group, totaled $52 million in the third quarter of 2010 and $23 million in the third quarter of 2009. These catastrophe losses contributed 5.2 points and 2.4 points to the combined ratios at September 30, 2010 and 2009, respectively. Catastrophe losses in the third quarter of 2010 were the result of flooding, hail and wind storms primarily in the states of Wisconsin and Maryland. In the third quarter of 2009, catastrophe losses resulted from flooding, wind and hail storms primarily in Indiana and Wisconsin. Catastrophe losses incurred for the first nine months of 2010 and 2009 were $245 million and $111 million, respectively, and contributed 8.3 points and 3.8 points to the combined ratio,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loss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the prior year loss reserve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3"/>
          </w:tcPr>
          <w:p>
            <w:pPr>
              <w:jc w:val="center"/>
              <w:ind w:right="176"/>
              <w:spacing w:after="0" w:line="123" w:lineRule="exact"/>
              <w:rPr>
                <w:sz w:val="20"/>
                <w:szCs w:val="20"/>
                <w:color w:val="auto"/>
              </w:rPr>
            </w:pPr>
            <w:r>
              <w:rPr>
                <w:rFonts w:ascii="Arial" w:cs="Arial" w:eastAsia="Arial" w:hAnsi="Arial"/>
                <w:sz w:val="14"/>
                <w:szCs w:val="14"/>
                <w:color w:val="auto"/>
                <w:w w:val="91"/>
              </w:rPr>
              <w:t>Three months ended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3"/>
          </w:tcPr>
          <w:p>
            <w:pPr>
              <w:jc w:val="center"/>
              <w:ind w:right="54"/>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left="299"/>
              <w:spacing w:after="0" w:line="149" w:lineRule="exact"/>
              <w:rPr>
                <w:sz w:val="20"/>
                <w:szCs w:val="20"/>
                <w:color w:val="auto"/>
              </w:rPr>
            </w:pPr>
            <w:r>
              <w:rPr>
                <w:rFonts w:ascii="Arial" w:cs="Arial" w:eastAsia="Arial" w:hAnsi="Arial"/>
                <w:sz w:val="14"/>
                <w:szCs w:val="14"/>
                <w:color w:val="auto"/>
                <w:w w:val="89"/>
              </w:rPr>
              <w:t>September 30,</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9"/>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left="459"/>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9"/>
              <w:spacing w:after="0" w:line="142" w:lineRule="exact"/>
              <w:rPr>
                <w:sz w:val="20"/>
                <w:szCs w:val="20"/>
                <w:color w:val="auto"/>
              </w:rPr>
            </w:pPr>
            <w:r>
              <w:rPr>
                <w:rFonts w:ascii="Arial" w:cs="Arial" w:eastAsia="Arial" w:hAnsi="Arial"/>
                <w:sz w:val="14"/>
                <w:szCs w:val="14"/>
                <w:color w:val="auto"/>
                <w:w w:val="92"/>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Prior year loss development: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 business including salvage and subrogation</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9"/>
              <w:spacing w:after="0"/>
              <w:rPr>
                <w:sz w:val="20"/>
                <w:szCs w:val="20"/>
                <w:color w:val="auto"/>
              </w:rPr>
            </w:pPr>
            <w:r>
              <w:rPr>
                <w:rFonts w:ascii="Arial" w:cs="Arial" w:eastAsia="Arial" w:hAnsi="Arial"/>
                <w:sz w:val="18"/>
                <w:szCs w:val="18"/>
                <w:color w:val="auto"/>
              </w:rPr>
              <w:t>(49)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9"/>
              <w:spacing w:after="0"/>
              <w:rPr>
                <w:sz w:val="20"/>
                <w:szCs w:val="20"/>
                <w:color w:val="auto"/>
              </w:rPr>
            </w:pPr>
            <w:r>
              <w:rPr>
                <w:rFonts w:ascii="Arial" w:cs="Arial" w:eastAsia="Arial" w:hAnsi="Arial"/>
                <w:sz w:val="18"/>
                <w:szCs w:val="18"/>
                <w:color w:val="auto"/>
              </w:rPr>
              <w:t>(105)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Assumed reinsurance business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Ceded reinsurance business</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prior year loss development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1760" w:hanging="5615"/>
        <w:spacing w:after="0" w:line="496" w:lineRule="auto"/>
        <w:rPr>
          <w:sz w:val="20"/>
          <w:szCs w:val="20"/>
          <w:color w:val="auto"/>
        </w:rPr>
      </w:pPr>
      <w:r>
        <w:rPr>
          <w:rFonts w:ascii="Arial" w:cs="Arial" w:eastAsia="Arial" w:hAnsi="Arial"/>
          <w:sz w:val="18"/>
          <w:szCs w:val="18"/>
          <w:i w:val="1"/>
          <w:iCs w:val="1"/>
          <w:color w:val="auto"/>
        </w:rPr>
        <w:t xml:space="preserve">Negative amounts represent a redundancy (decrease in reserves), while positive amounts represent a deficiency (increase in reserves). </w:t>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 of loss reserves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Direct business including salvage and subrogation — </w:t>
      </w:r>
      <w:r>
        <w:rPr>
          <w:rFonts w:ascii="Arial" w:cs="Arial" w:eastAsia="Arial" w:hAnsi="Arial"/>
          <w:sz w:val="18"/>
          <w:szCs w:val="18"/>
          <w:color w:val="auto"/>
        </w:rPr>
        <w:t>Favorable development of prior accident years, including the effects of salvage and subrogation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recoveries totaled $49 million and improved the combined ratio by 4.9 points in the third quarter of 2010, compared to $41 million, or 4.2 points in the third quarter of 2009. The favorable development in the third quarter of 2010 was primarily the result of improved severity trends, of which $16 million related to the workers compensation line of business, $12 million related to the private passenger auto line of business, and $8 million related to the commercial multi-peril line of business. In the third quarter of 2009, the favorable development was primarily the result of reserve releases for one large workers compensation claim.</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Favorable development of prior accident years, including the effects of salvage and subrogation recoveries, totaled $105 million during the first nine months of 2010 and improved the combined ratio by 3.6 points, compared to $6 million, or 0.2 points in the first nine months of 2009. Driving the prior accident year development through September 30, 2010 was favorable development of $34 million related to the personal auto line of business, $33 million related to the commercial multi-peril line of business, $21 million related to the workers compensation line of business, and $10 million related to the homeowners line of business. Of the $34 million of favorable development in the personal auto line of business, the majority was primarily the result of improvements in severity trends on automobile bodily injury and uninsured/underinsured motorist bodily injury, while $7 million was the result of closing two pre-1986 automobile massive injury claims. The favorable development experienced in the commercial multi-peril and workers compensation lines of business was primarily the result of improvements in severity trends, while the favorable development in the homeowners line of business was primarily the result of the settlement of one large claim. The favorable development in 2009 was primarily the result of the settlement of several massive injury workers compensation claims, offset by adverse development related to the commercial multi-peril line as a result of reserve strengthening and the outcome of certain court decisions.</w:t>
      </w:r>
    </w:p>
    <w:p>
      <w:pPr>
        <w:spacing w:after="0" w:line="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Assumed reinsurance — </w:t>
      </w:r>
      <w:r>
        <w:rPr>
          <w:rFonts w:ascii="Arial" w:cs="Arial" w:eastAsia="Arial" w:hAnsi="Arial"/>
          <w:sz w:val="17"/>
          <w:szCs w:val="17"/>
          <w:color w:val="auto"/>
        </w:rPr>
        <w:t>The Property and Casualty Group’s favorable development of prior accident year loss reserves on its assumed reinsurance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totaled $26 million in the third quarter of 2010, compared to $18 million in the third quarter of 2009. For the first nine months of 2010, favorable development of prior accident year loss reserves on assumed reinsurance totaled $37 million, compared to $26 million in the first nine months of 2009. The favorable development for all periods was due to less than anticipated growth in involuntary reinsurance.</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Ceded reinsurance — </w:t>
      </w:r>
      <w:r>
        <w:rPr>
          <w:rFonts w:ascii="Arial" w:cs="Arial" w:eastAsia="Arial" w:hAnsi="Arial"/>
          <w:sz w:val="16"/>
          <w:szCs w:val="16"/>
          <w:color w:val="auto"/>
        </w:rPr>
        <w:t>Favorable development of ceded reinsurance reserves was flat at $1 million in the third quarters of 2010 and 2009. During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2010, ceded reinsurance reserves increased $6 million, which is reflected as favorable development of reserves, compared to a reduction of</w:t>
      </w:r>
    </w:p>
    <w:p>
      <w:pPr>
        <w:ind w:right="60"/>
        <w:spacing w:after="0" w:line="255" w:lineRule="auto"/>
        <w:rPr>
          <w:sz w:val="20"/>
          <w:szCs w:val="20"/>
          <w:color w:val="auto"/>
        </w:rPr>
      </w:pPr>
      <w:r>
        <w:rPr>
          <w:rFonts w:ascii="Arial" w:cs="Arial" w:eastAsia="Arial" w:hAnsi="Arial"/>
          <w:sz w:val="18"/>
          <w:szCs w:val="18"/>
          <w:color w:val="auto"/>
        </w:rPr>
        <w:t>$1 million during the first nine months of 2009, which is reflected as adverse development of reserves. The favorable development in 2010 was primarily the result of a $9 million increase related to the business catastrophe liability line, offset by a $4 million reduction in ceded recoveries related to the pre-1986 automobile massive injury reserves.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acquisition and other underwriting expenses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expense ratio decreased 5.4 points in the third quarter of 2010 and 2.2 points for the nine months ended September 30, 2010, compared to the same respective periods in 2009. The management fee rate was 25% at both September 30, 2010 and 2009. The third quarter and first nine months of 2009 include a charge of $62 million related to the write-off of assumed involuntary reinsurance premium related to the North Carolina Beach and Coastal Plans deemed uncollectible as a result of state legislation, and added 6.5 points and 2.2 points to the third quarter and first nine months of 2009, respectively, policy acquisition and other underwriting expense ratios. The third quarter of 2009 also includes the reversal of a charge for the North Carolina Escrow account of $10 million, originally incurred in the first and second quarters of 2009, as the final rate was approved by North Carolina and approximated our filed rates. This reversal reduced policy acquisition and other underwriting expense ratio by 1.0 point in the third quarter of 2009.</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EFL is a Pennsylvania-domiciled life insurance company which underwrites and sells nonparticipating individual and group life insurance policies and fixed annuities and operates in 10 states and the District of Columbia.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color w:val="auto"/>
              </w:rPr>
              <w:t>Erie Family Life Insurance Company</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gridSpan w:val="7"/>
          </w:tcPr>
          <w:p>
            <w:pPr>
              <w:ind w:left="180"/>
              <w:spacing w:after="0" w:line="123" w:lineRule="exact"/>
              <w:rPr>
                <w:sz w:val="20"/>
                <w:szCs w:val="20"/>
                <w:color w:val="auto"/>
              </w:rPr>
            </w:pPr>
            <w:r>
              <w:rPr>
                <w:rFonts w:ascii="Arial" w:cs="Arial" w:eastAsia="Arial" w:hAnsi="Arial"/>
                <w:sz w:val="14"/>
                <w:szCs w:val="14"/>
                <w:color w:val="auto"/>
              </w:rPr>
              <w:t>Three months ended September 30,</w:t>
            </w:r>
          </w:p>
        </w:tc>
        <w:tc>
          <w:tcPr>
            <w:tcW w:w="140" w:type="dxa"/>
            <w:vAlign w:val="bottom"/>
          </w:tcPr>
          <w:p>
            <w:pPr>
              <w:spacing w:after="0"/>
              <w:rPr>
                <w:sz w:val="10"/>
                <w:szCs w:val="10"/>
                <w:color w:val="auto"/>
              </w:rPr>
            </w:pPr>
          </w:p>
        </w:tc>
        <w:tc>
          <w:tcPr>
            <w:tcW w:w="2580" w:type="dxa"/>
            <w:vAlign w:val="bottom"/>
            <w:gridSpan w:val="4"/>
          </w:tcPr>
          <w:p>
            <w:pPr>
              <w:jc w:val="center"/>
              <w:ind w:left="433"/>
              <w:spacing w:after="0" w:line="123" w:lineRule="exact"/>
              <w:rPr>
                <w:sz w:val="20"/>
                <w:szCs w:val="20"/>
                <w:color w:val="auto"/>
              </w:rPr>
            </w:pPr>
            <w:r>
              <w:rPr>
                <w:rFonts w:ascii="Arial" w:cs="Arial" w:eastAsia="Arial" w:hAnsi="Arial"/>
                <w:sz w:val="14"/>
                <w:szCs w:val="14"/>
                <w:color w:val="auto"/>
                <w:w w:val="91"/>
              </w:rPr>
              <w:t>Nine months ended September 30,</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jc w:val="right"/>
              <w:spacing w:after="0"/>
              <w:rPr>
                <w:sz w:val="20"/>
                <w:szCs w:val="20"/>
                <w:color w:val="auto"/>
              </w:rPr>
            </w:pPr>
            <w:r>
              <w:rPr>
                <w:rFonts w:ascii="Arial" w:cs="Arial" w:eastAsia="Arial" w:hAnsi="Arial"/>
                <w:sz w:val="14"/>
                <w:szCs w:val="14"/>
                <w:color w:val="auto"/>
              </w:rPr>
              <w:t>2010</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4"/>
                <w:szCs w:val="14"/>
                <w:color w:val="auto"/>
              </w:rPr>
            </w:pPr>
          </w:p>
        </w:tc>
        <w:tc>
          <w:tcPr>
            <w:tcW w:w="900" w:type="dxa"/>
            <w:vAlign w:val="bottom"/>
          </w:tcPr>
          <w:p>
            <w:pPr>
              <w:jc w:val="right"/>
              <w:ind w:right="473"/>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%Change</w:t>
            </w: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rPr>
              <w:t>(Unaudited)</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(Unaudited)</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Individual life premiums, net of reinsurance</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9"/>
              </w:rPr>
              <w:t>15</w:t>
            </w:r>
          </w:p>
        </w:tc>
        <w:tc>
          <w:tcPr>
            <w:tcW w:w="8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12</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Group life and other premiums</w:t>
            </w:r>
          </w:p>
        </w:tc>
        <w:tc>
          <w:tcPr>
            <w:tcW w:w="480" w:type="dxa"/>
            <w:vAlign w:val="bottom"/>
          </w:tcPr>
          <w:p>
            <w:pPr>
              <w:spacing w:after="0"/>
              <w:rPr>
                <w:sz w:val="18"/>
                <w:szCs w:val="18"/>
                <w:color w:val="auto"/>
              </w:rPr>
            </w:pP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20"/>
              <w:spacing w:after="0"/>
              <w:rPr>
                <w:sz w:val="20"/>
                <w:szCs w:val="20"/>
                <w:color w:val="auto"/>
              </w:rPr>
            </w:pPr>
            <w:r>
              <w:rPr>
                <w:rFonts w:ascii="Arial" w:cs="Arial" w:eastAsia="Arial" w:hAnsi="Arial"/>
                <w:sz w:val="18"/>
                <w:szCs w:val="18"/>
                <w:color w:val="auto"/>
              </w:rPr>
              <w:t>Total net policy revenue</w:t>
            </w: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ind w:right="232"/>
              <w:spacing w:after="0" w:line="203" w:lineRule="exact"/>
              <w:rPr>
                <w:sz w:val="20"/>
                <w:szCs w:val="20"/>
                <w:color w:val="auto"/>
              </w:rPr>
            </w:pPr>
            <w:r>
              <w:rPr>
                <w:rFonts w:ascii="Arial" w:cs="Arial" w:eastAsia="Arial" w:hAnsi="Arial"/>
                <w:sz w:val="18"/>
                <w:szCs w:val="18"/>
                <w:color w:val="auto"/>
                <w:w w:val="89"/>
              </w:rPr>
              <w:t>16</w:t>
            </w:r>
          </w:p>
        </w:tc>
        <w:tc>
          <w:tcPr>
            <w:tcW w:w="840" w:type="dxa"/>
            <w:vAlign w:val="bottom"/>
          </w:tcPr>
          <w:p>
            <w:pPr>
              <w:spacing w:after="0"/>
              <w:rPr>
                <w:sz w:val="17"/>
                <w:szCs w:val="17"/>
                <w:color w:val="auto"/>
              </w:rPr>
            </w:pPr>
          </w:p>
        </w:tc>
        <w:tc>
          <w:tcPr>
            <w:tcW w:w="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79"/>
              </w:rPr>
              <w:t>14</w:t>
            </w:r>
          </w:p>
        </w:tc>
        <w:tc>
          <w:tcPr>
            <w:tcW w:w="3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13.6</w:t>
            </w: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73"/>
              <w:spacing w:after="0" w:line="203" w:lineRule="exact"/>
              <w:rPr>
                <w:sz w:val="20"/>
                <w:szCs w:val="20"/>
                <w:color w:val="auto"/>
              </w:rPr>
            </w:pPr>
            <w:r>
              <w:rPr>
                <w:rFonts w:ascii="Arial" w:cs="Arial" w:eastAsia="Arial" w:hAnsi="Arial"/>
                <w:sz w:val="18"/>
                <w:szCs w:val="18"/>
                <w:color w:val="auto"/>
              </w:rPr>
              <w:t>48</w:t>
            </w:r>
          </w:p>
        </w:tc>
        <w:tc>
          <w:tcPr>
            <w:tcW w:w="460" w:type="dxa"/>
            <w:vAlign w:val="bottom"/>
          </w:tcPr>
          <w:p>
            <w:pPr>
              <w:spacing w:after="0"/>
              <w:rPr>
                <w:sz w:val="17"/>
                <w:szCs w:val="17"/>
                <w:color w:val="auto"/>
              </w:rPr>
            </w:pPr>
          </w:p>
        </w:tc>
        <w:tc>
          <w:tcPr>
            <w:tcW w:w="1220" w:type="dxa"/>
            <w:vAlign w:val="bottom"/>
            <w:gridSpan w:val="2"/>
          </w:tcPr>
          <w:p>
            <w:pPr>
              <w:jc w:val="right"/>
              <w:ind w:right="700"/>
              <w:spacing w:after="0" w:line="203" w:lineRule="exact"/>
              <w:rPr>
                <w:sz w:val="20"/>
                <w:szCs w:val="20"/>
                <w:color w:val="auto"/>
              </w:rPr>
            </w:pPr>
            <w:r>
              <w:rPr>
                <w:rFonts w:ascii="Arial" w:cs="Arial" w:eastAsia="Arial" w:hAnsi="Arial"/>
                <w:sz w:val="18"/>
                <w:szCs w:val="18"/>
                <w:color w:val="auto"/>
              </w:rPr>
              <w:t>49</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9"/>
              </w:rPr>
              <w:t>24</w:t>
            </w:r>
          </w:p>
        </w:tc>
        <w:tc>
          <w:tcPr>
            <w:tcW w:w="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22</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480" w:type="dxa"/>
            <w:vAlign w:val="bottom"/>
          </w:tcPr>
          <w:p>
            <w:pPr>
              <w:spacing w:after="0"/>
              <w:rPr>
                <w:sz w:val="18"/>
                <w:szCs w:val="18"/>
                <w:color w:val="auto"/>
              </w:rPr>
            </w:pP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recognized in earnings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Equity in losses of limited partnerships</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99"/>
              </w:rPr>
              <w:t>(3)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9"/>
              </w:rPr>
              <w:t>43</w:t>
            </w:r>
          </w:p>
        </w:tc>
        <w:tc>
          <w:tcPr>
            <w:tcW w:w="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33</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Benefits and other changes in policy</w:t>
            </w: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reserves</w:t>
            </w:r>
          </w:p>
        </w:tc>
        <w:tc>
          <w:tcPr>
            <w:tcW w:w="480" w:type="dxa"/>
            <w:vAlign w:val="bottom"/>
          </w:tcPr>
          <w:p>
            <w:pPr>
              <w:spacing w:after="0"/>
              <w:rPr>
                <w:sz w:val="20"/>
                <w:szCs w:val="20"/>
                <w:color w:val="auto"/>
              </w:rPr>
            </w:pPr>
          </w:p>
        </w:tc>
        <w:tc>
          <w:tcPr>
            <w:tcW w:w="520" w:type="dxa"/>
            <w:vAlign w:val="bottom"/>
          </w:tcPr>
          <w:p>
            <w:pPr>
              <w:jc w:val="right"/>
              <w:ind w:right="232"/>
              <w:spacing w:after="0"/>
              <w:rPr>
                <w:sz w:val="20"/>
                <w:szCs w:val="20"/>
                <w:color w:val="auto"/>
              </w:rPr>
            </w:pPr>
            <w:r>
              <w:rPr>
                <w:rFonts w:ascii="Arial" w:cs="Arial" w:eastAsia="Arial" w:hAnsi="Arial"/>
                <w:sz w:val="18"/>
                <w:szCs w:val="18"/>
                <w:color w:val="auto"/>
                <w:w w:val="89"/>
              </w:rPr>
              <w:t>21</w:t>
            </w:r>
          </w:p>
        </w:tc>
        <w:tc>
          <w:tcPr>
            <w:tcW w:w="8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19</w:t>
            </w:r>
          </w:p>
        </w:tc>
        <w:tc>
          <w:tcPr>
            <w:tcW w:w="340" w:type="dxa"/>
            <w:vAlign w:val="bottom"/>
          </w:tcPr>
          <w:p>
            <w:pPr>
              <w:spacing w:after="0"/>
              <w:rPr>
                <w:sz w:val="20"/>
                <w:szCs w:val="20"/>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65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policy acquisition</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19"/>
                <w:szCs w:val="19"/>
                <w:color w:val="auto"/>
              </w:rPr>
            </w:pP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9"/>
              </w:rPr>
              <w:t>27</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25</w:t>
            </w: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90</w:t>
            </w: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vMerge w:val="continue"/>
          </w:tcPr>
          <w:p>
            <w:pPr>
              <w:spacing w:after="0"/>
              <w:rPr>
                <w:sz w:val="18"/>
                <w:szCs w:val="18"/>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w w:val="89"/>
              </w:rPr>
              <w:t>16</w:t>
            </w:r>
          </w:p>
        </w:tc>
        <w:tc>
          <w:tcPr>
            <w:tcW w:w="8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97.6%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37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NM</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Income before taxes — Indemnity</w:t>
            </w:r>
            <w:r>
              <w:rPr>
                <w:rFonts w:ascii="Arial" w:cs="Arial" w:eastAsia="Arial" w:hAnsi="Arial"/>
                <w:sz w:val="15"/>
                <w:szCs w:val="15"/>
                <w:color w:val="auto"/>
              </w:rPr>
              <w:t>(1)</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3"/>
              <w:spacing w:after="0" w:line="196" w:lineRule="exact"/>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20"/>
              <w:spacing w:after="0"/>
              <w:rPr>
                <w:sz w:val="20"/>
                <w:szCs w:val="20"/>
                <w:color w:val="auto"/>
              </w:rPr>
            </w:pPr>
            <w:r>
              <w:rPr>
                <w:rFonts w:ascii="Arial" w:cs="Arial" w:eastAsia="Arial" w:hAnsi="Arial"/>
                <w:sz w:val="18"/>
                <w:szCs w:val="18"/>
                <w:color w:val="auto"/>
              </w:rPr>
              <w:t>Income before taxes — Exchange</w:t>
            </w: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232"/>
              <w:spacing w:after="0" w:line="204" w:lineRule="exact"/>
              <w:rPr>
                <w:sz w:val="20"/>
                <w:szCs w:val="20"/>
                <w:color w:val="auto"/>
              </w:rPr>
            </w:pPr>
            <w:r>
              <w:rPr>
                <w:rFonts w:ascii="Arial" w:cs="Arial" w:eastAsia="Arial" w:hAnsi="Arial"/>
                <w:sz w:val="18"/>
                <w:szCs w:val="18"/>
                <w:color w:val="auto"/>
                <w:w w:val="89"/>
              </w:rPr>
              <w:t>13</w:t>
            </w:r>
          </w:p>
        </w:tc>
        <w:tc>
          <w:tcPr>
            <w:tcW w:w="840" w:type="dxa"/>
            <w:vAlign w:val="bottom"/>
            <w:tcBorders>
              <w:bottom w:val="single" w:sz="8" w:color="auto"/>
            </w:tcBorders>
          </w:tcPr>
          <w:p>
            <w:pPr>
              <w:jc w:val="right"/>
              <w:ind w:right="314"/>
              <w:spacing w:after="0" w:line="204"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3"/>
              <w:spacing w:after="0" w:line="204" w:lineRule="exact"/>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w:t>
            </w:r>
          </w:p>
        </w:tc>
        <w:tc>
          <w:tcPr>
            <w:tcW w:w="7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 has a 78.4% ownership interest in EFL, with the remaining 21.6% owned by 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policy revenues increased 3.2% to $26 million in the third quarter of 2010, compared to $25 million in the third quarter of 2009. EFL reinsures a large portion of its traditional products in order to reduce claims volatility. Our reinsurers assume 75% of the risk on new term business. Ceded reinsurance premiums were $10 million and $11 million in the third quarters of 2010 and 2009, respectively. For the first nine months of 2010 compared to the first nine months of 2009, gross policy revenues totaled $78 million and $75 million, respectively, while ceded reinsurance premiums totaled $30 million and $28 million, respectively.</w:t>
      </w:r>
    </w:p>
    <w:p>
      <w:pPr>
        <w:spacing w:after="0" w:line="8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Premiums received on annuity and universal life products totaled $26 million in the third quarter of 2010, compared to $49 million in the third quarter of 2009. Of this amount, annuity and universal life premiums recorded as deposits, and therefore not reflected in revenue on the Consolidated Statements of Operations, totaled $22 million and $45 million in the third quarters of 2010 and 2009, respectively. For the first nine months of 2010 compared to the first nine months of 2009, premiums received on annuity and universal life products totaled $89 million and $132 million, respectively, while annuity and universal life deposits totaled $77 million and $119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continued improvements in market conditions in the third quarter and first nine months of 2010, EFL experienced low levels of impairments and an increase in net realized gains on investments compared to the third quarter and first nine months of 2009. Equity in earnings of limited partnerships also reflected the improvement in market conditions, as limited partnership activity is reported on a one quarter lag. See additional discussion of investments in the “Investment Operations” segment that follows.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expenses</w:t>
      </w:r>
    </w:p>
    <w:p>
      <w:pPr>
        <w:spacing w:after="0" w:line="11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third quarter and first nine months of 2010 benefits and other changes in policy reserves were impacted by an increase in surrender and other benefits offset by decreases in interest on annuity deposits. The amortization of deferred policy acquisition costs increased during the first nine months of 2010 as a result of a significant reduction in impairments and experiencing a greater level of realized gains as compared to the first nine months of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5"/>
          </w:tcPr>
          <w:p>
            <w:pPr>
              <w:jc w:val="center"/>
              <w:ind w:right="82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2"/>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left="295"/>
              <w:spacing w:after="0" w:line="149" w:lineRule="exact"/>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455"/>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2" w:lineRule="exact"/>
              <w:rPr>
                <w:sz w:val="20"/>
                <w:szCs w:val="20"/>
                <w:color w:val="auto"/>
              </w:rPr>
            </w:pPr>
            <w:r>
              <w:rPr>
                <w:rFonts w:ascii="Arial" w:cs="Arial" w:eastAsia="Arial" w:hAnsi="Arial"/>
                <w:sz w:val="14"/>
                <w:szCs w:val="14"/>
                <w:color w:val="auto"/>
                <w:w w:val="92"/>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28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limited partnerships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revenue (loss) from investment operations — Indemnity</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6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294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limited partnerships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revenue from investment operations — Exchange</w:t>
            </w:r>
            <w:r>
              <w:rPr>
                <w:rFonts w:ascii="Arial" w:cs="Arial" w:eastAsia="Arial" w:hAnsi="Arial"/>
                <w:sz w:val="15"/>
                <w:szCs w:val="15"/>
                <w:color w:val="auto"/>
              </w:rPr>
              <w:t>(1)</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323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446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240" w:hanging="452"/>
        <w:spacing w:after="0" w:line="264"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Exchange’s results for the third quarter of 2010 and 2009 include net investment revenues from EFL’s operations of $27 million and $19 million, respectively. The Exchange’s results for the first nine months of 2010 and 2009 include net investment revenues from EFL’s operations of $79 million and $45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Net investment income primarily includes interest and dividends on our fixed maturity and equity security portfolios. Net investment income was relatively flat for both Indemnity and the Exchange. Though our invested balances have increased, yields on new security purchases are down.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Realized gains and losses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Realized gains on investments were flat for Indemnity and decreased for the Exchange for the quarter ended September 30, 2010 compared to the quarter ended September 30, 2009. The Exchange’s realized gains on investments were impacted by a $39 million decline in unrealized gains on the common stock trading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losses recognized in earnings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were no impairments that triggered a loss for Indemnity during the third quarter of 2010, compared to losses of $3 million recorded in the third quarter of 2009. Impairment losses recognized in earnings for the Exchange decreased $13 million for the same period. Year-to-date 2010 impairment losses are down $9 million in Indemnity and $84 million in the Exchange from the prior year-to-date as a result of improved market conditions.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of limited partnerships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Indemnity’s equity in earnings of limited partnerships was $11 million through September 30, 2010 compared to losses of $64 million through September 30, 2009. The Exchange’s equity in earnings of limited partnerships was $47 million through September 30, 2010 compared to losses of $260 million through September 30, 2009.</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real estate and mezzanine debt partnerships. Valuation adjustments are recorded to reflect the fair value of limited partnerships. These adjustments are recorded as a component of equity in earnings of limited partnerships in the Consolidated Statements of Operations.</w:t>
      </w:r>
    </w:p>
    <w:p>
      <w:pPr>
        <w:spacing w:after="0" w:line="7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experienced an increase in earnings as a result of fair value increases in our private equity and mezzanine debt limited partnerships which were offset by losses in our real estate limited partnerships. Limited partnership earnings tend to be cyclical based on market conditions, the age of the partnership and the nature of the investments. Generally, limited partnership earnings are recorded on a quarter lag from financial statements we receive from our general partners. As a consequence, earnings from limited partnerships reported at September 30, 2010 reflect investment valuation changes resulting from the financial markets and the economy in the first half of 2010 and the fourth quarter of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breakdown of our net realized (losses) gains on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5"/>
          </w:tcPr>
          <w:p>
            <w:pPr>
              <w:jc w:val="center"/>
              <w:ind w:right="82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2"/>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left="295"/>
              <w:spacing w:after="0" w:line="149" w:lineRule="exact"/>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455"/>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5"/>
              <w:spacing w:after="0" w:line="142" w:lineRule="exact"/>
              <w:rPr>
                <w:sz w:val="20"/>
                <w:szCs w:val="20"/>
                <w:color w:val="auto"/>
              </w:rPr>
            </w:pPr>
            <w:r>
              <w:rPr>
                <w:rFonts w:ascii="Arial" w:cs="Arial" w:eastAsia="Arial" w:hAnsi="Arial"/>
                <w:sz w:val="14"/>
                <w:szCs w:val="14"/>
                <w:color w:val="auto"/>
                <w:w w:val="92"/>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Securities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Preferred stock 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Common stock valuation adjustments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realized gains — Indemnity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22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Common stock 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95"/>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valuation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 xml:space="preserve">Total net realized gains — Exchange </w:t>
            </w:r>
            <w:r>
              <w:rPr>
                <w:rFonts w:ascii="Arial" w:cs="Arial" w:eastAsia="Arial" w:hAnsi="Arial"/>
                <w:sz w:val="15"/>
                <w:szCs w:val="15"/>
                <w:color w:val="auto"/>
              </w:rPr>
              <w:t>(1)</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580" w:hanging="452"/>
        <w:spacing w:after="0" w:line="264"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Exchange’s net realized gains for the third quarter of 2010 and 2009 include net realized gains from EFL’s operations of $3 million for both periods. The Exchange’s results for the first nine months of 2010 and 2009 include net realized gains from EFL’s operations of $11 million and $1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(losses) of limited partnerships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color w:val="auto"/>
              </w:rPr>
              <w:t>Erie Insurance Group</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5"/>
          </w:tcPr>
          <w:p>
            <w:pPr>
              <w:jc w:val="center"/>
              <w:ind w:right="700"/>
              <w:spacing w:after="0" w:line="123" w:lineRule="exact"/>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0"/>
                <w:szCs w:val="10"/>
                <w:color w:val="auto"/>
              </w:rPr>
            </w:pPr>
          </w:p>
        </w:tc>
        <w:tc>
          <w:tcPr>
            <w:tcW w:w="1900" w:type="dxa"/>
            <w:vAlign w:val="bottom"/>
            <w:gridSpan w:val="3"/>
          </w:tcPr>
          <w:p>
            <w:pPr>
              <w:jc w:val="center"/>
              <w:ind w:right="52"/>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left="316"/>
              <w:spacing w:after="0" w:line="149" w:lineRule="exact"/>
              <w:rPr>
                <w:sz w:val="20"/>
                <w:szCs w:val="20"/>
                <w:color w:val="auto"/>
              </w:rPr>
            </w:pPr>
            <w:r>
              <w:rPr>
                <w:rFonts w:ascii="Arial" w:cs="Arial" w:eastAsia="Arial" w:hAnsi="Arial"/>
                <w:sz w:val="14"/>
                <w:szCs w:val="14"/>
                <w:color w:val="auto"/>
                <w:w w:val="91"/>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476"/>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left="94"/>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left="316"/>
              <w:spacing w:after="0" w:line="142" w:lineRule="exact"/>
              <w:rPr>
                <w:sz w:val="20"/>
                <w:szCs w:val="20"/>
                <w:color w:val="auto"/>
              </w:rPr>
            </w:pPr>
            <w:r>
              <w:rPr>
                <w:rFonts w:ascii="Arial" w:cs="Arial" w:eastAsia="Arial" w:hAnsi="Arial"/>
                <w:sz w:val="14"/>
                <w:szCs w:val="14"/>
                <w:color w:val="auto"/>
                <w:w w:val="92"/>
              </w:rPr>
              <w:t>(Unaudited)</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Private equity</w:t>
            </w:r>
          </w:p>
        </w:tc>
        <w:tc>
          <w:tcPr>
            <w:tcW w:w="500" w:type="dxa"/>
            <w:vAlign w:val="bottom"/>
            <w:gridSpan w:val="2"/>
          </w:tcPr>
          <w:p>
            <w:pPr>
              <w:jc w:val="right"/>
              <w:ind w:right="35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6"/>
              <w:spacing w:after="0"/>
              <w:rPr>
                <w:sz w:val="20"/>
                <w:szCs w:val="20"/>
                <w:color w:val="auto"/>
              </w:rPr>
            </w:pPr>
            <w:r>
              <w:rPr>
                <w:rFonts w:ascii="Arial" w:cs="Arial" w:eastAsia="Arial" w:hAnsi="Arial"/>
                <w:sz w:val="18"/>
                <w:szCs w:val="18"/>
                <w:color w:val="auto"/>
              </w:rPr>
              <w:t>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Mezzanine debt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equity in earnings (losses) of limited partnerships — Indemnity</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94"/>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Total equity in earnings (losses) of limited partnerships — Exchange</w:t>
            </w:r>
            <w:r>
              <w:rPr>
                <w:rFonts w:ascii="Arial" w:cs="Arial" w:eastAsia="Arial" w:hAnsi="Arial"/>
                <w:sz w:val="15"/>
                <w:szCs w:val="15"/>
                <w:color w:val="auto"/>
              </w:rPr>
              <w:t>(1)</w:t>
            </w:r>
          </w:p>
        </w:tc>
        <w:tc>
          <w:tcPr>
            <w:tcW w:w="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89"/>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180" w:hanging="452"/>
        <w:spacing w:after="0" w:line="264" w:lineRule="auto"/>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Exchange’s results for the third quarter of 2010 and 2009 include equity in losses of limited partnerships from EFL of $0 million and $3 million, respectively. The Exchange’s results for the first nine months of 2010 and 2009 include equity in losses of limited partnerships from EFL of $1 million and $8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Investments, along with our operating cash flow, provide the liquidity we require to meet the demands on our funds.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color w:val="auto"/>
              </w:rPr>
              <w:t>Erie Insurance Group</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2"/>
          </w:tcPr>
          <w:p>
            <w:pPr>
              <w:jc w:val="right"/>
              <w:ind w:right="1172"/>
              <w:spacing w:after="0" w:line="123" w:lineRule="exact"/>
              <w:rPr>
                <w:sz w:val="20"/>
                <w:szCs w:val="20"/>
                <w:color w:val="auto"/>
              </w:rPr>
            </w:pPr>
            <w:r>
              <w:rPr>
                <w:rFonts w:ascii="Arial" w:cs="Arial" w:eastAsia="Arial" w:hAnsi="Arial"/>
                <w:sz w:val="14"/>
                <w:szCs w:val="14"/>
                <w:color w:val="auto"/>
              </w:rPr>
              <w:t>Carrying value at</w:t>
            </w:r>
          </w:p>
        </w:tc>
        <w:tc>
          <w:tcPr>
            <w:tcW w:w="120" w:type="dxa"/>
            <w:vAlign w:val="bottom"/>
          </w:tcPr>
          <w:p>
            <w:pPr>
              <w:spacing w:after="0"/>
              <w:rPr>
                <w:sz w:val="10"/>
                <w:szCs w:val="10"/>
                <w:color w:val="auto"/>
              </w:rPr>
            </w:pPr>
          </w:p>
        </w:tc>
        <w:tc>
          <w:tcPr>
            <w:tcW w:w="1900" w:type="dxa"/>
            <w:vAlign w:val="bottom"/>
            <w:gridSpan w:val="3"/>
          </w:tcPr>
          <w:p>
            <w:pPr>
              <w:jc w:val="right"/>
              <w:ind w:right="431"/>
              <w:spacing w:after="0" w:line="123" w:lineRule="exact"/>
              <w:rPr>
                <w:sz w:val="20"/>
                <w:szCs w:val="20"/>
                <w:color w:val="auto"/>
              </w:rPr>
            </w:pPr>
            <w:r>
              <w:rPr>
                <w:rFonts w:ascii="Arial" w:cs="Arial" w:eastAsia="Arial" w:hAnsi="Arial"/>
                <w:sz w:val="14"/>
                <w:szCs w:val="14"/>
                <w:color w:val="auto"/>
              </w:rPr>
              <w:t>Carrying value at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2"/>
          </w:tcPr>
          <w:p>
            <w:pPr>
              <w:jc w:val="right"/>
              <w:ind w:right="1252"/>
              <w:spacing w:after="0" w:line="149"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December 31,</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4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2080" w:type="dxa"/>
            <w:vAlign w:val="bottom"/>
          </w:tcPr>
          <w:p>
            <w:pPr>
              <w:jc w:val="right"/>
              <w:ind w:right="732"/>
              <w:spacing w:after="0"/>
              <w:rPr>
                <w:sz w:val="20"/>
                <w:szCs w:val="20"/>
                <w:color w:val="auto"/>
              </w:rPr>
            </w:pPr>
            <w:r>
              <w:rPr>
                <w:rFonts w:ascii="Arial" w:cs="Arial" w:eastAsia="Arial" w:hAnsi="Arial"/>
                <w:sz w:val="14"/>
                <w:szCs w:val="14"/>
                <w:color w:val="auto"/>
              </w:rPr>
              <w:t>%to total</w:t>
            </w:r>
          </w:p>
        </w:tc>
        <w:tc>
          <w:tcPr>
            <w:tcW w:w="12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2009</w:t>
            </w:r>
          </w:p>
        </w:tc>
        <w:tc>
          <w:tcPr>
            <w:tcW w:w="76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%to total</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2080" w:type="dxa"/>
            <w:vAlign w:val="bottom"/>
          </w:tcPr>
          <w:p>
            <w:pPr>
              <w:jc w:val="right"/>
              <w:ind w:right="492"/>
              <w:spacing w:after="0"/>
              <w:rPr>
                <w:sz w:val="20"/>
                <w:szCs w:val="20"/>
                <w:color w:val="auto"/>
              </w:rPr>
            </w:pPr>
            <w:r>
              <w:rPr>
                <w:rFonts w:ascii="Arial" w:cs="Arial" w:eastAsia="Arial" w:hAnsi="Arial"/>
                <w:sz w:val="18"/>
                <w:szCs w:val="18"/>
                <w:color w:val="auto"/>
              </w:rPr>
              <w:t>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664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Private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Mezzanine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Indemnity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980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20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6,517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1,985</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1,835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397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Mezzanine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216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Exchange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10,709</w:t>
            </w:r>
          </w:p>
        </w:tc>
        <w:tc>
          <w:tcPr>
            <w:tcW w:w="20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9,960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Total investments — Erie Insurance Group</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11,711</w:t>
            </w:r>
          </w:p>
        </w:tc>
        <w:tc>
          <w:tcPr>
            <w:tcW w:w="20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60"/>
              <w:spacing w:after="0" w:line="203" w:lineRule="exact"/>
              <w:rPr>
                <w:sz w:val="20"/>
                <w:szCs w:val="20"/>
                <w:color w:val="auto"/>
              </w:rPr>
            </w:pPr>
            <w:r>
              <w:rPr>
                <w:rFonts w:ascii="Arial" w:cs="Arial" w:eastAsia="Arial" w:hAnsi="Arial"/>
                <w:sz w:val="18"/>
                <w:szCs w:val="18"/>
                <w:color w:val="auto"/>
                <w:w w:val="94"/>
              </w:rPr>
              <w:t>10,940</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and amount the fair value is below cost.</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individually analyze all positions with emphasis on those that have, in management’s opinion, declined significantly below costs. With the issuance of new impairment guidance for debt securities in the second quarter of 2009, we further analyze debt securities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were included in earnings and non-credit impairments were recorded in other comprehensive income. Prior to the second quarter of 2009, there was no differentiation between impairments related to credit loss and those related to other factors, declines in the fair value of debt securities were deemed other-than-temporary if we did not have the intent and ability to hold a security to recovery. For available-for-sale equity securities, a charge is recorded in the Consolidated Statement of Operations for positions that have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experienced other-than-temporary impairments due to credit quality or other factors (See “Investment Operations” section herein).</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our policy for determining the recognition of impaired positions was different, our Consolidated Results of Operations could be significantly impacted. Management believes its investment valuation philosophy and accounting practices result in appropriate and timely measurement of value and impairment recognition.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our investment strategy, we maintain a fixed maturities portfolio that is of high quality and well diversified within each market sector. This investment strategy also achieves a balanced maturity schedule. The fixed maturities portfolio is managed with the goal of achieving reasonable returns while limiting exposure to risk. The municipal bond portfolio accounts for $263 million, or 38%, of the total fixed maturity portfolio for Indemnity and $1.4 billion, or 21% of the fixed maturity portfolio for the Exchange at September 30, 2010. The overall credit rating of the municipal portfolio without consideration of the underlying insurance is AA-. Because of the rating downgrades of municipal bond insurers, the insurance does not improve the overall credit rating.</w:t>
      </w:r>
    </w:p>
    <w:p>
      <w:pPr>
        <w:spacing w:after="0" w:line="5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At September 30, 2010, Indemnity’s net unrealized gains on fixed maturities, net of deferred taxes, amounted to $30 million compared to net unrealized gains of $14 million at December 31, 2009. At September 30, 2010, the Exchange had net unrealized gains on fixed maturities of $368 million compared to net unrealized gains of $156 million at December 31, 2009.</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a breakdown of the fair value of our fixed maturities portfolio by sector and rating as of September 30, 2010 for Indemnity and the Exchange,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color w:val="auto"/>
              </w:rPr>
              <w:t>Erie Insurance Group</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color w:val="auto"/>
              </w:rPr>
              <w:t>(Unaudited)</w:t>
            </w: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Indemnity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Not Investment</w:t>
            </w:r>
          </w:p>
        </w:tc>
        <w:tc>
          <w:tcPr>
            <w:tcW w:w="480" w:type="dxa"/>
            <w:vAlign w:val="bottom"/>
          </w:tcPr>
          <w:p>
            <w:pPr>
              <w:spacing w:after="0"/>
              <w:rPr>
                <w:sz w:val="13"/>
                <w:szCs w:val="13"/>
                <w:color w:val="auto"/>
              </w:rPr>
            </w:pPr>
          </w:p>
        </w:tc>
        <w:tc>
          <w:tcPr>
            <w:tcW w:w="64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Industry Sector</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AAA</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AA</w:t>
            </w: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A</w:t>
            </w: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BBB</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Grade</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r>
              <w:rPr>
                <w:rFonts w:ascii="Arial" w:cs="Arial" w:eastAsia="Arial" w:hAnsi="Arial"/>
                <w:sz w:val="15"/>
                <w:szCs w:val="15"/>
                <w:color w:val="auto"/>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Basic materials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Diversified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Energy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Government-municipal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U.S. treasury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entity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166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196</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color w:val="auto"/>
              </w:rPr>
              <w:t>Not Investment</w:t>
            </w:r>
          </w:p>
        </w:tc>
        <w:tc>
          <w:tcPr>
            <w:tcW w:w="480" w:type="dxa"/>
            <w:vAlign w:val="bottom"/>
          </w:tcPr>
          <w:p>
            <w:pPr>
              <w:spacing w:after="0"/>
              <w:rPr>
                <w:sz w:val="24"/>
                <w:szCs w:val="2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Industry Sector</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AAA</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AA</w:t>
            </w: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A</w:t>
            </w: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BBB</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Grade</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Structured securities</w:t>
            </w:r>
            <w:r>
              <w:rPr>
                <w:rFonts w:ascii="Arial" w:cs="Arial" w:eastAsia="Arial" w:hAnsi="Arial"/>
                <w:sz w:val="15"/>
                <w:szCs w:val="15"/>
                <w:color w:val="auto"/>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Basic materials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Diversified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Energy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296</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297</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603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167</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Government-municipal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Government sponsored entity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 — other countries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413</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840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1,182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2,495</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432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277" w:lineRule="auto"/>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Structured securities include asset-backed securities, collateral, lease and debt obligations, commercial mortgage-backed securities and residential mortgage-backed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tables present an analysis of the fair value of our non-redeemable preferred and common stock securities by sector for Indemnity and Exchange,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95"/>
              </w:rPr>
              <w:t>Indemnity</w:t>
            </w: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gridSpan w:val="2"/>
          </w:tcPr>
          <w:p>
            <w:pPr>
              <w:jc w:val="center"/>
              <w:ind w:left="271"/>
              <w:spacing w:after="0" w:line="123" w:lineRule="exact"/>
              <w:rPr>
                <w:sz w:val="20"/>
                <w:szCs w:val="20"/>
                <w:color w:val="auto"/>
              </w:rPr>
            </w:pPr>
            <w:r>
              <w:rPr>
                <w:rFonts w:ascii="Arial" w:cs="Arial" w:eastAsia="Arial" w:hAnsi="Arial"/>
                <w:sz w:val="14"/>
                <w:szCs w:val="14"/>
                <w:color w:val="auto"/>
                <w:w w:val="95"/>
              </w:rPr>
              <w:t>(Unaudited)</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3"/>
          </w:tcPr>
          <w:p>
            <w:pPr>
              <w:jc w:val="center"/>
              <w:ind w:right="151"/>
              <w:spacing w:after="0" w:line="149" w:lineRule="exact"/>
              <w:rPr>
                <w:sz w:val="20"/>
                <w:szCs w:val="20"/>
                <w:color w:val="auto"/>
              </w:rPr>
            </w:pPr>
            <w:r>
              <w:rPr>
                <w:rFonts w:ascii="Arial" w:cs="Arial" w:eastAsia="Arial" w:hAnsi="Arial"/>
                <w:sz w:val="14"/>
                <w:szCs w:val="14"/>
                <w:color w:val="auto"/>
                <w:w w:val="91"/>
              </w:rPr>
              <w:t>Fair Value at September 30,</w:t>
            </w:r>
          </w:p>
        </w:tc>
        <w:tc>
          <w:tcPr>
            <w:tcW w:w="840" w:type="dxa"/>
            <w:vAlign w:val="bottom"/>
          </w:tcPr>
          <w:p>
            <w:pPr>
              <w:spacing w:after="0"/>
              <w:rPr>
                <w:sz w:val="12"/>
                <w:szCs w:val="12"/>
                <w:color w:val="auto"/>
              </w:rPr>
            </w:pPr>
          </w:p>
        </w:tc>
        <w:tc>
          <w:tcPr>
            <w:tcW w:w="224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2"/>
              </w:rPr>
              <w:t>Fair Value at December 31,</w:t>
            </w: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96"/>
              </w:rPr>
              <w:t>2010</w:t>
            </w: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96"/>
              </w:rPr>
              <w:t>2009</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gridSpan w:val="2"/>
          </w:tcPr>
          <w:p>
            <w:pPr>
              <w:spacing w:after="0" w:line="142" w:lineRule="exact"/>
              <w:rPr>
                <w:sz w:val="20"/>
                <w:szCs w:val="20"/>
                <w:color w:val="auto"/>
              </w:rPr>
            </w:pPr>
            <w:r>
              <w:rPr>
                <w:rFonts w:ascii="Arial" w:cs="Arial" w:eastAsia="Arial" w:hAnsi="Arial"/>
                <w:sz w:val="14"/>
                <w:szCs w:val="14"/>
                <w:color w:val="auto"/>
              </w:rPr>
              <w:t>Industry sector</w:t>
            </w:r>
          </w:p>
        </w:tc>
        <w:tc>
          <w:tcPr>
            <w:tcW w:w="940" w:type="dxa"/>
            <w:vAlign w:val="bottom"/>
            <w:gridSpan w:val="2"/>
          </w:tcPr>
          <w:p>
            <w:pPr>
              <w:spacing w:after="0" w:line="142" w:lineRule="exact"/>
              <w:rPr>
                <w:sz w:val="20"/>
                <w:szCs w:val="20"/>
                <w:color w:val="auto"/>
              </w:rPr>
            </w:pPr>
            <w:r>
              <w:rPr>
                <w:rFonts w:ascii="Arial" w:cs="Arial" w:eastAsia="Arial" w:hAnsi="Arial"/>
                <w:sz w:val="14"/>
                <w:szCs w:val="14"/>
                <w:color w:val="auto"/>
                <w:w w:val="96"/>
              </w:rPr>
              <w:t>Preferred stock</w:t>
            </w:r>
          </w:p>
        </w:tc>
        <w:tc>
          <w:tcPr>
            <w:tcW w:w="1440" w:type="dxa"/>
            <w:vAlign w:val="bottom"/>
            <w:gridSpan w:val="2"/>
          </w:tcPr>
          <w:p>
            <w:pPr>
              <w:ind w:left="540"/>
              <w:spacing w:after="0" w:line="142" w:lineRule="exact"/>
              <w:rPr>
                <w:sz w:val="20"/>
                <w:szCs w:val="20"/>
                <w:color w:val="auto"/>
              </w:rPr>
            </w:pPr>
            <w:r>
              <w:rPr>
                <w:rFonts w:ascii="Arial" w:cs="Arial" w:eastAsia="Arial" w:hAnsi="Arial"/>
                <w:sz w:val="14"/>
                <w:szCs w:val="14"/>
                <w:color w:val="auto"/>
                <w:w w:val="94"/>
              </w:rPr>
              <w:t>Common stock</w:t>
            </w:r>
          </w:p>
        </w:tc>
        <w:tc>
          <w:tcPr>
            <w:tcW w:w="1560" w:type="dxa"/>
            <w:vAlign w:val="bottom"/>
            <w:gridSpan w:val="2"/>
          </w:tcPr>
          <w:p>
            <w:pPr>
              <w:ind w:left="600"/>
              <w:spacing w:after="0" w:line="142" w:lineRule="exact"/>
              <w:rPr>
                <w:sz w:val="20"/>
                <w:szCs w:val="20"/>
                <w:color w:val="auto"/>
              </w:rPr>
            </w:pPr>
            <w:r>
              <w:rPr>
                <w:rFonts w:ascii="Arial" w:cs="Arial" w:eastAsia="Arial" w:hAnsi="Arial"/>
                <w:sz w:val="14"/>
                <w:szCs w:val="14"/>
                <w:color w:val="auto"/>
                <w:w w:val="98"/>
              </w:rPr>
              <w:t>Preferred stock</w:t>
            </w:r>
          </w:p>
        </w:tc>
        <w:tc>
          <w:tcPr>
            <w:tcW w:w="1420" w:type="dxa"/>
            <w:vAlign w:val="bottom"/>
            <w:gridSpan w:val="2"/>
          </w:tcPr>
          <w:p>
            <w:pPr>
              <w:ind w:left="540"/>
              <w:spacing w:after="0" w:line="142" w:lineRule="exact"/>
              <w:rPr>
                <w:sz w:val="20"/>
                <w:szCs w:val="20"/>
                <w:color w:val="auto"/>
              </w:rPr>
            </w:pPr>
            <w:r>
              <w:rPr>
                <w:rFonts w:ascii="Arial" w:cs="Arial" w:eastAsia="Arial" w:hAnsi="Arial"/>
                <w:sz w:val="14"/>
                <w:szCs w:val="14"/>
                <w:color w:val="auto"/>
                <w:w w:val="92"/>
              </w:rPr>
              <w:t>Common stock</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Funds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Utilities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93"/>
              </w:rPr>
              <w:t>Exchange</w:t>
            </w: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gridSpan w:val="2"/>
          </w:tcPr>
          <w:p>
            <w:pPr>
              <w:jc w:val="center"/>
              <w:ind w:left="271"/>
              <w:spacing w:after="0" w:line="123" w:lineRule="exact"/>
              <w:rPr>
                <w:sz w:val="20"/>
                <w:szCs w:val="20"/>
                <w:color w:val="auto"/>
              </w:rPr>
            </w:pPr>
            <w:r>
              <w:rPr>
                <w:rFonts w:ascii="Arial" w:cs="Arial" w:eastAsia="Arial" w:hAnsi="Arial"/>
                <w:sz w:val="14"/>
                <w:szCs w:val="14"/>
                <w:color w:val="auto"/>
                <w:w w:val="95"/>
              </w:rPr>
              <w:t>(Unaudited)</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3"/>
          </w:tcPr>
          <w:p>
            <w:pPr>
              <w:jc w:val="center"/>
              <w:ind w:right="151"/>
              <w:spacing w:after="0" w:line="149" w:lineRule="exact"/>
              <w:rPr>
                <w:sz w:val="20"/>
                <w:szCs w:val="20"/>
                <w:color w:val="auto"/>
              </w:rPr>
            </w:pPr>
            <w:r>
              <w:rPr>
                <w:rFonts w:ascii="Arial" w:cs="Arial" w:eastAsia="Arial" w:hAnsi="Arial"/>
                <w:sz w:val="14"/>
                <w:szCs w:val="14"/>
                <w:color w:val="auto"/>
                <w:w w:val="91"/>
              </w:rPr>
              <w:t>Fair Value at September 30,</w:t>
            </w:r>
          </w:p>
        </w:tc>
        <w:tc>
          <w:tcPr>
            <w:tcW w:w="840" w:type="dxa"/>
            <w:vAlign w:val="bottom"/>
          </w:tcPr>
          <w:p>
            <w:pPr>
              <w:spacing w:after="0"/>
              <w:rPr>
                <w:sz w:val="12"/>
                <w:szCs w:val="12"/>
                <w:color w:val="auto"/>
              </w:rPr>
            </w:pPr>
          </w:p>
        </w:tc>
        <w:tc>
          <w:tcPr>
            <w:tcW w:w="224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2"/>
              </w:rPr>
              <w:t>Fair Value at December 31,</w:t>
            </w: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96"/>
              </w:rPr>
              <w:t>2010</w:t>
            </w: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96"/>
              </w:rPr>
              <w:t>2009</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gridSpan w:val="2"/>
          </w:tcPr>
          <w:p>
            <w:pPr>
              <w:spacing w:after="0" w:line="142" w:lineRule="exact"/>
              <w:rPr>
                <w:sz w:val="20"/>
                <w:szCs w:val="20"/>
                <w:color w:val="auto"/>
              </w:rPr>
            </w:pPr>
            <w:r>
              <w:rPr>
                <w:rFonts w:ascii="Arial" w:cs="Arial" w:eastAsia="Arial" w:hAnsi="Arial"/>
                <w:sz w:val="14"/>
                <w:szCs w:val="14"/>
                <w:color w:val="auto"/>
              </w:rPr>
              <w:t>Industry sector</w:t>
            </w:r>
          </w:p>
        </w:tc>
        <w:tc>
          <w:tcPr>
            <w:tcW w:w="940" w:type="dxa"/>
            <w:vAlign w:val="bottom"/>
            <w:gridSpan w:val="2"/>
          </w:tcPr>
          <w:p>
            <w:pPr>
              <w:spacing w:after="0" w:line="142" w:lineRule="exact"/>
              <w:rPr>
                <w:sz w:val="20"/>
                <w:szCs w:val="20"/>
                <w:color w:val="auto"/>
              </w:rPr>
            </w:pPr>
            <w:r>
              <w:rPr>
                <w:rFonts w:ascii="Arial" w:cs="Arial" w:eastAsia="Arial" w:hAnsi="Arial"/>
                <w:sz w:val="14"/>
                <w:szCs w:val="14"/>
                <w:color w:val="auto"/>
                <w:w w:val="96"/>
              </w:rPr>
              <w:t>Preferred stock</w:t>
            </w:r>
          </w:p>
        </w:tc>
        <w:tc>
          <w:tcPr>
            <w:tcW w:w="1440" w:type="dxa"/>
            <w:vAlign w:val="bottom"/>
            <w:gridSpan w:val="2"/>
          </w:tcPr>
          <w:p>
            <w:pPr>
              <w:ind w:left="540"/>
              <w:spacing w:after="0" w:line="142" w:lineRule="exact"/>
              <w:rPr>
                <w:sz w:val="20"/>
                <w:szCs w:val="20"/>
                <w:color w:val="auto"/>
              </w:rPr>
            </w:pPr>
            <w:r>
              <w:rPr>
                <w:rFonts w:ascii="Arial" w:cs="Arial" w:eastAsia="Arial" w:hAnsi="Arial"/>
                <w:sz w:val="14"/>
                <w:szCs w:val="14"/>
                <w:color w:val="auto"/>
                <w:w w:val="94"/>
              </w:rPr>
              <w:t>Common stock</w:t>
            </w:r>
          </w:p>
        </w:tc>
        <w:tc>
          <w:tcPr>
            <w:tcW w:w="1560" w:type="dxa"/>
            <w:vAlign w:val="bottom"/>
            <w:gridSpan w:val="2"/>
          </w:tcPr>
          <w:p>
            <w:pPr>
              <w:ind w:left="600"/>
              <w:spacing w:after="0" w:line="142" w:lineRule="exact"/>
              <w:rPr>
                <w:sz w:val="20"/>
                <w:szCs w:val="20"/>
                <w:color w:val="auto"/>
              </w:rPr>
            </w:pPr>
            <w:r>
              <w:rPr>
                <w:rFonts w:ascii="Arial" w:cs="Arial" w:eastAsia="Arial" w:hAnsi="Arial"/>
                <w:sz w:val="14"/>
                <w:szCs w:val="14"/>
                <w:color w:val="auto"/>
                <w:w w:val="98"/>
              </w:rPr>
              <w:t>Preferred stock</w:t>
            </w:r>
          </w:p>
        </w:tc>
        <w:tc>
          <w:tcPr>
            <w:tcW w:w="1420" w:type="dxa"/>
            <w:vAlign w:val="bottom"/>
            <w:gridSpan w:val="2"/>
          </w:tcPr>
          <w:p>
            <w:pPr>
              <w:ind w:left="540"/>
              <w:spacing w:after="0" w:line="142" w:lineRule="exact"/>
              <w:rPr>
                <w:sz w:val="20"/>
                <w:szCs w:val="20"/>
                <w:color w:val="auto"/>
              </w:rPr>
            </w:pPr>
            <w:r>
              <w:rPr>
                <w:rFonts w:ascii="Arial" w:cs="Arial" w:eastAsia="Arial" w:hAnsi="Arial"/>
                <w:sz w:val="14"/>
                <w:szCs w:val="14"/>
                <w:color w:val="auto"/>
                <w:w w:val="92"/>
              </w:rPr>
              <w:t>Common stock</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Funds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1,835</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preferred stock equity securities are classified as available-for-sale and are carried at fair value on the Consolidated Statements of Financial Position with all changes in unrealized gains and losses reflected in other comprehensive income. At September 30, 2010, the unrealized gain on preferred stock classified as available-for-sale securities, net of deferred taxes amounted to $4 million for Indemnity and $46 million for the Exchange compared to a $2 million gain for Indemnity and $31 million gain for the Exchange at December 31, 2009.</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 portfolio is classified as a trading portfolio and measured at fair value with all changes in unrealized gains and losses reflected in our Consolidated Statements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the third quarter of 2010, investments in limited partnerships remained relatively flat from the investment levels at December 31, 2009. The changes in partnership value are a function of contributions and distributions, adjusted for fair value changes. During 2010, the limited partnership market values and partnerships earnings have been generally positive as the recent market conditions continue to show signs of improvement.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limited partnership investments are as follows: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Indemnity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Private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Mezzanine debt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Total limited partnerships —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Erie Insurance Group</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At September 30,</w:t>
            </w:r>
          </w:p>
        </w:tc>
        <w:tc>
          <w:tcPr>
            <w:tcW w:w="1140" w:type="dxa"/>
            <w:vAlign w:val="bottom"/>
            <w:tcBorders>
              <w:top w:val="single" w:sz="8" w:color="auto"/>
            </w:tcBorders>
            <w:gridSpan w:val="2"/>
          </w:tcPr>
          <w:p>
            <w:pPr>
              <w:ind w:left="320"/>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580"/>
              <w:spacing w:after="0" w:line="195" w:lineRule="exact"/>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88</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51</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234</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720"/>
            <w:col w:w="2580"/>
          </w:cols>
          <w:pgMar w:left="240" w:top="419"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533</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392</w:t>
            </w:r>
          </w:p>
        </w:tc>
        <w:tc>
          <w:tcPr>
            <w:tcW w:w="5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w:t>
            </w:r>
          </w:p>
        </w:tc>
        <w:tc>
          <w:tcPr>
            <w:tcW w:w="5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Total limited partnerships — Exchange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1,148</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w:t>
            </w: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loss reserves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Loss reserves are established to account for the estimated ultimate costs of loss and loss expenses for claims that have been reported but not yet settled and claims that have been incurred but not reported.</w:t>
      </w:r>
    </w:p>
    <w:p>
      <w:pPr>
        <w:spacing w:after="0" w:line="6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Loss and loss expense reserves are presented on our Consolidated Statements of Financial Position on a gross basis. The following tables represent the direct and assumed loss and loss expense reserves by major line of business for Indemnity and Exchange, respectively. The reinsurance recoverable amount represents the related ceded amounts which results in the net liability attributable to Indemnity and Exchange,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320" w:type="dxa"/>
            <w:vAlign w:val="bottom"/>
            <w:gridSpan w:val="2"/>
          </w:tcPr>
          <w:p>
            <w:pPr>
              <w:spacing w:after="0" w:line="123" w:lineRule="exact"/>
              <w:rPr>
                <w:sz w:val="20"/>
                <w:szCs w:val="20"/>
                <w:color w:val="auto"/>
              </w:rPr>
            </w:pPr>
            <w:r>
              <w:rPr>
                <w:rFonts w:ascii="Arial" w:cs="Arial" w:eastAsia="Arial" w:hAnsi="Arial"/>
                <w:sz w:val="14"/>
                <w:szCs w:val="14"/>
                <w:color w:val="auto"/>
              </w:rPr>
              <w:t>At September 30,</w:t>
            </w:r>
          </w:p>
        </w:tc>
        <w:tc>
          <w:tcPr>
            <w:tcW w:w="1320" w:type="dxa"/>
            <w:vAlign w:val="bottom"/>
            <w:gridSpan w:val="2"/>
          </w:tcPr>
          <w:p>
            <w:pPr>
              <w:ind w:left="320"/>
              <w:spacing w:after="0" w:line="123" w:lineRule="exact"/>
              <w:rPr>
                <w:sz w:val="20"/>
                <w:szCs w:val="20"/>
                <w:color w:val="auto"/>
              </w:rPr>
            </w:pPr>
            <w:r>
              <w:rPr>
                <w:rFonts w:ascii="Arial" w:cs="Arial" w:eastAsia="Arial" w:hAnsi="Arial"/>
                <w:sz w:val="14"/>
                <w:szCs w:val="14"/>
                <w:color w:val="auto"/>
                <w:w w:val="93"/>
              </w:rPr>
              <w:t>At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50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ind w:right="271"/>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4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4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Gross reserve liability:</w:t>
            </w:r>
          </w:p>
        </w:tc>
        <w:tc>
          <w:tcPr>
            <w:tcW w:w="4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auto</w:t>
            </w:r>
          </w:p>
        </w:tc>
        <w:tc>
          <w:tcPr>
            <w:tcW w:w="504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219</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Automobile massive injury</w:t>
            </w:r>
          </w:p>
        </w:tc>
        <w:tc>
          <w:tcPr>
            <w:tcW w:w="4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146</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Homeowners</w:t>
            </w:r>
          </w:p>
        </w:tc>
        <w:tc>
          <w:tcPr>
            <w:tcW w:w="4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Workers compensation</w:t>
            </w:r>
          </w:p>
        </w:tc>
        <w:tc>
          <w:tcPr>
            <w:tcW w:w="4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165</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compensation massive injury</w:t>
            </w:r>
          </w:p>
        </w:tc>
        <w:tc>
          <w:tcPr>
            <w:tcW w:w="4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Commercial auto</w:t>
            </w:r>
          </w:p>
        </w:tc>
        <w:tc>
          <w:tcPr>
            <w:tcW w:w="4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multi-peril</w:t>
            </w:r>
          </w:p>
        </w:tc>
        <w:tc>
          <w:tcPr>
            <w:tcW w:w="4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All other lines of business</w:t>
            </w:r>
          </w:p>
        </w:tc>
        <w:tc>
          <w:tcPr>
            <w:tcW w:w="43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51</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4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743</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43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reserve liability — Indemnity</w:t>
            </w:r>
          </w:p>
        </w:tc>
        <w:tc>
          <w:tcPr>
            <w:tcW w:w="504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742</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380" w:type="dxa"/>
            <w:vAlign w:val="bottom"/>
            <w:vMerge w:val="restart"/>
          </w:tcPr>
          <w:p>
            <w:pPr>
              <w:jc w:val="right"/>
              <w:ind w:right="2794"/>
              <w:spacing w:after="0"/>
              <w:rPr>
                <w:sz w:val="20"/>
                <w:szCs w:val="20"/>
                <w:color w:val="auto"/>
              </w:rPr>
            </w:pPr>
            <w:r>
              <w:rPr>
                <w:rFonts w:ascii="Arial" w:cs="Arial" w:eastAsia="Arial" w:hAnsi="Arial"/>
                <w:sz w:val="18"/>
                <w:szCs w:val="18"/>
                <w:color w:val="auto"/>
              </w:rPr>
              <w:t>64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color w:val="auto"/>
                <w:w w:val="93"/>
              </w:rPr>
              <w:t>Erie Insurance Group</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1320" w:type="dxa"/>
            <w:vAlign w:val="bottom"/>
            <w:gridSpan w:val="2"/>
          </w:tcPr>
          <w:p>
            <w:pPr>
              <w:spacing w:after="0" w:line="123" w:lineRule="exact"/>
              <w:rPr>
                <w:sz w:val="20"/>
                <w:szCs w:val="20"/>
                <w:color w:val="auto"/>
              </w:rPr>
            </w:pPr>
            <w:r>
              <w:rPr>
                <w:rFonts w:ascii="Arial" w:cs="Arial" w:eastAsia="Arial" w:hAnsi="Arial"/>
                <w:sz w:val="14"/>
                <w:szCs w:val="14"/>
                <w:color w:val="auto"/>
              </w:rPr>
              <w:t>At September 30,</w:t>
            </w:r>
          </w:p>
        </w:tc>
        <w:tc>
          <w:tcPr>
            <w:tcW w:w="1320" w:type="dxa"/>
            <w:vAlign w:val="bottom"/>
            <w:gridSpan w:val="2"/>
          </w:tcPr>
          <w:p>
            <w:pPr>
              <w:ind w:left="320"/>
              <w:spacing w:after="0" w:line="123" w:lineRule="exact"/>
              <w:rPr>
                <w:sz w:val="20"/>
                <w:szCs w:val="20"/>
                <w:color w:val="auto"/>
              </w:rPr>
            </w:pPr>
            <w:r>
              <w:rPr>
                <w:rFonts w:ascii="Arial" w:cs="Arial" w:eastAsia="Arial" w:hAnsi="Arial"/>
                <w:sz w:val="14"/>
                <w:szCs w:val="14"/>
                <w:color w:val="auto"/>
                <w:w w:val="93"/>
              </w:rPr>
              <w:t>At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2010</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left="354"/>
              <w:spacing w:after="0" w:line="142" w:lineRule="exact"/>
              <w:rPr>
                <w:sz w:val="20"/>
                <w:szCs w:val="20"/>
                <w:color w:val="auto"/>
              </w:rPr>
            </w:pPr>
            <w:r>
              <w:rPr>
                <w:rFonts w:ascii="Arial" w:cs="Arial" w:eastAsia="Arial" w:hAnsi="Arial"/>
                <w:sz w:val="14"/>
                <w:szCs w:val="14"/>
                <w:color w:val="auto"/>
                <w:w w:val="95"/>
              </w:rPr>
              <w:t>(Unaudited)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Gross reserve liability: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auto</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881</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Automobile massive injury</w:t>
            </w:r>
          </w:p>
        </w:tc>
        <w:tc>
          <w:tcPr>
            <w:tcW w:w="2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298</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Homeowners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239</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Workers compensation</w:t>
            </w:r>
          </w:p>
        </w:tc>
        <w:tc>
          <w:tcPr>
            <w:tcW w:w="2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341</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compensation massive injury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Commercial auto</w:t>
            </w:r>
          </w:p>
        </w:tc>
        <w:tc>
          <w:tcPr>
            <w:tcW w:w="2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multi-peril</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498</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All other lines of business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261</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2,870</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188</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reserve liability — Exchange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2,682</w:t>
            </w: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reserves that have the greatest potential for variation are the massive injury claim reserves. The Property and Casualty Group is currently reserving for about 300 claimants requiring lifetime medical care, of which about 120 involve massive injuries. The reserve carried by the Property and Casualty Group for the massive injury claimants, which includes automobile and workers compensation massive injury reserves, totaled $406 million at September 30, 2010, which is net of $174 million of anticipated reinsurance recoverables, compared to $428 million at December 31, 2009, which was net of $179 million of anticipated reinsurance recoverables. The pre-1986 automobile massive injury and workers compensation massive injury reserves decreased at September 30, 2010 compared to December 31, 2009 primarily due to settling four claims.</w:t>
      </w:r>
    </w:p>
    <w:p>
      <w:pPr>
        <w:spacing w:after="0" w:line="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reserves above are presented on a gross basis. After the effects of the intercompany pooling transactions are considered, Indemnity retains 5.5% of the gross reserves and the Exchange retains 94.5% of the gross reserves. Indemnity’s 5.5% share of the massive injury liability reserves, net of unaffiliated reinsurance recoveries, totaled $23 million at September 30, 2010, and $24 million at December 31, 2009.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EFL’s primary commitment is its obligation to pay future policy benefits under the terms of its life insurance and annuity contracts. To meet these future obligations, EFL establishes life insurance reserves based on the type of policy, the age, gender and risk class of the insured and the number of years the policy has been in force. EFL also establishes annuity and universal life reserves based on the amount of policyholder deposits (less applicable insurance and expense charges) plus interest earned on those deposits. Life insurance and annuity reserves are supported primarily by EFL’s long-term, fixed income investments as the underlying policy reserves are generally also of a long-term nature.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INFLATION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Property and casualty insurance premiums are established before losses and loss expenses, and therefore, before the extent to which inflation may impact such costs are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and growth needs. Our liquidity requirements have been met primarily by funds generated from premiums collected and income from investments. The insurance operations provide liquidity in that premiums are collected in advance of paying losses under the policies purchased with those premiums. Cash outflows for the property and casualty business are generally variable since settlement dates for liabilities for unpaid losses and the potential for large losses, whether individual or in the aggregate, cannot be predicted with absolute certainty. Accordingly, after satisfying our operating cash requirements, excess cash flows are used to build our investment portfolio in order to increase future investment income, which then may be used as a source of liquidity if cash from our insurance operations would not be sufficient to meet our obligations. Cash provided from these sources is used primarily to fund losses and policyholder benefits, fund the costs of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5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Continuing volatility in the financial markets presents challenges to us as we do occasionally access our investment portfolio as a source of cash. Some of our fixed income investments, despite being publicly traded, are illiquid due to current credit market conditions. Further volatility in these markets could impair our ability to sell certain of our fixed income securities or cause such securities to sell at deep discounts. Additionally, our limited partnership investments are illiquid. We believe we have sufficient liquidity to meet our needs from other sources even if market volatility persists throughout 2010.</w:t>
      </w:r>
    </w:p>
    <w:p>
      <w:pPr>
        <w:sectPr>
          <w:pgSz w:w="11900" w:h="16838" w:orient="portrait"/>
          <w:cols w:equalWidth="0" w:num="1">
            <w:col w:w="11420"/>
          </w:cols>
          <w:pgMar w:left="240" w:top="419"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our condensed consolidated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operating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294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auto"/>
        </w:rPr>
        <w:t>Nine months ended</w:t>
      </w:r>
    </w:p>
    <w:p>
      <w:pPr>
        <w:jc w:val="center"/>
        <w:ind w:right="100"/>
        <w:spacing w:after="0" w:line="221" w:lineRule="auto"/>
        <w:rPr>
          <w:sz w:val="20"/>
          <w:szCs w:val="20"/>
          <w:color w:val="auto"/>
        </w:rPr>
      </w:pPr>
      <w:r>
        <w:rPr>
          <w:rFonts w:ascii="Arial" w:cs="Arial" w:eastAsia="Arial" w:hAnsi="Arial"/>
          <w:sz w:val="14"/>
          <w:szCs w:val="14"/>
          <w:color w:val="auto"/>
        </w:rPr>
        <w:t>September 30,</w:t>
      </w:r>
    </w:p>
    <w:p>
      <w:pPr>
        <w:ind w:left="200"/>
        <w:spacing w:after="0"/>
        <w:tabs>
          <w:tab w:leader="none" w:pos="154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294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jc w:val="center"/>
        <w:ind w:right="100"/>
        <w:spacing w:after="0" w:line="235" w:lineRule="auto"/>
        <w:rPr>
          <w:sz w:val="20"/>
          <w:szCs w:val="20"/>
          <w:color w:val="auto"/>
        </w:rPr>
      </w:pPr>
      <w:r>
        <w:rPr>
          <w:rFonts w:ascii="Arial" w:cs="Arial" w:eastAsia="Arial" w:hAnsi="Arial"/>
          <w:sz w:val="14"/>
          <w:szCs w:val="14"/>
          <w:color w:val="auto"/>
        </w:rPr>
        <w:t>(Unaudited)</w:t>
      </w:r>
    </w:p>
    <w:p>
      <w:pPr>
        <w:spacing w:after="0"/>
        <w:tabs>
          <w:tab w:leader="none" w:pos="400" w:val="left"/>
          <w:tab w:leader="none" w:pos="134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713</w:t>
      </w:r>
    </w:p>
    <w:p>
      <w:pPr>
        <w:spacing w:after="0" w:line="7" w:lineRule="exact"/>
        <w:rPr>
          <w:sz w:val="20"/>
          <w:szCs w:val="20"/>
          <w:color w:val="auto"/>
        </w:rPr>
      </w:pPr>
    </w:p>
    <w:p>
      <w:pPr>
        <w:ind w:left="1700" w:hanging="1348"/>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(591)</w:t>
      </w:r>
    </w:p>
    <w:p>
      <w:pPr>
        <w:spacing w:after="0" w:line="21" w:lineRule="exact"/>
        <w:rPr>
          <w:sz w:val="20"/>
          <w:szCs w:val="20"/>
          <w:color w:val="auto"/>
        </w:rPr>
      </w:pPr>
    </w:p>
    <w:p>
      <w:pPr>
        <w:ind w:left="1800" w:hanging="1359"/>
        <w:spacing w:after="0"/>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3633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 w:lineRule="exact"/>
        <w:rPr>
          <w:sz w:val="20"/>
          <w:szCs w:val="20"/>
          <w:color w:val="auto"/>
        </w:rPr>
      </w:pPr>
    </w:p>
    <w:p>
      <w:pPr>
        <w:spacing w:after="0"/>
        <w:tabs>
          <w:tab w:leader="none" w:pos="480" w:val="left"/>
          <w:tab w:leader="none" w:pos="134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3633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3633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8560" w:space="720"/>
            <w:col w:w="2140"/>
          </w:cols>
          <w:pgMar w:left="240" w:top="41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The decrease in cash flows from operating activities in the first nine months of 2010 was primarily driven by the payment of federal income taxes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$105 million, compared to the recovery of federal income taxes of $161 million in the first nine months of 2009. Also reducing the cash flows from operating activities in 2010 was an increase in loss and loss expenses paid, offset somewhat by increases in premiums collected, net investment income received and limited partnership distributions.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2010, we recorded a net deferred tax liability of $92 million, which included capital loss carry-forwards of $12 million. There was no valuation allowance at September 30, 2010. We have the ability to carry-back capital losses of $281 million as a result of gains recognized in prior years. At September 30, 2010, the carry-back relating to the 2009 capital losses has not been received. This carry-back is estimated to be $260 million with a tax refund expected to be $91 million.</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Cash flows used in investing activities decreased in the first nine months of 2010 compared to the same period in 2009. In the first nine months of 2010, we generated more proceeds from certain fixed maturities and used more cash for the purchase of other fixed maturities, while generating fewer proceeds from common stocks and using less cash for the purchase of other common stocks. At September 30, 2010, we had contractual commitments to invest up to $532 million related to our limited partnership investments to be funded as required by the partnerships’ agreements. At September 30, 2010, the total remaining commitment to fund limited partnerships that invest in private equity securities was $242 million, real estate activities was $194 million and mezzanine debt securities was $96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Indemnity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operating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decrease in cash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Indemnity’s supplemental information footnote (Note 14) for more detail on Indemnity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294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auto"/>
        </w:rPr>
        <w:t>Nine months ended</w:t>
      </w:r>
    </w:p>
    <w:p>
      <w:pPr>
        <w:jc w:val="center"/>
        <w:ind w:right="100"/>
        <w:spacing w:after="0" w:line="221" w:lineRule="auto"/>
        <w:rPr>
          <w:sz w:val="20"/>
          <w:szCs w:val="20"/>
          <w:color w:val="auto"/>
        </w:rPr>
      </w:pPr>
      <w:r>
        <w:rPr>
          <w:rFonts w:ascii="Arial" w:cs="Arial" w:eastAsia="Arial" w:hAnsi="Arial"/>
          <w:sz w:val="14"/>
          <w:szCs w:val="14"/>
          <w:color w:val="auto"/>
        </w:rPr>
        <w:t>September 30,</w:t>
      </w:r>
    </w:p>
    <w:p>
      <w:pPr>
        <w:ind w:left="200"/>
        <w:spacing w:after="0"/>
        <w:tabs>
          <w:tab w:leader="none" w:pos="154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294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jc w:val="center"/>
        <w:ind w:right="100"/>
        <w:spacing w:after="0" w:line="235" w:lineRule="auto"/>
        <w:rPr>
          <w:sz w:val="20"/>
          <w:szCs w:val="20"/>
          <w:color w:val="auto"/>
        </w:rPr>
      </w:pPr>
      <w:r>
        <w:rPr>
          <w:rFonts w:ascii="Arial" w:cs="Arial" w:eastAsia="Arial" w:hAnsi="Arial"/>
          <w:sz w:val="14"/>
          <w:szCs w:val="14"/>
          <w:color w:val="auto"/>
        </w:rPr>
        <w:t>(Unaudited)</w:t>
      </w:r>
    </w:p>
    <w:p>
      <w:pPr>
        <w:spacing w:after="0"/>
        <w:tabs>
          <w:tab w:leader="none" w:pos="400" w:val="left"/>
          <w:tab w:leader="none" w:pos="134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89</w:t>
      </w:r>
    </w:p>
    <w:p>
      <w:pPr>
        <w:spacing w:after="0" w:line="7" w:lineRule="exact"/>
        <w:rPr>
          <w:sz w:val="20"/>
          <w:szCs w:val="20"/>
          <w:color w:val="auto"/>
        </w:rPr>
      </w:pPr>
    </w:p>
    <w:p>
      <w:pPr>
        <w:ind w:left="1800" w:hanging="1359"/>
        <w:spacing w:after="0"/>
        <w:tabs>
          <w:tab w:leader="none" w:pos="1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(42)</w:t>
      </w:r>
    </w:p>
    <w:p>
      <w:pPr>
        <w:spacing w:after="0" w:line="32" w:lineRule="exact"/>
        <w:rPr>
          <w:sz w:val="20"/>
          <w:szCs w:val="20"/>
          <w:color w:val="auto"/>
        </w:rPr>
      </w:pPr>
    </w:p>
    <w:p>
      <w:pPr>
        <w:ind w:left="1800" w:hanging="1442"/>
        <w:spacing w:after="0"/>
        <w:tabs>
          <w:tab w:leader="none" w:pos="1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3633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 w:lineRule="exact"/>
        <w:rPr>
          <w:sz w:val="20"/>
          <w:szCs w:val="20"/>
          <w:color w:val="auto"/>
        </w:rPr>
      </w:pPr>
    </w:p>
    <w:p>
      <w:pPr>
        <w:spacing w:after="0"/>
        <w:tabs>
          <w:tab w:leader="none" w:pos="520" w:val="left"/>
          <w:tab w:leader="none" w:pos="1340" w:val="left"/>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3633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3633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8560" w:space="720"/>
            <w:col w:w="2140"/>
          </w:cols>
          <w:pgMar w:left="240" w:top="419" w:right="239" w:bottom="1440" w:gutter="0" w:footer="0" w:header="0"/>
        </w:sectPr>
      </w:pPr>
    </w:p>
    <w:p>
      <w:pPr>
        <w:ind w:right="240"/>
        <w:spacing w:after="0" w:line="285" w:lineRule="auto"/>
        <w:rPr>
          <w:sz w:val="20"/>
          <w:szCs w:val="20"/>
          <w:color w:val="auto"/>
        </w:rPr>
      </w:pPr>
      <w:r>
        <w:rPr>
          <w:rFonts w:ascii="Arial" w:cs="Arial" w:eastAsia="Arial" w:hAnsi="Arial"/>
          <w:sz w:val="16"/>
          <w:szCs w:val="16"/>
          <w:color w:val="auto"/>
        </w:rPr>
        <w:t>Indemnity’s cash flows provided from operating activities increased to $129 million in the first nine months of 2010, compared to $89 million for the same period in 2009. Higher operating cash flows in 2010 were primarily due to an increase in management fee revenues received and a smaller decrease in reimbursements collected from affiliates as compared to 2009. Management fee revenues were higher reflecting the increase in the Property and Casualty Group’s direct written premium. Cash paid for agent commissions and bonuses decreased to $414 million in the first nine months of 2010, compared to $420 million in the first nine months of 2009, as a result of a decrease in cash paid for agent bonuses. We made a contribution to our pension plan of</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$13 million in the second quarter of 2010, compared to $14 million made in the third quarter of 2009. Indemnity’s policy is to contribute at least the minimum required contribution to its pension plan that is in accordance with the Pension Protection Act of 2006 and to fund the annual “normal” costs of the pension. Indemnity is generally reimbursed about 50% of the net periodic benefit cost of the pension plan from its affiliates.</w:t>
      </w:r>
    </w:p>
    <w:p>
      <w:pPr>
        <w:spacing w:after="0" w:line="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2010, Indemnity recorded a net deferred tax asset of $11 million, which included capital loss carry-forwards of $4 million. There was no valuation allowance at September 30, 2010. Indemnity has the ability to carry back capital losses of $39 million as a result of gains recognized in prior years. At September 30, 2010, the carry-back relating to the 2009 capital losses has not been received. This carry-back is estimated to be $32 million with a tax refund expected to be $11 million. Indemnity’s capital gain and loss strategies take into consideration its ability to offset gains and losses in future periods, further capital loss carry-back opportunities to the three preceding years, and capital loss carry-forward opportunities to apply against future capital gains over the next five years.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flows used in Indemnity investing activities decreased to $14 million in the first nine months of 2010 compared to $42 million for the same period in 2009. Investing activities in 2009 include a capital contribution to EFL in the amount of $12 million to support EFL’s life insurance and annuity business and to strengthen its surplus. Impacting future investing activities are limited partnership commitments, which totaled $60 million at September 30, 2010, and will be funded as required by the partnerships’ agreements.</w:t>
      </w:r>
    </w:p>
    <w:p>
      <w:pPr>
        <w:spacing w:after="0" w:line="79"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increase in cash used in financing activities in the third quarter of 2010 was primarily driven by increases in the cash outlay for share repurchases and dividends paid to shareholders. During the third quarter of 2010, Indemnity repurchased 551,088 shares of our Class A nonvoting common stock at a total cost of $28 million. Of this amount, 546,288 shares were repurchased in conjunction with our current stock repurchase plan for a total cost of $28 million.</w:t>
      </w:r>
    </w:p>
    <w:p>
      <w:pPr>
        <w:ind w:right="100"/>
        <w:spacing w:after="0" w:line="286" w:lineRule="auto"/>
        <w:rPr>
          <w:sz w:val="20"/>
          <w:szCs w:val="20"/>
          <w:color w:val="auto"/>
        </w:rPr>
      </w:pPr>
      <w:r>
        <w:rPr>
          <w:rFonts w:ascii="Arial" w:cs="Arial" w:eastAsia="Arial" w:hAnsi="Arial"/>
          <w:sz w:val="16"/>
          <w:szCs w:val="16"/>
          <w:color w:val="auto"/>
        </w:rPr>
        <w:t>The remaining 4,800 shares were purchased related to the vesting of stock-based awards for executive management at a total cost of $0.2 million, or $48.75 per share. During the first nine months of 2010, 950,601 shares were repurchased under the plan at a total cost of $46 million, of which $1 million occurred the last week of September that was settled in cash in October. There were no shares repurchased in the third quarter of 2009, while 42,200 shares were repurchased at a total cost of $1 million during the first nine months of 2009. In April 2010, our Board of Directors approved a continuation of the current stock repurchase program through June 30, 2011 for a total of $100 million. Indemnity has approximately $58 million of repurchase authority remaining under this plan at September 30, 2010. Indemnity plans to continue to repurchase shares through this program as cash becomes available for this purpose. (See Part II, Item 2. “Unregistered Sales of Equity Securities and Use of Proceeds, Issuer Purchases of Equity Securities”.) Dividends paid to shareholders totaled $74 million and $70 million for the first nine months of 2010 and 2009, respectively. Indemnity increased both its Class A and Class B shareholder quarterly dividend by 6.7% in 2010, compared to 2009. There are no regulatory restrictions on the payment of dividends to Indemnity shareholders, although there are state law restrictions on the payment of dividends from Indemnity’s property and casualty insurance subsidiaries.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outlook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financial market volatility continues, we have the ability to meet our future funding requirements through various alternatives available to us. Outside of our normal operating and investing cash activities, future funding requirements could be met through (1) a $200 million bank line of credit held by the Exchange, from which there were no borrowings at September 30, 2010, (2) a $100 million bank line of credit held by Indemnity, from which there were no borrowings as of September 30, 2010, and (3) our more liquid investments that can be sold, such as our common stock and cash and cash equivalents, which total approximately $2.3 billion at September 30, 2010. Indemnity has no rights to the assets or capital of the Exchange and, conversely, the Exchange has no rights to the assets or capital of Indemnity.</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Indemnity has the ability to curtail or modify discretionary cash outlays such as those related to shareholder dividends and our share repurchase activities. We believe we have the funding sources available to us to support future cash flow requirements in 2010.</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Exchange and Indemnity had no borrowings under their respective lines of credit at September 30, 2010. At September 30, 2010, bonds with fair values of $258 million and $128 million were pledged as collateral on the Exchange’s and Indemnity’s lines of credit, respectively. These securities have no restrictions. The bank requires compliance with certain covenants, which include statutory surplus and risk based capital ratios for the Exchange line of credit and minimum net worth and leverage ratios for Indemnity line of credit. The Exchange and Indemnity were in compliance with all bank covenants at September 30,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the limited partnership investment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Exchange has a surplus note for $20 million with EFL that is payable on demand on or after March 31, 2025. EFL accrued interest to the Exchange on the surplus note of $0.9 million through September 30, 2010 and 2009. No other interest is charged or received on these intercompany balances due to the timely settlement terms and nature of the items.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Indemnity has a surplus note for $25 million with EFL that is payable on demand on or after December 31, 2018. EFL accrued interest to Indemnity on the surplus note of $1.3 million through September 30, 2010 and 2009. No other interest is charged or received on these intercompany balances due to the timely settlement terms and nature of the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June 2009, the Exchange made a $43 million capital contribution to EFL and Indemnity made a $12 million capital contribution to EFL to strengthen its surplus. This $55 million in capital contributions increased EFL’s investments and total shareholders’ equity.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make estimates and assumptions that have a significant effect on the amounts and disclosures reported in the financial statements. The most significant estimates relate to the valuation of investments, reserves for property/casualty insurance unpaid losses and loss adjustment expenses, life insurance and annuity policy reserves, deferred taxes and retirement benefits.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2009 of our Form 8-K as filed with the Securities and Exchange Commission on May 6, 2010. See Note 6, Fair Value, for additional information on our valuation of investments.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exposure to market risk is primarily related to fluctuations in prices and interest rates. Quantitative and qualitative disclosures about market risk resulting from changes in prices and interest rates for the year ended December 31, 2009 are included in Item 7A. in our Form 8-K as filed with the Securities and Exchange Commission on May 6, 2010. There have been no material changes that impact our portfolio or reshape our periodic investment reviews of asset allocation during the nine months ended September 30, 2010. The information contained in the investments section of Management’s Discussion and Analysis of Financial Condition and Results of Operations is incorporated herein by reference.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 Our management evaluated, with the participation of the Chief Executive Officer and Chief Financial Officer, any change in our internal control over financial reporting and determined there has been no change in our internal control over financial reporting during the nine months ended September 30, 2010 that has materially affected, or is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December 31, 2009.</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u w:val="single" w:color="auto"/>
          <w:color w:val="auto"/>
        </w:rPr>
        <w:t xml:space="preserve">ITEM 2. UNREGISTERED SALES OF EQUITY SECURITIES AND USE OF PROCEEDS </w:t>
      </w:r>
      <w:r>
        <w:rPr>
          <w:rFonts w:ascii="Arial" w:cs="Arial" w:eastAsia="Arial" w:hAnsi="Arial"/>
          <w:sz w:val="18"/>
          <w:szCs w:val="18"/>
          <w:b w:val="1"/>
          <w:bCs w:val="1"/>
          <w:color w:val="auto"/>
        </w:rPr>
        <w:t>Issuer Purchases of Equity Securities</w:t>
      </w:r>
    </w:p>
    <w:p>
      <w:pPr>
        <w:ind w:right="100"/>
        <w:spacing w:after="0" w:line="277" w:lineRule="auto"/>
        <w:rPr>
          <w:sz w:val="20"/>
          <w:szCs w:val="20"/>
          <w:color w:val="auto"/>
        </w:rPr>
      </w:pPr>
      <w:r>
        <w:rPr>
          <w:rFonts w:ascii="Arial" w:cs="Arial" w:eastAsia="Arial" w:hAnsi="Arial"/>
          <w:sz w:val="18"/>
          <w:szCs w:val="18"/>
          <w:color w:val="auto"/>
        </w:rPr>
        <w:t>The following table summarizes Indemnity’s Class A common stock repurchased each month, based upon trade date, during the quarter ended September 30,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Approximate</w:t>
            </w: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Total Number of</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of Shares that</w:t>
            </w: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Total Number</w:t>
            </w:r>
          </w:p>
        </w:tc>
        <w:tc>
          <w:tcPr>
            <w:tcW w:w="720" w:type="dxa"/>
            <w:vAlign w:val="bottom"/>
          </w:tcPr>
          <w:p>
            <w:pPr>
              <w:spacing w:after="0"/>
              <w:rPr>
                <w:sz w:val="12"/>
                <w:szCs w:val="12"/>
                <w:color w:val="auto"/>
              </w:rPr>
            </w:pPr>
          </w:p>
        </w:tc>
        <w:tc>
          <w:tcPr>
            <w:tcW w:w="880" w:type="dxa"/>
            <w:vAlign w:val="bottom"/>
          </w:tcPr>
          <w:p>
            <w:pPr>
              <w:jc w:val="center"/>
              <w:ind w:right="314"/>
              <w:spacing w:after="0" w:line="149" w:lineRule="exact"/>
              <w:rPr>
                <w:sz w:val="20"/>
                <w:szCs w:val="20"/>
                <w:color w:val="auto"/>
              </w:rPr>
            </w:pPr>
            <w:r>
              <w:rPr>
                <w:rFonts w:ascii="Arial" w:cs="Arial" w:eastAsia="Arial" w:hAnsi="Arial"/>
                <w:sz w:val="14"/>
                <w:szCs w:val="14"/>
                <w:color w:val="auto"/>
                <w:w w:val="91"/>
              </w:rPr>
              <w:t>Average</w:t>
            </w:r>
          </w:p>
        </w:tc>
        <w:tc>
          <w:tcPr>
            <w:tcW w:w="32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Shares Purchased</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of Shares</w:t>
            </w:r>
          </w:p>
        </w:tc>
        <w:tc>
          <w:tcPr>
            <w:tcW w:w="1600" w:type="dxa"/>
            <w:vAlign w:val="bottom"/>
            <w:gridSpan w:val="2"/>
          </w:tcPr>
          <w:p>
            <w:pPr>
              <w:jc w:val="center"/>
              <w:ind w:left="217"/>
              <w:spacing w:after="0" w:line="149" w:lineRule="exact"/>
              <w:rPr>
                <w:sz w:val="20"/>
                <w:szCs w:val="20"/>
                <w:color w:val="auto"/>
              </w:rPr>
            </w:pPr>
            <w:r>
              <w:rPr>
                <w:rFonts w:ascii="Arial" w:cs="Arial" w:eastAsia="Arial" w:hAnsi="Arial"/>
                <w:sz w:val="14"/>
                <w:szCs w:val="14"/>
                <w:color w:val="auto"/>
                <w:w w:val="90"/>
              </w:rPr>
              <w:t>Price Paid</w:t>
            </w:r>
          </w:p>
        </w:tc>
        <w:tc>
          <w:tcPr>
            <w:tcW w:w="202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as Part of Publicly</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Purchased</w:t>
            </w:r>
          </w:p>
        </w:tc>
      </w:tr>
      <w:tr>
        <w:trPr>
          <w:trHeight w:val="167"/>
        </w:trPr>
        <w:tc>
          <w:tcPr>
            <w:tcW w:w="54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5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Purchased</w:t>
            </w:r>
          </w:p>
        </w:tc>
        <w:tc>
          <w:tcPr>
            <w:tcW w:w="1600" w:type="dxa"/>
            <w:vAlign w:val="bottom"/>
            <w:gridSpan w:val="2"/>
          </w:tcPr>
          <w:p>
            <w:pPr>
              <w:jc w:val="center"/>
              <w:ind w:left="237"/>
              <w:spacing w:after="0"/>
              <w:rPr>
                <w:sz w:val="20"/>
                <w:szCs w:val="20"/>
                <w:color w:val="auto"/>
              </w:rPr>
            </w:pPr>
            <w:r>
              <w:rPr>
                <w:rFonts w:ascii="Arial" w:cs="Arial" w:eastAsia="Arial" w:hAnsi="Arial"/>
                <w:sz w:val="14"/>
                <w:szCs w:val="14"/>
                <w:color w:val="auto"/>
                <w:w w:val="88"/>
              </w:rPr>
              <w:t>Per Share</w:t>
            </w:r>
          </w:p>
        </w:tc>
        <w:tc>
          <w:tcPr>
            <w:tcW w:w="320" w:type="dxa"/>
            <w:vAlign w:val="bottom"/>
          </w:tcPr>
          <w:p>
            <w:pPr>
              <w:spacing w:after="0"/>
              <w:rPr>
                <w:sz w:val="14"/>
                <w:szCs w:val="14"/>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Announced Plan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Under the Plan</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31, 2010</w:t>
            </w: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225,496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47.25</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220,696</w:t>
            </w:r>
          </w:p>
        </w:tc>
        <w:tc>
          <w:tcPr>
            <w:tcW w:w="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August 1 — 31, 2010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189,725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50.77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189,725</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2010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135,867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55.02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135,867</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551,088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546,288</w:t>
            </w:r>
          </w:p>
        </w:tc>
        <w:tc>
          <w:tcPr>
            <w:tcW w:w="64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57,600,000</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April 2010, our Board of Directors approved a continuation of the current stock repurchase program, authorizing repurchases through June 30, 2011 for a total of $100 million.</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the month of July 2010 includes a repurchase of 4,800 shares of our Class A nonvoting common stock for $0.2 million, or $48.75 per share, for the vesting of stock-based awards for executive management. These shares were delivered in July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6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Second Amendment to Erie Indemnity Company Annual Incentive Plan (As Amended and Restated Effective January 1, 2009) effective</w:t>
            </w:r>
          </w:p>
        </w:tc>
      </w:tr>
      <w:tr>
        <w:trPr>
          <w:trHeight w:val="230"/>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1, 2010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72</w:t>
            </w:r>
          </w:p>
        </w:tc>
      </w:tr>
      <w:tr>
        <w:trPr>
          <w:trHeight w:val="226"/>
        </w:trPr>
        <w:tc>
          <w:tcPr>
            <w:tcW w:w="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Erie Indemnity Company</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Date: November 4,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Terrence W. Cavanaugh</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Terrence W. Cavanaugh, President &amp; CEO</w:t>
            </w:r>
          </w:p>
        </w:tc>
      </w:tr>
      <w:tr>
        <w:trPr>
          <w:trHeight w:val="418"/>
        </w:trPr>
        <w:tc>
          <w:tcPr>
            <w:tcW w:w="550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A. Dall</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Marcia A. Dall, Executive Vice President &amp; CFO</w:t>
            </w:r>
          </w:p>
        </w:tc>
      </w:tr>
      <w:tr>
        <w:trPr>
          <w:trHeight w:val="823"/>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220"/>
          </w:cols>
          <w:pgMar w:left="240" w:top="419" w:right="4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ANNUAL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Effective as of January 1, 2009)</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WHEREAS, Erie Indemnity Company (the “Company”) adopted the Erie Indemnity Company Annual Incentive Plan (As Amended and Restated Effective as of January 1, 2009) (the “Plan”) by action of its Board of Directors on February 26, 2009, and the Company’s shareholders approved the Plan at the Annual Meeting of Shareholders in 2009,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WHEREAS, pursuant to Plan Section 8.03 the Board of Directors reserved authority to amend the Plan, and</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the Board of Directors has determined that the Chief Executive Officer and Executive Vice Presidents should be eligible to receive Individual Incentive Awards as well as Company Incentive Awards under the Plan,</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NOW, THEREFORE, the Plan is amended as follows: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Section 4.01 is amended in its entirety to read as follows:</w:t>
      </w:r>
    </w:p>
    <w:p>
      <w:pPr>
        <w:spacing w:after="0" w:line="117" w:lineRule="exact"/>
        <w:rPr>
          <w:sz w:val="20"/>
          <w:szCs w:val="20"/>
          <w:color w:val="auto"/>
        </w:rPr>
      </w:pPr>
    </w:p>
    <w:p>
      <w:pPr>
        <w:ind w:right="80" w:firstLine="675"/>
        <w:spacing w:after="0" w:line="254"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w:t>
      </w:r>
      <w:r>
        <w:rPr>
          <w:rFonts w:ascii="Arial" w:cs="Arial" w:eastAsia="Arial" w:hAnsi="Arial"/>
          <w:sz w:val="18"/>
          <w:szCs w:val="18"/>
          <w:color w:val="auto"/>
        </w:rPr>
        <w:t>. Any key employee of the Company or any corporation, partnership or other organization of which the Company owns or controls, directly or indirectly, not less than 50% of the total combined voting power of all classes of stock or other equity interests (each, a “</w:t>
      </w:r>
      <w:r>
        <w:rPr>
          <w:rFonts w:ascii="Arial" w:cs="Arial" w:eastAsia="Arial" w:hAnsi="Arial"/>
          <w:sz w:val="18"/>
          <w:szCs w:val="18"/>
          <w:u w:val="single" w:color="auto"/>
          <w:color w:val="auto"/>
        </w:rPr>
        <w:t>Participating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 who the Committee determines, in its sole discretion, has a significant effect on the operations and/or results of the Company shall be eligible to participate in the Plan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Participants in the Plan for any Plan Year shall be deemed ineligible to participate in any other annual incentive or bonus plan sponsored by any Participating Entity (“</w:t>
      </w:r>
      <w:r>
        <w:rPr>
          <w:rFonts w:ascii="Arial" w:cs="Arial" w:eastAsia="Arial" w:hAnsi="Arial"/>
          <w:sz w:val="18"/>
          <w:szCs w:val="18"/>
          <w:u w:val="single" w:color="auto"/>
          <w:color w:val="auto"/>
        </w:rPr>
        <w:t>Other Bonus Plan</w:t>
      </w:r>
      <w:r>
        <w:rPr>
          <w:rFonts w:ascii="Arial" w:cs="Arial" w:eastAsia="Arial" w:hAnsi="Arial"/>
          <w:sz w:val="18"/>
          <w:szCs w:val="18"/>
          <w:color w:val="auto"/>
        </w:rPr>
        <w:t>”) for the portion of such Plan Year (measured in days) that they are eligible to participate in this Plan. No employee of the Company or any Participating Entity shall have a right (a) to be selected to participate in the Plan for any Plan Year, or (b) having once been selected for a Plan Year, to (i) be selected to participate again in the future or (ii) continue as an employee of the Company or any Participating Entity.</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 This amendment is effective January 1, 2010, with respect to awards granted on or after that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Board of Directors of the Company has caused this document to be executed as of the 3rd day of August 2010.</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J. Tanous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Secretary and General Counsel</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Chief Executive Officer of Erie Indemnity Company, certify that:</w:t>
      </w:r>
    </w:p>
    <w:p>
      <w:pPr>
        <w:spacing w:after="0" w:line="117" w:lineRule="exact"/>
        <w:rPr>
          <w:sz w:val="20"/>
          <w:szCs w:val="20"/>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326"/>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360" w:right="580" w:hanging="326"/>
        <w:spacing w:after="0" w:line="34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Terrence W. Cavanaugh,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Chief Financial Officer of Erie Indemnity Company, certify that:</w:t>
      </w:r>
    </w:p>
    <w:p>
      <w:pPr>
        <w:spacing w:after="0" w:line="117" w:lineRule="exact"/>
        <w:rPr>
          <w:sz w:val="20"/>
          <w:szCs w:val="20"/>
          <w:color w:val="auto"/>
        </w:rPr>
      </w:pPr>
    </w:p>
    <w:p>
      <w:pPr>
        <w:ind w:left="660" w:hanging="31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326"/>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360" w:right="580" w:hanging="326"/>
        <w:spacing w:after="0" w:line="342" w:lineRule="auto"/>
        <w:tabs>
          <w:tab w:leader="none" w:pos="13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A. Dall</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Marcia A. Dall, Executive Vice President &amp; CFO</w:t>
            </w: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Terrence W. Cavanaugh, Chief Executive Officer of the Company, and Marcia A. Dall, Chief Financial Officer of the Company, certify, pursuant to § 906 of the Sarbanes-Oxley Act of 2002, 18 U.S.C. § 1350, that:</w:t>
      </w:r>
    </w:p>
    <w:p>
      <w:pPr>
        <w:spacing w:after="0" w:line="62" w:lineRule="exact"/>
        <w:rPr>
          <w:sz w:val="20"/>
          <w:szCs w:val="20"/>
          <w:color w:val="auto"/>
        </w:rPr>
      </w:pPr>
    </w:p>
    <w:p>
      <w:pPr>
        <w:ind w:left="660" w:right="920" w:hanging="31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September 30, 2010 (the “Report”) fully complies with the requirements of section 13(a) or 15(d) of the Securities Exchange Act of 1934 (15 U.S.C. 78m);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7"/>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414"/>
    </w:lvl>
  </w:abstractNum>
  <w:abstractNum w:abstractNumId="9">
    <w:nsid w:val="B03E0C6"/>
    <w:multiLevelType w:val="hybridMultilevel"/>
    <w:lvl w:ilvl="0">
      <w:lvlJc w:val="left"/>
      <w:lvlText w:val="(%1)"/>
      <w:numFmt w:val="decimal"/>
      <w:start w:val="80"/>
    </w:lvl>
  </w:abstractNum>
  <w:abstractNum w:abstractNumId="10">
    <w:nsid w:val="189A769B"/>
    <w:multiLevelType w:val="hybridMultilevel"/>
    <w:lvl w:ilvl="0">
      <w:lvlJc w:val="left"/>
      <w:lvlText w:val="(%1)"/>
      <w:numFmt w:val="decimal"/>
      <w:start w:val="29"/>
    </w:lvl>
  </w:abstractNum>
  <w:abstractNum w:abstractNumId="11">
    <w:nsid w:val="54E49EB4"/>
    <w:multiLevelType w:val="hybridMultilevel"/>
    <w:lvl w:ilvl="0">
      <w:lvlJc w:val="left"/>
      <w:lvlText w:val="(%1)"/>
      <w:numFmt w:val="decimal"/>
      <w:start w:val="99"/>
    </w:lvl>
  </w:abstractNum>
  <w:abstractNum w:abstractNumId="12">
    <w:nsid w:val="71F32454"/>
    <w:multiLevelType w:val="hybridMultilevel"/>
    <w:lvl w:ilvl="0">
      <w:lvlJc w:val="left"/>
      <w:lvlText w:val="(%1)"/>
      <w:numFmt w:val="decimal"/>
      <w:start w:val="17"/>
    </w:lvl>
  </w:abstractNum>
  <w:abstractNum w:abstractNumId="13">
    <w:nsid w:val="2CA88611"/>
    <w:multiLevelType w:val="hybridMultilevel"/>
    <w:lvl w:ilvl="0">
      <w:lvlJc w:val="left"/>
      <w:lvlText w:val="(%1)"/>
      <w:numFmt w:val="decimal"/>
      <w:start w:val="42"/>
    </w:lvl>
  </w:abstractNum>
  <w:abstractNum w:abstractNumId="14">
    <w:nsid w:val="836C40E"/>
    <w:multiLevelType w:val="hybridMultilevel"/>
    <w:lvl w:ilvl="0">
      <w:lvlJc w:val="left"/>
      <w:lvlText w:val="(%1)"/>
      <w:numFmt w:val="decimal"/>
      <w:start w:val="87"/>
    </w:lvl>
  </w:abstractNum>
  <w:abstractNum w:abstractNumId="15">
    <w:nsid w:val="2901D82"/>
    <w:multiLevelType w:val="hybridMultilevel"/>
    <w:lvl w:ilvl="0">
      <w:lvlJc w:val="left"/>
      <w:lvlText w:val="(%1)"/>
      <w:numFmt w:val="decimal"/>
      <w:start w:val="50"/>
    </w:lvl>
  </w:abstractNum>
  <w:abstractNum w:abstractNumId="16">
    <w:nsid w:val="3A95F874"/>
    <w:multiLevelType w:val="hybridMultilevel"/>
    <w:lvl w:ilvl="0">
      <w:lvlJc w:val="left"/>
      <w:lvlText w:val="%1"/>
      <w:numFmt w:val="decimal"/>
      <w:start w:val="129"/>
    </w:lvl>
    <w:lvl w:ilvl="1">
      <w:lvlJc w:val="left"/>
      <w:lvlText w:val="(%2)"/>
      <w:numFmt w:val="decimal"/>
      <w:start w:val="14"/>
    </w:lvl>
  </w:abstractNum>
  <w:abstractNum w:abstractNumId="17">
    <w:nsid w:val="8138641"/>
    <w:multiLevelType w:val="hybridMultilevel"/>
    <w:lvl w:ilvl="0">
      <w:lvlJc w:val="left"/>
      <w:lvlText w:val="(%1)"/>
      <w:numFmt w:val="decimal"/>
      <w:start w:val="118"/>
    </w:lvl>
  </w:abstractNum>
  <w:abstractNum w:abstractNumId="18">
    <w:nsid w:val="1E7FF521"/>
    <w:multiLevelType w:val="hybridMultilevel"/>
    <w:lvl w:ilvl="0">
      <w:lvlJc w:val="left"/>
      <w:lvlText w:val="(%1)"/>
      <w:numFmt w:val="decimal"/>
      <w:start w:val="90"/>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301"/>
    </w:lvl>
  </w:abstractNum>
  <w:abstractNum w:abstractNumId="36">
    <w:nsid w:val="51EAD36B"/>
    <w:multiLevelType w:val="hybridMultilevel"/>
    <w:lvl w:ilvl="0">
      <w:lvlJc w:val="left"/>
      <w:lvlText w:val="(%1)"/>
      <w:numFmt w:val="decimal"/>
      <w:start w:val="86"/>
    </w:lvl>
  </w:abstractNum>
  <w:abstractNum w:abstractNumId="37">
    <w:nsid w:val="2D517796"/>
    <w:multiLevelType w:val="hybridMultilevel"/>
    <w:lvl w:ilvl="0">
      <w:lvlJc w:val="left"/>
      <w:lvlText w:val="(%1)"/>
      <w:numFmt w:val="decimal"/>
      <w:start w:val="14"/>
    </w:lvl>
  </w:abstractNum>
  <w:abstractNum w:abstractNumId="38">
    <w:nsid w:val="580BD78F"/>
    <w:multiLevelType w:val="hybridMultilevel"/>
    <w:lvl w:ilvl="0">
      <w:lvlJc w:val="left"/>
      <w:lvlText w:val="(%1)"/>
      <w:numFmt w:val="decimal"/>
      <w:start w:val="118"/>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2019-12-10T12:26:06Z</dcterms:created>
  <dcterms:modified xsi:type="dcterms:W3CDTF">2019-12-10T12:26:06Z</dcterms:modified>
</cp:coreProperties>
</file>