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[X] ANNUAL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fiscal year ended December 31, 2018</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left="4580" w:right="1420" w:hanging="3146"/>
        <w:spacing w:after="0" w:line="428" w:lineRule="auto"/>
        <w:tabs>
          <w:tab w:leader="none" w:pos="160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 TRANSITION REPORT PURSUANT TO SECTION 13 OR 15(d) OF THE SECURITIES EXCHANGE ACT OF 1934 </w:t>
      </w: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0-24000</w:t>
      </w:r>
    </w:p>
    <w:p>
      <w:pPr>
        <w:spacing w:after="0" w:line="1" w:lineRule="exact"/>
        <w:rPr>
          <w:sz w:val="24"/>
          <w:szCs w:val="24"/>
          <w:color w:val="auto"/>
        </w:rPr>
      </w:pPr>
    </w:p>
    <w:tbl>
      <w:tblPr>
        <w:tblLayout w:type="fixed"/>
        <w:tblInd w:w="460" w:type="dxa"/>
        <w:tblCellMar>
          <w:top w:w="0" w:type="dxa"/>
          <w:left w:w="0" w:type="dxa"/>
          <w:bottom w:w="0" w:type="dxa"/>
          <w:right w:w="0" w:type="dxa"/>
        </w:tblCellMar>
      </w:tblPr>
      <w:tr>
        <w:trPr>
          <w:trHeight w:val="291"/>
        </w:trPr>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720" w:type="dxa"/>
            <w:vAlign w:val="bottom"/>
            <w:gridSpan w:val="4"/>
          </w:tcPr>
          <w:p>
            <w:pPr>
              <w:ind w:left="120"/>
              <w:spacing w:after="0"/>
              <w:rPr>
                <w:sz w:val="20"/>
                <w:szCs w:val="20"/>
                <w:color w:val="auto"/>
              </w:rPr>
            </w:pPr>
            <w:r>
              <w:rPr>
                <w:rFonts w:ascii="Arial" w:cs="Arial" w:eastAsia="Arial" w:hAnsi="Arial"/>
                <w:sz w:val="22"/>
                <w:szCs w:val="22"/>
                <w:b w:val="1"/>
                <w:bCs w:val="1"/>
                <w:color w:val="auto"/>
              </w:rPr>
              <w:t>ERIE INDEMNITY COMPANY</w:t>
            </w:r>
          </w:p>
        </w:tc>
      </w:tr>
      <w:tr>
        <w:trPr>
          <w:trHeight w:val="206"/>
        </w:trPr>
        <w:tc>
          <w:tcPr>
            <w:tcW w:w="17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512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(Exact name of registrant as specified in its charter)</w:t>
            </w:r>
          </w:p>
        </w:tc>
        <w:tc>
          <w:tcPr>
            <w:tcW w:w="1600" w:type="dxa"/>
            <w:vAlign w:val="bottom"/>
          </w:tcPr>
          <w:p>
            <w:pPr>
              <w:spacing w:after="0"/>
              <w:rPr>
                <w:sz w:val="17"/>
                <w:szCs w:val="17"/>
                <w:color w:val="auto"/>
              </w:rPr>
            </w:pPr>
          </w:p>
        </w:tc>
      </w:tr>
      <w:tr>
        <w:trPr>
          <w:trHeight w:val="341"/>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0"/>
              </w:rPr>
              <w:t>Pennsylvania</w:t>
            </w:r>
          </w:p>
        </w:tc>
        <w:tc>
          <w:tcPr>
            <w:tcW w:w="5120" w:type="dxa"/>
            <w:vAlign w:val="bottom"/>
            <w:gridSpan w:val="3"/>
          </w:tcPr>
          <w:p>
            <w:pPr>
              <w:jc w:val="right"/>
              <w:spacing w:after="0"/>
              <w:rPr>
                <w:sz w:val="20"/>
                <w:szCs w:val="20"/>
                <w:color w:val="auto"/>
              </w:rPr>
            </w:pPr>
            <w:r>
              <w:rPr>
                <w:rFonts w:ascii="Arial" w:cs="Arial" w:eastAsia="Arial" w:hAnsi="Arial"/>
                <w:sz w:val="16"/>
                <w:szCs w:val="16"/>
                <w:color w:val="auto"/>
              </w:rPr>
              <w:t>25-0466020</w:t>
            </w:r>
          </w:p>
        </w:tc>
        <w:tc>
          <w:tcPr>
            <w:tcW w:w="1600" w:type="dxa"/>
            <w:vAlign w:val="bottom"/>
          </w:tcPr>
          <w:p>
            <w:pPr>
              <w:spacing w:after="0"/>
              <w:rPr>
                <w:sz w:val="24"/>
                <w:szCs w:val="24"/>
                <w:color w:val="auto"/>
              </w:rPr>
            </w:pPr>
          </w:p>
        </w:tc>
      </w:tr>
      <w:tr>
        <w:trPr>
          <w:trHeight w:val="47"/>
        </w:trPr>
        <w:tc>
          <w:tcPr>
            <w:tcW w:w="35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4100" w:type="dxa"/>
            <w:vAlign w:val="bottom"/>
            <w:tcBorders>
              <w:bottom w:val="single" w:sz="8" w:color="auto"/>
            </w:tcBorders>
            <w:gridSpan w:val="2"/>
          </w:tcPr>
          <w:p>
            <w:pPr>
              <w:spacing w:after="0"/>
              <w:rPr>
                <w:sz w:val="4"/>
                <w:szCs w:val="4"/>
                <w:color w:val="auto"/>
              </w:rPr>
            </w:pPr>
          </w:p>
        </w:tc>
      </w:tr>
      <w:tr>
        <w:trPr>
          <w:trHeight w:val="217"/>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3"/>
              </w:rPr>
              <w:t>(State or other jurisdiction</w:t>
            </w:r>
          </w:p>
        </w:tc>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3560" w:type="dxa"/>
            <w:vAlign w:val="bottom"/>
            <w:gridSpan w:val="2"/>
          </w:tcPr>
          <w:p>
            <w:pPr>
              <w:jc w:val="center"/>
              <w:ind w:left="479"/>
              <w:spacing w:after="0"/>
              <w:rPr>
                <w:sz w:val="20"/>
                <w:szCs w:val="20"/>
                <w:color w:val="auto"/>
              </w:rPr>
            </w:pPr>
            <w:r>
              <w:rPr>
                <w:rFonts w:ascii="Arial" w:cs="Arial" w:eastAsia="Arial" w:hAnsi="Arial"/>
                <w:sz w:val="16"/>
                <w:szCs w:val="16"/>
                <w:color w:val="auto"/>
                <w:w w:val="93"/>
              </w:rPr>
              <w:t>of incorporation or organization)</w:t>
            </w:r>
          </w:p>
        </w:tc>
        <w:tc>
          <w:tcPr>
            <w:tcW w:w="5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540"/>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0"/>
              </w:rPr>
              <w:t>100 Erie Insurance Place, Erie, Pennsylvania</w:t>
            </w:r>
          </w:p>
        </w:tc>
        <w:tc>
          <w:tcPr>
            <w:tcW w:w="5120" w:type="dxa"/>
            <w:vAlign w:val="bottom"/>
            <w:gridSpan w:val="3"/>
          </w:tcPr>
          <w:p>
            <w:pPr>
              <w:jc w:val="right"/>
              <w:ind w:right="159"/>
              <w:spacing w:after="0"/>
              <w:rPr>
                <w:sz w:val="20"/>
                <w:szCs w:val="20"/>
                <w:color w:val="auto"/>
              </w:rPr>
            </w:pPr>
            <w:r>
              <w:rPr>
                <w:rFonts w:ascii="Arial" w:cs="Arial" w:eastAsia="Arial" w:hAnsi="Arial"/>
                <w:sz w:val="16"/>
                <w:szCs w:val="16"/>
                <w:color w:val="auto"/>
              </w:rPr>
              <w:t>16530</w:t>
            </w:r>
          </w:p>
        </w:tc>
        <w:tc>
          <w:tcPr>
            <w:tcW w:w="1600" w:type="dxa"/>
            <w:vAlign w:val="bottom"/>
          </w:tcPr>
          <w:p>
            <w:pPr>
              <w:spacing w:after="0"/>
              <w:rPr>
                <w:sz w:val="24"/>
                <w:szCs w:val="24"/>
                <w:color w:val="auto"/>
              </w:rPr>
            </w:pPr>
          </w:p>
        </w:tc>
      </w:tr>
      <w:tr>
        <w:trPr>
          <w:trHeight w:val="47"/>
        </w:trPr>
        <w:tc>
          <w:tcPr>
            <w:tcW w:w="35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4100" w:type="dxa"/>
            <w:vAlign w:val="bottom"/>
            <w:tcBorders>
              <w:bottom w:val="single" w:sz="8" w:color="auto"/>
            </w:tcBorders>
            <w:gridSpan w:val="2"/>
          </w:tcPr>
          <w:p>
            <w:pPr>
              <w:spacing w:after="0"/>
              <w:rPr>
                <w:sz w:val="4"/>
                <w:szCs w:val="4"/>
                <w:color w:val="auto"/>
              </w:rPr>
            </w:pPr>
          </w:p>
        </w:tc>
      </w:tr>
      <w:tr>
        <w:trPr>
          <w:trHeight w:val="217"/>
        </w:trPr>
        <w:tc>
          <w:tcPr>
            <w:tcW w:w="3560" w:type="dxa"/>
            <w:vAlign w:val="bottom"/>
            <w:gridSpan w:val="2"/>
          </w:tcPr>
          <w:p>
            <w:pPr>
              <w:jc w:val="center"/>
              <w:ind w:left="499"/>
              <w:spacing w:after="0"/>
              <w:rPr>
                <w:sz w:val="20"/>
                <w:szCs w:val="20"/>
                <w:color w:val="auto"/>
              </w:rPr>
            </w:pPr>
            <w:r>
              <w:rPr>
                <w:rFonts w:ascii="Arial" w:cs="Arial" w:eastAsia="Arial" w:hAnsi="Arial"/>
                <w:sz w:val="16"/>
                <w:szCs w:val="16"/>
                <w:color w:val="auto"/>
                <w:w w:val="94"/>
              </w:rPr>
              <w:t>(Address of principal executive offices)</w:t>
            </w:r>
          </w:p>
        </w:tc>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100" w:type="dxa"/>
            <w:vAlign w:val="bottom"/>
            <w:gridSpan w:val="2"/>
          </w:tcPr>
          <w:p>
            <w:pPr>
              <w:jc w:val="center"/>
              <w:spacing w:after="0"/>
              <w:rPr>
                <w:sz w:val="20"/>
                <w:szCs w:val="20"/>
                <w:color w:val="auto"/>
              </w:rPr>
            </w:pPr>
            <w:r>
              <w:rPr>
                <w:rFonts w:ascii="Arial" w:cs="Arial" w:eastAsia="Arial" w:hAnsi="Arial"/>
                <w:sz w:val="16"/>
                <w:szCs w:val="16"/>
                <w:color w:val="auto"/>
                <w:w w:val="94"/>
              </w:rPr>
              <w:t>(Zip code)</w:t>
            </w:r>
          </w:p>
        </w:tc>
      </w:tr>
    </w:tbl>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(814) 870-2000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34925</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6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71"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Class A common stock, stated value $0.0292 per share, listed on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948690</wp:posOffset>
            </wp:positionH>
            <wp:positionV relativeFrom="paragraph">
              <wp:posOffset>34925</wp:posOffset>
            </wp:positionV>
            <wp:extent cx="5222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66" w:lineRule="exact"/>
        <w:rPr>
          <w:sz w:val="24"/>
          <w:szCs w:val="24"/>
          <w:color w:val="auto"/>
        </w:rPr>
      </w:pPr>
    </w:p>
    <w:p>
      <w:pPr>
        <w:ind w:left="2920"/>
        <w:spacing w:after="0"/>
        <w:tabs>
          <w:tab w:leader="none" w:pos="616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4"/>
          <w:szCs w:val="14"/>
          <w:color w:val="auto"/>
        </w:rPr>
        <w:t>(Name of each exchange on which registered)</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960" w:type="dxa"/>
            <w:vAlign w:val="bottom"/>
          </w:tcPr>
          <w:p>
            <w:pPr>
              <w:jc w:val="right"/>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6"/>
        </w:trPr>
        <w:tc>
          <w:tcPr>
            <w:tcW w:w="7960" w:type="dxa"/>
            <w:vAlign w:val="bottom"/>
          </w:tcPr>
          <w:p>
            <w:pPr>
              <w:jc w:val="right"/>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 Yes</w:t>
            </w: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X</w:t>
            </w:r>
          </w:p>
        </w:tc>
        <w:tc>
          <w:tcPr>
            <w:tcW w:w="320" w:type="dxa"/>
            <w:vAlign w:val="bottom"/>
            <w:gridSpan w:val="2"/>
          </w:tcPr>
          <w:p>
            <w:pPr>
              <w:ind w:left="80"/>
              <w:spacing w:after="0"/>
              <w:rPr>
                <w:sz w:val="20"/>
                <w:szCs w:val="20"/>
                <w:color w:val="auto"/>
              </w:rPr>
            </w:pPr>
            <w:r>
              <w:rPr>
                <w:rFonts w:ascii="Arial" w:cs="Arial" w:eastAsia="Arial" w:hAnsi="Arial"/>
                <w:sz w:val="16"/>
                <w:szCs w:val="16"/>
                <w:color w:val="auto"/>
              </w:rPr>
              <w:t>No</w:t>
            </w:r>
          </w:p>
        </w:tc>
        <w:tc>
          <w:tcPr>
            <w:tcW w:w="240" w:type="dxa"/>
            <w:vAlign w:val="bottom"/>
            <w:tcBorders>
              <w:bottom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8120" w:type="dxa"/>
            <w:vAlign w:val="bottom"/>
            <w:gridSpan w:val="2"/>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4"/>
          </w:tcPr>
          <w:p>
            <w:pPr>
              <w:ind w:left="80"/>
              <w:spacing w:after="0"/>
              <w:rPr>
                <w:sz w:val="20"/>
                <w:szCs w:val="20"/>
                <w:color w:val="auto"/>
              </w:rPr>
            </w:pPr>
            <w:r>
              <w:rPr>
                <w:rFonts w:ascii="Arial" w:cs="Arial" w:eastAsia="Arial" w:hAnsi="Arial"/>
                <w:sz w:val="16"/>
                <w:szCs w:val="16"/>
                <w:color w:val="auto"/>
              </w:rPr>
              <w:t>No  X</w:t>
            </w:r>
          </w:p>
        </w:tc>
      </w:tr>
      <w:tr>
        <w:trPr>
          <w:trHeight w:val="20"/>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125"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6933565</wp:posOffset>
            </wp:positionH>
            <wp:positionV relativeFrom="paragraph">
              <wp:posOffset>-151130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-31115</wp:posOffset>
            </wp:positionV>
            <wp:extent cx="128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69" w:lineRule="exact"/>
        <w:rPr>
          <w:sz w:val="24"/>
          <w:szCs w:val="24"/>
          <w:color w:val="auto"/>
        </w:rPr>
      </w:pPr>
    </w:p>
    <w:p>
      <w:pPr>
        <w:ind w:right="120"/>
        <w:spacing w:after="0" w:line="27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4537710</wp:posOffset>
            </wp:positionH>
            <wp:positionV relativeFrom="paragraph">
              <wp:posOffset>-38100</wp:posOffset>
            </wp:positionV>
            <wp:extent cx="177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165" cy="8890"/>
                    </a:xfrm>
                    <a:prstGeom prst="rect">
                      <a:avLst/>
                    </a:prstGeom>
                    <a:noFill/>
                  </pic:spPr>
                </pic:pic>
              </a:graphicData>
            </a:graphic>
          </wp:anchor>
        </w:drawing>
      </w:r>
    </w:p>
    <w:p>
      <w:pPr>
        <w:spacing w:after="0" w:line="58" w:lineRule="exact"/>
        <w:rPr>
          <w:sz w:val="24"/>
          <w:szCs w:val="24"/>
          <w:color w:val="auto"/>
        </w:rPr>
      </w:pPr>
    </w:p>
    <w:p>
      <w:pPr>
        <w:ind w:right="26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54"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1760" w:type="dxa"/>
            <w:vAlign w:val="bottom"/>
            <w:gridSpan w:val="2"/>
          </w:tcPr>
          <w:p>
            <w:pPr>
              <w:spacing w:after="0"/>
              <w:rPr>
                <w:sz w:val="20"/>
                <w:szCs w:val="20"/>
                <w:color w:val="auto"/>
              </w:rPr>
            </w:pPr>
            <w:r>
              <w:rPr>
                <w:rFonts w:ascii="Arial" w:cs="Arial" w:eastAsia="Arial" w:hAnsi="Arial"/>
                <w:sz w:val="16"/>
                <w:szCs w:val="16"/>
                <w:color w:val="auto"/>
                <w:w w:val="97"/>
              </w:rPr>
              <w:t>Large accelerated filer  X</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ind w:left="1040"/>
              <w:spacing w:after="0"/>
              <w:rPr>
                <w:sz w:val="20"/>
                <w:szCs w:val="20"/>
                <w:color w:val="auto"/>
              </w:rPr>
            </w:pPr>
            <w:r>
              <w:rPr>
                <w:rFonts w:ascii="Arial" w:cs="Arial" w:eastAsia="Arial" w:hAnsi="Arial"/>
                <w:sz w:val="16"/>
                <w:szCs w:val="16"/>
                <w:color w:val="auto"/>
              </w:rPr>
              <w:t>Accelerated filer</w:t>
            </w:r>
          </w:p>
        </w:tc>
        <w:tc>
          <w:tcPr>
            <w:tcW w:w="280" w:type="dxa"/>
            <w:vAlign w:val="bottom"/>
          </w:tcPr>
          <w:p>
            <w:pPr>
              <w:spacing w:after="0"/>
              <w:rPr>
                <w:sz w:val="16"/>
                <w:szCs w:val="16"/>
                <w:color w:val="auto"/>
              </w:rPr>
            </w:pPr>
          </w:p>
        </w:tc>
        <w:tc>
          <w:tcPr>
            <w:tcW w:w="2740" w:type="dxa"/>
            <w:vAlign w:val="bottom"/>
          </w:tcPr>
          <w:p>
            <w:pPr>
              <w:ind w:left="1380"/>
              <w:spacing w:after="0"/>
              <w:rPr>
                <w:sz w:val="20"/>
                <w:szCs w:val="20"/>
                <w:color w:val="auto"/>
              </w:rPr>
            </w:pPr>
            <w:r>
              <w:rPr>
                <w:rFonts w:ascii="Arial" w:cs="Arial" w:eastAsia="Arial" w:hAnsi="Arial"/>
                <w:sz w:val="16"/>
                <w:szCs w:val="16"/>
                <w:color w:val="auto"/>
                <w:w w:val="90"/>
              </w:rPr>
              <w:t>Non-accelerated filer</w:t>
            </w:r>
          </w:p>
        </w:tc>
      </w:tr>
      <w:tr>
        <w:trPr>
          <w:trHeight w:val="20"/>
        </w:trPr>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50"/>
        </w:trPr>
        <w:tc>
          <w:tcPr>
            <w:tcW w:w="1760" w:type="dxa"/>
            <w:vAlign w:val="bottom"/>
            <w:gridSpan w:val="2"/>
          </w:tcPr>
          <w:p>
            <w:pPr>
              <w:spacing w:after="0"/>
              <w:rPr>
                <w:sz w:val="20"/>
                <w:szCs w:val="20"/>
                <w:color w:val="auto"/>
              </w:rPr>
            </w:pPr>
            <w:r>
              <w:rPr>
                <w:rFonts w:ascii="Arial" w:cs="Arial" w:eastAsia="Arial" w:hAnsi="Arial"/>
                <w:sz w:val="16"/>
                <w:szCs w:val="16"/>
                <w:color w:val="auto"/>
                <w:w w:val="90"/>
              </w:rPr>
              <w:t>Smaller reporting company</w:t>
            </w:r>
          </w:p>
        </w:tc>
        <w:tc>
          <w:tcPr>
            <w:tcW w:w="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60" w:type="dxa"/>
            <w:vAlign w:val="bottom"/>
            <w:gridSpan w:val="3"/>
          </w:tcPr>
          <w:p>
            <w:pPr>
              <w:ind w:left="1040"/>
              <w:spacing w:after="0"/>
              <w:rPr>
                <w:sz w:val="20"/>
                <w:szCs w:val="20"/>
                <w:color w:val="auto"/>
              </w:rPr>
            </w:pPr>
            <w:r>
              <w:rPr>
                <w:rFonts w:ascii="Arial" w:cs="Arial" w:eastAsia="Arial" w:hAnsi="Arial"/>
                <w:sz w:val="16"/>
                <w:szCs w:val="16"/>
                <w:color w:val="auto"/>
                <w:w w:val="94"/>
              </w:rPr>
              <w:t>Emerging growth company</w:t>
            </w:r>
          </w:p>
        </w:tc>
        <w:tc>
          <w:tcPr>
            <w:tcW w:w="280" w:type="dxa"/>
            <w:vAlign w:val="bottom"/>
            <w:tcBorders>
              <w:bottom w:val="single" w:sz="8" w:color="auto"/>
            </w:tcBorders>
          </w:tcPr>
          <w:p>
            <w:pPr>
              <w:spacing w:after="0"/>
              <w:rPr>
                <w:sz w:val="21"/>
                <w:szCs w:val="21"/>
                <w:color w:val="auto"/>
              </w:rPr>
            </w:pPr>
          </w:p>
        </w:tc>
        <w:tc>
          <w:tcPr>
            <w:tcW w:w="27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5121275</wp:posOffset>
            </wp:positionH>
            <wp:positionV relativeFrom="paragraph">
              <wp:posOffset>-179705</wp:posOffset>
            </wp:positionV>
            <wp:extent cx="180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105"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5" w:lineRule="exact"/>
        <w:rPr>
          <w:sz w:val="24"/>
          <w:szCs w:val="24"/>
          <w:color w:val="auto"/>
        </w:rPr>
      </w:pPr>
    </w:p>
    <w:p>
      <w:pPr>
        <w:spacing w:after="0"/>
        <w:tabs>
          <w:tab w:leader="none" w:pos="80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Arial" w:cs="Arial" w:eastAsia="Arial" w:hAnsi="Arial"/>
          <w:sz w:val="16"/>
          <w:szCs w:val="16"/>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4907280</wp:posOffset>
            </wp:positionH>
            <wp:positionV relativeFrom="paragraph">
              <wp:posOffset>-6985</wp:posOffset>
            </wp:positionV>
            <wp:extent cx="154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-6985</wp:posOffset>
            </wp:positionV>
            <wp:extent cx="177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165" cy="8890"/>
                    </a:xfrm>
                    <a:prstGeom prst="rect">
                      <a:avLst/>
                    </a:prstGeom>
                    <a:noFill/>
                  </pic:spPr>
                </pic:pic>
              </a:graphicData>
            </a:graphic>
          </wp:anchor>
        </w:drawing>
      </w:r>
    </w:p>
    <w:p>
      <w:pPr>
        <w:spacing w:after="0" w:line="107"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Aggregate market value of voting and non-voting common stock held by non-affiliates as of the last business day of the registrant's most recently completed second fiscal quarter: $2.9 billion of Class A non-voting common stock as of June 30, 2018. There is no active market for the Class B voting common stock. The Class B common stock is closely held by few shareholders.</w:t>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46,189,068 shares of Class A common stock and 2,542 shares of Class B common stock outstanding on February 15, 2019.</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Portions of Part III of this Form 10-K (Items 10, 11, 12, 13, and 14) are incorporated by reference to the information statement on Schedule 14(C) to be filed with the Securities and Exchange Commission no later than 120 days after December 31, 2018.</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INDEX</w:t>
            </w:r>
          </w:p>
        </w:tc>
        <w:tc>
          <w:tcPr>
            <w:tcW w:w="4620" w:type="dxa"/>
            <w:vAlign w:val="bottom"/>
            <w:gridSpan w:val="8"/>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74"/>
        </w:trPr>
        <w:tc>
          <w:tcPr>
            <w:tcW w:w="460" w:type="dxa"/>
            <w:vAlign w:val="bottom"/>
            <w:gridSpan w:val="4"/>
          </w:tcPr>
          <w:p>
            <w:pPr>
              <w:spacing w:after="0"/>
              <w:rPr>
                <w:sz w:val="20"/>
                <w:szCs w:val="20"/>
                <w:color w:val="auto"/>
              </w:rPr>
            </w:pPr>
            <w:r>
              <w:rPr>
                <w:rFonts w:ascii="Arial" w:cs="Arial" w:eastAsia="Arial" w:hAnsi="Arial"/>
                <w:sz w:val="18"/>
                <w:szCs w:val="18"/>
                <w:color w:val="auto"/>
                <w:w w:val="91"/>
              </w:rPr>
              <w:t>PART</w:t>
            </w:r>
          </w:p>
        </w:tc>
        <w:tc>
          <w:tcPr>
            <w:tcW w:w="800" w:type="dxa"/>
            <w:vAlign w:val="bottom"/>
          </w:tcPr>
          <w:p>
            <w:pPr>
              <w:spacing w:after="0"/>
              <w:rPr>
                <w:sz w:val="24"/>
                <w:szCs w:val="24"/>
                <w:color w:val="auto"/>
              </w:rPr>
            </w:pPr>
          </w:p>
        </w:tc>
        <w:tc>
          <w:tcPr>
            <w:tcW w:w="9360" w:type="dxa"/>
            <w:vAlign w:val="bottom"/>
            <w:gridSpan w:val="27"/>
          </w:tcPr>
          <w:p>
            <w:pPr>
              <w:spacing w:after="0"/>
              <w:rPr>
                <w:sz w:val="20"/>
                <w:szCs w:val="20"/>
                <w:color w:val="auto"/>
              </w:rPr>
            </w:pPr>
            <w:r>
              <w:rPr>
                <w:rFonts w:ascii="Arial" w:cs="Arial" w:eastAsia="Arial" w:hAnsi="Arial"/>
                <w:sz w:val="18"/>
                <w:szCs w:val="18"/>
                <w:color w:val="auto"/>
              </w:rPr>
              <w:t>ITEM NUMBER AND CAPTION</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790"/>
        </w:trPr>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c>
          <w:tcPr>
            <w:tcW w:w="800" w:type="dxa"/>
            <w:vAlign w:val="bottom"/>
          </w:tcPr>
          <w:p>
            <w:pPr>
              <w:spacing w:after="0"/>
              <w:rPr>
                <w:sz w:val="24"/>
                <w:szCs w:val="24"/>
                <w:color w:val="auto"/>
              </w:rPr>
            </w:pPr>
          </w:p>
        </w:tc>
        <w:tc>
          <w:tcPr>
            <w:tcW w:w="1040" w:type="dxa"/>
            <w:vAlign w:val="bottom"/>
            <w:tcBorders>
              <w:top w:val="single" w:sz="8" w:color="auto"/>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460" w:type="dxa"/>
            <w:vAlign w:val="bottom"/>
            <w:tcBorders>
              <w:top w:val="single" w:sz="8" w:color="auto"/>
            </w:tcBorders>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6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auto"/>
            </w:tcBorders>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Item 1A.</w:t>
              </w:r>
            </w:hyperlink>
          </w:p>
        </w:tc>
        <w:tc>
          <w:tcPr>
            <w:tcW w:w="42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7420" w:type="dxa"/>
            <w:vAlign w:val="bottom"/>
            <w:gridSpan w:val="19"/>
          </w:tcPr>
          <w:p>
            <w:pPr>
              <w:spacing w:after="0"/>
              <w:rPr>
                <w:sz w:val="21"/>
                <w:szCs w:val="21"/>
                <w:color w:val="auto"/>
              </w:rPr>
            </w:pPr>
          </w:p>
        </w:tc>
        <w:tc>
          <w:tcPr>
            <w:tcW w:w="64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11">
              <w:r>
                <w:rPr>
                  <w:rFonts w:ascii="Arial" w:cs="Arial" w:eastAsia="Arial" w:hAnsi="Arial"/>
                  <w:sz w:val="18"/>
                  <w:szCs w:val="18"/>
                  <w:color w:val="0000EE"/>
                  <w:w w:val="86"/>
                </w:rPr>
                <w:t>Item 1B.</w:t>
              </w:r>
            </w:hyperlink>
          </w:p>
        </w:tc>
        <w:tc>
          <w:tcPr>
            <w:tcW w:w="42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Unresolved Staff Comments</w:t>
              </w:r>
            </w:hyperlink>
          </w:p>
        </w:tc>
        <w:tc>
          <w:tcPr>
            <w:tcW w:w="6280" w:type="dxa"/>
            <w:vAlign w:val="bottom"/>
            <w:gridSpan w:val="13"/>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42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6280" w:type="dxa"/>
            <w:vAlign w:val="bottom"/>
            <w:gridSpan w:val="13"/>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3.</w:t>
              </w:r>
            </w:hyperlink>
          </w:p>
        </w:tc>
        <w:tc>
          <w:tcPr>
            <w:tcW w:w="8320" w:type="dxa"/>
            <w:vAlign w:val="bottom"/>
            <w:gridSpan w:val="2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Legal Proceedings</w:t>
              </w:r>
            </w:hyperlink>
          </w:p>
        </w:tc>
        <w:tc>
          <w:tcPr>
            <w:tcW w:w="740" w:type="dxa"/>
            <w:vAlign w:val="bottom"/>
            <w:gridSpan w:val="4"/>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832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740" w:type="dxa"/>
            <w:vAlign w:val="bottom"/>
            <w:gridSpan w:val="4"/>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32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II</w:t>
              </w:r>
            </w:hyperlink>
          </w:p>
        </w:tc>
        <w:tc>
          <w:tcPr>
            <w:tcW w:w="80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5.</w:t>
              </w:r>
            </w:hyperlink>
          </w:p>
        </w:tc>
        <w:tc>
          <w:tcPr>
            <w:tcW w:w="8320" w:type="dxa"/>
            <w:vAlign w:val="bottom"/>
            <w:gridSpan w:val="23"/>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Market for Registrant's Common Equity, Related Stockholder Matters and Issuer Purchases of Equity Securities</w:t>
              </w:r>
            </w:hyperlink>
          </w:p>
        </w:tc>
        <w:tc>
          <w:tcPr>
            <w:tcW w:w="740" w:type="dxa"/>
            <w:vAlign w:val="bottom"/>
            <w:gridSpan w:val="4"/>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6.</w:t>
              </w:r>
            </w:hyperlink>
          </w:p>
        </w:tc>
        <w:tc>
          <w:tcPr>
            <w:tcW w:w="832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740" w:type="dxa"/>
            <w:vAlign w:val="bottom"/>
            <w:gridSpan w:val="4"/>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7.</w:t>
              </w:r>
            </w:hyperlink>
          </w:p>
        </w:tc>
        <w:tc>
          <w:tcPr>
            <w:tcW w:w="832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4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Item 7A.</w:t>
              </w:r>
            </w:hyperlink>
          </w:p>
        </w:tc>
        <w:tc>
          <w:tcPr>
            <w:tcW w:w="420" w:type="dxa"/>
            <w:vAlign w:val="bottom"/>
          </w:tcPr>
          <w:p>
            <w:pPr>
              <w:spacing w:after="0"/>
              <w:rPr>
                <w:sz w:val="21"/>
                <w:szCs w:val="21"/>
                <w:color w:val="auto"/>
              </w:rPr>
            </w:pPr>
          </w:p>
        </w:tc>
        <w:tc>
          <w:tcPr>
            <w:tcW w:w="832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74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8.</w:t>
              </w:r>
            </w:hyperlink>
          </w:p>
        </w:tc>
        <w:tc>
          <w:tcPr>
            <w:tcW w:w="420" w:type="dxa"/>
            <w:vAlign w:val="bottom"/>
          </w:tcPr>
          <w:p>
            <w:pPr>
              <w:spacing w:after="0"/>
              <w:rPr>
                <w:sz w:val="21"/>
                <w:szCs w:val="21"/>
                <w:color w:val="auto"/>
              </w:rPr>
            </w:pPr>
          </w:p>
        </w:tc>
        <w:tc>
          <w:tcPr>
            <w:tcW w:w="434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3980" w:type="dxa"/>
            <w:vAlign w:val="bottom"/>
            <w:gridSpan w:val="6"/>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gridSpan w:val="4"/>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9.</w:t>
              </w:r>
            </w:hyperlink>
          </w:p>
        </w:tc>
        <w:tc>
          <w:tcPr>
            <w:tcW w:w="8320" w:type="dxa"/>
            <w:vAlign w:val="bottom"/>
            <w:gridSpan w:val="2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7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84">
              <w:r>
                <w:rPr>
                  <w:rFonts w:ascii="Arial" w:cs="Arial" w:eastAsia="Arial" w:hAnsi="Arial"/>
                  <w:sz w:val="18"/>
                  <w:szCs w:val="18"/>
                  <w:color w:val="0000EE"/>
                  <w:w w:val="86"/>
                </w:rPr>
                <w:t>Item 9A.</w:t>
              </w:r>
            </w:hyperlink>
          </w:p>
        </w:tc>
        <w:tc>
          <w:tcPr>
            <w:tcW w:w="420" w:type="dxa"/>
            <w:vAlign w:val="bottom"/>
          </w:tcPr>
          <w:p>
            <w:pPr>
              <w:spacing w:after="0"/>
              <w:rPr>
                <w:sz w:val="21"/>
                <w:szCs w:val="21"/>
                <w:color w:val="auto"/>
              </w:rPr>
            </w:pPr>
          </w:p>
        </w:tc>
        <w:tc>
          <w:tcPr>
            <w:tcW w:w="8320" w:type="dxa"/>
            <w:vAlign w:val="bottom"/>
            <w:gridSpan w:val="2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7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6"/>
              </w:rPr>
            </w:pPr>
            <w:hyperlink w:anchor="page84">
              <w:r>
                <w:rPr>
                  <w:rFonts w:ascii="Arial" w:cs="Arial" w:eastAsia="Arial" w:hAnsi="Arial"/>
                  <w:sz w:val="18"/>
                  <w:szCs w:val="18"/>
                  <w:color w:val="0000EE"/>
                  <w:w w:val="86"/>
                </w:rPr>
                <w:t>Item 9B.</w:t>
              </w:r>
            </w:hyperlink>
          </w:p>
        </w:tc>
        <w:tc>
          <w:tcPr>
            <w:tcW w:w="42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6620" w:type="dxa"/>
            <w:vAlign w:val="bottom"/>
            <w:gridSpan w:val="15"/>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320" w:type="dxa"/>
            <w:vAlign w:val="bottom"/>
            <w:gridSpan w:val="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III</w:t>
              </w:r>
            </w:hyperlink>
          </w:p>
        </w:tc>
        <w:tc>
          <w:tcPr>
            <w:tcW w:w="80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Item 10.</w:t>
              </w:r>
            </w:hyperlink>
          </w:p>
        </w:tc>
        <w:tc>
          <w:tcPr>
            <w:tcW w:w="420" w:type="dxa"/>
            <w:vAlign w:val="bottom"/>
          </w:tcPr>
          <w:p>
            <w:pPr>
              <w:spacing w:after="0"/>
              <w:rPr>
                <w:sz w:val="24"/>
                <w:szCs w:val="24"/>
                <w:color w:val="auto"/>
              </w:rPr>
            </w:pPr>
          </w:p>
        </w:tc>
        <w:tc>
          <w:tcPr>
            <w:tcW w:w="8320" w:type="dxa"/>
            <w:vAlign w:val="bottom"/>
            <w:gridSpan w:val="2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Directors, Executive Officers and Corporate Governance</w:t>
              </w:r>
            </w:hyperlink>
          </w:p>
        </w:tc>
        <w:tc>
          <w:tcPr>
            <w:tcW w:w="74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87">
              <w:r>
                <w:rPr>
                  <w:rFonts w:ascii="Arial" w:cs="Arial" w:eastAsia="Arial" w:hAnsi="Arial"/>
                  <w:sz w:val="18"/>
                  <w:szCs w:val="18"/>
                  <w:color w:val="0000EE"/>
                  <w:w w:val="82"/>
                </w:rPr>
                <w:t>Item 11.</w:t>
              </w:r>
            </w:hyperlink>
          </w:p>
        </w:tc>
        <w:tc>
          <w:tcPr>
            <w:tcW w:w="460" w:type="dxa"/>
            <w:vAlign w:val="bottom"/>
            <w:gridSpan w:val="2"/>
          </w:tcPr>
          <w:p>
            <w:pPr>
              <w:spacing w:after="0"/>
              <w:rPr>
                <w:sz w:val="21"/>
                <w:szCs w:val="21"/>
                <w:color w:val="auto"/>
              </w:rPr>
            </w:pPr>
          </w:p>
        </w:tc>
        <w:tc>
          <w:tcPr>
            <w:tcW w:w="4080" w:type="dxa"/>
            <w:vAlign w:val="bottom"/>
            <w:gridSpan w:val="1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c>
          <w:tcPr>
            <w:tcW w:w="4240" w:type="dxa"/>
            <w:vAlign w:val="bottom"/>
            <w:gridSpan w:val="7"/>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Item 12.</w:t>
              </w:r>
            </w:hyperlink>
          </w:p>
        </w:tc>
        <w:tc>
          <w:tcPr>
            <w:tcW w:w="420" w:type="dxa"/>
            <w:vAlign w:val="bottom"/>
          </w:tcPr>
          <w:p>
            <w:pPr>
              <w:spacing w:after="0"/>
              <w:rPr>
                <w:sz w:val="21"/>
                <w:szCs w:val="21"/>
                <w:color w:val="auto"/>
              </w:rPr>
            </w:pPr>
          </w:p>
        </w:tc>
        <w:tc>
          <w:tcPr>
            <w:tcW w:w="8320" w:type="dxa"/>
            <w:vAlign w:val="bottom"/>
            <w:gridSpan w:val="23"/>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 Related Stockholder Matters</w:t>
              </w:r>
            </w:hyperlink>
          </w:p>
        </w:tc>
        <w:tc>
          <w:tcPr>
            <w:tcW w:w="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Item 13.</w:t>
              </w:r>
            </w:hyperlink>
          </w:p>
        </w:tc>
        <w:tc>
          <w:tcPr>
            <w:tcW w:w="420" w:type="dxa"/>
            <w:vAlign w:val="bottom"/>
          </w:tcPr>
          <w:p>
            <w:pPr>
              <w:spacing w:after="0"/>
              <w:rPr>
                <w:sz w:val="21"/>
                <w:szCs w:val="21"/>
                <w:color w:val="auto"/>
              </w:rPr>
            </w:pPr>
          </w:p>
        </w:tc>
        <w:tc>
          <w:tcPr>
            <w:tcW w:w="728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c>
          <w:tcPr>
            <w:tcW w:w="1040" w:type="dxa"/>
            <w:vAlign w:val="bottom"/>
            <w:gridSpan w:val="2"/>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Item 14.</w:t>
              </w:r>
            </w:hyperlink>
          </w:p>
        </w:tc>
        <w:tc>
          <w:tcPr>
            <w:tcW w:w="420" w:type="dxa"/>
            <w:vAlign w:val="bottom"/>
          </w:tcPr>
          <w:p>
            <w:pPr>
              <w:spacing w:after="0"/>
              <w:rPr>
                <w:sz w:val="21"/>
                <w:szCs w:val="21"/>
                <w:color w:val="auto"/>
              </w:rPr>
            </w:pPr>
          </w:p>
        </w:tc>
        <w:tc>
          <w:tcPr>
            <w:tcW w:w="2860" w:type="dxa"/>
            <w:vAlign w:val="bottom"/>
            <w:gridSpan w:val="11"/>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Principal Accountant Fees and Services</w:t>
              </w:r>
            </w:hyperlink>
          </w:p>
        </w:tc>
        <w:tc>
          <w:tcPr>
            <w:tcW w:w="2580" w:type="dxa"/>
            <w:vAlign w:val="bottom"/>
            <w:gridSpan w:val="7"/>
          </w:tcPr>
          <w:p>
            <w:pPr>
              <w:spacing w:after="0"/>
              <w:rPr>
                <w:sz w:val="21"/>
                <w:szCs w:val="21"/>
                <w:color w:val="auto"/>
              </w:rPr>
            </w:pPr>
          </w:p>
        </w:tc>
        <w:tc>
          <w:tcPr>
            <w:tcW w:w="2880" w:type="dxa"/>
            <w:vAlign w:val="bottom"/>
            <w:gridSpan w:val="5"/>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790"/>
        </w:trPr>
        <w:tc>
          <w:tcPr>
            <w:tcW w:w="140" w:type="dxa"/>
            <w:vAlign w:val="bottom"/>
          </w:tcPr>
          <w:p>
            <w:pPr>
              <w:spacing w:after="0"/>
              <w:rPr>
                <w:sz w:val="24"/>
                <w:szCs w:val="24"/>
                <w:color w:val="auto"/>
              </w:rPr>
            </w:pPr>
          </w:p>
        </w:tc>
        <w:tc>
          <w:tcPr>
            <w:tcW w:w="180" w:type="dxa"/>
            <w:vAlign w:val="bottom"/>
            <w:gridSpan w:val="2"/>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IV</w:t>
              </w:r>
            </w:hyperlink>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82"/>
              </w:rPr>
            </w:pPr>
            <w:hyperlink w:anchor="page88">
              <w:r>
                <w:rPr>
                  <w:rFonts w:ascii="Arial" w:cs="Arial" w:eastAsia="Arial" w:hAnsi="Arial"/>
                  <w:sz w:val="18"/>
                  <w:szCs w:val="18"/>
                  <w:color w:val="0000EE"/>
                  <w:w w:val="82"/>
                </w:rPr>
                <w:t>Item 15.</w:t>
              </w:r>
            </w:hyperlink>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60" w:type="dxa"/>
            <w:vAlign w:val="bottom"/>
            <w:gridSpan w:val="13"/>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Exhibits and Financial Statement Schedules</w:t>
              </w:r>
            </w:hyperlink>
          </w:p>
        </w:tc>
        <w:tc>
          <w:tcPr>
            <w:tcW w:w="5160" w:type="dxa"/>
            <w:vAlign w:val="bottom"/>
            <w:gridSpan w:val="10"/>
          </w:tcPr>
          <w:p>
            <w:pPr>
              <w:spacing w:after="0"/>
              <w:rPr>
                <w:sz w:val="24"/>
                <w:szCs w:val="24"/>
                <w:color w:val="auto"/>
              </w:rPr>
            </w:pPr>
          </w:p>
        </w:tc>
        <w:tc>
          <w:tcPr>
            <w:tcW w:w="7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EE"/>
                <w:w w:val="82"/>
              </w:rPr>
            </w:pPr>
            <w:hyperlink w:anchor="page88">
              <w:r>
                <w:rPr>
                  <w:rFonts w:ascii="Arial" w:cs="Arial" w:eastAsia="Arial" w:hAnsi="Arial"/>
                  <w:sz w:val="18"/>
                  <w:szCs w:val="18"/>
                  <w:color w:val="0000EE"/>
                  <w:w w:val="82"/>
                </w:rPr>
                <w:t>Item 16.</w:t>
              </w:r>
            </w:hyperlink>
          </w:p>
        </w:tc>
        <w:tc>
          <w:tcPr>
            <w:tcW w:w="460" w:type="dxa"/>
            <w:vAlign w:val="bottom"/>
            <w:gridSpan w:val="2"/>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Form 10-K Summary</w:t>
              </w:r>
            </w:hyperlink>
          </w:p>
        </w:tc>
        <w:tc>
          <w:tcPr>
            <w:tcW w:w="5160" w:type="dxa"/>
            <w:vAlign w:val="bottom"/>
            <w:gridSpan w:val="10"/>
          </w:tcPr>
          <w:p>
            <w:pPr>
              <w:spacing w:after="0"/>
              <w:rPr>
                <w:sz w:val="21"/>
                <w:szCs w:val="21"/>
                <w:color w:val="auto"/>
              </w:rPr>
            </w:pPr>
          </w:p>
        </w:tc>
        <w:tc>
          <w:tcPr>
            <w:tcW w:w="7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6780" w:type="dxa"/>
            <w:vAlign w:val="bottom"/>
            <w:gridSpan w:val="1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gridSpan w:val="3"/>
          </w:tcPr>
          <w:p>
            <w:pPr>
              <w:spacing w:after="0"/>
              <w:rPr>
                <w:rFonts w:ascii="Arial" w:cs="Arial" w:eastAsia="Arial" w:hAnsi="Arial"/>
                <w:sz w:val="18"/>
                <w:szCs w:val="18"/>
                <w:color w:val="0000EE"/>
                <w:w w:val="85"/>
              </w:rPr>
            </w:pPr>
            <w:hyperlink w:anchor="page92">
              <w:r>
                <w:rPr>
                  <w:rFonts w:ascii="Arial" w:cs="Arial" w:eastAsia="Arial" w:hAnsi="Arial"/>
                  <w:sz w:val="18"/>
                  <w:szCs w:val="18"/>
                  <w:color w:val="0000EE"/>
                  <w:w w:val="85"/>
                </w:rPr>
                <w:t>Signatures</w:t>
              </w:r>
            </w:hyperlink>
          </w:p>
        </w:tc>
        <w:tc>
          <w:tcPr>
            <w:tcW w:w="780" w:type="dxa"/>
            <w:vAlign w:val="bottom"/>
            <w:gridSpan w:val="4"/>
          </w:tcPr>
          <w:p>
            <w:pPr>
              <w:spacing w:after="0"/>
              <w:rPr>
                <w:sz w:val="24"/>
                <w:szCs w:val="24"/>
                <w:color w:val="auto"/>
              </w:rPr>
            </w:pPr>
          </w:p>
        </w:tc>
        <w:tc>
          <w:tcPr>
            <w:tcW w:w="6780" w:type="dxa"/>
            <w:vAlign w:val="bottom"/>
            <w:gridSpan w:val="16"/>
          </w:tcPr>
          <w:p>
            <w:pPr>
              <w:spacing w:after="0"/>
              <w:rPr>
                <w:sz w:val="24"/>
                <w:szCs w:val="24"/>
                <w:color w:val="auto"/>
              </w:rPr>
            </w:pPr>
          </w:p>
        </w:tc>
        <w:tc>
          <w:tcPr>
            <w:tcW w:w="74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r>
      <w:tr>
        <w:trPr>
          <w:trHeight w:val="507"/>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2940" w:type="dxa"/>
            <w:vAlign w:val="bottom"/>
            <w:gridSpan w:val="12"/>
          </w:tcPr>
          <w:p>
            <w:pPr>
              <w:jc w:val="right"/>
              <w:ind w:right="2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The Exchange has wholly owned property and casualty subsidiaries including: Erie Insurance Company, Erie Insurance Company of New York, Erie Insurance Property and Casualty Company and Flagship City Insurance Company, and a wholly owned life insurance company, Erie Family Life Insurance Company ("EFL").</w:t>
      </w:r>
    </w:p>
    <w:p>
      <w:pPr>
        <w:spacing w:after="0" w:line="179"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Our primary function as attorney-in-fact is to perform policy issuance and renewal services on behalf of the subscribers at the Exchange. We also act as attorney-in-fact on behalf of the Exchange with respect to all claims handling and investment management services, as well as the service provider for all claims handling, life insurance, and investment management services for its insurance subsidiaries, collectively referred to as "administrative services". Acting as attorney-in-fact in these two capacities is done in accordance with a subscriber's agreement (a limited power of attorney) executed individually by each subscriber (policyholder), which appoints us as their common attorney-in-fact to transact certain business on their behalf. Pursuant to the subscriber’s agreement for acting as attorney-in-fact in these two capacities, we earn a management fee calculated as a percentage, not to exceed 25%, of the direct and assumed premiums written by the Exchange. The management fee rate is set at least annually by our Board of Directors.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67% of our 2018 policy issuance and renewal expenses. The underwriting services we provide include underwriting and policy processing and comprised approximately 10% of our 2018 policy issuance and renewal expenses. The remaining services we provide include customer service and administrative support. We also provide information technology services that support all the functions listed above that comprised approximately 10% of our 2018 policy issuance and renewal expenses. Included in these expenses are allocations of costs for departments that support these policy issuance and renewal functions.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w:t>
      </w:r>
    </w:p>
    <w:p>
      <w:pPr>
        <w:spacing w:after="0" w:line="27" w:lineRule="exact"/>
        <w:rPr>
          <w:sz w:val="20"/>
          <w:szCs w:val="20"/>
          <w:color w:val="auto"/>
        </w:rPr>
      </w:pPr>
    </w:p>
    <w:p>
      <w:pPr>
        <w:jc w:val="both"/>
        <w:ind w:right="300"/>
        <w:spacing w:after="0" w:line="277" w:lineRule="auto"/>
        <w:rPr>
          <w:sz w:val="20"/>
          <w:szCs w:val="20"/>
          <w:color w:val="auto"/>
        </w:rPr>
      </w:pPr>
      <w:r>
        <w:rPr>
          <w:rFonts w:ascii="Arial" w:cs="Arial" w:eastAsia="Arial" w:hAnsi="Arial"/>
          <w:sz w:val="17"/>
          <w:szCs w:val="17"/>
          <w:color w:val="auto"/>
        </w:rPr>
        <w:t>As our primary purpose is to manage the affairs at the Exchange for the benefit of the subscribers (policyholders) through the policy issuance and renewal services and administrative services, the Exchange is our sole customer. Our earnings are largely generated from management fees based on the direct and assumed premiums written by the Exchange. We have no direct competition in providing these services to the Exchange.</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Exchange generates revenue by insuring preferred and standard risks, with personal lines comprising 71% of the 2018 direct and assumed written premiums and commercial lines comprising the remaining 29%. The principal personal lines products are private passenger automobile and homeowners. The principal commercial lines products are commercial multi-peril, commercial automobile and workers compensation. Historically, due to policy renewal and sales patterns, the Exchange's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direct and assumed written premiums are greater in the second and third quarters than in the first and fourth quarters of the calendar year.</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Exchange is represented by independent agencies that serve as its sole distribution channel. In addition to their principal role as salespersons, the independent agents play a significant role as underwriting and service providers and are an integral part of the Exchange's success.</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and cost reimbursements. See Part II, Item 8. "Financial Statements and Supplementary Data - Note 15, Concentrations of Credit Risk, of Notes to Financial Statements" contained within this report. See the risk factors related to our dependency on the growth and financial condition of the Exchange in Item 1A. "Risk Factors" contained within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function as attorney-in-fact is to perform policy issuance and renewal services on behalf of the subscribers at the Exchange. We also act as attorney-in-fact on behalf of the Exchange, as well as the service provider for its insurance subsidiaries, with respect to all administrative services. There are a limited number of companies that provide services under a reciprocal insurance exchange structure. We do not directly compete against other such companies, given we are appointed by the subscribers at the Exchange to provide these services.</w:t>
      </w:r>
    </w:p>
    <w:p>
      <w:pPr>
        <w:spacing w:after="0" w:line="19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direct and assumed premiums written by the Exchange drive our management fee which is our primary source of revenue. The property and casualty insurance industry is highly competitive. 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is provided by large, well-capitalized national companies, some of which have broad distribution networks of employed or captive agents, by smaller regional insurers, and by large companies who market and sell personal lines products directly to consumers. In addition, because the insurance products of the Exchange are marketed exclusively through independent insurance agents, the Exchange faces competition within its appointed agencies based upon ease of doing business, product, price, and service relationships.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Market competition bears directly on the price charged for insurance products and services subject to regulatory limitations. Industry capital levels can also significantly affect prices charged for coverage. Growth is driven by a company's ability to provide insurance services and competitive prices while maintaining target profit margins. Growth is a product of a company's ability to retain existing customers and to attract new customers, as well as movement in the average premium per policy.</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Exchange's strategic focus includes employing an underwriting philosophy and product mix targeted to produce an underwriting profit on a long-term basis through careful risk selection and rational pricing, and consistently providing superior service to policyholders and agents. The Exchange's business model is designed to provide the advantages of localized marketing and claims servicing with the economies of scale and low cost of operations from centralized support services. The Exchange also carefully selects the independent agencies that represent it and seeks to be the lead insurer with its agents in order to enhance the agency relationship and the likelihood of receiving the most desirable underwriting opportunities from its agents.</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the risk factors related to our dependency on the growth and financial condition of the Exchange in Item 1A. "Risk Factors" contained within this report for further discussion on competition in the insurance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had over 5,500 full-time employees at December 31, 2018, of which over 2,700, or 49%, provide claims related services exclusively for the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Exchange reimburses us monthly for the cost of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7"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Most states have enacted legislation that regulates insurance holding company systems, defined as two or more affiliated persons, one or more of which is an insurer. Indemnity and the Exchange, and its wholly owned subsidiaries, meet the definition of an insurance holding company system.</w:t>
      </w:r>
    </w:p>
    <w:p>
      <w:pPr>
        <w:spacing w:after="0" w:line="16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and the Exchange and its wholly owned subsidiaries at any time, and may require disclosure and/or prior approval of certain transactions with the insurers and us, as an insurance holding company.</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Our annual reports on Form 10-K, quarterly reports on Form 10-Q, current reports on Form 8-K, and any amendments to those reports are available free of charge on our website at </w:t>
      </w:r>
      <w:r>
        <w:rPr>
          <w:rFonts w:ascii="Arial" w:cs="Arial" w:eastAsia="Arial" w:hAnsi="Arial"/>
          <w:sz w:val="17"/>
          <w:szCs w:val="17"/>
          <w:u w:val="single" w:color="auto"/>
          <w:color w:val="auto"/>
        </w:rPr>
        <w:t>www.erieinsurance.com</w:t>
      </w:r>
      <w:r>
        <w:rPr>
          <w:rFonts w:ascii="Arial" w:cs="Arial" w:eastAsia="Arial" w:hAnsi="Arial"/>
          <w:sz w:val="17"/>
          <w:szCs w:val="17"/>
          <w:color w:val="auto"/>
        </w:rPr>
        <w:t xml:space="preserve"> as soon as reasonably practicable after such material is filed electronically with the Securities and Exchange Commission. Additionally, copies of our annual report on Form 10-K are available free of charge, upon written request, by contacting Investor Relations, Erie Indemnity Company, 100 Erie Insurance Place, Erie, PA 16530, or calling (800) 458-0811.</w:t>
      </w:r>
    </w:p>
    <w:p>
      <w:pPr>
        <w:spacing w:after="0" w:line="3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involves various risks and uncertainties, including, but not limited to those discussed in this section. The risks and uncertainties described in the risk factors below, or any additional risk outside of those discussed below, could have a material adverse effect on our business, financial condition, operating results, cash flows, or liquidity if they were to develop into actual events. This information should be considered carefully together with the other information contained in this report and in other reports and materials we file periodically with the Securities and Exchange Commission.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If the management fee rate paid by the Exchange is reduced or if there is a significant decrease in the amount of direct and assumed premiums written by the Exchange, revenues and profitability could be materially adversely affected.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dependent upon management fees paid by the Exchange, which represent our principal source of revenue. Pursuant to the subscriber's agreement with the subscribers at the Exchange, we may retain up to 25% of all direct and assumed premiums written by the Exchange. Therefore, management fee revenue from the Exchange is calculated by multiplying the management fee rate by the direct and assumed premiums written by the Exchange. Accordingly, any reduction in direct and assumed premiums written by the Exchange and/or the management fee rate would have a negative effect on our revenues and net income.</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management fee rate is determined by our Board of Directors and may not exceed 25% of the direct and assumed premiums written by the Exchange. The Board of Directors sets the management fee rate each December for the following year. At their discretion, the rate can be changed at any time.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 The evaluation of these factors could result in a reduction to the management fee rate and our revenues and profitability could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Serving as the attorney-in-fact in the reciprocal insurance exchange structure results in the Exchange being our sole customer. We have an interest in the growth of the Exchange as our earnings are largely generated from management fees based on the direct and assumed premiums written by the Exchange. If the Exchange's ability to grow or renew policies were adversely impacted, the premium revenue of the Exchange would be adversely affected which would reduce our management fee revenue. The circumstances or events that might impair the Exchange's ability to grow include, but are not limited to, the items discussed below.</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Unfavorable changes in macroeconomic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Exchange faces significant competition from other regional and national insurance companies. The property and casualty insurance industry is highly competitive on the basis of product, price and service. If the Exchange's competitors offer property and casualty products with more coverage or offer lower rates, and the Exchange is unable to implement product improvements quickly enough to keep pace, its ability to grow and renew its business may be adversely impacted. In addition, due to the Exchange's premium concentration in the automobile and homeowners insurance markets, it may be more sensitive to trends that could affect auto and home insurance coverages and rates over time, for example changing vehicle usage, usage-based methods of determining premiums, ownership and driving patterns such as ride sharing, advancements in vehicle or home technology or safety features such as accident and loss prevention technologies, the development of autonomous vehicles, or residential occupancy patterns, among other factors.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Exchange markets and sells its insurance products through independent, non-exclusive insurance agencies. These agencies are not obligated to sell only the Exchange's insurance products, and generally also sell products of the Exchange's competitors. If agencies do not maintain their current levels of marketing efforts, bind the Exchange to unacceptable risks, place business with competing insurers, or the Exchange is unsuccessful in attracting or retaining agencies in its distribution system as well as maintaining its relationships with those agencies, the Exchange's ability to grow and renew its business may be adversely impacted. Additionally, consumer preferences may cause the insurance industry as a whole to migrate to a delivery system other than independent agencies.</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Exchange maintains a brand recognized for customer service. The perceived performance, actions, conduct and behaviors of employees, independent insurance agency representatives, and third-party service partners may result in reputational harm to the Exchange's brand. Specific incidents which may cause harm include but are not limited to disputes, long customer wait times, errors in processing a claim, failure to protect sensitive customer data, and negative or inaccurate social media communications. Likewise, an inability to match or exceed the service provided by competitors, which is increasingly relying on digital delivery and enhanced distribution technology, may impede the Exchange's ability to maintain and/or grow its customer base. If third-party service providers fail to perform as anticipated, the Exchange may experience operational difficulties, increased costs and reputational damage. If an extreme catastrophic event were to occur in a heavily concentrated geographic area of subscribers/policyholders, an extraordinarily high number of claims could have the potential to strain claims processing and affect the Exchange's ability to satisfy its customers. Any reputational harm to the Exchange could have the potential to impair its ability to grow and renew its business.</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We also have an interest in the financial condition of the Exchange based on serving as the attorney-in-fact in the reciprocal insurance exchange structure and the Exchange being our sole customer. Our earnings are largely generated from management fees based on the direct and assumed premiums written by the Exchange. If the Exchange were to fail to maintain acceptable financial strength ratings, its competitive position in the insurance industry would be adversely affected. If a rating downgrade led to customers not renewing or canceling policies, or impacted the Exchange's ability to attract new customers, the premium revenue of the Exchange would be adversely affected which would reduce our management fee revenue. The circumstances or events that might impair the Exchange's financial condition include, but are not limited to, the items discussed below.</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strength ratings are an important factor in establishing the competitive position of insurance companies such as the Exchange. Higher ratings generally indicate greater financial stability and a stronger ability to meet ongoing obligations to policyholders. The Exchange's A.M. Best rating is currently A+ ("Superior"). Rating agencies periodically review insurers' ratings and change their rating criteria; therefore, the Exchange's current rating may not be maintained in the future. A significant downgrade in this or other ratings would reduce the competitive position of the Exchange, making it more difficult to attract profitable business in the highly competitive property and casualty insurance market and potentially result in reduced sales of its products and lower premium revenue.</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1" w:right="3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performance of the Exchange's investment portfolio is subject to a variety of investment risks. The Exchange's investment portfolio is comprised principally of fixed income securities, equity securities and limited partnerships. The fixed income portfolio is subject to a number of risks including, but not limited to, interest rate risk, investment credit risk, sector/concentration risk and liquidity risk. The Exchange's common stock and preferred equity securities have exposure to price risk, the risk of potential loss in estimated fair value resulting from an adverse change in prices. Limited partnerships are 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If any investments in the Exchange's investment portfolio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or rating agency minimum capital requirements.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Property and casualty insurers are subject to extensive regulatory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restrictions on underwriting standards, accounting standards, and transactions between affiliates. Such regulation and supervision are primarily for the benefit and protection of policyholders. Changes in applicable insurance laws, regulations, or changes in the way regulators administer those laws or regulations could adversely change the Exchange's operating environment and increase its exposure to loss or put it at a competitive disadvantage, which could result in reduced sales of its products and lower premium revenue.</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insurance industry practices and legal, judicial, social and other environmental conditions change, unexpected and unintended issues related to claims and coverage may emerge. In some instances, these emerging issues may not become apparent for some time after the Exchange has issued the affected insurance policies. As a result, the full extent of liability under the Exchange's insurance policies may not be known for many years after the policies are issued. These issues may adversely affect the Exchange's business by either extending coverage beyond its underwriting intent or by increasing the number or size of claims.</w:t>
      </w:r>
    </w:p>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Exchange's insurance operations are exposed to claims arising out of catastrophes. Common natural catastrophic events include hurricanes, earthquakes, tornadoes, hail storms, and severe winter weather. The frequency and severity of these catastrophes is inherently unpredictable. Changing climate conditions have added to the unpredictability, frequency and severity of natural disasters and have created additional uncertainty as to future trends and exposures. A single catastrophic occurrence or aggregation of multiple smaller occurrences within its geographical region could adversely affect the financial condition of the Exchange. Terrorist attacks could also cause losses from insurance claims related to the property and casualty insurance operations. The Exchange could incur large net losses if terrorist attacks were to occur which could adversely affect its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the costs of providing services to the Exchange are not controlled, our profitability could be materially adversely affected.</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subscriber's agreement, we perform policy issuance and renewal services for the subscribers at the Exchange and we serve as the attorney-in-fact on behalf of the Exchange with respect to its administrative services. The most significant costs we incur in providing policy issuance and renewal services are commissions, employee costs, and technology costs.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Commissions to independent agents are our largest expense. Commissions include scheduled commissions to agents based upon premiums written as well as additional commissions and bonuses to agents, which are earned by achieving certain targeted measures. Changes to commission rates or bonus programs may result in increased future costs and lower profitability.</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second largest expense is employee costs, including salaries, healthcare, pension, and other benefit costs. Regulatory developments, provider relationships, and demographic and economic factors that are beyond our control indicate that employee healthcare costs could continue to increase. Although we actively manage these cost increases, there can be no assurance that future cost increases will not occur and reduce our profitability. The defined benefit pension plan we offer to our employees is affected by variable factors such as the interest rate used to discount pension liabilities, asset performance and changes in retirement patterns, which are beyond our control and any related future costs increases would reduce our profitability.</w:t>
      </w:r>
    </w:p>
    <w:p>
      <w:pPr>
        <w:spacing w:after="0" w:line="173" w:lineRule="exact"/>
        <w:rPr>
          <w:sz w:val="20"/>
          <w:szCs w:val="20"/>
          <w:color w:val="auto"/>
        </w:rPr>
      </w:pPr>
    </w:p>
    <w:p>
      <w:pPr>
        <w:jc w:val="both"/>
        <w:ind w:right="720"/>
        <w:spacing w:after="0" w:line="264" w:lineRule="auto"/>
        <w:rPr>
          <w:sz w:val="20"/>
          <w:szCs w:val="20"/>
          <w:color w:val="auto"/>
        </w:rPr>
      </w:pPr>
      <w:r>
        <w:rPr>
          <w:rFonts w:ascii="Arial" w:cs="Arial" w:eastAsia="Arial" w:hAnsi="Arial"/>
          <w:sz w:val="18"/>
          <w:szCs w:val="18"/>
          <w:color w:val="auto"/>
        </w:rPr>
        <w:t>Technological development is necessary to facilitate ease of doing business for employees, agents and customers. Insurance company technological developments are focused on simplifying and improving the customer experience, increasing efficiencies, redesigning products and addressing other potentially disruptive changes in the insurance industry. As we continue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develop technology initiatives in order to remain competitive, our profitability could be negatively impacted as we invest in system development projects.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credit risk from the Exchange because the management fees from the Exchange are not paid immediately when premiums are written.</w:t>
      </w:r>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recognize a significant portion of management fees due from the Exchange as income when the premiums are written because at that time we have performed substantially all of the services we are required to perform related to policy issuance and renewal. However, the management fees are not paid to us by the Exchange until the Exchange collects the premiums from subscribers/policyholders. As a result, we hold receivables for management fees on premiums that have been written and assumed by the Exchange but not yet collected. We also hold receivables from the Exchange for claims related and administrative costs for which we are reimbursed at actual costs. These costs are settled monthly. The receivable from the Exchange totaled $449.9 million, or approximately 25% of our total assets at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attract, develop, and retain talented executives, key managers, and employees is critical to our success.</w:t>
      </w:r>
    </w:p>
    <w:p>
      <w:pPr>
        <w:spacing w:after="0" w:line="22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Our success is largely dependent upon our ability to attract and retain executives and other key management. The loss of the services and leadership of certain key officers and the failure to attract and develop talented new executives and managers could prevent us from successfully communicating, implementing, and executing business strategies, and therefore have a material adverse effect on our financial condition and results of operations.</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success also depends on our ability to attract, develop, and retain a talented employee base. The inability to staff all functions of our business with employees possessing the appropriate technical expertise, or our failure to recognize and respond to changing trends and other circumstances that affect our employees, could have an adverse effect on our business performance. Staffing appropriately skilled employees for the handling of claims and servicing of customers, rendering of disciplined underwriting, and effective sales and marketing are critical to the core functions of our business. In addition, skilled employees in the actuarial, finance, human resources, law, and information technology areas are also essential to support our core functions.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are unable to ensure system availability or effectively manage technology initiatives, we may experience adverse financial consequences and/or may be unable to compete effectively.</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business is highly dependent upon the effectiveness of our technology and information systems which support key functions of our core business operations including processing applications and premium payments, providing customer support, performing actuarial and financial analysis, and maintaining key data. Additionally, the Exchange relies heavily on technology systems for processing claims. In order to support our business processes and strategic initiatives in a cost and resource efficient manner, we must maintain the effectiveness of existing technology systems and continue to both develop new, and enhance existing, technology systems. As we invest in the development of our systems, costs and completion times could exceed original estimates, and/or the project may not deliver the anticipated benefit, or perform as expected. If we do not effectively and efficiently manage and upgrade our technology systems, our ability to serve our customers and implement our strategic initiatives could be adversely impacted.</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utilize third-party software for certain technology and business process functions. If our third-party software vendors are subjected to intellectual property infringement claims, we may lose the ability to use their software until the dispute is resolved.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Additionally, we depend on a large amount of data to price policies appropriately, track exposures, perform financial analysis, report to regulatory bodies, and ultimately make business decisions. Should this data be inaccurate or insufficient, risk exposure may be underestimated and/or poor business decisions may be made. This may in turn lead to adverse operational or financial performance and adverse customer or investor confidence.</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If we experience difficulties with technology, data and network security, including as a result of cyber attacks, third-party relationships or cloud-based relationships, our ability to conduct our business could be adversely impacted.</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normal course of business we collect, use, store and where appropriate, disclose data concerning individuals and businesses. We also conduct business using third-party vendors who may provide software, data storage, cloud-based computing and other technology services. Like other companies, we have on occasion experienced, and will continue to experience, cyber threats to our data and systems. Cyber threats can create significant risks such as destruction of systems or data, denial of service, disruption of transaction execution, loss or exposure of customer data, theft or exposure of our intellectual property, theft of funds or disruption of other important business functions. The business we conduct with our</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third-party vendors may expose us to increased risk related to data security, service disruptions or effectiveness of our control system.</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we are subject to numerous federal and state data privacy laws relating to the privacy of the nonpublic personal information of our customers, employees and others. The misuse or mishandling of information sent to or received from a customer, employee or third party could result in legal liability, regulatory action and reputational damage. Third parties on whom we rely for certain business processing functions are also subject to these risks, and their failure to adhere to these laws and regulations could negatively impact us.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employ a company-wide cybersecurity program of technical, administrative, physical and disclosure controls intended to reduce the risk of cyber threats and protect our information, as well as to communicate potential material threats and incidents. Our cybersecurity philosophy and approach align to the National Institute of Standards and Technology Cybersecurity Framework and its core elements to identify, protect, detect, respond and recover from the various forms of cyber threats. Our practices include, but are not limited to, cybersecurity protocols and controls, system monitoring and detection, communication of incidents to appropriate management, vendor risk management, and ongoing privacy and cybersecurity training for employees and contractors concerning cyber risk. We periodically assess the effectiveness of our cybersecurity efforts including independent validation and verification and security assessments conducted by independent third parties. The number, complexity and sophistication of cyber threats continue to increase over time. The controls we have implemented, and continue to develop, may not be sufficient to prevent events like unauthorized physical or electronic access, denial of service, cyber attacks, or other security breaches to our computer systems or those of third parties with whom we do business. In some cases, such events may not be immediately detected and/or the impact of such events immediately determined.</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Board of Directors oversees our activities with respect to managing cyber risk through a specific cybersecurity subcommittee. Management periodically reports on our cybersecurity risk management program including our risk evaluation and the results of independent third party security assessments, and our efforts to mitigate cyber related risks.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date, we are not aware of any material cybersecurity breach with respect to our systems or data. Any cyber incident or other security breach could cause disruption in our business operations and may result in other negative consequences including significant remediation costs, loss of revenue, additional regulatory scrutiny, fines, litigation, monetary damages and reputational harm. While we maintain cyber liability insurance to mitigate the financial risk around cyber incidents, such insurance may not cover all costs associated with the consequences of information or systems being compromised. As a result, in the event of a material cybersecurity breach, our business, cash flows, financial condition or results of operations could be materially, adversely affected.</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If events occurred causing interruption of our operations, facilities, systems or business functions, it could have a material adverse effect on our operations and financial results.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an established business continuity plan to ensure the continuation of core business operations in the event that normal business operations could not be performed due to a catastrophic event. While we continue to test and assess our business continuity plan to ensure it meets the needs of our core business operations and addresses multiple business interruption events, there is no assurance that core business operations could be performed upon the occurrence of such an event. Systems failures or outages could compromise our ability to perform our business functions in a timely manner, which could harm our ability to conduct business and hurt our relationships with our business partners and customers. Our business continuity is also dependent on third-party systems on which our information technology systems interface and rely. Our systems and those of our third-party vendors may become vulnerable to damage or disruption due to circumstances beyond our or their control, such as from catastrophic events, power anomalies or outages, natural disasters, network failures, and viruses. The failure of our information systems for any reason could result in a material adverse effect on our business, cash flows, financial condition, or results of operations.</w:t>
      </w:r>
    </w:p>
    <w:p>
      <w:pPr>
        <w:spacing w:after="0" w:line="1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The performance of our investment portfolio is subject to a variety of investment risks, which may in turn have a material adverse effect on our results of operations or financial condition.</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Our investment portfolio is comprised principally of fixed income securities. At December 31, 2018, our investment portfolio consisted of approximately 88% fixed income securities. The remaining 12% is comprised of other investments, limited partnerships and equity securities.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All of our marketable securities are subject to market volatility. To the extent that future market volatility negatively impacts our investments, our financial condition will be negatively impacted. We review the investment portfolio on a continuous basis to evaluate positions that might have incurred other-than-temporary declines in value. Inherent in management's evaluation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 security are assumptions and estimates about the operations of the issuer and its future earnings potential. The primary factors considered in our review of investment valuation include the extent and duration to which fair value is less than cost, historical operating performance and financial condition of the issuer, short- and long-term prospects of the issuer and its industry, specific events that occurred affecting the issuer, including rating downgrades, and, depending on the type of security, our intent to sell or our ability and intent to retain the investment for a period of time sufficient to allow for a recovery in value. As the process for determining impairments is highly subjective, changes in our assessments may have a material effect on our operating results and financial condition. See also Item 7A. "Quantitative and Qualitative Disclosures about Market Risk".</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the fixed income, equity, or limited partnership portfolios were to suffer a substantial decrease in value, our financial position and results of operations could be materially adversely affected through increased realized/unrealized losses or impairments.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the fixed income portfolio is subject to a number of risks including, but not limited to:</w:t>
      </w: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Interest rate risk - the risk of adverse changes in the value of fixed income securities as a result of increases in market interest rates.</w:t>
      </w:r>
    </w:p>
    <w:p>
      <w:pPr>
        <w:spacing w:after="0" w:line="236" w:lineRule="exact"/>
        <w:rPr>
          <w:rFonts w:ascii="Arial" w:cs="Arial" w:eastAsia="Arial" w:hAnsi="Arial"/>
          <w:sz w:val="17"/>
          <w:szCs w:val="17"/>
          <w:color w:val="auto"/>
        </w:rPr>
      </w:pPr>
    </w:p>
    <w:p>
      <w:pPr>
        <w:ind w:left="980" w:right="28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Investment credit risk - the risk that the value of certain investments may decrease due to the deterioration in financial condition of, or the liquidity available to, one or more issuers of those securities or, in the case of asset-backed securities, due to the deterioration of the loans or other assets that underlie the securities, which, in each case, also includes the risk of permanent loss.</w:t>
      </w:r>
    </w:p>
    <w:p>
      <w:pPr>
        <w:spacing w:after="0" w:line="165" w:lineRule="exact"/>
        <w:rPr>
          <w:rFonts w:ascii="Arial" w:cs="Arial" w:eastAsia="Arial" w:hAnsi="Arial"/>
          <w:sz w:val="17"/>
          <w:szCs w:val="17"/>
          <w:color w:val="auto"/>
        </w:rPr>
      </w:pPr>
    </w:p>
    <w:p>
      <w:pPr>
        <w:ind w:left="980" w:right="20" w:hanging="324"/>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Sector/Concentration risk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186" w:lineRule="exact"/>
        <w:rPr>
          <w:rFonts w:ascii="Arial" w:cs="Arial" w:eastAsia="Arial" w:hAnsi="Arial"/>
          <w:sz w:val="18"/>
          <w:szCs w:val="18"/>
          <w:color w:val="auto"/>
        </w:rPr>
      </w:pPr>
    </w:p>
    <w:p>
      <w:pPr>
        <w:jc w:val="both"/>
        <w:ind w:left="980" w:right="160" w:hanging="324"/>
        <w:spacing w:after="0" w:line="31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Liquidity risk - the risk that we will not be able to convert investment securities into cash on favorable terms and on a timely basis, or that we will not be able to sell them at all, when desired. Disruptions in the financial markets or a lack of buyers for the specific securities that we are trying to sell, could prevent us from liquidating securities or cause a reduction in prices to levels that are not acceptable to us.</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General economic conditions and other factors beyond our control can adversely affect the value of our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our respective investment portfolios. This could reduce fair values of investments and generate significant unrealized losses or impairment charges which may adversely affect our financial results.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fixed income securities, a portion of our portfolio is invested in limited partnerships. At December 31, 2018, we had investments in limited partnerships of $34.8 million, or 2% of total assets. While we have an obligation to invest up to an additional $12.2 million in limited partnerships, including private equity, mezzanine debt, and real estate partnership investments, the potential of the partnerships calling for the satisfaction of these obligations is low given the age of these investments. Limited partnerships are significantly less liquid and generally involve higher degrees of price risk, the risk of potential loss in estimated fair value resulting from an adverse change in prices, than publicly traded securities. Limited partnerships, like publicly traded securities, have exposure to market volatility; but unlike fixed income securities, cash flows and return expectations are less predictable. We have made no new limited partnership commitments since 2006, and the balance of limited partnership investments is expected to decline over time as additional distributions are received.</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primary basis for the valuation of limited partnership interests are financial statements prepared by the general partner. Because of the timing of the preparation and delivery of these financial statements, the use of the most recently available financial statements provided by the general partners result in a quarter delay in the inclusion of the limited partnership results in our Statements of Operations. Due to this delay, our financial statements at December 31, 2018 do not reflect market conditions experienced in the fourth quarter of 2018.</w:t>
      </w:r>
    </w:p>
    <w:p>
      <w:pPr>
        <w:spacing w:after="0" w:line="18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Our equity securities have exposure to price risk. We do not hedge our exposure to equity price risk inherent in our equity investments. Equity markets, sectors, industries, and individual securities may also be subject to some of the same risks that affect our fixed income portfolio, as discussed above.</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Deteriorating capital and credit market conditions or a failure to accurately estimate capital needs may significantly affect our ability to meet liquidity needs and access capital.</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Sufficient liquidity and capital levels are required to pay operating expenses, income taxes, and to provide the necessary resources to fund future growth opportunities, satisfy certain financial covenants, pay dividends on common stock, and repurchase common stock. Management estimates the appropriate level of capital necessary based upon current and projected results, which includes evaluating potential risks. Failure to accurately estimate our capital needs may have a material adverse effect on our financial condition until additional sources of capital can be obtained. Further, a deteriorating financial condition may create a negative perception of us by third parties, including rating agencies, investors, financial institutions, agents, and customers which could impact our ability to access additional capital in the debt or equity markets.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sources of liquidity are management fee revenue and cash flows generated from our investment portfolio. In the event our current sources do not satisfy our liquidity needs, we have the ability to access our $100 million bank revolving line of credit, from which there were no borrowings as of December 31, 2018, or liquidate assets in our investment portfolio. Volatility in the financial markets could limit our ability to sell certain of our fixed income securities or cause such investments to sell at deep discounts.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these traditional sources of liquidity are not available, we may have to seek additional financing. Our access to funds will depend upon a number of factors including current market conditions, the availability of credit, market liquidity, and credit ratings. In deteriorating market conditions, there can be no assurance that we will obtain additional financing, or, if available, that the cost of financing will not substantially increase and affect our overall profitability.</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are subject to applicable insurance laws, tax statutes, and regulations, as well as claims and legal proceedings, which, if determined unfavorably, could have a material adverse effect on our business, results of operations, or financial condition.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face a significant risk of litigation and regulatory investigations and actions in the ordinary course of operating our businesses including the risk of class action lawsuits. Our pending legal and regulatory actions include proceedings specific to us and others generally applicable to business practices in the industries in which we operate. In our operations, we are, have been, or may become subject to class actions and individual suits alleging, among other things, issues relating to sales or underwriting practices, payment of contingent or other sales commissions, product design, product disclosure, policy issuance and administration, additional premium charges for premiums paid on a periodic basis, charging excessive or impermissible fees on products, recommending unsuitable products to customers, and breaching alleged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very large or indeterminate amounts, including punitive and treble damages, which may remain unknown for substantial periods of time. We are also subject to various regulatory inquiries, such as information requests, subpoenas, and books and record examinations from state and federal regulators and authorities. Changes in the way regulators administer those laws, tax statutes, or regulations could adversely impact our business, cash flows, results of operations, or financial condition.</w:t>
      </w:r>
    </w:p>
    <w:p>
      <w:pPr>
        <w:spacing w:after="0" w:line="3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Indemnity and the Exchange share a corporate home office complex in Erie, Pennsylvania, which comprises approximately 637,000 square feet. In 2016, we began the construction of a new office building that will serve as part of our principal headquarters. The project is expected to span approximately three years and will add approximately 346,000 square feet to our existing home office complex. Additionally, we lease one office building and one warehouse facility from unaffiliated parties. We are charged rent for the related square footage we occupy.</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Indemnity and the Exchange also operate 25 field offices in 12 states to perform primarily claims-related activities. Indemnity previously owned three field offices. On December 31, 2018, we sold the three field offices to the Exchange at the current independent appraised value in order to align the ownership interest of these facilities with the functions being performed at these locations. See Part II, Item 8. "Financial Statements and Supplementary Data - Note 14, Related Party, of Notes to Financial Statements" contained within this report. As a result, the Exchange now owns seven field offices and the remaining field offices are leased from other parties. Commitments for properties leased from other parties expire periodically through 2027. We expect that most leases will be renewed or replaced upon expiration. Rental costs of shared facilities are allocated based upon usage or square footage occupied.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 Court Lawsuit Against Erie Indemnity Company</w:t>
      </w:r>
    </w:p>
    <w:p>
      <w:pPr>
        <w:spacing w:after="0" w:line="2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Erie Indemnity Company (“Indemnity”) was named as a defendant in a complaint filed on August 1, 2012 by alleged subscribers of the Erie Insurance Exchange (the “Exchange”) in the Court of Common Pleas Civil Division of Fayette County, Pennsylvania captioned Erie Insurance Exchange, an unincorporated association, by Joseph S. Sullivan and Anita Sullivan, Patricia R. Beltz, and Jenna L. DeBord, trustees ad litem v. Erie Indemnity Co. (the “</w:t>
      </w:r>
      <w:r>
        <w:rPr>
          <w:rFonts w:ascii="Arial" w:cs="Arial" w:eastAsia="Arial" w:hAnsi="Arial"/>
          <w:sz w:val="18"/>
          <w:szCs w:val="18"/>
          <w:u w:val="single" w:color="auto"/>
          <w:color w:val="auto"/>
        </w:rPr>
        <w:t>Sullivan</w:t>
      </w:r>
      <w:r>
        <w:rPr>
          <w:rFonts w:ascii="Arial" w:cs="Arial" w:eastAsia="Arial" w:hAnsi="Arial"/>
          <w:sz w:val="18"/>
          <w:szCs w:val="18"/>
          <w:color w:val="auto"/>
        </w:rPr>
        <w:t>” lawsuit).</w:t>
      </w:r>
    </w:p>
    <w:p>
      <w:pPr>
        <w:spacing w:after="0" w:line="1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subsequently amended, the complaint alleges that, beginning on September 1, 1997, Indemnity retained “Service Charges” (installment fees) and “Added Service Charges” (late fees and policy reinstatement charges) on policies written by Exchange and its insurance subsidiaries, which allegedly should have been paid to Exchange, in the amount of approximately $308 million. In addition to their claim for monetary relief on behalf of Exchange, Plaintiffs seek an accounting of all so-called intercompany transactions between Indemnity and Exchange from 1996 to date. Plaintiffs allege that Indemnity breached its contractual, fiduciary, and equitable duties by retaining Service Charges and Added Service Charges that should have been retained by Exchange. Plaintiffs bring these same claims under three separate derivative-type theories. First, Plaintiffs purport to bring suit as members of Exchange on behalf of Exchange. Second, Plaintiffs purport to bring suit as trustees ad litem on behalf of Exchange. Third, Plaintiffs purport to bring suit on behalf of Exchange pursuant to Rule 1506 of the Pennsylvania Rules of Civil Procedure, which allows shareholders to bring suit derivatively on behalf of a corporation or similar entity.</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Indemnity filed a motion in the state court in November 2012 seeking dismissal of the lawsuit. On December 19, 2013, the court granted Indemnity’s motion in part, holding that the Pennsylvania Insurance Holding Company Act “provides the [Pennsylvania Insurance] Department with special competence to address the subject matter of plaintiff’s claims” and referring “all issues” in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lawsuit to the Pennsylvania Insurance Department (the “Department”) for “its views and any determination.” The court stayed all further proceedings and reserved decision on all other grounds for dismissal raised by Indemnity. Plaintiffs sought reconsideration of the court’s order, and on January 13, 2014, the court entered a revised order affirming its prior order and clarifying that the Department “shall decide any and all issues within its jurisdiction.” On January 30, 2014, Plaintiffs asked the court to certify its order to permit an immediate appeal to the Superior Court of Pennsylvania and to stay any proceedings in the Department pending completion of any appeal. On February 18, 2014, the court issued an order denying Plaintiffs’ motion. On March 20, 2014, Plaintiffs filed a petition for review with the Superior Court, which was denied by the Superior Court on May 5, 2014.</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u w:val="single" w:color="auto"/>
          <w:color w:val="auto"/>
        </w:rPr>
        <w:t>Sullivan</w:t>
      </w:r>
      <w:r>
        <w:rPr>
          <w:rFonts w:ascii="Arial" w:cs="Arial" w:eastAsia="Arial" w:hAnsi="Arial"/>
          <w:sz w:val="16"/>
          <w:szCs w:val="16"/>
          <w:color w:val="auto"/>
        </w:rPr>
        <w:t xml:space="preserve"> matter was assigned to an Administrative Judge within the Department for determination. The parties agreed that an evidentiary hearing was not required, entered into a stipulated record, and submitted briefing to the Department. Oral argument was held before the Administrative Judge on January 6, 2015. On April 29, 2015, the Department issued a declaratory opinion and order: (1) finding that the transactions between Exchange and Indemnity in which Indemnity retained or received revenue from installment and other service charges from Exchange subscribers complied with applicable insurance laws and regulations and that Indemnity properly retained charges paid by Exchange policyholders for certain installment premium payment plans, dishonored payments, policy cancellations, and policy reinstatements; and (2) returning jurisdiction over the matter to the Fayette County Court of Common Pleas.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May 26, 2015, Plaintiffs appealed the Department’s decision to the Pennsylvania Commonwealth Court. Oral argument was held before the Commonwealth Court en banc on December 9, 2015. On January 27, 2016, the Commonwealth Court issued an opinion vacating the Department’s ruling and directing the Department to return the case to the Court of Common Pleas, essentially holding that the primary jurisdiction referral of the trial court was improper at this time because the allegations of the complaint do not implicate the special competency of the Department.</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On February 26, 2016, Indemnity filed a petition for allowance of appeal to the Pennsylvania Supreme Court seeking further review of the Commonwealth Court opinion. On March 14, 2016, Plaintiffs filed an answer opposing Indemnity’s petition for allowance of appeal; and, on March 28, 2016, Indemnity sought permission to file a reply brief in further support of its petition for allowance of appeal. On August 10, 2016, the Pennsylvania Supreme Court denied Indemnity’s petition for allowance of appeal; and the </w:t>
      </w:r>
      <w:r>
        <w:rPr>
          <w:rFonts w:ascii="Arial" w:cs="Arial" w:eastAsia="Arial" w:hAnsi="Arial"/>
          <w:sz w:val="16"/>
          <w:szCs w:val="16"/>
          <w:u w:val="single" w:color="auto"/>
          <w:color w:val="auto"/>
        </w:rPr>
        <w:t>Sullivan</w:t>
      </w:r>
      <w:r>
        <w:rPr>
          <w:rFonts w:ascii="Arial" w:cs="Arial" w:eastAsia="Arial" w:hAnsi="Arial"/>
          <w:sz w:val="16"/>
          <w:szCs w:val="16"/>
          <w:color w:val="auto"/>
        </w:rPr>
        <w:t xml:space="preserve"> lawsuit returned to the Court of Common Pleas of Fayette County.</w:t>
      </w:r>
    </w:p>
    <w:p>
      <w:pPr>
        <w:spacing w:after="0" w:line="15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On September 12, 2016, Plaintiffs filed a motion to stay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lawsuit pending the outcome of the Federal Court Lawsuit they filed against Indemnity and former and current Directors of Indemnity on July 8, 2016. (See below.) Indemnity filed an opposition to Plaintiff’s motion to stay on September 19, 2016; and filed amended preliminary objections seeking dismissal of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lawsuit on September 20, 2016. The motion to stay and the amended preliminary objections remain pending. On June 27, 2018, Plaintiffs filed a motion for a status conference in the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lawsuit.</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On July 30, 2018, the Court held a status conference and thereafter lifted the stay of proceedings. On September 28, 2018, Indemnity filed a Motion to Enforce the Federal Judgment in the </w:t>
      </w:r>
      <w:r>
        <w:rPr>
          <w:rFonts w:ascii="Arial" w:cs="Arial" w:eastAsia="Arial" w:hAnsi="Arial"/>
          <w:sz w:val="18"/>
          <w:szCs w:val="18"/>
          <w:u w:val="single" w:color="auto"/>
          <w:color w:val="auto"/>
        </w:rPr>
        <w:t>Beltz II</w:t>
      </w:r>
      <w:r>
        <w:rPr>
          <w:rFonts w:ascii="Arial" w:cs="Arial" w:eastAsia="Arial" w:hAnsi="Arial"/>
          <w:sz w:val="18"/>
          <w:szCs w:val="18"/>
          <w:color w:val="auto"/>
        </w:rPr>
        <w:t xml:space="preserve"> lawsuit, seeking dismissal of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with prejudice. On October 26, 2018, Plaintiffs filed an opposition to that Motion; and Indemnity filed a reply in further support on November 5, 2018. Oral argument was held on Indemnity’s Motion to Enforce the Federal Judgment on November 20, 2018. The Motion to Enforce the Federal Judgment remains pending.</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Indemnity believes that it continues to have meritorious legal and factual defenses to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and intends to vigorously defend against all allegations and requests for relief.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Court Lawsuit Against Erie Indemnity Company and Directors</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February 6, 2013, a lawsuit was filed in the United States District Court for the Western District of Pennsylvania, captioned Erie Insurance Exchange, an unincorporated association, by members Patricia R. Beltz, Joseph S. Sullivan and Anita Sullivan, and Patricia R. Beltz, on behalf of herself and others similarly situate v. Richard L. Stover; J. Ralph Borneman, Jr.; Terrence W. Cavanaugh; Jonathan Hirt Hagen; Susan Hirt Hagen; Thomas B. Hagen; C. Scott Hartz; Claude C. Lilly, III; Lucian L. Morrison; Thomas W. Palmer; Martin P. Sheffield; Elizabeth H. Vorsheck; and Robert C. Wilburn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by alleged policyholders of Exchange who are also the plaintiffs in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The individuals named as defendants in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were the then-current Directors of Indemnity.</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As subsequently amended,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asserts many of the same allegations and claims for monetary relief as in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lawsuit. Plaintiffs purport to sue on behalf of all policyholders of Exchange, or, alternatively, on behalf of Exchange itself. Indemnity filed a motion to intervene as a Party Defendant in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lawsuit in July 2013, and the Directors filed a motion to dismiss the lawsuit in August 2013. On February 10, 2014, the court entered an order granting Indemnity’s motion to intervene and permitting Indemnity to join the Directors’ motion to dismiss; granting in part the Directors’ motion to dismiss; referring the matter to the Department to decide any and all issues within its jurisdiction; denying all other relief sought in the Directors’ motion as moot; and dismissing the case without prejudice. To avoid duplicative proceedings and expedite the Department’s review, the Parties stipulated that only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action would proceed before the Department and any final and non-appealable determinations made by the Department in the </w:t>
      </w:r>
      <w:r>
        <w:rPr>
          <w:rFonts w:ascii="Arial" w:cs="Arial" w:eastAsia="Arial" w:hAnsi="Arial"/>
          <w:sz w:val="18"/>
          <w:szCs w:val="18"/>
          <w:u w:val="single" w:color="auto"/>
          <w:color w:val="auto"/>
        </w:rPr>
        <w:t>Sullivan</w:t>
      </w:r>
      <w:r>
        <w:rPr>
          <w:rFonts w:ascii="Arial" w:cs="Arial" w:eastAsia="Arial" w:hAnsi="Arial"/>
          <w:sz w:val="18"/>
          <w:szCs w:val="18"/>
          <w:color w:val="auto"/>
        </w:rPr>
        <w:t xml:space="preserve"> action will be applied to the </w:t>
      </w:r>
      <w:r>
        <w:rPr>
          <w:rFonts w:ascii="Arial" w:cs="Arial" w:eastAsia="Arial" w:hAnsi="Arial"/>
          <w:sz w:val="18"/>
          <w:szCs w:val="18"/>
          <w:u w:val="single" w:color="auto"/>
          <w:color w:val="auto"/>
        </w:rPr>
        <w:t>Beltz</w:t>
      </w:r>
      <w:r>
        <w:rPr>
          <w:rFonts w:ascii="Arial" w:cs="Arial" w:eastAsia="Arial" w:hAnsi="Arial"/>
          <w:sz w:val="18"/>
          <w:szCs w:val="18"/>
          <w:color w:val="auto"/>
        </w:rPr>
        <w:t xml:space="preserve"> action.</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On March 7, 2014, Plaintiffs filed a notice of appeal to the United States Court of Appeals for the Third Circuit. Indemnity filed a motion to dismiss the appeal on March 26, 2014. On November 17, 2014, the Third Circuit deferred ruling on Indemnity’s motion to dismiss the appeal and instructed the parties to address that motion, as well as the merits of Plaintiffs’ appeal, in the parties’ briefing. Briefing was completed on April 2, 2015. In light of the Department’s April 29, 2015 decision in </w:t>
      </w:r>
      <w:r>
        <w:rPr>
          <w:rFonts w:ascii="Arial" w:cs="Arial" w:eastAsia="Arial" w:hAnsi="Arial"/>
          <w:sz w:val="17"/>
          <w:szCs w:val="17"/>
          <w:u w:val="single" w:color="auto"/>
          <w:color w:val="auto"/>
        </w:rPr>
        <w:t>Sullivan</w:t>
      </w:r>
      <w:r>
        <w:rPr>
          <w:rFonts w:ascii="Arial" w:cs="Arial" w:eastAsia="Arial" w:hAnsi="Arial"/>
          <w:sz w:val="17"/>
          <w:szCs w:val="17"/>
          <w:color w:val="auto"/>
        </w:rPr>
        <w:t xml:space="preserve">, the Parties then jointly requested that the </w:t>
      </w:r>
      <w:r>
        <w:rPr>
          <w:rFonts w:ascii="Arial" w:cs="Arial" w:eastAsia="Arial" w:hAnsi="Arial"/>
          <w:sz w:val="17"/>
          <w:szCs w:val="17"/>
          <w:u w:val="single" w:color="auto"/>
          <w:color w:val="auto"/>
        </w:rPr>
        <w:t>Beltz</w:t>
      </w:r>
      <w:r>
        <w:rPr>
          <w:rFonts w:ascii="Arial" w:cs="Arial" w:eastAsia="Arial" w:hAnsi="Arial"/>
          <w:sz w:val="17"/>
          <w:szCs w:val="17"/>
          <w:color w:val="auto"/>
        </w:rPr>
        <w:t xml:space="preserve"> appeal be voluntarily dismissed as moot on June 5, 2015. The Third Circuit did not rule on the Parties’ request for dismissal and instead held oral argument as scheduled on June 8, 2015. On July 16, 2015, the Third Circuit issued an opinion and judgment dismissing the appeal. The Third Circuit found that it lacked appellate jurisdiction over the appeal, because the District Court’s February 10, 2014 order referring the matter to the Department was not a final, appealable order.</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8, 2016, the Beltz plaintiffs filed a new action labeled as a “Verified Derivative And Class Action Complaint” in the United States District Court for the Western District of Pennsylvania. The action is captioned Patricia R. Beltz, Joseph S. Sullivan, and Anita Sullivan, individually and on behalf of all others similarly situated, and derivatively on behalf of Nominal Defendant Erie Insurance Exchange v. Erie Indemnity Company; Kaj Ahlmann; John T. Baily; Samuel P. Black, III; J. Ralph Borneman, Jr.; Terrence W. Cavanaugh; Wilson C. Cooney; LuAnn Datesh; Patricia A. Goldman; Jonathan Hirt Hagen; Thomas B. Hagen; C. Scott Hartz; Samuel P. Katz; Gwendolyn King; Claude C. Lilly, III; Martin J. Lippert; George R. Lucore; Jeffrey A. Ludrof; Edmund J. Mehl; Henry N. Nassau; Thomas W. Palmer; Martin P. Sheffield; Seth E. Schofield; Richard L. Stover; Jan R. Van Gorder; Elizabeth A. Hirt Vorsheck; Harry H. Weil; and Robert C. Wilburn (the “</w:t>
      </w:r>
      <w:r>
        <w:rPr>
          <w:rFonts w:ascii="Arial" w:cs="Arial" w:eastAsia="Arial" w:hAnsi="Arial"/>
          <w:sz w:val="16"/>
          <w:szCs w:val="16"/>
          <w:u w:val="single" w:color="auto"/>
          <w:color w:val="auto"/>
        </w:rPr>
        <w:t>Beltz II</w:t>
      </w:r>
      <w:r>
        <w:rPr>
          <w:rFonts w:ascii="Arial" w:cs="Arial" w:eastAsia="Arial" w:hAnsi="Arial"/>
          <w:sz w:val="16"/>
          <w:szCs w:val="16"/>
          <w:color w:val="auto"/>
        </w:rPr>
        <w:t>” lawsuit). The individual defendants are all present or former Directors of Indemnity (the “Directors”).</w:t>
      </w:r>
    </w:p>
    <w:p>
      <w:pPr>
        <w:spacing w:after="0" w:line="16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The allegations of the </w:t>
      </w:r>
      <w:r>
        <w:rPr>
          <w:rFonts w:ascii="Arial" w:cs="Arial" w:eastAsia="Arial" w:hAnsi="Arial"/>
          <w:sz w:val="16"/>
          <w:szCs w:val="16"/>
          <w:u w:val="single" w:color="auto"/>
          <w:color w:val="auto"/>
        </w:rPr>
        <w:t>Beltz II</w:t>
      </w:r>
      <w:r>
        <w:rPr>
          <w:rFonts w:ascii="Arial" w:cs="Arial" w:eastAsia="Arial" w:hAnsi="Arial"/>
          <w:sz w:val="16"/>
          <w:szCs w:val="16"/>
          <w:color w:val="auto"/>
        </w:rPr>
        <w:t xml:space="preserve"> lawsuit arise from the same fundamental, underlying claims as the </w:t>
      </w:r>
      <w:r>
        <w:rPr>
          <w:rFonts w:ascii="Arial" w:cs="Arial" w:eastAsia="Arial" w:hAnsi="Arial"/>
          <w:sz w:val="16"/>
          <w:szCs w:val="16"/>
          <w:u w:val="single" w:color="auto"/>
          <w:color w:val="auto"/>
        </w:rPr>
        <w:t>Sullivan</w:t>
      </w:r>
      <w:r>
        <w:rPr>
          <w:rFonts w:ascii="Arial" w:cs="Arial" w:eastAsia="Arial" w:hAnsi="Arial"/>
          <w:sz w:val="16"/>
          <w:szCs w:val="16"/>
          <w:color w:val="auto"/>
        </w:rPr>
        <w:t xml:space="preserve"> and prior </w:t>
      </w:r>
      <w:r>
        <w:rPr>
          <w:rFonts w:ascii="Arial" w:cs="Arial" w:eastAsia="Arial" w:hAnsi="Arial"/>
          <w:sz w:val="16"/>
          <w:szCs w:val="16"/>
          <w:u w:val="single" w:color="auto"/>
          <w:color w:val="auto"/>
        </w:rPr>
        <w:t>Beltz</w:t>
      </w:r>
      <w:r>
        <w:rPr>
          <w:rFonts w:ascii="Arial" w:cs="Arial" w:eastAsia="Arial" w:hAnsi="Arial"/>
          <w:sz w:val="16"/>
          <w:szCs w:val="16"/>
          <w:color w:val="auto"/>
        </w:rPr>
        <w:t xml:space="preserve"> litigation, i.e., that Indemnity improperly retained Service Charges and Added Service Charges. The </w:t>
      </w:r>
      <w:r>
        <w:rPr>
          <w:rFonts w:ascii="Arial" w:cs="Arial" w:eastAsia="Arial" w:hAnsi="Arial"/>
          <w:sz w:val="16"/>
          <w:szCs w:val="16"/>
          <w:u w:val="single" w:color="auto"/>
          <w:color w:val="auto"/>
        </w:rPr>
        <w:t>Beltz II</w:t>
      </w:r>
      <w:r>
        <w:rPr>
          <w:rFonts w:ascii="Arial" w:cs="Arial" w:eastAsia="Arial" w:hAnsi="Arial"/>
          <w:sz w:val="16"/>
          <w:szCs w:val="16"/>
          <w:color w:val="auto"/>
        </w:rPr>
        <w:t xml:space="preserve"> lawsuit alleges that the retention of the Service Charges and Added Service Charges was improper because, for among other reasons, that retention constituted a breach of the Subscriber’s Agreement and an Implied Covenant of Good Faith and Fair Dealing by Indemnity, breaches of fiduciary duty by Indemnity and the other defendants, conversion by Indemnity, and unjust enrichment by defendants Jonathan Hirt Hagen, Thomas B. Hagen, and Elizabeth A. Hirt Vorsheck, at the expense of Exchange. The </w:t>
      </w:r>
      <w:r>
        <w:rPr>
          <w:rFonts w:ascii="Arial" w:cs="Arial" w:eastAsia="Arial" w:hAnsi="Arial"/>
          <w:sz w:val="16"/>
          <w:szCs w:val="16"/>
          <w:u w:val="single" w:color="auto"/>
          <w:color w:val="auto"/>
        </w:rPr>
        <w:t>Beltz II</w:t>
      </w:r>
      <w:r>
        <w:rPr>
          <w:rFonts w:ascii="Arial" w:cs="Arial" w:eastAsia="Arial" w:hAnsi="Arial"/>
          <w:sz w:val="16"/>
          <w:szCs w:val="16"/>
          <w:color w:val="auto"/>
        </w:rPr>
        <w:t xml:space="preserve"> lawsuit requests, among other things, that a judgment be entered against the Defendants certifying the action as a class action pursuant to Rule 23 of the Federal Rules of Civil Procedure; declaring Plaintiffs as representatives of the Class and Plaintiffs’ counsel as counsel for the Class; declaring the conduct alleged as unlawful, including, but not limited to, Defendants’ retention of the Service Charges and Added Service Charges; enjoining Defendants from continuing to retain the Service Charges and Added Service Charges; and awarding compensatory and punitive damages and interest.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On September 23, 2016, Indemnity filed a motion to dismiss the </w:t>
      </w:r>
      <w:r>
        <w:rPr>
          <w:rFonts w:ascii="Arial" w:cs="Arial" w:eastAsia="Arial" w:hAnsi="Arial"/>
          <w:sz w:val="17"/>
          <w:szCs w:val="17"/>
          <w:u w:val="single" w:color="auto"/>
          <w:color w:val="auto"/>
        </w:rPr>
        <w:t>Beltz II</w:t>
      </w:r>
      <w:r>
        <w:rPr>
          <w:rFonts w:ascii="Arial" w:cs="Arial" w:eastAsia="Arial" w:hAnsi="Arial"/>
          <w:sz w:val="17"/>
          <w:szCs w:val="17"/>
          <w:color w:val="auto"/>
        </w:rPr>
        <w:t xml:space="preserve"> lawsuit. On September 30, 2016, the Directors filed their own motions to dismiss the </w:t>
      </w:r>
      <w:r>
        <w:rPr>
          <w:rFonts w:ascii="Arial" w:cs="Arial" w:eastAsia="Arial" w:hAnsi="Arial"/>
          <w:sz w:val="17"/>
          <w:szCs w:val="17"/>
          <w:u w:val="single" w:color="auto"/>
          <w:color w:val="auto"/>
        </w:rPr>
        <w:t>Beltz II</w:t>
      </w:r>
      <w:r>
        <w:rPr>
          <w:rFonts w:ascii="Arial" w:cs="Arial" w:eastAsia="Arial" w:hAnsi="Arial"/>
          <w:sz w:val="17"/>
          <w:szCs w:val="17"/>
          <w:color w:val="auto"/>
        </w:rPr>
        <w:t xml:space="preserve"> lawsuit. On July 17, 2017, the Court granted Indemnity’s and the Directors’ motions to dismiss the </w:t>
      </w:r>
      <w:r>
        <w:rPr>
          <w:rFonts w:ascii="Arial" w:cs="Arial" w:eastAsia="Arial" w:hAnsi="Arial"/>
          <w:sz w:val="17"/>
          <w:szCs w:val="17"/>
          <w:u w:val="single" w:color="auto"/>
          <w:color w:val="auto"/>
        </w:rPr>
        <w:t>Beltz II</w:t>
      </w:r>
      <w:r>
        <w:rPr>
          <w:rFonts w:ascii="Arial" w:cs="Arial" w:eastAsia="Arial" w:hAnsi="Arial"/>
          <w:sz w:val="17"/>
          <w:szCs w:val="17"/>
          <w:color w:val="auto"/>
        </w:rPr>
        <w:t xml:space="preserve"> lawsuit, dismissing the case in its entirety. The Court ruled that “the Subscriber’s Agreement does not govern the separate and additional charges at issue in the Complaint” and, therefore, dismissed the breach of contract claim against Indemnity for failure to state a claim. The Court also ruled that the remaining claims, including the claims for breach of fiduciary duty against Indemnity and the Directors, are barred by the applicable statutes of limitation or fail to state legally cognizable claims. On August 14, 2017, Plaintiffs filed a notice of appeal to the United States Court of Appeals for the Third Circuit.</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 xml:space="preserve">On May 10, 2018, the United States Court of Appeals for the Third Circuit affirmed the District Court’s dismissal of the </w:t>
      </w:r>
      <w:r>
        <w:rPr>
          <w:rFonts w:ascii="Arial" w:cs="Arial" w:eastAsia="Arial" w:hAnsi="Arial"/>
          <w:sz w:val="17"/>
          <w:szCs w:val="17"/>
          <w:u w:val="single" w:color="auto"/>
          <w:color w:val="auto"/>
        </w:rPr>
        <w:t>Beltz II</w:t>
      </w:r>
      <w:r>
        <w:rPr>
          <w:rFonts w:ascii="Arial" w:cs="Arial" w:eastAsia="Arial" w:hAnsi="Arial"/>
          <w:sz w:val="17"/>
          <w:szCs w:val="17"/>
          <w:color w:val="auto"/>
        </w:rPr>
        <w:t xml:space="preserve"> lawsuit. On May 24, 2018, Plaintiffs filed a petition seeking rehearing of their appeal before the Third Circuit. The Third Circuit denied that petition on June 14,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Court Lawsuit Against Erie Indemnity Company and Directors</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December 28, 2017 a lawsuit was filed in the United States District Court for the Western District of Pennsylvania captioned Lynda Ritz, individually and on behalf of all others similarly situated and derivatively on behalf of Nominal Defendant Erie Insurance Exchange v. Erie Indemnity Company, J. Ralph Borneman, Jr., Terrence W. Cavanaugh, Eugene C. Connell, LuAnn Datesh, Jonathan Hirt Hagen, Thomas B. Hagen, C. Scott Hartz, Brian A. Hudson, Sr., Claude C. Lilly, III, George R. Lucore, Thomas W. Palmer, Martin P. Sheffield, Richard L. Stover, Elizabeth A. Hirt Vorsheck, and Robert C. Wilburn, and Erie Insurance Exchange (Nominal Defendant) (the “</w:t>
      </w:r>
      <w:r>
        <w:rPr>
          <w:rFonts w:ascii="Arial" w:cs="Arial" w:eastAsia="Arial" w:hAnsi="Arial"/>
          <w:sz w:val="16"/>
          <w:szCs w:val="16"/>
          <w:u w:val="single" w:color="auto"/>
          <w:color w:val="auto"/>
        </w:rPr>
        <w:t>Ritz</w:t>
      </w:r>
      <w:r>
        <w:rPr>
          <w:rFonts w:ascii="Arial" w:cs="Arial" w:eastAsia="Arial" w:hAnsi="Arial"/>
          <w:sz w:val="16"/>
          <w:szCs w:val="16"/>
          <w:color w:val="auto"/>
        </w:rPr>
        <w:t>” lawsuit). The individual named as Plaintiff is alleged to be a policyholder (subscriber) of the Erie Insurance Exchange (the “Exchange”). With the exception of Terrence W. Cavanaugh and Robert C. Wilburn, the individuals named as Defendants comprise the current Board of Directors of Indemnity. Messrs. Cavanaugh and Wilburn are former Directors of Indemnity (the “Directors”).</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Complaint alleges that since at least 2007, Erie Indemnity Company has taken “unwarranted and excessive” management fees as compensation for its services under the Subscriber’s Agreement. Count I of the Complaint purports to allege a claim for breach of alleged fiduciary duties against Indemnity and the Directors on behalf of Plaintiff and a putative class of subscribers. Count II purports to allege a claim for breach of alleged fiduciary duties against Indemnity and the Directors on behalf of Exchange. Count III purports to allege a claim for breach of contract and an alleged implied covenant of good faith and fair dealing against Indemnity on behalf of Plaintiff and a putative class. Count IV purports to allege a claim of unjust enrichment against several Directors.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Complaint seeks compensatory and punitive damages and requests the Court to enjoin Indemnity from continuing to retain excessive management fees; and order such other relief as may be appropriate.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5, 2018, Indemnity filed a motion to dismiss the Ritz lawsuit. The Directors also filed their own motions to dismiss the Ritz lawsuit on March 5, 2018. Plaintiff filed her responses to both motions on April 26, 2018; and Indemnity and the Directors filed their replies in support of their motions on May 25, 2018. On February 4, 2019, the Court granted Indemnity’s and the Directors’ motions to dismiss the Ritz suit in its entirety, with prejudice, on the basis that all of the alleged claims in the Ritz suit are barred and precluded as a matter of law by the judgment entered in favor of Indemnity and the Directors in the Beltz II suit.</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Indemnity believes it has meritorious legal and factual defenses and intends to vigorously defend against all allegations and requests for relief in the </w:t>
      </w:r>
      <w:r>
        <w:rPr>
          <w:rFonts w:ascii="Arial" w:cs="Arial" w:eastAsia="Arial" w:hAnsi="Arial"/>
          <w:sz w:val="18"/>
          <w:szCs w:val="18"/>
          <w:u w:val="single" w:color="auto"/>
          <w:color w:val="auto"/>
        </w:rPr>
        <w:t>Ritz</w:t>
      </w:r>
      <w:r>
        <w:rPr>
          <w:rFonts w:ascii="Arial" w:cs="Arial" w:eastAsia="Arial" w:hAnsi="Arial"/>
          <w:sz w:val="18"/>
          <w:szCs w:val="18"/>
          <w:color w:val="auto"/>
        </w:rPr>
        <w:t xml:space="preserve"> lawsuit. The Directors have advised Indemnity that they intend to vigorously defend against the claims in the </w:t>
      </w:r>
      <w:r>
        <w:rPr>
          <w:rFonts w:ascii="Arial" w:cs="Arial" w:eastAsia="Arial" w:hAnsi="Arial"/>
          <w:sz w:val="18"/>
          <w:szCs w:val="18"/>
          <w:u w:val="single" w:color="auto"/>
          <w:color w:val="auto"/>
        </w:rPr>
        <w:t>Ritz</w:t>
      </w:r>
      <w:r>
        <w:rPr>
          <w:rFonts w:ascii="Arial" w:cs="Arial" w:eastAsia="Arial" w:hAnsi="Arial"/>
          <w:sz w:val="18"/>
          <w:szCs w:val="18"/>
          <w:color w:val="auto"/>
        </w:rPr>
        <w:t xml:space="preserve"> lawsuit and have sought indemnification and advancement of expenses from the Company in connection with the </w:t>
      </w:r>
      <w:r>
        <w:rPr>
          <w:rFonts w:ascii="Arial" w:cs="Arial" w:eastAsia="Arial" w:hAnsi="Arial"/>
          <w:sz w:val="18"/>
          <w:szCs w:val="18"/>
          <w:u w:val="single" w:color="auto"/>
          <w:color w:val="auto"/>
        </w:rPr>
        <w:t>Ritz</w:t>
      </w:r>
      <w:r>
        <w:rPr>
          <w:rFonts w:ascii="Arial" w:cs="Arial" w:eastAsia="Arial" w:hAnsi="Arial"/>
          <w:sz w:val="18"/>
          <w:szCs w:val="18"/>
          <w:color w:val="auto"/>
        </w:rPr>
        <w:t xml:space="preserve"> lawsuit.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additional information on contingencies, see Part II, Item 8. "Financial Statements and Supplementary Data - Note 16, Commitment and Contingencies, of Notes to Financial Statements".</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II</w:t>
      </w:r>
    </w:p>
    <w:p>
      <w:pPr>
        <w:spacing w:after="0" w:line="166" w:lineRule="exact"/>
        <w:rPr>
          <w:sz w:val="20"/>
          <w:szCs w:val="20"/>
          <w:color w:val="auto"/>
        </w:rPr>
      </w:pPr>
    </w:p>
    <w:p>
      <w:pPr>
        <w:ind w:left="900" w:right="320" w:hanging="890"/>
        <w:spacing w:after="0" w:line="282" w:lineRule="auto"/>
        <w:tabs>
          <w:tab w:leader="none" w:pos="880" w:val="left"/>
        </w:tabs>
        <w:rPr>
          <w:sz w:val="20"/>
          <w:szCs w:val="20"/>
          <w:color w:val="auto"/>
        </w:rPr>
      </w:pPr>
      <w:r>
        <w:rPr>
          <w:rFonts w:ascii="Arial" w:cs="Arial" w:eastAsia="Arial" w:hAnsi="Arial"/>
          <w:sz w:val="18"/>
          <w:szCs w:val="18"/>
          <w:b w:val="1"/>
          <w:bCs w:val="1"/>
          <w:u w:val="single" w:color="auto"/>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Prices and Dividends</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Class A, non-voting common stock trades on The NASDAQ Stock Market</w:t>
      </w:r>
      <w:r>
        <w:rPr>
          <w:rFonts w:ascii="Arial" w:cs="Arial" w:eastAsia="Arial" w:hAnsi="Arial"/>
          <w:sz w:val="16"/>
          <w:szCs w:val="16"/>
          <w:color w:val="auto"/>
          <w:vertAlign w:val="superscript"/>
        </w:rPr>
        <w:t>SM</w:t>
      </w:r>
      <w:r>
        <w:rPr>
          <w:rFonts w:ascii="Arial" w:cs="Arial" w:eastAsia="Arial" w:hAnsi="Arial"/>
          <w:sz w:val="16"/>
          <w:szCs w:val="16"/>
          <w:color w:val="auto"/>
        </w:rPr>
        <w:t xml:space="preserve"> LLC under the symbol "ERIE". No established trading market exists for the Class B voting common stock. Broadridge Corporate Issuer Solutions, Inc. serves as our transfer agent and registrar. As of February 15, 2019, there were approximately 606 shareholders of record for the Class A non-voting common stock and 9 shareholders of record for the Class B voting common stock.</w:t>
      </w:r>
    </w:p>
    <w:p>
      <w:pPr>
        <w:spacing w:after="0" w:line="15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Historically, we have declared and paid cash dividends on a quarterly basis at the discretion of the Board of Directors. The payment and amount of future dividends on the common stock will be determined by the Board of Directors and will depend upon, among other things, our operating results, financial condition, cash requirements, and general business conditions at the time such payment is considered.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graph depicts the cumulative total shareholder return, assuming reinvestment of dividends, for the periods indicated for our Class A common stock compared to the Standard &amp; Poor's 500 Stock Index and the Standard &amp; Poor's Supercomposite Insurance Industry Group Index. The Standard &amp; Poor's Supercomposite Insurance Industry Group Index is made up of 56 constituent members represented by property and casualty insurers, insurance brokers, and life insurers, and is a capitalization weighted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848985" cy="2452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40"/>
        <w:spacing w:after="0"/>
        <w:tabs>
          <w:tab w:leader="none" w:pos="6500" w:val="left"/>
          <w:tab w:leader="none" w:pos="7640" w:val="left"/>
          <w:tab w:leader="none" w:pos="8760" w:val="left"/>
          <w:tab w:leader="none" w:pos="9880" w:val="left"/>
          <w:tab w:leader="none" w:pos="11000" w:val="left"/>
        </w:tabs>
        <w:rPr>
          <w:sz w:val="20"/>
          <w:szCs w:val="20"/>
          <w:color w:val="auto"/>
        </w:rPr>
      </w:pPr>
      <w:r>
        <w:rPr>
          <w:rFonts w:ascii="Arial" w:cs="Arial" w:eastAsia="Arial" w:hAnsi="Arial"/>
          <w:sz w:val="14"/>
          <w:szCs w:val="14"/>
          <w:color w:val="auto"/>
        </w:rPr>
        <w:t>2013</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color w:val="auto"/>
        </w:rPr>
        <w:t>2015</w:t>
      </w:r>
      <w:r>
        <w:rPr>
          <w:sz w:val="20"/>
          <w:szCs w:val="20"/>
          <w:color w:val="auto"/>
        </w:rPr>
        <w:tab/>
      </w:r>
      <w:r>
        <w:rPr>
          <w:rFonts w:ascii="Arial" w:cs="Arial" w:eastAsia="Arial" w:hAnsi="Arial"/>
          <w:sz w:val="14"/>
          <w:szCs w:val="14"/>
          <w:color w:val="auto"/>
        </w:rPr>
        <w:t>2016</w:t>
      </w:r>
      <w:r>
        <w:rPr>
          <w:sz w:val="20"/>
          <w:szCs w:val="20"/>
          <w:color w:val="auto"/>
        </w:rPr>
        <w:tab/>
      </w:r>
      <w:r>
        <w:rPr>
          <w:rFonts w:ascii="Arial" w:cs="Arial" w:eastAsia="Arial" w:hAnsi="Arial"/>
          <w:sz w:val="14"/>
          <w:szCs w:val="14"/>
          <w:color w:val="auto"/>
        </w:rPr>
        <w:t>2017</w:t>
      </w:r>
      <w:r>
        <w:rPr>
          <w:sz w:val="20"/>
          <w:szCs w:val="20"/>
          <w:color w:val="auto"/>
        </w:rPr>
        <w:tab/>
      </w:r>
      <w:r>
        <w:rPr>
          <w:rFonts w:ascii="Arial" w:cs="Arial" w:eastAsia="Arial" w:hAnsi="Arial"/>
          <w:sz w:val="13"/>
          <w:szCs w:val="13"/>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20955</wp:posOffset>
            </wp:positionV>
            <wp:extent cx="4124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Erie Indemnity Company Class A common stock</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4400" w:type="dxa"/>
            <w:vAlign w:val="bottom"/>
          </w:tcPr>
          <w:p>
            <w:pPr>
              <w:spacing w:after="0"/>
              <w:rPr>
                <w:sz w:val="20"/>
                <w:szCs w:val="20"/>
                <w:color w:val="auto"/>
              </w:rPr>
            </w:pPr>
            <w:r>
              <w:rPr>
                <w:rFonts w:ascii="Arial" w:cs="Arial" w:eastAsia="Arial" w:hAnsi="Arial"/>
                <w:sz w:val="14"/>
                <w:szCs w:val="14"/>
                <w:color w:val="auto"/>
              </w:rPr>
              <w:t>Standard &amp; Poor's 500 Stock Index</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4400" w:type="dxa"/>
            <w:vAlign w:val="bottom"/>
          </w:tcPr>
          <w:p>
            <w:pPr>
              <w:spacing w:after="0"/>
              <w:rPr>
                <w:sz w:val="20"/>
                <w:szCs w:val="20"/>
                <w:color w:val="auto"/>
              </w:rPr>
            </w:pPr>
            <w:r>
              <w:rPr>
                <w:rFonts w:ascii="Arial" w:cs="Arial" w:eastAsia="Arial" w:hAnsi="Arial"/>
                <w:sz w:val="14"/>
                <w:szCs w:val="14"/>
                <w:color w:val="auto"/>
              </w:rPr>
              <w:t>Standard &amp; Poor's Supercomposite Insurance Industry Group Index</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128</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141</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169</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188</w:t>
            </w:r>
          </w:p>
        </w:tc>
        <w:tc>
          <w:tcPr>
            <w:tcW w:w="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0"/>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spacing w:after="0"/>
              <w:rPr>
                <w:sz w:val="23"/>
                <w:szCs w:val="23"/>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114</w:t>
            </w:r>
          </w:p>
        </w:tc>
        <w:tc>
          <w:tcPr>
            <w:tcW w:w="500" w:type="dxa"/>
            <w:vAlign w:val="bottom"/>
          </w:tcPr>
          <w:p>
            <w:pPr>
              <w:spacing w:after="0"/>
              <w:rPr>
                <w:sz w:val="23"/>
                <w:szCs w:val="23"/>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115</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129</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157</w:t>
            </w:r>
          </w:p>
        </w:tc>
        <w:tc>
          <w:tcPr>
            <w:tcW w:w="5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70"/>
        </w:trPr>
        <w:tc>
          <w:tcPr>
            <w:tcW w:w="200" w:type="dxa"/>
            <w:vAlign w:val="bottom"/>
          </w:tcPr>
          <w:p>
            <w:pPr>
              <w:jc w:val="right"/>
              <w:ind w:right="55"/>
              <w:spacing w:after="0"/>
              <w:rPr>
                <w:sz w:val="20"/>
                <w:szCs w:val="20"/>
                <w:color w:val="auto"/>
              </w:rPr>
            </w:pPr>
            <w:r>
              <w:rPr>
                <w:rFonts w:ascii="Arial" w:cs="Arial" w:eastAsia="Arial" w:hAnsi="Arial"/>
                <w:sz w:val="9"/>
                <w:szCs w:val="9"/>
                <w:color w:val="auto"/>
                <w:w w:val="72"/>
              </w:rPr>
              <w:t>(1)</w:t>
            </w:r>
          </w:p>
        </w:tc>
        <w:tc>
          <w:tcPr>
            <w:tcW w:w="400" w:type="dxa"/>
            <w:vAlign w:val="bottom"/>
          </w:tcPr>
          <w:p>
            <w:pPr>
              <w:spacing w:after="0"/>
              <w:rPr>
                <w:sz w:val="23"/>
                <w:szCs w:val="23"/>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109</w:t>
            </w:r>
          </w:p>
        </w:tc>
        <w:tc>
          <w:tcPr>
            <w:tcW w:w="500" w:type="dxa"/>
            <w:vAlign w:val="bottom"/>
          </w:tcPr>
          <w:p>
            <w:pPr>
              <w:spacing w:after="0"/>
              <w:rPr>
                <w:sz w:val="23"/>
                <w:szCs w:val="23"/>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113</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134</w:t>
            </w:r>
          </w:p>
        </w:tc>
        <w:tc>
          <w:tcPr>
            <w:tcW w:w="500" w:type="dxa"/>
            <w:vAlign w:val="bottom"/>
          </w:tcPr>
          <w:p>
            <w:pPr>
              <w:spacing w:after="0"/>
              <w:rPr>
                <w:sz w:val="23"/>
                <w:szCs w:val="23"/>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155</w:t>
            </w:r>
          </w:p>
        </w:tc>
        <w:tc>
          <w:tcPr>
            <w:tcW w:w="5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7620</wp:posOffset>
            </wp:positionV>
            <wp:extent cx="4124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5620" w:space="160"/>
            <w:col w:w="5600"/>
          </w:cols>
          <w:pgMar w:left="240" w:top="122" w:right="279" w:bottom="1440" w:gutter="0" w:footer="0" w:header="0"/>
          <w:type w:val="continuous"/>
        </w:sectPr>
      </w:pPr>
    </w:p>
    <w:p>
      <w:pPr>
        <w:ind w:left="660" w:hanging="328"/>
        <w:spacing w:after="0" w:line="273" w:lineRule="auto"/>
        <w:tabs>
          <w:tab w:leader="none" w:pos="6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Assumes $100 invested at the close of trading, including reinvestment of dividends, on the last trading day preceding the first day of the fifth preceding fiscal year, in our Class A common stock, the Standard &amp; Poor's 500 Stock Index, and the Standard &amp; Poor's Supercomposite Insurance Industry Group Index.</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2" w:right="27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purchase shares, from time-to-time, in the open market, through trading plans entered into with one or more brokerage firms pursuant to Rule 10b5-1 under the Securities Exchange Act of 1934, or through privately negotiated transactions. The purchase of shares is dependent upon prevailing market conditions and alternate uses of capital, and at times and in a manner that is deemed appropriate.</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Various approvals for continuation of this program have since been authorized, with the most recent occurring in 2011 for $150 million, which was authorized with no time limitation. There were no repurchases of our Class A common stock under this program during the quarter ending December 31, 2018. We had approximately $17.8 million of repurchase authority remaining under this program, based upon trade date, at both December 31, 2018 and February 15, 2019.</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See Part II, Item 8. "Financial Statements and Supplementary Data – Note 12, Capital Stock, of Notes to Financial Statements" contained within this report for discussion of additional shares purchased outside of this program.</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SELECTED FINANCIAL DATA</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84"/>
        </w:trPr>
        <w:tc>
          <w:tcPr>
            <w:tcW w:w="34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color w:val="auto"/>
                <w:w w:val="91"/>
              </w:rPr>
              <w:t>Years Ended December 31,</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7"/>
        </w:trPr>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8"/>
                <w:szCs w:val="8"/>
                <w:color w:val="auto"/>
              </w:rPr>
              <w:t>(4)</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8"/>
                <w:szCs w:val="8"/>
                <w:color w:val="auto"/>
              </w:rPr>
              <w:t>(4)</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2015</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2014</w:t>
            </w:r>
          </w:p>
        </w:tc>
      </w:tr>
      <w:tr>
        <w:trPr>
          <w:trHeight w:val="245"/>
        </w:trPr>
        <w:tc>
          <w:tcPr>
            <w:tcW w:w="470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 Data:</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 xml:space="preserve">Operating revenue </w:t>
            </w:r>
            <w:r>
              <w:rPr>
                <w:rFonts w:ascii="Arial" w:cs="Arial" w:eastAsia="Arial" w:hAnsi="Arial"/>
                <w:sz w:val="8"/>
                <w:szCs w:val="8"/>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2,382,212</w:t>
            </w:r>
          </w:p>
        </w:tc>
        <w:tc>
          <w:tcPr>
            <w:tcW w:w="36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1,691,774</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1,596,631</w:t>
            </w:r>
          </w:p>
        </w:tc>
        <w:tc>
          <w:tcPr>
            <w:tcW w:w="34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1,505,508</w:t>
            </w:r>
          </w:p>
        </w:tc>
        <w:tc>
          <w:tcPr>
            <w:tcW w:w="340" w:type="dxa"/>
            <w:vAlign w:val="bottom"/>
          </w:tcPr>
          <w:p>
            <w:pPr>
              <w:spacing w:after="0"/>
              <w:rPr>
                <w:sz w:val="23"/>
                <w:szCs w:val="23"/>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1,407,119</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8"/>
                <w:szCs w:val="8"/>
                <w:color w:val="auto"/>
              </w:rPr>
              <w:t>(1)</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2,037,869</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1,401,522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1,303,114</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1,272,967</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1,184,272</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Investment income</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25,796</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28,592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27,839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33,708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28,417</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Interest expense and other (income), net</w:t>
            </w:r>
          </w:p>
        </w:tc>
        <w:tc>
          <w:tcPr>
            <w:tcW w:w="1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(1,181)</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3,149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1,265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371,320</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315,695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320,091</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266,249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251,264</w:t>
            </w:r>
          </w:p>
        </w:tc>
      </w:tr>
      <w:tr>
        <w:trPr>
          <w:trHeight w:val="270"/>
        </w:trPr>
        <w:tc>
          <w:tcPr>
            <w:tcW w:w="900" w:type="dxa"/>
            <w:vAlign w:val="bottom"/>
          </w:tcPr>
          <w:p>
            <w:pPr>
              <w:ind w:left="60"/>
              <w:spacing w:after="0"/>
              <w:rPr>
                <w:sz w:val="20"/>
                <w:szCs w:val="20"/>
                <w:color w:val="auto"/>
              </w:rPr>
            </w:pPr>
            <w:r>
              <w:rPr>
                <w:rFonts w:ascii="Arial" w:cs="Arial" w:eastAsia="Arial" w:hAnsi="Arial"/>
                <w:sz w:val="14"/>
                <w:szCs w:val="14"/>
                <w:color w:val="auto"/>
                <w:w w:val="97"/>
              </w:rPr>
              <w:t xml:space="preserve">Net income </w:t>
            </w:r>
            <w:r>
              <w:rPr>
                <w:rFonts w:ascii="Arial" w:cs="Arial" w:eastAsia="Arial" w:hAnsi="Arial"/>
                <w:sz w:val="8"/>
                <w:szCs w:val="8"/>
                <w:color w:val="auto"/>
                <w:w w:val="97"/>
              </w:rPr>
              <w:t>(2)</w:t>
            </w:r>
          </w:p>
        </w:tc>
        <w:tc>
          <w:tcPr>
            <w:tcW w:w="2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288,224</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196,999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210,366</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174,678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167,505</w:t>
            </w:r>
          </w:p>
        </w:tc>
      </w:tr>
      <w:tr>
        <w:trPr>
          <w:trHeight w:val="513"/>
        </w:trPr>
        <w:tc>
          <w:tcPr>
            <w:tcW w:w="470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 xml:space="preserve">Net income per Class A share – diluted </w:t>
            </w:r>
            <w:r>
              <w:rPr>
                <w:rFonts w:ascii="Arial" w:cs="Arial" w:eastAsia="Arial" w:hAnsi="Arial"/>
                <w:sz w:val="8"/>
                <w:szCs w:val="8"/>
                <w:color w:val="auto"/>
              </w:rPr>
              <w:t>(2)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36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3.76</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34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3.33</w:t>
            </w:r>
          </w:p>
        </w:tc>
        <w:tc>
          <w:tcPr>
            <w:tcW w:w="340" w:type="dxa"/>
            <w:vAlign w:val="bottom"/>
          </w:tcPr>
          <w:p>
            <w:pPr>
              <w:spacing w:after="0"/>
              <w:rPr>
                <w:sz w:val="23"/>
                <w:szCs w:val="23"/>
                <w:color w:val="auto"/>
              </w:rPr>
            </w:pPr>
          </w:p>
        </w:tc>
        <w:tc>
          <w:tcPr>
            <w:tcW w:w="200" w:type="dxa"/>
            <w:vAlign w:val="bottom"/>
          </w:tcPr>
          <w:p>
            <w:pPr>
              <w:jc w:val="right"/>
              <w:ind w:right="75"/>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3.18</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Book value per share – Class A common and equivalent B shares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18.62</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16.40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15.62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13.45</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Dividends declared per Class A share</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3.1875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2.9725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2.773</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2.586</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Dividends declared per Class B share</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513.00</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478.125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445.875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415.95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387.90</w:t>
            </w:r>
          </w:p>
        </w:tc>
      </w:tr>
      <w:tr>
        <w:trPr>
          <w:trHeight w:val="513"/>
        </w:trPr>
        <w:tc>
          <w:tcPr>
            <w:tcW w:w="4700" w:type="dxa"/>
            <w:vAlign w:val="bottom"/>
            <w:gridSpan w:val="3"/>
          </w:tcPr>
          <w:p>
            <w:pPr>
              <w:ind w:left="60"/>
              <w:spacing w:after="0"/>
              <w:rPr>
                <w:sz w:val="20"/>
                <w:szCs w:val="20"/>
                <w:color w:val="auto"/>
              </w:rPr>
            </w:pPr>
            <w:r>
              <w:rPr>
                <w:rFonts w:ascii="Arial" w:cs="Arial" w:eastAsia="Arial" w:hAnsi="Arial"/>
                <w:sz w:val="14"/>
                <w:szCs w:val="14"/>
                <w:b w:val="1"/>
                <w:bCs w:val="1"/>
                <w:color w:val="auto"/>
              </w:rPr>
              <w:t>Financial Position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00" w:type="dxa"/>
            <w:vAlign w:val="bottom"/>
          </w:tcPr>
          <w:p>
            <w:pPr>
              <w:ind w:left="60"/>
              <w:spacing w:after="0"/>
              <w:rPr>
                <w:sz w:val="20"/>
                <w:szCs w:val="20"/>
                <w:color w:val="auto"/>
              </w:rPr>
            </w:pPr>
            <w:r>
              <w:rPr>
                <w:rFonts w:ascii="Arial" w:cs="Arial" w:eastAsia="Arial" w:hAnsi="Arial"/>
                <w:sz w:val="14"/>
                <w:szCs w:val="14"/>
                <w:color w:val="auto"/>
              </w:rPr>
              <w:t>Investments</w:t>
            </w:r>
          </w:p>
        </w:tc>
        <w:tc>
          <w:tcPr>
            <w:tcW w:w="2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795,197</w:t>
            </w:r>
          </w:p>
        </w:tc>
        <w:tc>
          <w:tcPr>
            <w:tcW w:w="360" w:type="dxa"/>
            <w:vAlign w:val="bottom"/>
          </w:tcPr>
          <w:p>
            <w:pPr>
              <w:spacing w:after="0"/>
              <w:rPr>
                <w:sz w:val="23"/>
                <w:szCs w:val="23"/>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803,835</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771,450</w:t>
            </w:r>
          </w:p>
        </w:tc>
        <w:tc>
          <w:tcPr>
            <w:tcW w:w="34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688,476</w:t>
            </w:r>
          </w:p>
        </w:tc>
        <w:tc>
          <w:tcPr>
            <w:tcW w:w="340" w:type="dxa"/>
            <w:vAlign w:val="bottom"/>
          </w:tcPr>
          <w:p>
            <w:pPr>
              <w:spacing w:after="0"/>
              <w:rPr>
                <w:sz w:val="23"/>
                <w:szCs w:val="23"/>
                <w:color w:val="auto"/>
              </w:rPr>
            </w:pPr>
          </w:p>
        </w:tc>
        <w:tc>
          <w:tcPr>
            <w:tcW w:w="2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702,387</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Receivables from Erie Insurance Exchange and affiliates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449,873</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418,328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378,540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348,055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335,220</w:t>
            </w:r>
          </w:p>
        </w:tc>
      </w:tr>
      <w:tr>
        <w:trPr>
          <w:trHeight w:val="270"/>
        </w:trPr>
        <w:tc>
          <w:tcPr>
            <w:tcW w:w="4700" w:type="dxa"/>
            <w:vAlign w:val="bottom"/>
            <w:gridSpan w:val="3"/>
          </w:tcPr>
          <w:p>
            <w:pPr>
              <w:ind w:left="60"/>
              <w:spacing w:after="0"/>
              <w:rPr>
                <w:sz w:val="20"/>
                <w:szCs w:val="20"/>
                <w:color w:val="auto"/>
              </w:rPr>
            </w:pPr>
            <w:r>
              <w:rPr>
                <w:rFonts w:ascii="Arial" w:cs="Arial" w:eastAsia="Arial" w:hAnsi="Arial"/>
                <w:sz w:val="14"/>
                <w:szCs w:val="14"/>
                <w:color w:val="auto"/>
              </w:rPr>
              <w:t>Current and long-term borrowings</w:t>
            </w: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99,730</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74,728</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24,766</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900" w:type="dxa"/>
            <w:vAlign w:val="bottom"/>
          </w:tcPr>
          <w:p>
            <w:pPr>
              <w:ind w:left="60"/>
              <w:spacing w:after="0"/>
              <w:rPr>
                <w:sz w:val="20"/>
                <w:szCs w:val="20"/>
                <w:color w:val="auto"/>
              </w:rPr>
            </w:pPr>
            <w:r>
              <w:rPr>
                <w:rFonts w:ascii="Arial" w:cs="Arial" w:eastAsia="Arial" w:hAnsi="Arial"/>
                <w:sz w:val="14"/>
                <w:szCs w:val="14"/>
                <w:color w:val="auto"/>
              </w:rPr>
              <w:t>Total assets</w:t>
            </w:r>
          </w:p>
        </w:tc>
        <w:tc>
          <w:tcPr>
            <w:tcW w:w="2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1,778,327</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1,665,859</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1,548,955</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1,407,296</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1,319,198</w:t>
            </w:r>
          </w:p>
        </w:tc>
      </w:tr>
      <w:tr>
        <w:trPr>
          <w:trHeight w:val="270"/>
        </w:trPr>
        <w:tc>
          <w:tcPr>
            <w:tcW w:w="900" w:type="dxa"/>
            <w:vAlign w:val="bottom"/>
          </w:tcPr>
          <w:p>
            <w:pPr>
              <w:ind w:left="60"/>
              <w:spacing w:after="0"/>
              <w:rPr>
                <w:sz w:val="20"/>
                <w:szCs w:val="20"/>
                <w:color w:val="auto"/>
              </w:rPr>
            </w:pPr>
            <w:r>
              <w:rPr>
                <w:rFonts w:ascii="Arial" w:cs="Arial" w:eastAsia="Arial" w:hAnsi="Arial"/>
                <w:sz w:val="14"/>
                <w:szCs w:val="14"/>
                <w:color w:val="auto"/>
                <w:w w:val="95"/>
              </w:rPr>
              <w:t xml:space="preserve">Total equity </w:t>
            </w:r>
            <w:r>
              <w:rPr>
                <w:rFonts w:ascii="Arial" w:cs="Arial" w:eastAsia="Arial" w:hAnsi="Arial"/>
                <w:sz w:val="8"/>
                <w:szCs w:val="8"/>
                <w:color w:val="auto"/>
                <w:w w:val="95"/>
              </w:rPr>
              <w:t>(3)</w:t>
            </w:r>
          </w:p>
        </w:tc>
        <w:tc>
          <w:tcPr>
            <w:tcW w:w="2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973,672</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857,344</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816,910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769,503</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703,134</w:t>
            </w:r>
          </w:p>
        </w:tc>
      </w:tr>
    </w:tbl>
    <w:p>
      <w:pPr>
        <w:spacing w:after="0" w:line="155" w:lineRule="exact"/>
        <w:rPr>
          <w:sz w:val="20"/>
          <w:szCs w:val="20"/>
          <w:color w:val="auto"/>
        </w:rPr>
      </w:pPr>
    </w:p>
    <w:p>
      <w:pPr>
        <w:ind w:left="660" w:right="40" w:hanging="328"/>
        <w:spacing w:after="0" w:line="252" w:lineRule="auto"/>
        <w:tabs>
          <w:tab w:leader="none" w:pos="6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In accordance with Accounting Standards Codification 606, "Revenue from Contracts with Customers" ("ASC 606"), effective January 1, 2018, we allocate our management fee between the two performance obligations we have in the subscriber's agreement, policy issuance and renewal services and administrative services. We also present expenses we incur and the related reimbursements we receive for administrative services gross in our Statement of Operations. See Part II, Item 8. "Financial Statements and Supplementary Data - Note 2, Significant Accounting Policies, of Notes to Financial Statements" contained within this report.</w:t>
      </w:r>
    </w:p>
    <w:p>
      <w:pPr>
        <w:spacing w:after="0" w:line="134" w:lineRule="exact"/>
        <w:rPr>
          <w:rFonts w:ascii="Arial" w:cs="Arial" w:eastAsia="Arial" w:hAnsi="Arial"/>
          <w:sz w:val="14"/>
          <w:szCs w:val="14"/>
          <w:i w:val="1"/>
          <w:iCs w:val="1"/>
          <w:color w:val="auto"/>
        </w:rPr>
      </w:pPr>
    </w:p>
    <w:p>
      <w:pPr>
        <w:ind w:left="660" w:right="120" w:hanging="328"/>
        <w:spacing w:after="0" w:line="273" w:lineRule="auto"/>
        <w:tabs>
          <w:tab w:leader="none" w:pos="6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corporate tax rate was 35% for years 2014-2017 and was reduced to 21% in 2018 with the enactment of the Tax Cuts and Jobs Act. This, coupled with increased operating income, drove the increase in net income and net income per Class A share - diluted in 2018 when compared to 2017.</w:t>
      </w:r>
    </w:p>
    <w:p>
      <w:pPr>
        <w:spacing w:after="0" w:line="119" w:lineRule="exact"/>
        <w:rPr>
          <w:rFonts w:ascii="Arial" w:cs="Arial" w:eastAsia="Arial" w:hAnsi="Arial"/>
          <w:sz w:val="14"/>
          <w:szCs w:val="14"/>
          <w:i w:val="1"/>
          <w:iCs w:val="1"/>
          <w:color w:val="auto"/>
        </w:rPr>
      </w:pPr>
    </w:p>
    <w:p>
      <w:pPr>
        <w:ind w:left="660" w:right="200" w:hanging="328"/>
        <w:spacing w:after="0" w:line="273" w:lineRule="auto"/>
        <w:tabs>
          <w:tab w:leader="none" w:pos="6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On January 1, 2018, we adopted ASC 606 and recorded a cumulative effect adjustment that reduced retained earnings by $38.3 million. See Part II, Item 8. "Financial Statements and Supplementary Data - Note 2, Significant Accounting Policies, of Notes to Financial Statements" contained within this report.</w:t>
      </w:r>
    </w:p>
    <w:p>
      <w:pPr>
        <w:spacing w:after="0" w:line="79" w:lineRule="exact"/>
        <w:rPr>
          <w:rFonts w:ascii="Arial" w:cs="Arial" w:eastAsia="Arial" w:hAnsi="Arial"/>
          <w:sz w:val="14"/>
          <w:szCs w:val="14"/>
          <w:i w:val="1"/>
          <w:iCs w:val="1"/>
          <w:color w:val="auto"/>
        </w:rPr>
      </w:pPr>
    </w:p>
    <w:p>
      <w:pPr>
        <w:ind w:left="660" w:hanging="328"/>
        <w:spacing w:after="0"/>
        <w:tabs>
          <w:tab w:leader="none" w:pos="6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Certain amounts previously reported for years 2017 and 2016 have been reclassified for comparative purposes to conform to the current period’s presentation.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following discussion of financial condition and results of operations highlights significant factors influencing Erie Indemnity Company ("Indemnity", "we", "us", "our"). This discussion should be read in conjunction with the audited financial statements and related notes and all other items contained within this Annual Report on Form 10-K as these contain important information helpful in evaluating our financial condition and results of operations.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80" w:type="dxa"/>
            <w:vAlign w:val="bottom"/>
            <w:gridSpan w:val="3"/>
          </w:tcPr>
          <w:p>
            <w:pPr>
              <w:ind w:left="300"/>
              <w:spacing w:after="0"/>
              <w:rPr>
                <w:sz w:val="20"/>
                <w:szCs w:val="20"/>
                <w:color w:val="auto"/>
              </w:rPr>
            </w:pPr>
            <w:r>
              <w:rPr>
                <w:rFonts w:ascii="Arial" w:cs="Arial" w:eastAsia="Arial" w:hAnsi="Arial"/>
                <w:sz w:val="16"/>
                <w:szCs w:val="16"/>
                <w:color w:val="auto"/>
              </w:rPr>
              <w:t>Page Number</w:t>
            </w:r>
          </w:p>
        </w:tc>
        <w:tc>
          <w:tcPr>
            <w:tcW w:w="0" w:type="dxa"/>
            <w:vAlign w:val="bottom"/>
          </w:tcPr>
          <w:p>
            <w:pPr>
              <w:spacing w:after="0"/>
              <w:rPr>
                <w:sz w:val="1"/>
                <w:szCs w:val="1"/>
                <w:color w:val="auto"/>
              </w:rPr>
            </w:pPr>
          </w:p>
        </w:tc>
      </w:tr>
      <w:tr>
        <w:trPr>
          <w:trHeight w:val="33"/>
        </w:trPr>
        <w:tc>
          <w:tcPr>
            <w:tcW w:w="9900" w:type="dxa"/>
            <w:vAlign w:val="bottom"/>
            <w:gridSpan w:val="13"/>
            <w:vMerge w:val="restart"/>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Cautionary Statement Regarding Forward-Looking Information</w:t>
              </w:r>
            </w:hyperlink>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900" w:type="dxa"/>
            <w:vAlign w:val="bottom"/>
            <w:gridSpan w:val="13"/>
            <w:vMerge w:val="continue"/>
          </w:tcPr>
          <w:p>
            <w:pPr>
              <w:spacing w:after="0"/>
              <w:rPr>
                <w:sz w:val="14"/>
                <w:szCs w:val="14"/>
                <w:color w:val="auto"/>
              </w:rPr>
            </w:pPr>
          </w:p>
        </w:tc>
        <w:tc>
          <w:tcPr>
            <w:tcW w:w="1480" w:type="dxa"/>
            <w:vAlign w:val="bottom"/>
            <w:gridSpan w:val="3"/>
          </w:tcPr>
          <w:p>
            <w:pPr>
              <w:jc w:val="right"/>
              <w:ind w:right="20"/>
              <w:spacing w:after="0" w:line="155" w:lineRule="exact"/>
              <w:rPr>
                <w:rFonts w:ascii="Arial" w:cs="Arial" w:eastAsia="Arial" w:hAnsi="Arial"/>
                <w:sz w:val="16"/>
                <w:szCs w:val="16"/>
                <w:color w:val="0000EE"/>
              </w:rPr>
            </w:pPr>
            <w:hyperlink w:anchor="page18">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7"/>
        </w:trPr>
        <w:tc>
          <w:tcPr>
            <w:tcW w:w="14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6900" w:type="dxa"/>
            <w:vAlign w:val="bottom"/>
            <w:gridSpan w:val="2"/>
            <w:shd w:val="clear" w:color="auto" w:fill="0000EE"/>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00" w:type="dxa"/>
            <w:vAlign w:val="bottom"/>
            <w:gridSpan w:val="13"/>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Recently Adopted Accounting Standards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19">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gridSpan w:val="10"/>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Recent Accounting Standards</w:t>
              </w:r>
            </w:hyperlink>
          </w:p>
        </w:tc>
        <w:tc>
          <w:tcPr>
            <w:tcW w:w="7260" w:type="dxa"/>
            <w:vAlign w:val="bottom"/>
            <w:gridSpan w:val="3"/>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19">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gridSpan w:val="7"/>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Operating Overview</w:t>
              </w:r>
            </w:hyperlink>
          </w:p>
        </w:tc>
        <w:tc>
          <w:tcPr>
            <w:tcW w:w="7980" w:type="dxa"/>
            <w:vAlign w:val="bottom"/>
            <w:gridSpan w:val="6"/>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19">
              <w:r>
                <w:rPr>
                  <w:rFonts w:ascii="Arial" w:cs="Arial" w:eastAsia="Arial" w:hAnsi="Arial"/>
                  <w:sz w:val="16"/>
                  <w:szCs w:val="16"/>
                  <w:color w:val="0000EE"/>
                </w:rPr>
                <w:t>19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gridSpan w:val="13"/>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Critical Accounting Estimates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22">
              <w:r>
                <w:rPr>
                  <w:rFonts w:ascii="Arial" w:cs="Arial" w:eastAsia="Arial" w:hAnsi="Arial"/>
                  <w:sz w:val="16"/>
                  <w:szCs w:val="16"/>
                  <w:color w:val="0000EE"/>
                </w:rPr>
                <w:t>22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gridSpan w:val="4"/>
          </w:tcPr>
          <w:p>
            <w:pPr>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Results of Operations</w:t>
              </w:r>
            </w:hyperlink>
          </w:p>
        </w:tc>
        <w:tc>
          <w:tcPr>
            <w:tcW w:w="540" w:type="dxa"/>
            <w:vAlign w:val="bottom"/>
            <w:gridSpan w:val="4"/>
          </w:tcPr>
          <w:p>
            <w:pPr>
              <w:spacing w:after="0"/>
              <w:rPr>
                <w:sz w:val="20"/>
                <w:szCs w:val="20"/>
                <w:color w:val="auto"/>
              </w:rPr>
            </w:pPr>
          </w:p>
        </w:tc>
        <w:tc>
          <w:tcPr>
            <w:tcW w:w="7960" w:type="dxa"/>
            <w:vAlign w:val="bottom"/>
            <w:gridSpan w:val="5"/>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27">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gridSpan w:val="4"/>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Financial Condition</w:t>
              </w:r>
            </w:hyperlink>
          </w:p>
        </w:tc>
        <w:tc>
          <w:tcPr>
            <w:tcW w:w="8500" w:type="dxa"/>
            <w:vAlign w:val="bottom"/>
            <w:gridSpan w:val="9"/>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780" w:type="dxa"/>
            <w:vAlign w:val="bottom"/>
          </w:tcPr>
          <w:p>
            <w:pPr>
              <w:spacing w:after="0"/>
              <w:rPr>
                <w:rFonts w:ascii="Arial" w:cs="Arial" w:eastAsia="Arial" w:hAnsi="Arial"/>
                <w:sz w:val="16"/>
                <w:szCs w:val="16"/>
                <w:color w:val="0000EE"/>
                <w:w w:val="88"/>
              </w:rPr>
            </w:pPr>
            <w:hyperlink w:anchor="page32">
              <w:r>
                <w:rPr>
                  <w:rFonts w:ascii="Arial" w:cs="Arial" w:eastAsia="Arial" w:hAnsi="Arial"/>
                  <w:sz w:val="16"/>
                  <w:szCs w:val="16"/>
                  <w:color w:val="0000EE"/>
                  <w:w w:val="88"/>
                </w:rPr>
                <w:t>Investments</w:t>
              </w:r>
            </w:hyperlink>
          </w:p>
        </w:tc>
        <w:tc>
          <w:tcPr>
            <w:tcW w:w="360" w:type="dxa"/>
            <w:vAlign w:val="bottom"/>
          </w:tcPr>
          <w:p>
            <w:pPr>
              <w:spacing w:after="0"/>
              <w:rPr>
                <w:sz w:val="20"/>
                <w:szCs w:val="20"/>
                <w:color w:val="auto"/>
              </w:rPr>
            </w:pPr>
          </w:p>
        </w:tc>
        <w:tc>
          <w:tcPr>
            <w:tcW w:w="8620" w:type="dxa"/>
            <w:vAlign w:val="bottom"/>
            <w:gridSpan w:val="10"/>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340" w:type="dxa"/>
            <w:vAlign w:val="bottom"/>
            <w:gridSpan w:val="4"/>
          </w:tcPr>
          <w:p>
            <w:pPr>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Shareholders' Equity</w:t>
              </w:r>
            </w:hyperlink>
          </w:p>
        </w:tc>
        <w:tc>
          <w:tcPr>
            <w:tcW w:w="8420" w:type="dxa"/>
            <w:vAlign w:val="bottom"/>
            <w:gridSpan w:val="8"/>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34">
              <w:r>
                <w:rPr>
                  <w:rFonts w:ascii="Arial" w:cs="Arial" w:eastAsia="Arial" w:hAnsi="Arial"/>
                  <w:sz w:val="16"/>
                  <w:szCs w:val="16"/>
                  <w:color w:val="0000EE"/>
                </w:rPr>
                <w:t>34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9760" w:type="dxa"/>
            <w:vAlign w:val="bottom"/>
            <w:gridSpan w:val="12"/>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Home Office Expansion</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34">
              <w:r>
                <w:rPr>
                  <w:rFonts w:ascii="Arial" w:cs="Arial" w:eastAsia="Arial" w:hAnsi="Arial"/>
                  <w:sz w:val="16"/>
                  <w:szCs w:val="16"/>
                  <w:color w:val="0000EE"/>
                </w:rPr>
                <w:t>34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gridSpan w:val="1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Liquidity and Capital Resources</w:t>
              </w:r>
            </w:hyperlink>
          </w:p>
        </w:tc>
        <w:tc>
          <w:tcPr>
            <w:tcW w:w="1480" w:type="dxa"/>
            <w:vAlign w:val="bottom"/>
            <w:gridSpan w:val="3"/>
          </w:tcPr>
          <w:p>
            <w:pPr>
              <w:jc w:val="right"/>
              <w:ind w:right="20"/>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c>
          <w:tcPr>
            <w:tcW w:w="0" w:type="dxa"/>
            <w:vAlign w:val="bottom"/>
          </w:tcPr>
          <w:p>
            <w:pPr>
              <w:spacing w:after="0"/>
              <w:rPr>
                <w:sz w:val="1"/>
                <w:szCs w:val="1"/>
                <w:color w:val="auto"/>
              </w:rPr>
            </w:pPr>
          </w:p>
        </w:tc>
      </w:tr>
      <w:tr>
        <w:trPr>
          <w:trHeight w:val="20"/>
        </w:trPr>
        <w:tc>
          <w:tcPr>
            <w:tcW w:w="2080" w:type="dxa"/>
            <w:vAlign w:val="bottom"/>
            <w:gridSpan w:val="9"/>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gridSpan w:val="11"/>
          </w:tcPr>
          <w:p>
            <w:pPr>
              <w:spacing w:after="0"/>
              <w:rPr>
                <w:rFonts w:ascii="Arial" w:cs="Arial" w:eastAsia="Arial" w:hAnsi="Arial"/>
                <w:sz w:val="16"/>
                <w:szCs w:val="16"/>
                <w:color w:val="0000EE"/>
                <w:w w:val="90"/>
              </w:rPr>
            </w:pPr>
            <w:hyperlink w:anchor="page38">
              <w:r>
                <w:rPr>
                  <w:rFonts w:ascii="Arial" w:cs="Arial" w:eastAsia="Arial" w:hAnsi="Arial"/>
                  <w:sz w:val="16"/>
                  <w:szCs w:val="16"/>
                  <w:color w:val="0000EE"/>
                  <w:w w:val="90"/>
                </w:rPr>
                <w:t>Transactions/Agreements with Related Parties</w:t>
              </w:r>
            </w:hyperlink>
          </w:p>
        </w:tc>
        <w:tc>
          <w:tcPr>
            <w:tcW w:w="6900" w:type="dxa"/>
            <w:vAlign w:val="bottom"/>
            <w:gridSpan w:val="2"/>
          </w:tcPr>
          <w:p>
            <w:pPr>
              <w:spacing w:after="0"/>
              <w:rPr>
                <w:sz w:val="20"/>
                <w:szCs w:val="20"/>
                <w:color w:val="auto"/>
              </w:rPr>
            </w:pPr>
          </w:p>
        </w:tc>
        <w:tc>
          <w:tcPr>
            <w:tcW w:w="1480" w:type="dxa"/>
            <w:vAlign w:val="bottom"/>
            <w:gridSpan w:val="3"/>
          </w:tcPr>
          <w:p>
            <w:pPr>
              <w:jc w:val="right"/>
              <w:ind w:right="20"/>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9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dependence upon our relationship with the Exchange and the management fee under the agreement with the subscribers at the Exchange;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growth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general business and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factors affecting insurance industry competition;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dependence upon the independent agency system;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ability to maintain our reputation for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upon our relationship with the Exchange and the financial condition of the Exchange, including: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Exchange's ability to maintain acceptable financial strength ratings;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factors affecting the quality and liquidity of the Exchange's investment portfolio;</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changes in government regulation of the insurance industry;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emerging claims and coverage issues in the industry;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severe weather conditions or other catastrophic losses, including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providing policy issuance and renewal services to the Exchange under the subscriber's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 risk from the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attract and retain talented management and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ensure system availability and effectively manage technology initiatives;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with technology or data security breaches, including cyber attacks;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maintain uninterrupted business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the quality and liquidity of our investment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liquidity needs and access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outcome of pending and potential litigation.</w:t>
      </w:r>
    </w:p>
    <w:p>
      <w:pPr>
        <w:spacing w:after="0" w:line="21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May 2014, the Financial Accounting Standards Board issued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requires an entity to recognize revenue to depict the transfer of goods or services to customers in an amount that reflects the consideration to which the entity expects to be entitled in exchange for those goods or services. (See Part II, Item 8. "Financial Statements and Supplementary Data - Note 2, Significant Accounting Policies, of Notes to Financial Statements" contained within this report.) We adopted ASC 606 as of January 1, 2018 using the modified retrospective method.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ASC 606, we determined that we are acting as the attorney-in-fact for the subscribers at the Exchange in two capacities pursuant to the subscriber's agreement. The first is providing policy issuance and renewal services. The second is acting as the attorney-in-fact on behalf of the Exchange, as well as the service provider for its insurance subsidiaries, with respect to all claims handling, life insurance, and investment management services, collectively referred to as "administrative services". Beginning January 1, 2018, the management fee, currently 25% of all direct and assumed premiums written by the Exchange, is allocated between the two performance obligations. Prior to the adoption of ASC 606, the entire management fee was allocated to the policy issuance and renewal services. Additionally, the expenses we incur and related reimbursements we receive for administrative services are presented gross in our Statement of Operations effective January 1, 2018.</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significant portion of the management fee is allocated to the policy issuance and renewal services and recognized at a point in time, i.e. the time of policy issuance or renewal. Therefore, the related revenue recognition pattern for the vast majority of our revenues remains unchanged. The management fee allocated to the administrative services is recognized as revenue over a four-year period in correlation to costs incurred. Upon adoption at January 1, 2018, we established a contract liability related to the administrative services of $48.5 million, a deferred tax asset of $10.2 million, and recorded a cumulative effect adjustment that reduced shareholders' equity by $38.3 million. If ASC 606 had been effective in 2017, based on current estimates our revenue would have been reduced by approximately $2.8 million for the year ended December 31, 2017.</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See Part II, Item 8. "Financial Statements and Supplementary Data - Note 2, Significant Accounting Policies, of Notes to Financial Statements" contained within this report for a discussion of other recently adopted as well as recently issued accounting standards and the impact on our financial statements if known.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are a Pennsylvania business corporation that since 1925 has been the managing attorney-in-fact for the subscribers (policyholders) at the Erie Insurance Exchange ("Exchange"), a reciprocal insurer that writes property and casualty insurance. Our primary function as attorney-in-fact is to perform policy issuance and renewal services on behalf of the subscribers at the Exchange. We also act as attorney-in-fact on behalf of the Exchange, as well as the service provider for its insurance subsidiaries, with respect to all administrative services.</w:t>
      </w:r>
    </w:p>
    <w:p>
      <w:pPr>
        <w:spacing w:after="0" w:line="1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Exchange is a reciprocal insurance exchange, which is an unincorporated association of individuals, partnerships and corporations that agree to insure one another. Each applicant for insurance to the Exchange signs a subscriber's agreement, which contains an appointment of Indemnity as their attorney-in-fact to transact the business of the Exchange on their behalf.</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the subscriber’s agreement for acting as attorney-in-fact in these two capacities, we earn a management fee. Management fee revenue is based upon all direct and assumed premiums written by the Exchange and the management fee rate, which is not to exceed 25%. Our Board of Directors establishes the management fee rate at least annually, generally in December for the following year. The process of setting the management fee rate includes the evaluation of current year operating results compared to both prior year and industry estimated results for both Indemnity and the Exchange, and consideration of several factors for both entities including: their relative financial strength and capital position; projected revenue, expense and earnings for the subsequent year; future capital needs; as well as competitive position. The management fee rate was set at 25% for 2018, 2017 and 2016. Our Board of Directors set the 2019 management fee rate again at 25%, its maximum level.</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earnings are primarily driven by the management fee revenue generated for the services we provide to the Exchange. 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67% of our 2018 policy issuance and renewal expenses. The underwriting services we provide include underwriting and policy processing and comprised approximately 10% of our 2018 policy issuance and renewal expenses. The remaining services we provide include customer service and administrative support. We also provide information technology services that support all the functions listed above that comprised approximately 10% of our 2018 policy issuance and renewal expenses. Included in these expenses are allocations of costs for departments that support these policy issuance and renewal functions.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8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results of operations are tied to the growth and financial condition of the Exchange as the Exchange is our sole customer, and our earnings are largely generated from management fees based on the direct and assumed premiums written by the Exchange. The Exchange generates revenue by insuring preferred and standard risks, with personal lines comprising 71% of the 2018 direct and assumed written premiums and commercial lines comprising the remaining 29%. The principal personal lines products are private passenger automobile and homeowners. The principal commercial lines products are commercial multi-peril, commercial automobile and workers compensation.</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generate investment income from our fixed maturity, equity security, and limited partnership investment portfolios. Our portfolio is managed with the objective of maximizing after-tax returns on a risk-adjusted basis. We actively evaluate the portfolios for impairments, and record impairment write-downs on investments in instances where the fair value of the investment is substantially below cost, and it is concluded that the decline in fair value is other-than-temporary, which includes consideration for intent to sell.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ind w:left="20"/>
              <w:spacing w:after="0"/>
              <w:rPr>
                <w:sz w:val="20"/>
                <w:szCs w:val="20"/>
                <w:color w:val="auto"/>
              </w:rPr>
            </w:pPr>
            <w:r>
              <w:rPr>
                <w:rFonts w:ascii="Arial" w:cs="Arial" w:eastAsia="Arial" w:hAnsi="Arial"/>
                <w:sz w:val="18"/>
                <w:szCs w:val="18"/>
                <w:color w:val="auto"/>
                <w:w w:val="89"/>
              </w:rPr>
              <w:t>Years ended December 31,</w:t>
            </w: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91"/>
        </w:trPr>
        <w:tc>
          <w:tcPr>
            <w:tcW w:w="4440" w:type="dxa"/>
            <w:vAlign w:val="bottom"/>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Change</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0"/>
              </w:rPr>
              <w:t>% Change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513"/>
        </w:trPr>
        <w:tc>
          <w:tcPr>
            <w:tcW w:w="444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344,343</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290,252</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293,517</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25,796</w:t>
            </w: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28,592</w:t>
            </w:r>
          </w:p>
        </w:tc>
        <w:tc>
          <w:tcPr>
            <w:tcW w:w="3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27,839</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2,460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3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3,641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(1,911)</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(64.2)</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w:t>
            </w:r>
          </w:p>
        </w:tc>
      </w:tr>
      <w:tr>
        <w:trPr>
          <w:trHeight w:val="27"/>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371,320</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315,695</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320,091</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83,096</w:t>
            </w: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118,696</w:t>
            </w:r>
          </w:p>
        </w:tc>
        <w:tc>
          <w:tcPr>
            <w:tcW w:w="38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109,725</w:t>
            </w:r>
          </w:p>
        </w:tc>
      </w:tr>
      <w:tr>
        <w:trPr>
          <w:trHeight w:val="27"/>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288,224</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196,999</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210,366</w:t>
            </w: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440" w:type="dxa"/>
            <w:vAlign w:val="bottom"/>
          </w:tcPr>
          <w:p>
            <w:pPr>
              <w:ind w:left="14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0"/>
        </w:trPr>
        <w:tc>
          <w:tcPr>
            <w:tcW w:w="4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3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Operating income increased $54.1 million in 2018 as the growth in total operating revenue outpaced the growth in total operating expenses. Offsetting some of the increase in operating expenses in 2018 were lower agent and employee incentive costs related to less profitable growth. In 2017, operating income decreased $3.3 million primarily due to higher incentive compensation and information technology-related professional fees. Management fee revenue for policy issuance and renewal services increased $56.9 million and $95.2 million in 2018 and 2017, respectively. Management fee revenue allocated to administrative services was $53.6 million in 2018. No management fee revenue was allocated to administrative services in 2017 and 2016. Management fee revenue is based upon the management fee rate we charge, and the direct and assumed premiums written by the Exchange. The management fee rate was 25% for 2018, 2017 and 2016. The direct and assumed premiums written by the Exchange increased 6.9% to $7.1 billion in 2018 and 6.0% to $6.7 billion in 2017. The administrative services reimbursement revenue and corresponding cost of operations increased both total operating revenue and total operating expenses by $580.3 million in 2018, but had no net impact on operating income.</w:t>
      </w:r>
    </w:p>
    <w:p>
      <w:pPr>
        <w:spacing w:after="0" w:line="18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Cost of operations for policy issuance and renewal services increased 4.0% in 2018 primarily due to higher commissions driven by direct written premium growth, and increased 7.6% in 2017 driven by higher commissions, personnel costs and information technology-related professional fees.</w:t>
      </w:r>
    </w:p>
    <w:p>
      <w:pPr>
        <w:spacing w:after="0" w:line="14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Total investment income decreased $2.8 million in 2018 driven by lower earnings generated from limited partnership investments and higher net realized investment losses, partially offset by higher net investment income. Total investment income increased $0.8 million in 2017 driven by higher net investment income and net realized investment gains offset by lower earnings generated from limited partnership investments.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tax expense was impacted by the enactment of the Tax Cuts and Jobs Act on December 22, 2017, which reduced the corporate income tax rate from 35% to 21% effective January 1, 2018. Income before income taxes increased $55.6 million in 2018 while income tax expense decreased $35.6 million due to the lower income tax rate. Income tax expense increased $10.1 million in 2017 due to the re-measurement of our deferred tax assets and liabilities at the new corporate income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Conditions and Trends Affecting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conditions</w:t>
      </w:r>
    </w:p>
    <w:p>
      <w:pPr>
        <w:spacing w:after="0" w:line="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Further, unanticipated increased inflation costs including medical cost inflation, construction and auto repair cost inflation, and tort issues may impact the estimated loss reserves and future premium rates. If any of these items impacted the financial condition or continuing operations of the Exchange, it could have an impact on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volatility</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portfolio of fixed maturity, equity security, and limited partnership investments is subject to market volatility especially in periods of instability in the worldwide financial markets. Over time, net investment income could also be impacted by volatility and by the general level of interest rates, which impact reinvested cash flow from the portfolio and business operations. Depending upon market conditions, which are unpredictable and remain uncertain, considerable fluctuation could exist in the fair value of our investment portfolio and reported total investment income, which could have an adverse impact on our financial condition, results of operations, and cash flows.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We consider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Statements of Operations or Financial Position.</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9"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make estimates concerning the valuation of all investments. Valuation techniques are used to derive the fair value of the available-for-sale securities we hold. Fair value is the price that would be received to sell an asset in an orderly transaction between willing market participants at the measurement date.</w:t>
      </w:r>
    </w:p>
    <w:p>
      <w:pPr>
        <w:spacing w:after="0" w:line="13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determining whether the market is active or inactive, the classification of a financial instrument is based upon the following definitions:</w:t>
      </w:r>
    </w:p>
    <w:p>
      <w:pPr>
        <w:spacing w:after="0" w:line="237" w:lineRule="exact"/>
        <w:rPr>
          <w:sz w:val="20"/>
          <w:szCs w:val="20"/>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active market is one in which transactions for the assets being valued occur with sufficient frequency and volume to provide reliable pricing information.</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inactive (illiquid) market is one in which there are few and infrequent transactions, where the prices are not current, price quotations vary substantially, and/or there is little information publicly available for the asset being valued.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continually assess whether or not an active market exists for all of our investments and as of each reporting date re-evaluate the classification in the fair value hierarchy. All assets carried at fair value are classified and disclosed in one of the following three categories: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reporting entity can access at the measurement date.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Level 1 includes nonredeemable preferred stock and reflects market data obtained from independent sources, such as prices obtained from an exchange or a nationally recognized pricing service for identical instruments in active markets.</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Level 2 includes those financial instruments that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U.S. government &amp; agency securities, corporate bonds, municipal bonds, structured securities and certain nonredeemable preferred stock.</w:t>
      </w:r>
    </w:p>
    <w:p>
      <w:pPr>
        <w:spacing w:after="0" w:line="1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Level 3 securities are valued based upon unobservable inputs, reflecting our estimates of value based upon assumptions used by market participants. Securities are assigned to Level 3 in cases where non-binding broker quotes are significant to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valuation and there is a lack of transparency as to whether these quotes are based upon information that is observable in the marketplace. Fair value estimates for securities valued using unobservable inputs require significant judgment due to the illiquid nature of the market for these securities and represent the best estimate of the fair value that would occur in an orderly transaction between willing market participants at the measurement date under current market conditions. Fair value for these securities are generally determined using non-binding broker quotes received from outside broker dealers based upon security type and market conditions. Remaining securities, where a price is not available, are valued using an estimate of fair value based upon indicative market prices that include significant unobservable inputs not based upon, nor corroborated by, market information, including the utilization of discounted cash flow analyses which have been risk-adjusted to take into account illiquidity and other market factors. This category primarily consists of corporate bonds and structured securities priced using non-binding broker quotes.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each reporting period, financial instruments recorded at fair value are classified based upon the lowest level of input that is significant to the fair value measurement. The presence of at least one unobservable input that has significant impact to the fair value measurement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We did not make any other significant judgments except as described above.</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in illiquid markets. 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perform continuous reviews of the prices obtained from the pricing service. This includes evaluating the methodology and inputs used by the pricing service to ensure we determine the proper classification level of the financial instrument. Price variances, including large periodic changes, are investigated and corroborated by market data. We have reviewed the pricing methodologies of our pricing service as well as other observable inputs, such as market data and transaction volumes, and believe that the prices adequately consider market activity in determining fair value.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Other-than-temporary impairments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and duration for which fair value is less than cost;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rating downgrades;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intent to sell or more likely than not we would be required to sell (debt securities); and</w:t>
      </w:r>
    </w:p>
    <w:p>
      <w:pPr>
        <w:spacing w:after="0" w:line="9" w:lineRule="exact"/>
        <w:rPr>
          <w:rFonts w:ascii="Arial" w:cs="Arial" w:eastAsia="Arial" w:hAnsi="Arial"/>
          <w:sz w:val="18"/>
          <w:szCs w:val="18"/>
          <w:color w:val="auto"/>
        </w:rPr>
      </w:pPr>
    </w:p>
    <w:p>
      <w:pPr>
        <w:ind w:left="660" w:right="34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ability and intent to retain the investment for a period of time sufficient to allow for a recovery in value (equity securities prior to the adoption of Accounting Standards Update 2016-01,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w:t>
      </w:r>
    </w:p>
    <w:p>
      <w:pPr>
        <w:spacing w:after="0" w:line="18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debt securities in which we do not expect full recovery of amortized cost, the security is deemed to be credit-impaired. Credit-related impairments and impairments on securities we intend to sell or more likely than not will be required to sell are recorded in the Statements of Operations. It is our intention to sell all debt securities with credit impairments.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primary basis for the valuation of limited partnership interests is financial statements prepared by the general partner. Because of the timing of the preparation and delivery of these financial statements, the use of the most recently available financial statements provided by the general partners generally result in a quarter delay in the inclusion of the limited partnership results in our Statements of Operations. Due to this delay, these financial statements do not reflect the market conditions experienced in the fourth quarter of 2018.</w:t>
      </w:r>
    </w:p>
    <w:p>
      <w:pPr>
        <w:spacing w:after="0" w:line="1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majority of our limited partnership holdings are considered investment companies where the general partners record assets at fair value. These limited partnerships are recorded using the equity method of accounting. We also own one real estate limited partnership that does not meet the criteria of an investment company. This partnership prepares audited financial statements on a cost basis. We have elected to report this limited partnership under the fair value option, which is based on the net asset value (NAV) from our partner's capital statement reflecting the general partner's estimate of fair value for the fund's underlying assets. Fair value provides consistency in the evaluation and financial reporting for this limited partnership and limited partnerships accounted for under the equity method.</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three types of limited partnership investments: private equity, mezzanine debt, and real estate. Nearly all of the underlying investments in our limited partnerships are valued using a source other than quoted prices in active markets. The fair value amounts for our private equity and mezzanine debt partnerships are based upon the financial statements prepared by the general partners, who use various methods to estimate fair value including the market approach, income approach, and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about those future amounts. The cost approach is derived from the amount that is currently required to replace the service capacity of an asset. If information becomes available that would impair the cost of investments owned by the partnerships, then the general partner would adjust the investments to the net realizable value.</w:t>
      </w:r>
    </w:p>
    <w:p>
      <w:pPr>
        <w:spacing w:after="0" w:line="18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The fair value of investments in real estate limited partnerships is determined by the general partner based upon independent appraisals and/or internal valuations. Real estate projects under development are generally valued at cost and impairment tested by the general partner.</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we perform various procedures in review of the general partners' valuations, we rely on the general partners' financial statements as the best available information to record our share of the partnership unrealized gains and losses resulting from valuation changes. Due to the limited market for these investments, there is higher potential for variability. We survey each of the general partners quarterly about expected significant changes (plus or minus 10% compared to previous quarter) to valuations prior to the release of the fund's quarterly and annual financial statements. Based upon that information from the general partner, we consider whether additional disclosure is warranted. We analyze the limited partnership measured at fair value based upon NAV to determine if the most recently available NAV reflects fair value at the balance sheet date, with an adjustment being made where appropriate (change of plus or minus 5% compared to most recent NAV).</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made no new limited partnership commitments since 2006, and the balance of limited partnership investments is expected to decline over time as additional distributions are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Plans for Employees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pension plans consist of a noncontributory defined benefit pension plan covering substantially all employees and an unfunded supplemental employee retirement plan ("SERP") for certain members of executive and senior management. Although we are the sponsor of these postretirement plans and record the funded status of these plans, the Exchange and its subsidiaries reimburse us for approximately 59% of the annual benefit expense of these plans, which includes pension benefits for employees performing administrative services and the Exchange's allocated share of costs for employees in departments that support the administrative functions.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pension obligation is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Accumulated and projected benefit obligations are expressed as the present value of future cash payments. We discount those cash payments based upon a yield curve developed from corporate bond yield information with maturities that correspond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payment of benefits. Lower discount rates increase present values and subsequent year pension expense, while higher discount rates decrease present values and subsequent year pension expense. The construction of the yield curve is based upon yields of corporate bonds rated AA or equivalent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The cash flows from the yield curve were matched against our projected benefit payments in the pension plan, which have a duration of about 18 years. This yield curve supported the selection of a 4.47% discount rate for the projected benefit obligation at December 31, 2018 and for the 2019 pension expense. The same methodology was used to develop the 3.73% and 4.24% discount rates used to determine the projected benefit obligation for 2017 and 2016, respectively, and the pension expense for 2018 and 2017, respectively. A 25 basis point decrease in the discount rate assumption, with other assumptions held constant, would increase pension cost in the following year by $4.2 million, of which our share would be approximately $1.7 million, and would increase the pension benefit obligation by $39.0 million.</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and accumulated other comprehensive income (loss) on the Statements of Financial Position. These amounts are systematically recognized to net periodic pension expense in future periods, with gains decreasing and losses increasing future pension expense. If actuarial net gains or losses exceed 5% of the greater of the projected benefit obligation and the market-related value of plan assets, the excess is recognized through the net periodic pension expense equally over the estimated service period of the employee group, which is currently 14 years.</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expected long-term rate of return for the pension plan represents the average rate of return to be earned on plan assets over the period the benefits included in the benefit obligation are to be paid.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 The expected long-term rate of return is less susceptible to annual revisions, as there are typically no significant changes in the asset mix. In 2018, we changed our target asset allocation to reduce investment risk by shifting portfolio assets from equity securities to debt securities. Based on the current asset allocation and a review of the key factors and expectations of future asset performance, we reduced the expected return on asset assumption from 6.75% to 6.00% for 2019. A change of 25 basis points in the expected long-term rate of return assumption, with other assumptions held constant, would have an estimated $2.0 million impact on net pension benefit cost in the following year, of which our share would be approximately $0.8 million.</w:t>
      </w:r>
    </w:p>
    <w:p>
      <w:pPr>
        <w:spacing w:after="0" w:line="18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use a four 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 year period. The market-related asset experience during 2018 that related to the actual investment return being different from that assumed during the prior year was a loss of $89.6 million. Recognition of this loss will be deferred and recognized over a four year period, consistent with the market-related asset value methodology. Once factored into the market-related asset value, these experience gains and losses will be amortized over a period of 14 years, which is the remaining service period of the employee group.</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Estimates of fair values of the pension plan assets are obtained primarily from the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The methodologies used by the trustee and custodian that support a financial instrument Level 2 classification include multiple verifiable, observable inputs including benchmark yields, reported trades, broker/dealer quotes, issuers spreads, two-sided markets, benchmark securities, bids, offers, and reference data. There were no Level 3 investments in 2018 or 2017.</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expect our net pension benefit costs to decrease from $36.3 million in 2018 to $30.7 million in 2019 primarily due to the higher discount rate, partially offset by less than expected asset returns during 2018. Our share of the net pension benefit costs after reimbursements was $14.9 million in 2018. We expect our share of the net pension benefit costs to be approximately $12.6 million in 2019.</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actuarial assumptions we used in determining our pension obligation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 See Part II, Item</w:t>
      </w:r>
    </w:p>
    <w:p>
      <w:pPr>
        <w:ind w:right="460" w:firstLine="8"/>
        <w:spacing w:after="0" w:line="261"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Statements and Supplementary Data - Note 9, Postretirement Benefits, of Notes to Financial Statements" contained within this report for additional details on the pension plans.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121" w:right="3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fee revenue</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On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Upon adoption, we determined we have two performance obligations in the subscriber’s agreement, providing policy issuance and renewal services and acting as attorney-in-fact for the Exchange, as well as the service provider for its insurance subsidiaries, with respect to all administrative services. We earn management fees for acting as the attorney-in-fact for the subscribers at the Exchange in these two capacities. Upon adoption of ASC 606, we are required to allocate our revenues between our performance obligations. Prior to the adoption of ASC 606, the entire management fee was allocated to the policy issuance and renewal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fee rate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management fee is calculated by multiplying all direct and assumed premiums written by the Exchange by the management fee rate, which is determined by our Board of Directors at least annually. The management fee rate was set at 25%, the maximum rate, for 2018, 2017 and 2016. Changes in the management fee rate can affect our revenue and net income significantly.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allowance for management fee returned on cancelled policies</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Management fees are returned to the Exchange when subscribers/policyholders cancel their insurance coverage mid-term and unearned premiums are refunded to them. We maintain an allowance for management fees returned on mid-year policy cancellations that recognizes the management fee anticipated to be returned to the Exchange based on historical mid-term cancellation experience. Our cash flows are unaffected by the recording of this allowance.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allocation and disaggregation of revenue for our two performance obligations: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80" w:type="dxa"/>
            <w:vAlign w:val="bottom"/>
            <w:gridSpan w:val="4"/>
          </w:tcPr>
          <w:p>
            <w:pPr>
              <w:ind w:left="40"/>
              <w:spacing w:after="0"/>
              <w:rPr>
                <w:sz w:val="20"/>
                <w:szCs w:val="20"/>
                <w:color w:val="auto"/>
              </w:rPr>
            </w:pPr>
            <w:r>
              <w:rPr>
                <w:rFonts w:ascii="Arial" w:cs="Arial" w:eastAsia="Arial" w:hAnsi="Arial"/>
                <w:sz w:val="18"/>
                <w:szCs w:val="18"/>
                <w:color w:val="auto"/>
                <w:w w:val="87"/>
              </w:rPr>
              <w:t>Years ended December 31,</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40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0"/>
              </w:rPr>
              <w:t>% Change</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Change</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18"/>
                <w:szCs w:val="18"/>
                <w:b w:val="1"/>
                <w:bCs w:val="1"/>
                <w:color w:val="auto"/>
              </w:rPr>
              <w:t>Policy issuance and renewal services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w w:val="99"/>
              </w:rPr>
              <w:t>Direct and assumed premiums written by the Exchange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7,112,846</w:t>
            </w:r>
          </w:p>
        </w:tc>
        <w:tc>
          <w:tcPr>
            <w:tcW w:w="1080" w:type="dxa"/>
            <w:vAlign w:val="bottom"/>
          </w:tcPr>
          <w:p>
            <w:pPr>
              <w:ind w:left="540"/>
              <w:spacing w:after="0"/>
              <w:rPr>
                <w:sz w:val="20"/>
                <w:szCs w:val="20"/>
                <w:color w:val="auto"/>
              </w:rPr>
            </w:pPr>
            <w:r>
              <w:rPr>
                <w:rFonts w:ascii="Arial" w:cs="Arial" w:eastAsia="Arial" w:hAnsi="Arial"/>
                <w:sz w:val="18"/>
                <w:szCs w:val="18"/>
                <w:color w:val="auto"/>
              </w:rPr>
              <w:t>6.9 %</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6,656,501</w:t>
            </w:r>
          </w:p>
        </w:tc>
        <w:tc>
          <w:tcPr>
            <w:tcW w:w="280" w:type="dxa"/>
            <w:vAlign w:val="bottom"/>
          </w:tcPr>
          <w:p>
            <w:pPr>
              <w:spacing w:after="0"/>
              <w:rPr>
                <w:sz w:val="23"/>
                <w:szCs w:val="23"/>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6.0 %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6,278,126</w:t>
            </w: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rPr>
              <w:t>Management fee rate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Management fee revenue</w:t>
            </w:r>
          </w:p>
        </w:tc>
        <w:tc>
          <w:tcPr>
            <w:tcW w:w="3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1,721,309</w:t>
            </w:r>
          </w:p>
        </w:tc>
        <w:tc>
          <w:tcPr>
            <w:tcW w:w="1080" w:type="dxa"/>
            <w:vAlign w:val="bottom"/>
          </w:tcPr>
          <w:p>
            <w:pPr>
              <w:ind w:left="5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1,664,125</w:t>
            </w:r>
          </w:p>
        </w:tc>
        <w:tc>
          <w:tcPr>
            <w:tcW w:w="280" w:type="dxa"/>
            <w:vAlign w:val="bottom"/>
          </w:tcPr>
          <w:p>
            <w:pPr>
              <w:spacing w:after="0"/>
              <w:rPr>
                <w:sz w:val="20"/>
                <w:szCs w:val="20"/>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1,569,531</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0"/>
                <w:szCs w:val="20"/>
                <w:color w:val="auto"/>
              </w:rPr>
            </w:pPr>
            <w:r>
              <w:rPr>
                <w:rFonts w:ascii="Arial" w:cs="Arial" w:eastAsia="Arial" w:hAnsi="Arial"/>
                <w:sz w:val="18"/>
                <w:szCs w:val="18"/>
                <w:color w:val="auto"/>
              </w:rPr>
              <w:t>Change in allowance for management fee returned on</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400" w:type="dxa"/>
            <w:vAlign w:val="bottom"/>
          </w:tcPr>
          <w:p>
            <w:pPr>
              <w:ind w:left="160"/>
              <w:spacing w:after="0"/>
              <w:rPr>
                <w:sz w:val="20"/>
                <w:szCs w:val="20"/>
                <w:color w:val="auto"/>
              </w:rPr>
            </w:pPr>
            <w:r>
              <w:rPr>
                <w:rFonts w:ascii="Arial" w:cs="Arial" w:eastAsia="Arial" w:hAnsi="Arial"/>
                <w:sz w:val="18"/>
                <w:szCs w:val="18"/>
                <w:color w:val="auto"/>
              </w:rPr>
              <w:t xml:space="preserve">cancelled policies </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(1,742)</w:t>
            </w:r>
          </w:p>
        </w:tc>
        <w:tc>
          <w:tcPr>
            <w:tcW w:w="1080" w:type="dxa"/>
            <w:vAlign w:val="bottom"/>
          </w:tcPr>
          <w:p>
            <w:pPr>
              <w:ind w:left="48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21"/>
                <w:szCs w:val="21"/>
                <w:color w:val="auto"/>
              </w:rPr>
            </w:pPr>
          </w:p>
        </w:tc>
        <w:tc>
          <w:tcPr>
            <w:tcW w:w="1060" w:type="dxa"/>
            <w:vAlign w:val="bottom"/>
          </w:tcPr>
          <w:p>
            <w:pPr>
              <w:ind w:left="18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w w:val="98"/>
              </w:rPr>
              <w:t>Management fee revenue - policy issuance and renewal</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1,719,567</w:t>
            </w:r>
          </w:p>
        </w:tc>
        <w:tc>
          <w:tcPr>
            <w:tcW w:w="1080" w:type="dxa"/>
            <w:vAlign w:val="bottom"/>
          </w:tcPr>
          <w:p>
            <w:pPr>
              <w:spacing w:after="0"/>
              <w:rPr>
                <w:sz w:val="18"/>
                <w:szCs w:val="18"/>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color w:val="auto"/>
              </w:rPr>
              <w:t>1,662,625</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1,567,431</w:t>
            </w:r>
          </w:p>
        </w:tc>
        <w:tc>
          <w:tcPr>
            <w:tcW w:w="0" w:type="dxa"/>
            <w:vAlign w:val="bottom"/>
          </w:tcPr>
          <w:p>
            <w:pPr>
              <w:spacing w:after="0"/>
              <w:rPr>
                <w:sz w:val="1"/>
                <w:szCs w:val="1"/>
                <w:color w:val="auto"/>
              </w:rPr>
            </w:pPr>
          </w:p>
        </w:tc>
      </w:tr>
      <w:tr>
        <w:trPr>
          <w:trHeight w:val="242"/>
        </w:trPr>
        <w:tc>
          <w:tcPr>
            <w:tcW w:w="4400" w:type="dxa"/>
            <w:vAlign w:val="bottom"/>
          </w:tcPr>
          <w:p>
            <w:pPr>
              <w:ind w:left="160"/>
              <w:spacing w:after="0"/>
              <w:rPr>
                <w:sz w:val="20"/>
                <w:szCs w:val="20"/>
                <w:color w:val="auto"/>
              </w:rPr>
            </w:pPr>
            <w:r>
              <w:rPr>
                <w:rFonts w:ascii="Arial" w:cs="Arial" w:eastAsia="Arial" w:hAnsi="Arial"/>
                <w:sz w:val="18"/>
                <w:szCs w:val="18"/>
                <w:color w:val="auto"/>
              </w:rPr>
              <w:t xml:space="preserve">services, net </w:t>
            </w:r>
            <w:r>
              <w:rPr>
                <w:rFonts w:ascii="Arial" w:cs="Arial" w:eastAsia="Arial" w:hAnsi="Arial"/>
                <w:sz w:val="18"/>
                <w:szCs w:val="18"/>
                <w:color w:val="auto"/>
                <w:vertAlign w:val="superscript"/>
              </w:rPr>
              <w:t>(2)</w:t>
            </w:r>
          </w:p>
        </w:tc>
        <w:tc>
          <w:tcPr>
            <w:tcW w:w="32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080" w:type="dxa"/>
            <w:vAlign w:val="bottom"/>
          </w:tcPr>
          <w:p>
            <w:pPr>
              <w:ind w:left="540"/>
              <w:spacing w:after="0"/>
              <w:rPr>
                <w:sz w:val="20"/>
                <w:szCs w:val="20"/>
                <w:color w:val="auto"/>
              </w:rPr>
            </w:pPr>
            <w:r>
              <w:rPr>
                <w:rFonts w:ascii="Arial" w:cs="Arial" w:eastAsia="Arial" w:hAnsi="Arial"/>
                <w:sz w:val="18"/>
                <w:szCs w:val="18"/>
                <w:color w:val="auto"/>
              </w:rPr>
              <w:t>3.4 %</w:t>
            </w:r>
          </w:p>
        </w:tc>
        <w:tc>
          <w:tcPr>
            <w:tcW w:w="58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ind w:left="240"/>
              <w:spacing w:after="0"/>
              <w:rPr>
                <w:sz w:val="20"/>
                <w:szCs w:val="20"/>
                <w:color w:val="auto"/>
              </w:rPr>
            </w:pPr>
            <w:r>
              <w:rPr>
                <w:rFonts w:ascii="Arial" w:cs="Arial" w:eastAsia="Arial" w:hAnsi="Arial"/>
                <w:sz w:val="18"/>
                <w:szCs w:val="18"/>
                <w:color w:val="auto"/>
              </w:rPr>
              <w:t>6.1 %</w:t>
            </w:r>
          </w:p>
        </w:tc>
        <w:tc>
          <w:tcPr>
            <w:tcW w:w="3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Administrative services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44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w w:val="99"/>
              </w:rPr>
              <w:t>Direct and assumed premiums written by the Exchange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7,112,846</w:t>
            </w:r>
          </w:p>
        </w:tc>
        <w:tc>
          <w:tcPr>
            <w:tcW w:w="1080" w:type="dxa"/>
            <w:vAlign w:val="bottom"/>
          </w:tcPr>
          <w:p>
            <w:pPr>
              <w:ind w:left="460"/>
              <w:spacing w:after="0"/>
              <w:rPr>
                <w:sz w:val="20"/>
                <w:szCs w:val="20"/>
                <w:color w:val="auto"/>
              </w:rPr>
            </w:pPr>
            <w:r>
              <w:rPr>
                <w:rFonts w:ascii="Arial" w:cs="Arial" w:eastAsia="Arial" w:hAnsi="Arial"/>
                <w:sz w:val="18"/>
                <w:szCs w:val="18"/>
                <w:color w:val="auto"/>
              </w:rPr>
              <w:t>N/A %</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color w:val="auto"/>
              </w:rPr>
              <w:t>Management fee rate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Management fee revenue</w:t>
            </w:r>
          </w:p>
        </w:tc>
        <w:tc>
          <w:tcPr>
            <w:tcW w:w="3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56,903</w:t>
            </w:r>
          </w:p>
        </w:tc>
        <w:tc>
          <w:tcPr>
            <w:tcW w:w="1080" w:type="dxa"/>
            <w:vAlign w:val="bottom"/>
          </w:tcPr>
          <w:p>
            <w:pPr>
              <w:ind w:left="4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1"/>
        </w:trPr>
        <w:tc>
          <w:tcPr>
            <w:tcW w:w="4400" w:type="dxa"/>
            <w:vAlign w:val="bottom"/>
          </w:tcPr>
          <w:p>
            <w:pPr>
              <w:spacing w:after="0"/>
              <w:rPr>
                <w:sz w:val="20"/>
                <w:szCs w:val="20"/>
                <w:color w:val="auto"/>
              </w:rPr>
            </w:pPr>
            <w:r>
              <w:rPr>
                <w:rFonts w:ascii="Arial" w:cs="Arial" w:eastAsia="Arial" w:hAnsi="Arial"/>
                <w:sz w:val="18"/>
                <w:szCs w:val="18"/>
                <w:color w:val="auto"/>
              </w:rPr>
              <w:t xml:space="preserve">Change in contract liability </w:t>
            </w:r>
            <w:r>
              <w:rPr>
                <w:rFonts w:ascii="Arial" w:cs="Arial" w:eastAsia="Arial" w:hAnsi="Arial"/>
                <w:sz w:val="18"/>
                <w:szCs w:val="18"/>
                <w:color w:val="auto"/>
                <w:vertAlign w:val="superscript"/>
              </w:rPr>
              <w:t>(3)</w:t>
            </w:r>
          </w:p>
        </w:tc>
        <w:tc>
          <w:tcPr>
            <w:tcW w:w="3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(3,209)</w:t>
            </w:r>
          </w:p>
        </w:tc>
        <w:tc>
          <w:tcPr>
            <w:tcW w:w="1080" w:type="dxa"/>
            <w:vAlign w:val="bottom"/>
          </w:tcPr>
          <w:p>
            <w:pPr>
              <w:ind w:left="4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0"/>
                <w:szCs w:val="20"/>
                <w:color w:val="auto"/>
              </w:rPr>
            </w:pPr>
            <w:r>
              <w:rPr>
                <w:rFonts w:ascii="Arial" w:cs="Arial" w:eastAsia="Arial" w:hAnsi="Arial"/>
                <w:sz w:val="18"/>
                <w:szCs w:val="18"/>
                <w:color w:val="auto"/>
              </w:rPr>
              <w:t>Change in allowance for management fee returned on</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400" w:type="dxa"/>
            <w:vAlign w:val="bottom"/>
          </w:tcPr>
          <w:p>
            <w:pPr>
              <w:ind w:left="160"/>
              <w:spacing w:after="0"/>
              <w:rPr>
                <w:sz w:val="20"/>
                <w:szCs w:val="20"/>
                <w:color w:val="auto"/>
              </w:rPr>
            </w:pPr>
            <w:r>
              <w:rPr>
                <w:rFonts w:ascii="Arial" w:cs="Arial" w:eastAsia="Arial" w:hAnsi="Arial"/>
                <w:sz w:val="18"/>
                <w:szCs w:val="18"/>
                <w:color w:val="auto"/>
              </w:rPr>
              <w:t xml:space="preserve">cancelled policies </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80" w:type="dxa"/>
            <w:vAlign w:val="bottom"/>
          </w:tcPr>
          <w:p>
            <w:pPr>
              <w:ind w:left="4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w w:val="99"/>
              </w:rPr>
              <w:t>Management fee revenue - administrative services, net</w:t>
            </w: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53,632</w:t>
            </w:r>
          </w:p>
        </w:tc>
        <w:tc>
          <w:tcPr>
            <w:tcW w:w="1080" w:type="dxa"/>
            <w:vAlign w:val="bottom"/>
          </w:tcPr>
          <w:p>
            <w:pPr>
              <w:ind w:left="4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Administrative services reimbursement revenue</w:t>
            </w:r>
          </w:p>
        </w:tc>
        <w:tc>
          <w:tcPr>
            <w:tcW w:w="3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580,336</w:t>
            </w:r>
          </w:p>
        </w:tc>
        <w:tc>
          <w:tcPr>
            <w:tcW w:w="1080" w:type="dxa"/>
            <w:vAlign w:val="bottom"/>
          </w:tcPr>
          <w:p>
            <w:pPr>
              <w:ind w:left="4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0"/>
                <w:szCs w:val="20"/>
                <w:color w:val="auto"/>
              </w:rPr>
            </w:pPr>
            <w:r>
              <w:rPr>
                <w:rFonts w:ascii="Arial" w:cs="Arial" w:eastAsia="Arial" w:hAnsi="Arial"/>
                <w:sz w:val="18"/>
                <w:szCs w:val="18"/>
                <w:color w:val="auto"/>
              </w:rPr>
              <w:t>Total revenue from administrative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633,968</w:t>
            </w:r>
          </w:p>
        </w:tc>
        <w:tc>
          <w:tcPr>
            <w:tcW w:w="1080" w:type="dxa"/>
            <w:vAlign w:val="bottom"/>
          </w:tcPr>
          <w:p>
            <w:pPr>
              <w:ind w:left="460"/>
              <w:spacing w:after="0"/>
              <w:rPr>
                <w:sz w:val="20"/>
                <w:szCs w:val="20"/>
                <w:color w:val="auto"/>
              </w:rPr>
            </w:pPr>
            <w:r>
              <w:rPr>
                <w:rFonts w:ascii="Arial" w:cs="Arial" w:eastAsia="Arial" w:hAnsi="Arial"/>
                <w:sz w:val="18"/>
                <w:szCs w:val="18"/>
                <w:color w:val="auto"/>
              </w:rPr>
              <w:t>N/A %</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N/A = not applicable</w:t>
      </w:r>
    </w:p>
    <w:p>
      <w:pPr>
        <w:spacing w:after="0" w:line="151" w:lineRule="exact"/>
        <w:rPr>
          <w:sz w:val="20"/>
          <w:szCs w:val="20"/>
          <w:color w:val="auto"/>
        </w:rPr>
      </w:pPr>
    </w:p>
    <w:p>
      <w:pPr>
        <w:jc w:val="both"/>
        <w:ind w:left="660" w:right="340" w:hanging="328"/>
        <w:spacing w:after="0" w:line="358" w:lineRule="auto"/>
        <w:tabs>
          <w:tab w:leader="none" w:pos="660" w:val="left"/>
        </w:tabs>
        <w:numPr>
          <w:ilvl w:val="0"/>
          <w:numId w:val="11"/>
        </w:numPr>
        <w:rPr>
          <w:rFonts w:ascii="Arial" w:cs="Arial" w:eastAsia="Arial" w:hAnsi="Arial"/>
          <w:sz w:val="12"/>
          <w:szCs w:val="12"/>
          <w:i w:val="1"/>
          <w:iCs w:val="1"/>
          <w:color w:val="auto"/>
        </w:rPr>
      </w:pPr>
      <w:r>
        <w:rPr>
          <w:rFonts w:ascii="Arial" w:cs="Arial" w:eastAsia="Arial" w:hAnsi="Arial"/>
          <w:sz w:val="12"/>
          <w:szCs w:val="12"/>
          <w:i w:val="1"/>
          <w:iCs w:val="1"/>
          <w:color w:val="auto"/>
        </w:rPr>
        <w:t>Management fees are returned to the Exchange when policies are cancelled mid-term and unearned premiums are refunded. We record an estimated allowance for management fees returned on mid-term policy cancellations. This estimated allowance has been allocated between the two performance obligations consistent with the revenue allocation proportion.</w:t>
      </w:r>
    </w:p>
    <w:p>
      <w:pPr>
        <w:spacing w:after="0" w:line="74" w:lineRule="exact"/>
        <w:rPr>
          <w:rFonts w:ascii="Arial" w:cs="Arial" w:eastAsia="Arial" w:hAnsi="Arial"/>
          <w:sz w:val="12"/>
          <w:szCs w:val="12"/>
          <w:i w:val="1"/>
          <w:iCs w:val="1"/>
          <w:color w:val="auto"/>
        </w:rPr>
      </w:pPr>
    </w:p>
    <w:p>
      <w:pPr>
        <w:ind w:left="660" w:right="360" w:hanging="328"/>
        <w:spacing w:after="0" w:line="273" w:lineRule="auto"/>
        <w:tabs>
          <w:tab w:leader="none" w:pos="66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management fee revenue between the two performance obligations beginning January 1, 2018 caused the growth in management fee revenue - policy issuance and renewal services to not correspond directly with the growth in direct and assumed premiums written by the Exchange in 2018, compared to 2017.</w:t>
      </w:r>
    </w:p>
    <w:p>
      <w:pPr>
        <w:spacing w:after="0" w:line="119" w:lineRule="exact"/>
        <w:rPr>
          <w:rFonts w:ascii="Arial" w:cs="Arial" w:eastAsia="Arial" w:hAnsi="Arial"/>
          <w:sz w:val="14"/>
          <w:szCs w:val="14"/>
          <w:i w:val="1"/>
          <w:iCs w:val="1"/>
          <w:color w:val="auto"/>
        </w:rPr>
      </w:pPr>
    </w:p>
    <w:p>
      <w:pPr>
        <w:ind w:left="660" w:right="340" w:hanging="328"/>
        <w:spacing w:after="0" w:line="312" w:lineRule="auto"/>
        <w:tabs>
          <w:tab w:leader="none" w:pos="66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With the adoption of ASC 606 effective January 1, 2018, management fee revenue - administrative services is recognized over time as the services are performed. See Part II, Item 8. "Financial Statements and Supplementary Data - Note 2, Significant Accounting Policies and Note 3, Revenue, of Notes to Financial Statements" contained within this report.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 and assumed premiums written by the Exchange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Direct and assumed premiums include premiums written directly by the Exchange and premiums assumed from its wholly owned property and casualty subsidiaries. Direct and assumed premiums written by the Exchange increased 6.9% to $7.1 billion in 2018, from $6.7 billion in 2017, driven by increases in both policies in force and average premium per policy. Year-over-year policies in force for all lines of business increased 3.3% in 2018 as the result of continuing strong policyholder retention, compared to 3.5% in 2017. The year-over-year average premium per policy for all lines of business increased 3.5% at December 31, 2018, compared to 2.4% at December 31, 2017.</w:t>
      </w:r>
    </w:p>
    <w:p>
      <w:pPr>
        <w:spacing w:after="0" w:line="191"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Premiums generated from new business increased 4.7% to $886 million in 2018. While 2018 new business policies written decreased 1.4%, the year-over-year average premium per policy on new business increased 6.2% at December 31, 2018, driving this new business premium increase. Premiums generated from new business increased 12.3% to $846 million in 2017. Underlying this trend in new business premium was a 7.6% increase in new business policies written in 2017 and a year-over-year average premium per policy on new business increase of 4.4% at December 31, 2017.</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Premiums generated from renewal business increased 7.2% to $6.2 billion in 2018, compared to 5.2%, or $5.8 billion, in 2017. Underlying the trend in renewal business premiums were increases in average premium per policy and steady policy retention ratios. The renewal business year-over-year average premium per policy increased 3.1% at December 31, 2018, compared to 2.2% at December 31, 2017.</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Exchange implemented rate increases in 2018, 2017, and 2016 in order to meet loss cost expectations. As the Exchange writes policies with annual terms only, rate actions take 12 months to be fully recognized in written premium and 24 months to be fully recognized in earned premiums. Since rate changes are realized at renewal, it takes 12 months to implement a rate change to all policyholders and another 12 months to earn the increased or decreased premiums in full. As a result, certain rate actions approved in 2017 were reflected in 2018, and recent rate actions in 2018 will be reflected in 2019. The Exchange continuously evaluates pricing and product offerings to meet consumer demands.</w:t>
      </w:r>
    </w:p>
    <w:p>
      <w:pPr>
        <w:spacing w:after="0" w:line="17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Personal lines </w:t>
      </w:r>
      <w:r>
        <w:rPr>
          <w:rFonts w:ascii="Arial" w:cs="Arial" w:eastAsia="Arial" w:hAnsi="Arial"/>
          <w:sz w:val="17"/>
          <w:szCs w:val="17"/>
          <w:color w:val="auto"/>
        </w:rPr>
        <w:t>– Total personal lines premiums written increased 6.6% to $5.0 billion in 2018, from $4.7 billion in 2017, driven by an increase of 3.4% in</w:t>
      </w:r>
      <w:r>
        <w:rPr>
          <w:rFonts w:ascii="Arial" w:cs="Arial" w:eastAsia="Arial" w:hAnsi="Arial"/>
          <w:sz w:val="17"/>
          <w:szCs w:val="17"/>
          <w:i w:val="1"/>
          <w:iCs w:val="1"/>
          <w:color w:val="auto"/>
        </w:rPr>
        <w:t xml:space="preserve"> </w:t>
      </w:r>
      <w:r>
        <w:rPr>
          <w:rFonts w:ascii="Arial" w:cs="Arial" w:eastAsia="Arial" w:hAnsi="Arial"/>
          <w:sz w:val="17"/>
          <w:szCs w:val="17"/>
          <w:color w:val="auto"/>
        </w:rPr>
        <w:t>total personal lines policies in force and an increase of 3.3% in the total personal lines year-over-year average premium per policy.</w:t>
      </w:r>
    </w:p>
    <w:p>
      <w:pPr>
        <w:spacing w:after="0" w:line="14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Commercial lines </w:t>
      </w:r>
      <w:r>
        <w:rPr>
          <w:rFonts w:ascii="Arial" w:cs="Arial" w:eastAsia="Arial" w:hAnsi="Arial"/>
          <w:sz w:val="17"/>
          <w:szCs w:val="17"/>
          <w:color w:val="auto"/>
        </w:rPr>
        <w:t>– Total commercial lines premiums written increased 7.5% to $2.1 billion in 2018, from $1.9 billion in 2017, driven by a 2.7%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total commercial lines policies in force and a 4.6% increase in the total commercial lines year-over-year average premium per policy.</w:t>
      </w:r>
    </w:p>
    <w:p>
      <w:pPr>
        <w:spacing w:after="0" w:line="14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i w:val="1"/>
          <w:iCs w:val="1"/>
          <w:color w:val="auto"/>
        </w:rPr>
        <w:t xml:space="preserve">Future trends-premium revenue </w:t>
      </w:r>
      <w:r>
        <w:rPr>
          <w:rFonts w:ascii="Arial" w:cs="Arial" w:eastAsia="Arial" w:hAnsi="Arial"/>
          <w:sz w:val="18"/>
          <w:szCs w:val="18"/>
          <w:color w:val="auto"/>
        </w:rPr>
        <w:t>– The Exchange plans to continue its efforts to grow premiums and improve its competitive position in the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the size of its agency force through a careful agency selection process and increased market penetration in our existing operating territories is expected to contribute to future growth as existing and new agents build their books of business.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Changes in premium levels attributable to the growth in policies in force directly affects the profitability of the Exchange and has a direct bearing on our management fee. Our continued focus on underwriting discipline and the maturing of pricing sophistication models has contributed to the Exchange's steady policy retention ratios and increased average premium per policy. The continued growth of its policy base is dependent upon the Exchange's ability to retain existing, and attract new, subscribers/policyholders. A lack of new policy growth or the inability to retain existing customers could have an adverse effect on the Exchange's premium level growth, and consequently our management fee.</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Changes in premium levels attributable to rate changes also directly affect the profitability of the Exchange and have a direct bearing on our management fee. Pricing actions contemplated or taken by the Exchange are subject to various regulatory requirements of the states in which it operates. The pricing actions already implemented, or to be implemented, have an effect on the market competitiveness of the Exchange's insurance products. Such pricing actions, and those of the Exchange's competitors, could affect the ability of the Exchange's agents to retain and attract new business. We expect the Exchange's pricing actions to result in a net increase in direct written premium in 2019; however, exposure reductions and/or changes in mix of business as a result of economic conditions could impact the average premium written and assumed by the Exchange, as customers may reduce coverages.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26"/>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Policy issuance and renewal services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9"/>
        </w:trPr>
        <w:tc>
          <w:tcPr>
            <w:tcW w:w="10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4"/>
          </w:tcPr>
          <w:p>
            <w:pPr>
              <w:ind w:left="40"/>
              <w:spacing w:after="0"/>
              <w:rPr>
                <w:sz w:val="20"/>
                <w:szCs w:val="20"/>
                <w:color w:val="auto"/>
              </w:rPr>
            </w:pPr>
            <w:r>
              <w:rPr>
                <w:rFonts w:ascii="Arial" w:cs="Arial" w:eastAsia="Arial" w:hAnsi="Arial"/>
                <w:sz w:val="18"/>
                <w:szCs w:val="18"/>
                <w:color w:val="auto"/>
                <w:w w:val="87"/>
              </w:rPr>
              <w:t>Years ended December 31,</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1"/>
        </w:trPr>
        <w:tc>
          <w:tcPr>
            <w:tcW w:w="45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6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color w:val="auto"/>
              </w:rPr>
              <w:t>% Change</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0"/>
              </w:rPr>
              <w:t>% Change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r>
      <w:tr>
        <w:trPr>
          <w:trHeight w:val="499"/>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Management fee revenue - policy issuance and renewal</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580" w:type="dxa"/>
            <w:vAlign w:val="bottom"/>
            <w:gridSpan w:val="3"/>
          </w:tcPr>
          <w:p>
            <w:pPr>
              <w:ind w:left="200"/>
              <w:spacing w:after="0"/>
              <w:rPr>
                <w:sz w:val="20"/>
                <w:szCs w:val="20"/>
                <w:color w:val="auto"/>
              </w:rPr>
            </w:pPr>
            <w:r>
              <w:rPr>
                <w:rFonts w:ascii="Arial" w:cs="Arial" w:eastAsia="Arial" w:hAnsi="Arial"/>
                <w:sz w:val="18"/>
                <w:szCs w:val="18"/>
                <w:color w:val="auto"/>
              </w:rPr>
              <w:t>services,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1,719,567</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1,662,625</w:t>
            </w:r>
          </w:p>
        </w:tc>
        <w:tc>
          <w:tcPr>
            <w:tcW w:w="2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1,567,431</w:t>
            </w: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Service agreement revenue</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28,677</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29,149</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29,200</w:t>
            </w:r>
          </w:p>
        </w:tc>
      </w:tr>
      <w:tr>
        <w:trPr>
          <w:trHeight w:val="27"/>
        </w:trPr>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1,748,244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1,691,774</w:t>
            </w:r>
          </w:p>
        </w:tc>
        <w:tc>
          <w:tcPr>
            <w:tcW w:w="2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1,596,631</w:t>
            </w: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Cost of policy issuance and renewal services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1,457,533</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1,401,522</w:t>
            </w:r>
          </w:p>
        </w:tc>
        <w:tc>
          <w:tcPr>
            <w:tcW w:w="2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1,303,114</w:t>
            </w:r>
          </w:p>
        </w:tc>
      </w:tr>
      <w:tr>
        <w:trPr>
          <w:trHeight w:val="27"/>
        </w:trPr>
        <w:tc>
          <w:tcPr>
            <w:tcW w:w="10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80" w:type="dxa"/>
            <w:vAlign w:val="bottom"/>
            <w:gridSpan w:val="3"/>
          </w:tcPr>
          <w:p>
            <w:pPr>
              <w:ind w:left="180"/>
              <w:spacing w:after="0"/>
              <w:rPr>
                <w:sz w:val="20"/>
                <w:szCs w:val="20"/>
                <w:color w:val="auto"/>
              </w:rPr>
            </w:pPr>
            <w:r>
              <w:rPr>
                <w:rFonts w:ascii="Arial" w:cs="Arial" w:eastAsia="Arial" w:hAnsi="Arial"/>
                <w:sz w:val="18"/>
                <w:szCs w:val="18"/>
                <w:color w:val="auto"/>
                <w:w w:val="96"/>
              </w:rPr>
              <w:t>Operating income - policy issuance and renewal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290,711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290,252</w:t>
            </w:r>
          </w:p>
        </w:tc>
        <w:tc>
          <w:tcPr>
            <w:tcW w:w="280" w:type="dxa"/>
            <w:vAlign w:val="bottom"/>
          </w:tcPr>
          <w:p>
            <w:pPr>
              <w:spacing w:after="0"/>
              <w:rPr>
                <w:sz w:val="22"/>
                <w:szCs w:val="22"/>
                <w:color w:val="auto"/>
              </w:rPr>
            </w:pPr>
          </w:p>
        </w:tc>
        <w:tc>
          <w:tcPr>
            <w:tcW w:w="1060" w:type="dxa"/>
            <w:vAlign w:val="bottom"/>
            <w:gridSpan w:val="2"/>
          </w:tcPr>
          <w:p>
            <w:pPr>
              <w:jc w:val="right"/>
              <w:ind w:right="290"/>
              <w:spacing w:after="0"/>
              <w:rPr>
                <w:sz w:val="20"/>
                <w:szCs w:val="20"/>
                <w:color w:val="auto"/>
              </w:rPr>
            </w:pPr>
            <w:r>
              <w:rPr>
                <w:rFonts w:ascii="Arial" w:cs="Arial" w:eastAsia="Arial" w:hAnsi="Arial"/>
                <w:sz w:val="18"/>
                <w:szCs w:val="18"/>
                <w:color w:val="auto"/>
              </w:rPr>
              <w:t>(1.1)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293,517</w:t>
            </w:r>
          </w:p>
        </w:tc>
      </w:tr>
      <w:tr>
        <w:trPr>
          <w:trHeight w:val="20"/>
        </w:trPr>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Policy issuance and renewal services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allocate a portion of the management fee, which currently equates to 24.2% of the direct and assumed premiums written by the Exchange, for providing policy issuance and renewal services.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assumed premiums written by the Exchange discussed previously.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agreement revenue</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Service agreement revenue includes service charges we collect from subscribers/policyholders for providing extended payment terms on policies written and assumed by the Exchange, and late payment and policy reinstatement fees. The service charges are fixed dollar amounts per billed installment. The decrease in service agreement revenue reflects the continued shift to payment plans that do not incur service charges or offer a premium discount for certain payment methods.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color w:val="auto"/>
              </w:rPr>
              <w:t>Cost of policy issuance and renewal services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322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w w:val="87"/>
              </w:rPr>
              <w:t>Years ended December 31,</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8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0"/>
              </w:rPr>
              <w:t>% Change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513"/>
        </w:trPr>
        <w:tc>
          <w:tcPr>
            <w:tcW w:w="4580" w:type="dxa"/>
            <w:vAlign w:val="bottom"/>
            <w:gridSpan w:val="2"/>
          </w:tcPr>
          <w:p>
            <w:pPr>
              <w:ind w:left="40"/>
              <w:spacing w:after="0"/>
              <w:rPr>
                <w:sz w:val="20"/>
                <w:szCs w:val="20"/>
                <w:color w:val="auto"/>
              </w:rPr>
            </w:pPr>
            <w:r>
              <w:rPr>
                <w:rFonts w:ascii="Arial" w:cs="Arial" w:eastAsia="Arial" w:hAnsi="Arial"/>
                <w:sz w:val="18"/>
                <w:szCs w:val="18"/>
                <w:i w:val="1"/>
                <w:iCs w:val="1"/>
                <w:color w:val="auto"/>
              </w:rPr>
              <w:t>Commissions: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Total commissions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983,758</w:t>
            </w:r>
          </w:p>
        </w:tc>
        <w:tc>
          <w:tcPr>
            <w:tcW w:w="1060" w:type="dxa"/>
            <w:vAlign w:val="bottom"/>
          </w:tcPr>
          <w:p>
            <w:pPr>
              <w:jc w:val="right"/>
              <w:spacing w:after="0"/>
              <w:rPr>
                <w:sz w:val="20"/>
                <w:szCs w:val="20"/>
                <w:color w:val="auto"/>
              </w:rPr>
            </w:pPr>
            <w:r>
              <w:rPr>
                <w:rFonts w:ascii="Arial" w:cs="Arial" w:eastAsia="Arial" w:hAnsi="Arial"/>
                <w:sz w:val="18"/>
                <w:szCs w:val="18"/>
                <w:color w:val="auto"/>
              </w:rPr>
              <w:t>3.8 %</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947,481</w:t>
            </w:r>
          </w:p>
        </w:tc>
        <w:tc>
          <w:tcPr>
            <w:tcW w:w="2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893,800</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Non-commission expense: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Underwriting and policy processing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150,898</w:t>
            </w:r>
          </w:p>
        </w:tc>
        <w:tc>
          <w:tcPr>
            <w:tcW w:w="1060" w:type="dxa"/>
            <w:vAlign w:val="bottom"/>
          </w:tcPr>
          <w:p>
            <w:pPr>
              <w:jc w:val="right"/>
              <w:spacing w:after="0"/>
              <w:rPr>
                <w:sz w:val="20"/>
                <w:szCs w:val="20"/>
                <w:color w:val="auto"/>
              </w:rPr>
            </w:pPr>
            <w:r>
              <w:rPr>
                <w:rFonts w:ascii="Arial" w:cs="Arial" w:eastAsia="Arial" w:hAnsi="Arial"/>
                <w:sz w:val="18"/>
                <w:szCs w:val="18"/>
                <w:color w:val="auto"/>
              </w:rPr>
              <w:t>5.7 %</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142,819</w:t>
            </w:r>
          </w:p>
        </w:tc>
        <w:tc>
          <w:tcPr>
            <w:tcW w:w="2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135,855</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Information technology</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145,563</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140,421</w:t>
            </w:r>
          </w:p>
        </w:tc>
        <w:tc>
          <w:tcPr>
            <w:tcW w:w="2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121,249</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Sales and advertising</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62,177</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62,059</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63,423</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Customer service</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32,232</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27,827</w:t>
            </w:r>
          </w:p>
        </w:tc>
        <w:tc>
          <w:tcPr>
            <w:tcW w:w="2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Administrative and other</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82,905</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80,915</w:t>
            </w:r>
          </w:p>
        </w:tc>
        <w:tc>
          <w:tcPr>
            <w:tcW w:w="2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64,183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Total non-commission expense</w:t>
            </w: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473,775</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454,041</w:t>
            </w:r>
          </w:p>
        </w:tc>
        <w:tc>
          <w:tcPr>
            <w:tcW w:w="2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409,314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Total cost of policy issuance and renewal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1,457,533</w:t>
            </w:r>
          </w:p>
        </w:tc>
        <w:tc>
          <w:tcPr>
            <w:tcW w:w="1060" w:type="dxa"/>
            <w:vAlign w:val="bottom"/>
          </w:tcPr>
          <w:p>
            <w:pPr>
              <w:jc w:val="right"/>
              <w:spacing w:after="0"/>
              <w:rPr>
                <w:sz w:val="20"/>
                <w:szCs w:val="20"/>
                <w:color w:val="auto"/>
              </w:rPr>
            </w:pPr>
            <w:r>
              <w:rPr>
                <w:rFonts w:ascii="Arial" w:cs="Arial" w:eastAsia="Arial" w:hAnsi="Arial"/>
                <w:sz w:val="18"/>
                <w:szCs w:val="18"/>
                <w:color w:val="auto"/>
              </w:rPr>
              <w:t>4.0 %</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1,401,522</w:t>
            </w:r>
          </w:p>
        </w:tc>
        <w:tc>
          <w:tcPr>
            <w:tcW w:w="2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1,303,114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 xml:space="preserve">Commissions </w:t>
      </w:r>
      <w:r>
        <w:rPr>
          <w:rFonts w:ascii="Arial" w:cs="Arial" w:eastAsia="Arial" w:hAnsi="Arial"/>
          <w:sz w:val="18"/>
          <w:szCs w:val="18"/>
          <w:color w:val="auto"/>
        </w:rPr>
        <w:t>– Commissions increased $36.3 million in 2018 compared to 2017 as a result of the 6.9% increase in direct and assumed premiums written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somewhat offset by lower agent incentive costs related to less profitable growth. Commissions increased $53.7 million in 2017 compared to 2016 primarily as a result of the 6.0% increase in direct and assumed premiums written by the Exchange.</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Non-commission expense </w:t>
      </w:r>
      <w:r>
        <w:rPr>
          <w:rFonts w:ascii="Arial" w:cs="Arial" w:eastAsia="Arial" w:hAnsi="Arial"/>
          <w:sz w:val="17"/>
          <w:szCs w:val="17"/>
          <w:color w:val="auto"/>
        </w:rPr>
        <w:t>– Non-commission expense increased $19.7 million in 2018 compared to 2017. Underwriting and policy processing costs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$8.1 million primarily due to increased personnel costs and underwriting report costs. Information technology costs increased $5.1 million primarily due to increased personnel costs and professional fees. Customer service costs increased $4.4 million primarily due to increased personnel costs and credit card processing fees. Personnel costs in all expense categories were impacted by additional bonuses awarded to all employees as a result of tax savings realized from the lower corporate income tax rate that became effective January 1, 2018 as well as increased medical costs. The total increase in personnel costs was somewhat offset by lower estimated costs for incentive plan awards related to underwriting performance.</w:t>
      </w:r>
    </w:p>
    <w:p>
      <w:pPr>
        <w:sectPr>
          <w:pgSz w:w="11900" w:h="16838" w:orient="portrait"/>
          <w:cols w:equalWidth="0" w:num="1">
            <w:col w:w="11420"/>
          </w:cols>
          <w:pgMar w:left="240" w:top="114"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4"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2017, non-commission expense increased $44.7 million compared to 2016. Underwriting and policy processing costs increased $7.0 million primarily due to increased personnel costs and underwriting report costs. Information technology costs increased $19.2 million primarily due to increased professional fees, hardware and software costs and personnel costs. Customer service costs increased $3.2 million primarily due to increased personnel costs and credit card processing fees. Administrative and other costs increased $16.7 million primarily driven by increased personnel costs, including higher incentive plan costs. The incentive plan cost increase was driven by an increase in long-term incentive plan cost due to the increase in the company stock price during 2017 coupled with lower incentive plan cost in the prior year due to incentive compensation that was forfeited by senior executives who separated from service during 2016. Additionally, the employee incentive plan program was expanded to additional employee groups beginning in 2017. Personnel costs in all expense categories were impacted by increased medical and pension costs.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Administrative services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99"/>
        </w:trPr>
        <w:tc>
          <w:tcPr>
            <w:tcW w:w="182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40" w:type="dxa"/>
            <w:vAlign w:val="bottom"/>
            <w:gridSpan w:val="4"/>
          </w:tcPr>
          <w:p>
            <w:pPr>
              <w:spacing w:after="0"/>
              <w:rPr>
                <w:sz w:val="20"/>
                <w:szCs w:val="20"/>
                <w:color w:val="auto"/>
              </w:rPr>
            </w:pPr>
            <w:r>
              <w:rPr>
                <w:rFonts w:ascii="Arial" w:cs="Arial" w:eastAsia="Arial" w:hAnsi="Arial"/>
                <w:sz w:val="18"/>
                <w:szCs w:val="18"/>
                <w:color w:val="auto"/>
                <w:w w:val="87"/>
              </w:rPr>
              <w:t>Years ended December 31,</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1"/>
        </w:trPr>
        <w:tc>
          <w:tcPr>
            <w:tcW w:w="458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7"/>
              </w:rPr>
              <w:t>% Change</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2016</w:t>
            </w:r>
          </w:p>
        </w:tc>
      </w:tr>
      <w:tr>
        <w:trPr>
          <w:trHeight w:val="51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Management fee revenue - administrative services,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53,632</w:t>
            </w:r>
          </w:p>
        </w:tc>
        <w:tc>
          <w:tcPr>
            <w:tcW w:w="1060" w:type="dxa"/>
            <w:vAlign w:val="bottom"/>
          </w:tcPr>
          <w:p>
            <w:pPr>
              <w:ind w:left="460"/>
              <w:spacing w:after="0"/>
              <w:rPr>
                <w:sz w:val="20"/>
                <w:szCs w:val="20"/>
                <w:color w:val="auto"/>
              </w:rPr>
            </w:pPr>
            <w:r>
              <w:rPr>
                <w:rFonts w:ascii="Arial" w:cs="Arial" w:eastAsia="Arial" w:hAnsi="Arial"/>
                <w:sz w:val="18"/>
                <w:szCs w:val="18"/>
                <w:color w:val="auto"/>
              </w:rPr>
              <w:t>N/A %</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Administrative services reimbursement revenue</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580,336</w:t>
            </w:r>
          </w:p>
        </w:tc>
        <w:tc>
          <w:tcPr>
            <w:tcW w:w="1060" w:type="dxa"/>
            <w:vAlign w:val="bottom"/>
          </w:tcPr>
          <w:p>
            <w:pPr>
              <w:ind w:left="4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revenue allocated to administrative services</w:t>
            </w: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633,968</w:t>
            </w:r>
          </w:p>
        </w:tc>
        <w:tc>
          <w:tcPr>
            <w:tcW w:w="1060" w:type="dxa"/>
            <w:vAlign w:val="bottom"/>
          </w:tcPr>
          <w:p>
            <w:pPr>
              <w:ind w:left="4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0"/>
                <w:szCs w:val="20"/>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Administrative services expenses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Claims handling services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505,843</w:t>
            </w:r>
          </w:p>
        </w:tc>
        <w:tc>
          <w:tcPr>
            <w:tcW w:w="1060" w:type="dxa"/>
            <w:vAlign w:val="bottom"/>
          </w:tcPr>
          <w:p>
            <w:pPr>
              <w:ind w:left="4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Investment management services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32,065</w:t>
            </w:r>
          </w:p>
        </w:tc>
        <w:tc>
          <w:tcPr>
            <w:tcW w:w="1060" w:type="dxa"/>
            <w:vAlign w:val="bottom"/>
          </w:tcPr>
          <w:p>
            <w:pPr>
              <w:ind w:left="4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Life management services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42,428</w:t>
            </w:r>
          </w:p>
        </w:tc>
        <w:tc>
          <w:tcPr>
            <w:tcW w:w="1060" w:type="dxa"/>
            <w:vAlign w:val="bottom"/>
          </w:tcPr>
          <w:p>
            <w:pPr>
              <w:ind w:left="4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18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Operating income - administrative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53,632</w:t>
            </w:r>
          </w:p>
        </w:tc>
        <w:tc>
          <w:tcPr>
            <w:tcW w:w="1060" w:type="dxa"/>
            <w:vAlign w:val="bottom"/>
          </w:tcPr>
          <w:p>
            <w:pPr>
              <w:ind w:left="460"/>
              <w:spacing w:after="0"/>
              <w:rPr>
                <w:sz w:val="20"/>
                <w:szCs w:val="20"/>
                <w:color w:val="auto"/>
              </w:rPr>
            </w:pPr>
            <w:r>
              <w:rPr>
                <w:rFonts w:ascii="Arial" w:cs="Arial" w:eastAsia="Arial" w:hAnsi="Arial"/>
                <w:sz w:val="18"/>
                <w:szCs w:val="18"/>
                <w:color w:val="auto"/>
              </w:rPr>
              <w:t>N/A %</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N/A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0"/>
        </w:trPr>
        <w:tc>
          <w:tcPr>
            <w:tcW w:w="18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N/A = not applicable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allocate a portion of the management fee, which currently equates to 0.8% of the direct and assumed premiums written by the Exchange, to the administrative services. This portion of the management fee is recognized as revenue over a four-year period representing the time over which the services are provided. We also report reimbursed costs as revenues, which are recognized monthly as services are provided. Beginning with the adoption of ASC 606 on January 1, 2018, the administrative services expenses we incur and the related reimbursements we receive are recorded gross in the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administrative services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The amounts incurred for these services are reimbursed to Indemnity at cost in accordance with the subscriber's agreement and the service agreements. We record these reimbursements due from the Exchange and its insurance subsidiaries as a receivable.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26"/>
        </w:trPr>
        <w:tc>
          <w:tcPr>
            <w:tcW w:w="4580" w:type="dxa"/>
            <w:vAlign w:val="bottom"/>
            <w:gridSpan w:val="3"/>
          </w:tcPr>
          <w:p>
            <w:pPr>
              <w:spacing w:after="0"/>
              <w:rPr>
                <w:sz w:val="20"/>
                <w:szCs w:val="20"/>
                <w:color w:val="auto"/>
              </w:rPr>
            </w:pPr>
            <w:r>
              <w:rPr>
                <w:rFonts w:ascii="Arial" w:cs="Arial" w:eastAsia="Arial" w:hAnsi="Arial"/>
                <w:sz w:val="18"/>
                <w:szCs w:val="18"/>
                <w:color w:val="auto"/>
              </w:rPr>
              <w:t>Total investment income</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780" w:type="dxa"/>
            <w:vAlign w:val="bottom"/>
            <w:gridSpan w:val="2"/>
            <w:shd w:val="clear" w:color="auto" w:fill="000000"/>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7380" w:type="dxa"/>
            <w:vAlign w:val="bottom"/>
            <w:gridSpan w:val="7"/>
          </w:tcPr>
          <w:p>
            <w:pPr>
              <w:spacing w:after="0"/>
              <w:rPr>
                <w:sz w:val="20"/>
                <w:szCs w:val="20"/>
                <w:color w:val="auto"/>
              </w:rPr>
            </w:pPr>
            <w:r>
              <w:rPr>
                <w:rFonts w:ascii="Arial" w:cs="Arial" w:eastAsia="Arial" w:hAnsi="Arial"/>
                <w:sz w:val="18"/>
                <w:szCs w:val="18"/>
                <w:color w:val="auto"/>
                <w:w w:val="90"/>
              </w:rPr>
              <w:t>A summary of the results of our investment operations is as follows for the years ended December 31:</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3"/>
        </w:trPr>
        <w:tc>
          <w:tcPr>
            <w:tcW w:w="458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3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 Change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13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 Change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30,209</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22.6  %</w:t>
            </w: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24,639</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20,558</w:t>
            </w: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Net realized investment (losses) gains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672</w:t>
            </w: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Net impairment losses recognized in earnings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(1,581)</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Equity in (losses) earnings of limited partnerships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w:t>
            </w: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7,025</w:t>
            </w:r>
          </w:p>
        </w:tc>
      </w:tr>
      <w:tr>
        <w:trPr>
          <w:trHeight w:val="27"/>
        </w:trPr>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80" w:type="dxa"/>
            <w:vAlign w:val="bottom"/>
            <w:gridSpan w:val="3"/>
          </w:tcPr>
          <w:p>
            <w:pPr>
              <w:ind w:left="180"/>
              <w:spacing w:after="0"/>
              <w:rPr>
                <w:sz w:val="20"/>
                <w:szCs w:val="20"/>
                <w:color w:val="auto"/>
              </w:rPr>
            </w:pPr>
            <w:r>
              <w:rPr>
                <w:rFonts w:ascii="Arial" w:cs="Arial" w:eastAsia="Arial" w:hAnsi="Arial"/>
                <w:sz w:val="18"/>
                <w:szCs w:val="18"/>
                <w:color w:val="auto"/>
              </w:rPr>
              <w:t>Total investment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25,796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(9.8) %</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28,592</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27,839</w:t>
            </w:r>
          </w:p>
        </w:tc>
      </w:tr>
      <w:tr>
        <w:trPr>
          <w:trHeight w:val="20"/>
        </w:trPr>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primarily includes interest and dividends on our fixed maturity and equity security portfolios, net of investment expenses.</w:t>
      </w:r>
    </w:p>
    <w:p>
      <w:pPr>
        <w:spacing w:after="0" w:line="2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investment income increased by $5.6 million in 2018, compared to 2017, primarily due to an increase in cash and cash equivalent income due an increase in rates, and an increase in bond income due to higher investment yields. Net investment income increased by $4.1 million in 2017, compared to 2016, primarily due to higher invested balances and investment yields from fixed maturity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realized investment (losses) gains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breakdown of our net realized investment (losses) gains is as follows for the years ended 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Securities sold:</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7060" w:type="dxa"/>
            <w:vAlign w:val="bottom"/>
          </w:tcPr>
          <w:p>
            <w:pPr>
              <w:ind w:left="140"/>
              <w:spacing w:after="0"/>
              <w:rPr>
                <w:sz w:val="20"/>
                <w:szCs w:val="20"/>
                <w:color w:val="auto"/>
              </w:rPr>
            </w:pPr>
            <w:r>
              <w:rPr>
                <w:rFonts w:ascii="Arial" w:cs="Arial" w:eastAsia="Arial" w:hAnsi="Arial"/>
                <w:sz w:val="18"/>
                <w:szCs w:val="18"/>
                <w:color w:val="auto"/>
              </w:rPr>
              <w:t>Fixed maturities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1,385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06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7060" w:type="dxa"/>
            <w:vAlign w:val="bottom"/>
          </w:tcPr>
          <w:p>
            <w:pPr>
              <w:ind w:left="140"/>
              <w:spacing w:after="0"/>
              <w:rPr>
                <w:sz w:val="20"/>
                <w:szCs w:val="20"/>
                <w:color w:val="auto"/>
              </w:rPr>
            </w:pPr>
            <w:r>
              <w:rPr>
                <w:rFonts w:ascii="Arial" w:cs="Arial" w:eastAsia="Arial" w:hAnsi="Arial"/>
                <w:sz w:val="18"/>
                <w:szCs w:val="18"/>
                <w:color w:val="auto"/>
              </w:rPr>
              <w:t>Common stock trading securities</w:t>
            </w:r>
          </w:p>
        </w:tc>
        <w:tc>
          <w:tcPr>
            <w:tcW w:w="3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707</w:t>
            </w:r>
          </w:p>
        </w:tc>
      </w:tr>
      <w:tr>
        <w:trPr>
          <w:trHeight w:val="281"/>
        </w:trPr>
        <w:tc>
          <w:tcPr>
            <w:tcW w:w="7060" w:type="dxa"/>
            <w:vAlign w:val="bottom"/>
          </w:tcPr>
          <w:p>
            <w:pPr>
              <w:spacing w:after="0"/>
              <w:rPr>
                <w:sz w:val="20"/>
                <w:szCs w:val="20"/>
                <w:color w:val="auto"/>
              </w:rPr>
            </w:pPr>
            <w:r>
              <w:rPr>
                <w:rFonts w:ascii="Arial" w:cs="Arial" w:eastAsia="Arial" w:hAnsi="Arial"/>
                <w:sz w:val="18"/>
                <w:szCs w:val="18"/>
                <w:color w:val="auto"/>
              </w:rPr>
              <w:t xml:space="preserve">Equity securities change in fair value </w:t>
            </w:r>
            <w:r>
              <w:rPr>
                <w:rFonts w:ascii="Arial" w:cs="Arial" w:eastAsia="Arial" w:hAnsi="Arial"/>
                <w:sz w:val="18"/>
                <w:szCs w:val="18"/>
                <w:color w:val="auto"/>
                <w:vertAlign w:val="superscript"/>
              </w:rPr>
              <w:t>(1)</w:t>
            </w:r>
          </w:p>
        </w:tc>
        <w:tc>
          <w:tcPr>
            <w:tcW w:w="32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38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59"/>
        </w:trPr>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2"/>
                <w:szCs w:val="22"/>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7060" w:type="dxa"/>
            <w:vAlign w:val="bottom"/>
          </w:tcPr>
          <w:p>
            <w:pPr>
              <w:ind w:left="220"/>
              <w:spacing w:after="0"/>
              <w:rPr>
                <w:sz w:val="20"/>
                <w:szCs w:val="20"/>
                <w:color w:val="auto"/>
              </w:rPr>
            </w:pPr>
            <w:r>
              <w:rPr>
                <w:rFonts w:ascii="Arial" w:cs="Arial" w:eastAsia="Arial" w:hAnsi="Arial"/>
                <w:sz w:val="18"/>
                <w:szCs w:val="18"/>
                <w:color w:val="auto"/>
              </w:rPr>
              <w:t xml:space="preserve">Net realized investment (losses) gains </w:t>
            </w:r>
            <w:r>
              <w:rPr>
                <w:rFonts w:ascii="Arial" w:cs="Arial" w:eastAsia="Arial" w:hAnsi="Arial"/>
                <w:sz w:val="18"/>
                <w:szCs w:val="18"/>
                <w:color w:val="auto"/>
                <w:vertAlign w:val="superscript"/>
              </w:rPr>
              <w:t>(2)</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1,334</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equity portfolio is based upon exchange traded prices provided by a nationally recognized pricing service.</w:t>
      </w:r>
    </w:p>
    <w:p>
      <w:pPr>
        <w:spacing w:after="0" w:line="13" w:lineRule="exact"/>
        <w:rPr>
          <w:rFonts w:ascii="Arial" w:cs="Arial" w:eastAsia="Arial" w:hAnsi="Arial"/>
          <w:sz w:val="14"/>
          <w:szCs w:val="14"/>
          <w:i w:val="1"/>
          <w:iCs w:val="1"/>
          <w:color w:val="auto"/>
        </w:rPr>
      </w:pPr>
    </w:p>
    <w:p>
      <w:pPr>
        <w:ind w:left="660" w:right="480" w:hanging="328"/>
        <w:spacing w:after="0" w:line="255" w:lineRule="auto"/>
        <w:tabs>
          <w:tab w:leader="none" w:pos="66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See Part II, Item 8. "Financial Statements and Supplementary Data - Note 6, Investments, of Notes to Financial Statements" contained within this report for additional disclosures regarding net realized investment (losses) gains.</w:t>
      </w:r>
    </w:p>
    <w:p>
      <w:pPr>
        <w:spacing w:after="0" w:line="200" w:lineRule="exact"/>
        <w:rPr>
          <w:sz w:val="20"/>
          <w:szCs w:val="20"/>
          <w:color w:val="auto"/>
        </w:rPr>
      </w:pP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realized losses were $2.0 million in 2018, compared to gains of $1.3 million in 2017 and $0.7 million in 2016. Net realized losses in 2018 were due to losses from sales of fixed maturity and equity securities and decreases in fair value of equity securities. Net realized gains in 2017 were primarily due to gains from the sales of fixed maturity securities, partially offset by losses from sales of equity securities, while gains in 2016 were primarily attributable to gains from sales of common stock trading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impairment losses recognized in earnings</w:t>
      </w:r>
    </w:p>
    <w:p>
      <w:pPr>
        <w:spacing w:after="0" w:line="23"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Net impairment losses recognized in earnings were $1.6 million in 2018, compared to $0.2 million in 2017, and $0.4 million in 2016. Net impairment losses recognized in earnings in all three years included securities in an unrealized loss position that we intended to sell prior to expected recovery of our amortized cost basis as well as securities in an unrealized loss position where we determined the loss was other-than-temporary based on credit factors.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 (losses) earnings of limited partnerships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(losses) earnings of limited partnerships are as follows for the years ended 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Private equity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297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(2,756)</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Mezzanine debt</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1,964</w:t>
            </w:r>
          </w:p>
        </w:tc>
        <w:tc>
          <w:tcPr>
            <w:tcW w:w="4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9,730</w:t>
            </w:r>
          </w:p>
        </w:tc>
      </w:tr>
      <w:tr>
        <w:trPr>
          <w:trHeight w:val="27"/>
        </w:trPr>
        <w:tc>
          <w:tcPr>
            <w:tcW w:w="7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60" w:type="dxa"/>
            <w:vAlign w:val="bottom"/>
          </w:tcPr>
          <w:p>
            <w:pPr>
              <w:ind w:left="180"/>
              <w:spacing w:after="0"/>
              <w:rPr>
                <w:sz w:val="20"/>
                <w:szCs w:val="20"/>
                <w:color w:val="auto"/>
              </w:rPr>
            </w:pPr>
            <w:r>
              <w:rPr>
                <w:rFonts w:ascii="Arial" w:cs="Arial" w:eastAsia="Arial" w:hAnsi="Arial"/>
                <w:sz w:val="18"/>
                <w:szCs w:val="18"/>
                <w:color w:val="auto"/>
              </w:rPr>
              <w:t>Equity in (losses) earnings of limited partnerships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(822)</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2,801</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7,025</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4"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Limited partnership earnings pertain to investments in U.S. and foreign private equity, mezzanine debt, and real estate partnerships. Valuation adjustments are recorded to reflect the changes in fair value of the underlying investments held by the limited partnerships. These adjustments are recorded as a component of equity in (losses) earnings of limited partnerships in the Statements of Operations.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Limited partnership earnings tend to be cyclical based upon market conditions, the age of the partnership, and the nature of the investments. Generally, limited partnership earnings are recorded on a quarter lag from financial statements we receive from our general partners. As a consequence, earnings from limited partnerships reported at December 31, 2018 reflect investment valuation changes resulting from the financial markets and the economy for the twelve month period ending September 30, 2018.</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Equity in earnings of limited partnerships decreased by $3.6 million in 2018, compared to 2017, and decreased by $4.2 million in 2017, compared to 2016. The decrease in earnings in 2018 was the result of lower earnings in all sectors. The decrease in earnings in 2017 was primarily the result of lower earnings in real estate investments that were partially offset by higher earnings from private equity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of Erie Insurance Exchange</w:t>
      </w:r>
    </w:p>
    <w:p>
      <w:pPr>
        <w:spacing w:after="0" w:line="2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Serving in the capacity of attorney-in-fact for the Exchange, we are dependent on the growth and financial condition of the Exchange, who is our sole customer. The strength of the Exchange and its wholly owned subsidiaries is rated annually by A.M. Best Company. Higher ratings of insurance companies generally indicate financial stability and a strong ability to pay claims. The ratings are generally based upon factors relevant to policyholders and are not directed toward return to investors. The Exchange and each of its property and casualty subsidiaries are rated A+ "Superior". On June 18, 2018, the outlook for the financial strength rating was affirmed as stable. According to A.M. Best, this second highest financial strength rating category is assigned to those companies that, in A.M. Best's opinion, have achieved superior overall performance when compared to the standards established by A.M. Best and have a superior ability to meet obligations to policyholders over the long term. Only approximately 12% of insurance groups are rated A+ or higher, and the Exchange is included in that group.</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subsidiaries grew 6.9% to $7.1 billion in 2018 from $6.7 billion in 2017. These premiums, along with investment income, are the major sources of cash that support the operations of the Exchange. Policyholders' surplus, determined under statutory accounting principles, was $8.6 billion and $8.8 billion at December 31, 2018 and 2017, respectively. The Exchange and its wholly owned property and casualty subsidiaries' year-over-year policy retention ratio continues to be high at 90.1% at December 31, 2018 and 89.6% at December 31, 2017.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 portfolio is managed with the objective of maximizing after-tax returns on a risk-adjusted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of investments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0" w:type="dxa"/>
            <w:vAlign w:val="bottom"/>
            <w:gridSpan w:val="3"/>
          </w:tcPr>
          <w:p>
            <w:pPr>
              <w:jc w:val="right"/>
              <w:ind w:right="790"/>
              <w:spacing w:after="0"/>
              <w:rPr>
                <w:sz w:val="20"/>
                <w:szCs w:val="20"/>
                <w:color w:val="auto"/>
              </w:rPr>
            </w:pPr>
            <w:r>
              <w:rPr>
                <w:rFonts w:ascii="Arial" w:cs="Arial" w:eastAsia="Arial" w:hAnsi="Arial"/>
                <w:sz w:val="18"/>
                <w:szCs w:val="18"/>
                <w:color w:val="auto"/>
              </w:rPr>
              <w:t>Carrying value at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340" w:type="dxa"/>
            <w:vAlign w:val="bottom"/>
          </w:tcPr>
          <w:p>
            <w:pPr>
              <w:spacing w:after="0"/>
              <w:rPr>
                <w:sz w:val="21"/>
                <w:szCs w:val="21"/>
                <w:color w:val="auto"/>
              </w:rPr>
            </w:pPr>
          </w:p>
        </w:tc>
        <w:tc>
          <w:tcPr>
            <w:tcW w:w="1420" w:type="dxa"/>
            <w:vAlign w:val="bottom"/>
            <w:vMerge w:val="restart"/>
          </w:tcPr>
          <w:p>
            <w:pPr>
              <w:jc w:val="right"/>
              <w:ind w:right="750"/>
              <w:spacing w:after="0"/>
              <w:rPr>
                <w:sz w:val="20"/>
                <w:szCs w:val="20"/>
                <w:color w:val="auto"/>
              </w:rPr>
            </w:pPr>
            <w:r>
              <w:rPr>
                <w:rFonts w:ascii="Arial" w:cs="Arial" w:eastAsia="Arial" w:hAnsi="Arial"/>
                <w:sz w:val="18"/>
                <w:szCs w:val="18"/>
                <w:color w:val="auto"/>
              </w:rPr>
              <w:t>2018</w:t>
            </w:r>
          </w:p>
        </w:tc>
        <w:tc>
          <w:tcPr>
            <w:tcW w:w="1480" w:type="dxa"/>
            <w:vAlign w:val="bottom"/>
          </w:tcPr>
          <w:p>
            <w:pPr>
              <w:jc w:val="right"/>
              <w:ind w:right="512"/>
              <w:spacing w:after="0"/>
              <w:rPr>
                <w:sz w:val="20"/>
                <w:szCs w:val="20"/>
                <w:color w:val="auto"/>
              </w:rPr>
            </w:pPr>
            <w:r>
              <w:rPr>
                <w:rFonts w:ascii="Arial" w:cs="Arial" w:eastAsia="Arial" w:hAnsi="Arial"/>
                <w:sz w:val="16"/>
                <w:szCs w:val="16"/>
                <w:color w:val="auto"/>
              </w:rPr>
              <w:t>% to</w:t>
            </w:r>
          </w:p>
        </w:tc>
        <w:tc>
          <w:tcPr>
            <w:tcW w:w="620" w:type="dxa"/>
            <w:vAlign w:val="bottom"/>
          </w:tcPr>
          <w:p>
            <w:pPr>
              <w:spacing w:after="0"/>
              <w:rPr>
                <w:sz w:val="21"/>
                <w:szCs w:val="21"/>
                <w:color w:val="auto"/>
              </w:rPr>
            </w:pPr>
          </w:p>
        </w:tc>
        <w:tc>
          <w:tcPr>
            <w:tcW w:w="1500" w:type="dxa"/>
            <w:vAlign w:val="bottom"/>
            <w:vMerge w:val="restart"/>
          </w:tcPr>
          <w:p>
            <w:pPr>
              <w:jc w:val="right"/>
              <w:ind w:right="850"/>
              <w:spacing w:after="0"/>
              <w:rPr>
                <w:sz w:val="20"/>
                <w:szCs w:val="20"/>
                <w:color w:val="auto"/>
              </w:rPr>
            </w:pPr>
            <w:r>
              <w:rPr>
                <w:rFonts w:ascii="Arial" w:cs="Arial" w:eastAsia="Arial" w:hAnsi="Arial"/>
                <w:sz w:val="18"/>
                <w:szCs w:val="18"/>
                <w:color w:val="auto"/>
              </w:rPr>
              <w:t>2017</w:t>
            </w:r>
          </w:p>
        </w:tc>
        <w:tc>
          <w:tcPr>
            <w:tcW w:w="1240" w:type="dxa"/>
            <w:vAlign w:val="bottom"/>
          </w:tcPr>
          <w:p>
            <w:pPr>
              <w:jc w:val="right"/>
              <w:ind w:right="372"/>
              <w:spacing w:after="0"/>
              <w:rPr>
                <w:sz w:val="20"/>
                <w:szCs w:val="20"/>
                <w:color w:val="auto"/>
              </w:rPr>
            </w:pPr>
            <w:r>
              <w:rPr>
                <w:rFonts w:ascii="Arial" w:cs="Arial" w:eastAsia="Arial" w:hAnsi="Arial"/>
                <w:sz w:val="16"/>
                <w:szCs w:val="16"/>
                <w:color w:val="auto"/>
              </w:rPr>
              <w:t>% to</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480" w:type="dxa"/>
            <w:vAlign w:val="bottom"/>
          </w:tcPr>
          <w:p>
            <w:pPr>
              <w:jc w:val="right"/>
              <w:ind w:right="512"/>
              <w:spacing w:after="0"/>
              <w:rPr>
                <w:sz w:val="20"/>
                <w:szCs w:val="20"/>
                <w:color w:val="auto"/>
              </w:rPr>
            </w:pPr>
            <w:r>
              <w:rPr>
                <w:rFonts w:ascii="Arial" w:cs="Arial" w:eastAsia="Arial" w:hAnsi="Arial"/>
                <w:sz w:val="16"/>
                <w:szCs w:val="16"/>
                <w:color w:val="auto"/>
              </w:rPr>
              <w:t>total</w:t>
            </w:r>
          </w:p>
        </w:tc>
        <w:tc>
          <w:tcPr>
            <w:tcW w:w="6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Indemnity</w:t>
            </w: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Fixed maturities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748,523</w:t>
            </w:r>
          </w:p>
        </w:tc>
        <w:tc>
          <w:tcPr>
            <w:tcW w:w="1480" w:type="dxa"/>
            <w:vAlign w:val="bottom"/>
          </w:tcPr>
          <w:p>
            <w:pPr>
              <w:jc w:val="right"/>
              <w:ind w:right="232"/>
              <w:spacing w:after="0"/>
              <w:rPr>
                <w:sz w:val="20"/>
                <w:szCs w:val="20"/>
                <w:color w:val="auto"/>
              </w:rPr>
            </w:pPr>
            <w:r>
              <w:rPr>
                <w:rFonts w:ascii="Arial" w:cs="Arial" w:eastAsia="Arial" w:hAnsi="Arial"/>
                <w:sz w:val="18"/>
                <w:szCs w:val="18"/>
                <w:color w:val="auto"/>
              </w:rPr>
              <w:t>88%</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745,961</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11,853</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12,752</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Limited partnerships:</w:t>
            </w: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Private equity</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28,271</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31,663</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Mezzanine debt</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1,152</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3,516</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478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3"/>
                <w:szCs w:val="23"/>
                <w:color w:val="auto"/>
              </w:rPr>
            </w:pP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5,398</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9,943</w:t>
            </w:r>
          </w:p>
        </w:tc>
        <w:tc>
          <w:tcPr>
            <w:tcW w:w="124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1"/>
        </w:trPr>
        <w:tc>
          <w:tcPr>
            <w:tcW w:w="4780" w:type="dxa"/>
            <w:vAlign w:val="bottom"/>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58,394</w:t>
            </w:r>
          </w:p>
        </w:tc>
        <w:tc>
          <w:tcPr>
            <w:tcW w:w="14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7</w:t>
            </w:r>
          </w:p>
        </w:tc>
        <w:tc>
          <w:tcPr>
            <w:tcW w:w="6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21,985</w:t>
            </w: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478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853,591</w:t>
            </w: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100%</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825,820</w:t>
            </w: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Other investments primarily include agent loans. Agent loans are included with other assets in the Statements of Financial Position.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continually review our investment portfolio to evaluate positions that might incur other-than-temporary declines in value. We record impairment write-downs on investments in instances where the fair value of the investment is substantially below cost, and we conclude that the decline in fair value is other-than-temporary, which includes consideration for intent to sell.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the fair value is below cost and the amount the fair value is below cost.</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individually analyze all positions with emphasis on those that have, in our opinion, declined significantly below cost. In compliance with impairment guidance for debt securities, we perform further analysis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 intent to sell all credit-impaired debt securities; therefore, the entire amount of the impairment charges are included in earnings and no impairments are recorded in other comprehensive income. We believe our investment valuation philosophy and accounting practices result in appropriate and timely measurement of value and recognition of impairment.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 Our municipal bond portfolio currently accounts for $159.0 million, or 21%, of the total fixed maturity portfolio at December 31, 2018. As part of a rebalancing of our portfolio, we began selling off our municipal bond portfolio and reinvesting the proceeds in short-term U.S. Treasury securities in the fourth quarter of 2018. We intend to liquidate the remaining municipal bond portfolio during the first half of 2019.</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Fixed maturities classified as available-for-sale are carried at fair value with unrealized gains and losses, net of deferred taxes, included in shareholders' equity. Net unrealized losses on fixed maturities, net of deferred taxes, amounted to $7.0 million at December 31, 2018, compared to net unrealized gains of $3.3 million at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 breakdown of the fair value of our fixed maturity portfolio by sector and rating: </w:t>
      </w:r>
      <w:r>
        <w:rPr>
          <w:rFonts w:ascii="Arial" w:cs="Arial" w:eastAsia="Arial" w:hAnsi="Arial"/>
          <w:sz w:val="25"/>
          <w:szCs w:val="25"/>
          <w:i w:val="1"/>
          <w:iCs w:val="1"/>
          <w:color w:val="auto"/>
          <w:vertAlign w:val="superscript"/>
        </w:rPr>
        <w:t>(1)</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gridSpan w:val="3"/>
          </w:tcPr>
          <w:p>
            <w:pPr>
              <w:jc w:val="right"/>
              <w:ind w:right="430"/>
              <w:spacing w:after="0"/>
              <w:rPr>
                <w:sz w:val="20"/>
                <w:szCs w:val="20"/>
                <w:color w:val="auto"/>
              </w:rPr>
            </w:pPr>
            <w:r>
              <w:rPr>
                <w:rFonts w:ascii="Arial" w:cs="Arial" w:eastAsia="Arial" w:hAnsi="Arial"/>
                <w:sz w:val="18"/>
                <w:szCs w:val="18"/>
                <w:color w:val="auto"/>
                <w:w w:val="96"/>
              </w:rPr>
              <w:t>At December 31,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34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2"/>
              </w:rPr>
              <w:t>Non-</w:t>
            </w: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91"/>
              </w:rPr>
              <w:t>investment</w:t>
            </w:r>
          </w:p>
        </w:tc>
        <w:tc>
          <w:tcPr>
            <w:tcW w:w="40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Fair</w:t>
            </w:r>
          </w:p>
        </w:tc>
      </w:tr>
      <w:tr>
        <w:trPr>
          <w:trHeight w:val="270"/>
        </w:trPr>
        <w:tc>
          <w:tcPr>
            <w:tcW w:w="3460" w:type="dxa"/>
            <w:vAlign w:val="bottom"/>
          </w:tcPr>
          <w:p>
            <w:pPr>
              <w:ind w:left="720"/>
              <w:spacing w:after="0"/>
              <w:rPr>
                <w:sz w:val="20"/>
                <w:szCs w:val="20"/>
                <w:color w:val="auto"/>
              </w:rPr>
            </w:pPr>
            <w:r>
              <w:rPr>
                <w:rFonts w:ascii="Arial" w:cs="Arial" w:eastAsia="Arial" w:hAnsi="Arial"/>
                <w:sz w:val="18"/>
                <w:szCs w:val="18"/>
                <w:color w:val="auto"/>
              </w:rPr>
              <w:t>Industry Sector</w:t>
            </w:r>
          </w:p>
        </w:tc>
        <w:tc>
          <w:tcPr>
            <w:tcW w:w="24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AAA</w:t>
            </w:r>
          </w:p>
        </w:tc>
        <w:tc>
          <w:tcPr>
            <w:tcW w:w="440" w:type="dxa"/>
            <w:vAlign w:val="bottom"/>
          </w:tcPr>
          <w:p>
            <w:pPr>
              <w:spacing w:after="0"/>
              <w:rPr>
                <w:sz w:val="23"/>
                <w:szCs w:val="23"/>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color w:val="auto"/>
              </w:rPr>
              <w:t>AA</w:t>
            </w:r>
          </w:p>
        </w:tc>
        <w:tc>
          <w:tcPr>
            <w:tcW w:w="420" w:type="dxa"/>
            <w:vAlign w:val="bottom"/>
          </w:tcPr>
          <w:p>
            <w:pPr>
              <w:spacing w:after="0"/>
              <w:rPr>
                <w:sz w:val="23"/>
                <w:szCs w:val="23"/>
                <w:color w:val="auto"/>
              </w:rPr>
            </w:pPr>
          </w:p>
        </w:tc>
        <w:tc>
          <w:tcPr>
            <w:tcW w:w="940" w:type="dxa"/>
            <w:vAlign w:val="bottom"/>
          </w:tcPr>
          <w:p>
            <w:pPr>
              <w:jc w:val="right"/>
              <w:ind w:right="490"/>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3"/>
                <w:szCs w:val="23"/>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BBB</w:t>
            </w:r>
          </w:p>
        </w:tc>
        <w:tc>
          <w:tcPr>
            <w:tcW w:w="300" w:type="dxa"/>
            <w:vAlign w:val="bottom"/>
          </w:tcPr>
          <w:p>
            <w:pPr>
              <w:spacing w:after="0"/>
              <w:rPr>
                <w:sz w:val="23"/>
                <w:szCs w:val="23"/>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color w:val="auto"/>
                <w:w w:val="86"/>
              </w:rPr>
              <w:t>grade</w:t>
            </w:r>
          </w:p>
        </w:tc>
        <w:tc>
          <w:tcPr>
            <w:tcW w:w="40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value</w:t>
            </w:r>
          </w:p>
        </w:tc>
      </w:tr>
      <w:tr>
        <w:trPr>
          <w:trHeight w:val="27"/>
        </w:trPr>
        <w:tc>
          <w:tcPr>
            <w:tcW w:w="3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80"/>
        </w:trPr>
        <w:tc>
          <w:tcPr>
            <w:tcW w:w="3460" w:type="dxa"/>
            <w:vAlign w:val="bottom"/>
          </w:tcPr>
          <w:p>
            <w:pPr>
              <w:ind w:left="40"/>
              <w:spacing w:after="0"/>
              <w:rPr>
                <w:sz w:val="20"/>
                <w:szCs w:val="20"/>
                <w:color w:val="auto"/>
              </w:rPr>
            </w:pPr>
            <w:r>
              <w:rPr>
                <w:rFonts w:ascii="Arial" w:cs="Arial" w:eastAsia="Arial" w:hAnsi="Arial"/>
                <w:sz w:val="18"/>
                <w:szCs w:val="18"/>
                <w:color w:val="auto"/>
              </w:rPr>
              <w:t>Basic materials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15,330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15,330</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1,976</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3,489</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22,491</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27,956</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3,490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22,345</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43,952</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69,787</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Diversified</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1,106</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1,106</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Energy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998</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3,619</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15,672</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20,289</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3,981</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16,355</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28,286</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15,903</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64,525</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Government-municipal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59,707</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88,286</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11,030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159,023</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2,481</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4,019</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21,634</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28,134</w:t>
            </w:r>
          </w:p>
        </w:tc>
      </w:tr>
      <w:tr>
        <w:trPr>
          <w:trHeight w:val="281"/>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18"/>
                <w:szCs w:val="18"/>
                <w:color w:val="auto"/>
                <w:vertAlign w:val="superscript"/>
              </w:rPr>
              <w:t>(2)</w:t>
            </w:r>
          </w:p>
        </w:tc>
        <w:tc>
          <w:tcPr>
            <w:tcW w:w="24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93,369</w:t>
            </w:r>
          </w:p>
        </w:tc>
        <w:tc>
          <w:tcPr>
            <w:tcW w:w="44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26,835</w:t>
            </w:r>
          </w:p>
        </w:tc>
        <w:tc>
          <w:tcPr>
            <w:tcW w:w="420" w:type="dxa"/>
            <w:vAlign w:val="bottom"/>
          </w:tcPr>
          <w:p>
            <w:pPr>
              <w:spacing w:after="0"/>
              <w:rPr>
                <w:sz w:val="24"/>
                <w:szCs w:val="24"/>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7,940</w:t>
            </w:r>
          </w:p>
        </w:tc>
        <w:tc>
          <w:tcPr>
            <w:tcW w:w="40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2,997</w:t>
            </w:r>
          </w:p>
        </w:tc>
        <w:tc>
          <w:tcPr>
            <w:tcW w:w="300" w:type="dxa"/>
            <w:vAlign w:val="bottom"/>
          </w:tcPr>
          <w:p>
            <w:pPr>
              <w:spacing w:after="0"/>
              <w:rPr>
                <w:sz w:val="24"/>
                <w:szCs w:val="24"/>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131,141</w:t>
            </w:r>
          </w:p>
        </w:tc>
      </w:tr>
      <w:tr>
        <w:trPr>
          <w:trHeight w:val="259"/>
        </w:trPr>
        <w:tc>
          <w:tcPr>
            <w:tcW w:w="34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2"/>
                <w:szCs w:val="22"/>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2"/>
                <w:szCs w:val="22"/>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5,644</w:t>
            </w:r>
          </w:p>
        </w:tc>
        <w:tc>
          <w:tcPr>
            <w:tcW w:w="300" w:type="dxa"/>
            <w:vAlign w:val="bottom"/>
          </w:tcPr>
          <w:p>
            <w:pPr>
              <w:spacing w:after="0"/>
              <w:rPr>
                <w:sz w:val="22"/>
                <w:szCs w:val="22"/>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12,632</w:t>
            </w:r>
          </w:p>
        </w:tc>
        <w:tc>
          <w:tcPr>
            <w:tcW w:w="4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18,276</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U.S. Treasury</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171,792</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36,620</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208,412</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Utilities</w:t>
            </w:r>
          </w:p>
        </w:tc>
        <w:tc>
          <w:tcPr>
            <w:tcW w:w="240" w:type="dxa"/>
            <w:vAlign w:val="bottom"/>
          </w:tcPr>
          <w:p>
            <w:pPr>
              <w:spacing w:after="0"/>
              <w:rPr>
                <w:sz w:val="23"/>
                <w:szCs w:val="23"/>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3"/>
                <w:szCs w:val="23"/>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1,978</w:t>
            </w:r>
          </w:p>
        </w:tc>
        <w:tc>
          <w:tcPr>
            <w:tcW w:w="30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2,042</w:t>
            </w:r>
          </w:p>
        </w:tc>
        <w:tc>
          <w:tcPr>
            <w:tcW w:w="4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4,020</w:t>
            </w:r>
          </w:p>
        </w:tc>
      </w:tr>
      <w:tr>
        <w:trPr>
          <w:trHeight w:val="27"/>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46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324,868</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158,696</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41,296</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72,377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151,286</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748,523</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28" w:lineRule="exact"/>
        <w:rPr>
          <w:rFonts w:ascii="Arial" w:cs="Arial" w:eastAsia="Arial" w:hAnsi="Arial"/>
          <w:sz w:val="14"/>
          <w:szCs w:val="14"/>
          <w:i w:val="1"/>
          <w:iCs w:val="1"/>
          <w:color w:val="auto"/>
        </w:rPr>
      </w:pPr>
    </w:p>
    <w:p>
      <w:pPr>
        <w:ind w:left="660" w:hanging="328"/>
        <w:spacing w:after="0"/>
        <w:tabs>
          <w:tab w:leader="none" w:pos="66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Structured securities include residential mortgage-backed securities, commercial mortgage-backed securities, collateralized debt obligations, and asset-backed securities.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Our equity securities consist of nonredeemable preferred stock and are carried at fair value in the Statements of Financial Position with all changes in unrealized gains and losses reflected in the Statements of Operations, effective January 1, 2018 with the adoption of Accounting Standards Update 2016-01. Previously, changes in unrealized gains and losses were reflected in other comprehensive income, net of deferred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analysis of the fair value of our preferred stock securities by industry sector at December 31:</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55"/>
        </w:trPr>
        <w:tc>
          <w:tcPr>
            <w:tcW w:w="80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r>
              <w:rPr>
                <w:rFonts w:ascii="Arial" w:cs="Arial" w:eastAsia="Arial" w:hAnsi="Arial"/>
                <w:sz w:val="18"/>
                <w:szCs w:val="18"/>
                <w:color w:val="auto"/>
              </w:rPr>
              <w:t>Financial</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11,853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11,659</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Utilities</w:t>
            </w:r>
          </w:p>
        </w:tc>
        <w:tc>
          <w:tcPr>
            <w:tcW w:w="100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8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0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11,853</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12,752</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In 2018, investments in limited partnerships decreased from the investment levels at December 31, 2017. Changes in partnership values are a function of contributions and distributions, adjusted for market value changes in the underlying investments. The decrease in limited partnership investments was primarily due to net distributions received from the partnerships. We have made no new limited partnership commitments since 2006, and the balance of limited partnership investments is expected to decline over time as additional distributions are received. The results from our limited partnerships are based upon financial statements received from our general partners, which are generally received on a quarter lag. As a result, the market values and earnings recorded at December 31, 2018 reflect the partnership activity experienced during the twelve month period ending September 30,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benefit plans</w:t>
      </w:r>
    </w:p>
    <w:p>
      <w:pPr>
        <w:spacing w:after="0" w:line="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funded status of our postretirement benefit plans is recognized in the Statements of Financial Position, with a corresponding adjustment to accumulated other comprehensive income, net of tax. At December 31, 2018, shareholders' equity amounts related to these postretirement plans increased by $35.7 million, net of tax at the 21% corporate income tax rate that became effective January 1, 2018, of which $10.9 million represents amortization of the prior service cost and net actuarial loss and $24.8 million represents the current period actuarial gain. The 2018 actuarial gain was primarily due to the change in the discount rate assumption used to measure the future benefit obligations to 4.47% in 2018, from 3.73% in 2017. At December 31, 2017, shareholders' equity amounts related to these postretirement plans decreased by $8.1 million, net of tax at the 21% corporate income tax rate that became effective January 1, 2018, of which $7.7 million represents amortization of the prior service cost and net actuarial loss and $15.8 million represents the current period actuarial loss. The 2017 actuarial loss was primarily due to the change in the discount rate assumption used to measure the future benefit obligations to 3.73% in 2017, from 4.24% in 2016, somewhat offset by the actual investment returns outperforming the assumed rate of return. Although we are the sponsor of these postretirement plans and record the funded status of these plans, the Exchange and its subsidiaries reimburse us for approximately 59% of the annual benefit expense of these plans, which includes pension benefits for employees performing administrative services and their allocated share of costs for employees in departments that support the administrative functions.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Office Expansion</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2016, we entered into a credit agreement for a $100 million senior secured draw term loan credit facility ("Credit Facility") for the acquisition of real property and construction of an office building that will serve as part of our principal headquarters. As of December 31, 2018, we have drawn $100 million against the Credit Facility. During the draw period from December 1, 2016 through December 31, 2018, we made monthly interest payments under the Credit Facility. Upon expiration of the draw period, the Credit Facility converted to a fully-amortized term loan with monthly payments of principal and interest over a period of 28 years, which commenced on January 1, 2019. Borrowings under the Credit Facility will bear interest at a fixed rate of 4.35%. In addition, we were required to pay a quarterly commitment fee of 0.08% on the unused portion of the Credit Facility during the draw period. We capitalize applicable interest charges incurred during the construction period of long-term building projects as part of the historical cost of the asset.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and the purchase and development of information technology. We expect that our operating cash needs will be met by funds generated from operations.</w:t>
      </w:r>
    </w:p>
    <w:p>
      <w:pPr>
        <w:spacing w:after="0" w:line="19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Volatility in the financial markets presents challenges to us as we do occasionally access our investment portfolio as a source of cash. Some of our fixed income investments, despite being publicly traded, are illiquid. Volatility in these markets could impair our ability to sell certain of our fixed income securities or cause such securities to sell at deep discounts. Additionally, our limited partnership investments are significantly less liquid. We believe we have sufficient liquidity to meet our needs from other sources even if market volatility persists throughout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condensed cash flow information for the years ended 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263,585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197,126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254,336</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(81,398)</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(74,663)</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(136,944)</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(131,491)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(95,814)</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(111,209)</w:t>
            </w:r>
          </w:p>
        </w:tc>
      </w:tr>
      <w:tr>
        <w:trPr>
          <w:trHeight w:val="27"/>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20" w:type="dxa"/>
            <w:vAlign w:val="bottom"/>
          </w:tcPr>
          <w:p>
            <w:pPr>
              <w:ind w:left="240"/>
              <w:spacing w:after="0"/>
              <w:rPr>
                <w:sz w:val="20"/>
                <w:szCs w:val="20"/>
                <w:color w:val="auto"/>
              </w:rPr>
            </w:pPr>
            <w:r>
              <w:rPr>
                <w:rFonts w:ascii="Arial" w:cs="Arial" w:eastAsia="Arial" w:hAnsi="Arial"/>
                <w:sz w:val="18"/>
                <w:szCs w:val="18"/>
                <w:color w:val="auto"/>
              </w:rPr>
              <w:t>Net increase in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50,696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26,649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6,183</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Net cash provided by operating activities was $263.6 million in 2018, compared to $197.1 million in 2017 and $254.3 million in 2016. Increased cash provided by operating activities in 2018 was primarily due to an increase in management fee revenue received driven by growth in direct and assumed premiums written by the Exchange along with a decrease in income taxes paid due to the lower corporate income tax rate effective January 1, 2018, compared to 2017. Somewhat offsetting the increase in cash from operating activities was higher commissions and bonuses paid to agents and pension contributions, compared to 2017. Cash paid for agent commissions and bonuses increased to $988.1 million in 2018, compared to $923.4 million in 2017, due to higher scheduled commissions driven by premium growth and higher bonus award payments resulting from profitable underwriting results. Our Board approved an $80 million accelerated pension contribution, which was paid in the first half of 2018. We contributed $58.9 million to our pension plan in 2017. We are reimbursed approximately 59% of the net periodic benefit cost of the pension plans from the Exchange and its subsidiaries, which includes pension benefits for employees performing administrative services and their allocated share of costs for employees in departments that support the administrative functions. In 2017, decreased cash from operating activities was primarily due to higher commissions and bonuses paid to agents, pension contributions, and general operating expenses paid, compared to 2016. Somewhat offsetting the decrease in cash provided in 2017 was an increase in management fee revenue received, reflecting the increase in direct and assumed premiums written by the Exchange.</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December 31, 2018, we recorded a net deferred tax asset of $24.1 million, compared to $19.4 million at December 31, 2017. There was no deferred tax valuation allowance recorded at December 31, 2018.</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cash used in investing activities totaled $81.4 million in 2018, compared to $74.7 million in 2017 and $136.9 million in 2016. The increase in cash used in 2018, compared to 2017, was driven by increased agent loans and purchases of fixed assets primarily due to construction in progress related to the home office expansion. These increases were somewhat offset by more cash being generated from the sale, maturities and calls of available-for-sale securities and EFL's repayment of the $25 million surplus note. Also impacting our future investing activities are limited partnership commitments, which totaled $12.2 million at December 31, 2018, and will be funded as required by the partnerships' agreements. Of this amount, the total remaining commitment to fund limited partnerships that invest in private equity securities was $4.4 million, mezzanine debt securities was $7.5 million, and real estate activities was $0.3 million. Additionally, we have committed to incur future costs related to the construction of the building that will serve as part of our principal headquarters, which is expected to cost $100 million and is being funded by the senior secured draw term loan credit facility of the same amount. As of December 31, 2018, $66.1 million of costs have been incurred related to this project. The decrease in cash used in 2017, compared to 2016, was driven by more cash being generated from the sales, maturities and calls of available-for-sale securities.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used in financing activities totaled $131.5 million in 2018, compared to $95.8 million in 2017 and $111.2 million in 2016. The increase in cash used in 2018, compared to 2017, was primarily due to the lower scheduled draws on the senior secured draw term loan credit facility along with an increase in cash paid for dividends to shareholders. Proceeds from scheduled draws were $25 million in 2018 compared to $50 million in 2017. Future financing activities will include the principal payments due annually over the term of the senior secured draw term loan credit facility, of which $1.9 million will be paid in 2019. The decrease in cash used in 2017, compared to 2016, was primarily due to the higher scheduled draws on the senior secured draw term loan credit facility, somewhat offset by an increase in cash paid for dividends to shareholders.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 shares of our Class A nonvoting common stock were repurchased in 2018, 2017 and 2016 in conjunction with our stock repurchase program. In 2011, our Board of Directors approved a continuation of the current stock repurchase program for a total of $150 million with no time limitation. This repurchase authority includes, and is not in addition to, any unspent amounts remaining under the prior authorization. We had approximately $17.8 million of repurchase authority remaining under this program at December 31, 2018, based upon trade date.</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2018, 2017 and 2016, we purchased shares of our outstanding Class A nonvoting common stock outside of our publicly announced share repurchase program for certain stock-based incentive plans. In 2018, we purchased 27,120 shares for $3.2 million for our equity compensation plan and to fund the rabbi trust for the outside director deferred stock compensation plan and the incentive compensation deferral plan. These shares were delivered in 2018. In 2017, we purchased 60,332 shares for $7.3 million for our long-term incentive plan, to fund the rabbi trust for the outside director deferred stock compensation plan, and for our equity compensation plan. These shares were delivered in 2017. In 2016, we purchased 15,093 shares for $1.5 million for our long-term incentive plan and to fund the rabbi trust for the outside director deferred stock compensation plan. These shares were delivered in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Outlook</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regularly prepare forecasts evaluating the current and future cash requirements for both normal and extreme risk events. Should an extreme risk event result in a cash requirement exceeding normal cash flows, we have the ability to meet our future funding requirements through various alternatives available to us.</w:t>
      </w:r>
    </w:p>
    <w:p>
      <w:pPr>
        <w:spacing w:after="0" w:line="19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Outside of our normal operating and investing cash activities, future funding requirements could be met through: 1) cash and cash equivalents, which total approximately $266.4 million at December 31, 2018, 2) a $100 million bank revolving line of credit, and 3) liquidation of unpledged assets held in our investment portfolio, including preferred stock and investment grade bonds which totaled approximately $386.1 million at December 31, 2018. Volatility in the financial markets could impair our ability to sell certain fixed income securities or cause such securities to sell at deep discounts. Additionally, we have the ability to curtail or modify discretionary cash outlays such as those related to shareholder dividends and share repurchase activities.</w:t>
      </w:r>
    </w:p>
    <w:p>
      <w:pPr>
        <w:spacing w:after="0" w:line="15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December 31, 2018, we have access to a $100 million bank revolving line of credit with a $25 million letter of credit sublimit that expires on October 30, 2023. As of December 31, 2018, a total of $99.1 million remains available under the facility due to $0.9 million outstanding letters of credit, which reduce the availability for letters of credit to $24.1 million. We had no borrowings outstanding on our line of credit as of December 31, 2018. Bonds with a fair value of $108.7 million were pledged as collateral on the line at December 31, 2018. These securities have no trading restrictions and are reported as available-for-sale securities in the Statements of Financial Position. The bank requires compliance with certain covenants, which include leverage ratios and debt restrictions. We were in compliance with our bank covenants at December 31, 2018.</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have certain obligations and commitments to make future payments under various contracts. As of December 31, 2018, the aggregate obligations were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6"/>
                <w:szCs w:val="16"/>
                <w:color w:val="auto"/>
                <w:w w:val="90"/>
              </w:rPr>
              <w:t>Payments due by period</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2024 and</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2019</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9"/>
              </w:rPr>
              <w:t>2020-2021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9"/>
              </w:rPr>
              <w:t>2022-2023</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510"/>
        </w:trPr>
        <w:tc>
          <w:tcPr>
            <w:tcW w:w="4660" w:type="dxa"/>
            <w:vAlign w:val="bottom"/>
          </w:tcPr>
          <w:p>
            <w:pPr>
              <w:ind w:left="180"/>
              <w:spacing w:after="0"/>
              <w:rPr>
                <w:sz w:val="20"/>
                <w:szCs w:val="20"/>
                <w:color w:val="auto"/>
              </w:rPr>
            </w:pPr>
            <w:r>
              <w:rPr>
                <w:rFonts w:ascii="Arial" w:cs="Arial" w:eastAsia="Arial" w:hAnsi="Arial"/>
                <w:sz w:val="16"/>
                <w:szCs w:val="16"/>
                <w:color w:val="auto"/>
              </w:rPr>
              <w:t xml:space="preserve">Long-term debt </w:t>
            </w:r>
            <w:r>
              <w:rPr>
                <w:rFonts w:ascii="Arial" w:cs="Arial" w:eastAsia="Arial" w:hAnsi="Arial"/>
                <w:sz w:val="17"/>
                <w:szCs w:val="17"/>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173,127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6,183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12,366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12,366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142,212</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6"/>
                <w:szCs w:val="16"/>
                <w:color w:val="auto"/>
              </w:rPr>
              <w:t xml:space="preserve">Home office expansion </w:t>
            </w:r>
            <w:r>
              <w:rPr>
                <w:rFonts w:ascii="Arial" w:cs="Arial" w:eastAsia="Arial" w:hAnsi="Arial"/>
                <w:sz w:val="17"/>
                <w:szCs w:val="17"/>
                <w:color w:val="auto"/>
                <w:vertAlign w:val="superscript"/>
              </w:rPr>
              <w:t>(2)</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57,725</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29,225</w:t>
            </w:r>
          </w:p>
        </w:tc>
        <w:tc>
          <w:tcPr>
            <w:tcW w:w="3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28,500</w:t>
            </w:r>
          </w:p>
        </w:tc>
        <w:tc>
          <w:tcPr>
            <w:tcW w:w="28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6"/>
                <w:szCs w:val="16"/>
                <w:color w:val="auto"/>
              </w:rPr>
              <w:t xml:space="preserve">Limited partnership commitments </w:t>
            </w:r>
            <w:r>
              <w:rPr>
                <w:rFonts w:ascii="Arial" w:cs="Arial" w:eastAsia="Arial" w:hAnsi="Arial"/>
                <w:sz w:val="17"/>
                <w:szCs w:val="17"/>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12,250</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12,250</w:t>
            </w:r>
          </w:p>
        </w:tc>
        <w:tc>
          <w:tcPr>
            <w:tcW w:w="3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6"/>
                <w:szCs w:val="16"/>
                <w:color w:val="auto"/>
              </w:rPr>
              <w:t xml:space="preserve">Other commitments </w:t>
            </w:r>
            <w:r>
              <w:rPr>
                <w:rFonts w:ascii="Arial" w:cs="Arial" w:eastAsia="Arial" w:hAnsi="Arial"/>
                <w:sz w:val="17"/>
                <w:szCs w:val="17"/>
                <w:color w:val="auto"/>
                <w:vertAlign w:val="superscript"/>
              </w:rPr>
              <w:t>(4)</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214,850</w:t>
            </w:r>
          </w:p>
        </w:tc>
        <w:tc>
          <w:tcPr>
            <w:tcW w:w="4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112,963</w:t>
            </w:r>
          </w:p>
        </w:tc>
        <w:tc>
          <w:tcPr>
            <w:tcW w:w="3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79,670</w:t>
            </w:r>
          </w:p>
        </w:tc>
        <w:tc>
          <w:tcPr>
            <w:tcW w:w="28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16,872</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5,345</w:t>
            </w:r>
          </w:p>
        </w:tc>
        <w:tc>
          <w:tcPr>
            <w:tcW w:w="0" w:type="dxa"/>
            <w:vAlign w:val="bottom"/>
          </w:tcPr>
          <w:p>
            <w:pPr>
              <w:spacing w:after="0"/>
              <w:rPr>
                <w:sz w:val="1"/>
                <w:szCs w:val="1"/>
                <w:color w:val="auto"/>
              </w:rPr>
            </w:pPr>
          </w:p>
        </w:tc>
      </w:tr>
      <w:tr>
        <w:trPr>
          <w:trHeight w:val="239"/>
        </w:trPr>
        <w:tc>
          <w:tcPr>
            <w:tcW w:w="4660" w:type="dxa"/>
            <w:vAlign w:val="bottom"/>
          </w:tcPr>
          <w:p>
            <w:pPr>
              <w:ind w:left="180"/>
              <w:spacing w:after="0"/>
              <w:rPr>
                <w:sz w:val="20"/>
                <w:szCs w:val="20"/>
                <w:color w:val="auto"/>
              </w:rPr>
            </w:pPr>
            <w:r>
              <w:rPr>
                <w:rFonts w:ascii="Arial" w:cs="Arial" w:eastAsia="Arial" w:hAnsi="Arial"/>
                <w:sz w:val="16"/>
                <w:szCs w:val="16"/>
                <w:color w:val="auto"/>
              </w:rPr>
              <w:t>Operating leases – vehicles</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26,779</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21,482</w:t>
            </w:r>
          </w:p>
        </w:tc>
        <w:tc>
          <w:tcPr>
            <w:tcW w:w="3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5,297</w:t>
            </w:r>
          </w:p>
        </w:tc>
        <w:tc>
          <w:tcPr>
            <w:tcW w:w="2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01"/>
        </w:trPr>
        <w:tc>
          <w:tcPr>
            <w:tcW w:w="4660" w:type="dxa"/>
            <w:vAlign w:val="bottom"/>
          </w:tcPr>
          <w:p>
            <w:pPr>
              <w:ind w:left="180"/>
              <w:spacing w:after="0"/>
              <w:rPr>
                <w:sz w:val="20"/>
                <w:szCs w:val="20"/>
                <w:color w:val="auto"/>
              </w:rPr>
            </w:pPr>
            <w:r>
              <w:rPr>
                <w:rFonts w:ascii="Arial" w:cs="Arial" w:eastAsia="Arial" w:hAnsi="Arial"/>
                <w:sz w:val="16"/>
                <w:szCs w:val="16"/>
                <w:color w:val="auto"/>
              </w:rPr>
              <w:t xml:space="preserve">Operating leases – real estate </w:t>
            </w:r>
            <w:r>
              <w:rPr>
                <w:rFonts w:ascii="Arial" w:cs="Arial" w:eastAsia="Arial" w:hAnsi="Arial"/>
                <w:sz w:val="17"/>
                <w:szCs w:val="17"/>
                <w:color w:val="auto"/>
                <w:vertAlign w:val="superscript"/>
              </w:rPr>
              <w:t>(5)</w:t>
            </w:r>
          </w:p>
        </w:tc>
        <w:tc>
          <w:tcPr>
            <w:tcW w:w="300" w:type="dxa"/>
            <w:vAlign w:val="bottom"/>
          </w:tcPr>
          <w:p>
            <w:pPr>
              <w:spacing w:after="0"/>
              <w:rPr>
                <w:sz w:val="24"/>
                <w:szCs w:val="24"/>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81,093</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22,559</w:t>
            </w:r>
          </w:p>
        </w:tc>
        <w:tc>
          <w:tcPr>
            <w:tcW w:w="38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44,838</w:t>
            </w:r>
          </w:p>
        </w:tc>
        <w:tc>
          <w:tcPr>
            <w:tcW w:w="28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4,508</w:t>
            </w:r>
          </w:p>
        </w:tc>
        <w:tc>
          <w:tcPr>
            <w:tcW w:w="3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9,188</w:t>
            </w:r>
          </w:p>
        </w:tc>
        <w:tc>
          <w:tcPr>
            <w:tcW w:w="0" w:type="dxa"/>
            <w:vAlign w:val="bottom"/>
          </w:tcPr>
          <w:p>
            <w:pPr>
              <w:spacing w:after="0"/>
              <w:rPr>
                <w:sz w:val="1"/>
                <w:szCs w:val="1"/>
                <w:color w:val="auto"/>
              </w:rPr>
            </w:pPr>
          </w:p>
        </w:tc>
      </w:tr>
      <w:tr>
        <w:trPr>
          <w:trHeight w:val="239"/>
        </w:trPr>
        <w:tc>
          <w:tcPr>
            <w:tcW w:w="4660" w:type="dxa"/>
            <w:vAlign w:val="bottom"/>
          </w:tcPr>
          <w:p>
            <w:pPr>
              <w:ind w:left="180"/>
              <w:spacing w:after="0"/>
              <w:rPr>
                <w:sz w:val="20"/>
                <w:szCs w:val="20"/>
                <w:color w:val="auto"/>
              </w:rPr>
            </w:pPr>
            <w:r>
              <w:rPr>
                <w:rFonts w:ascii="Arial" w:cs="Arial" w:eastAsia="Arial" w:hAnsi="Arial"/>
                <w:sz w:val="16"/>
                <w:szCs w:val="16"/>
                <w:color w:val="auto"/>
              </w:rPr>
              <w:t>Operating leases – computer equipment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10,241</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5,846</w:t>
            </w:r>
          </w:p>
        </w:tc>
        <w:tc>
          <w:tcPr>
            <w:tcW w:w="3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4,395</w:t>
            </w:r>
          </w:p>
        </w:tc>
        <w:tc>
          <w:tcPr>
            <w:tcW w:w="28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46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Gross contractual obligations </w:t>
            </w:r>
            <w:r>
              <w:rPr>
                <w:rFonts w:ascii="Arial" w:cs="Arial" w:eastAsia="Arial" w:hAnsi="Arial"/>
                <w:sz w:val="17"/>
                <w:szCs w:val="17"/>
                <w:color w:val="auto"/>
                <w:vertAlign w:val="superscript"/>
              </w:rPr>
              <w:t>(6)</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6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576,065</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210,508</w:t>
            </w:r>
          </w:p>
        </w:tc>
        <w:tc>
          <w:tcPr>
            <w:tcW w:w="38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175,066</w:t>
            </w:r>
          </w:p>
        </w:tc>
        <w:tc>
          <w:tcPr>
            <w:tcW w:w="28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33,746</w:t>
            </w: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156,745</w:t>
            </w:r>
          </w:p>
        </w:tc>
        <w:tc>
          <w:tcPr>
            <w:tcW w:w="0" w:type="dxa"/>
            <w:vAlign w:val="bottom"/>
          </w:tcPr>
          <w:p>
            <w:pPr>
              <w:spacing w:after="0"/>
              <w:rPr>
                <w:sz w:val="1"/>
                <w:szCs w:val="1"/>
                <w:color w:val="auto"/>
              </w:rPr>
            </w:pPr>
          </w:p>
        </w:tc>
      </w:tr>
      <w:tr>
        <w:trPr>
          <w:trHeight w:val="271"/>
        </w:trPr>
        <w:tc>
          <w:tcPr>
            <w:tcW w:w="4660" w:type="dxa"/>
            <w:vAlign w:val="bottom"/>
          </w:tcPr>
          <w:p>
            <w:pPr>
              <w:ind w:left="180"/>
              <w:spacing w:after="0"/>
              <w:rPr>
                <w:sz w:val="20"/>
                <w:szCs w:val="20"/>
                <w:color w:val="auto"/>
              </w:rPr>
            </w:pPr>
            <w:r>
              <w:rPr>
                <w:rFonts w:ascii="Arial" w:cs="Arial" w:eastAsia="Arial" w:hAnsi="Arial"/>
                <w:sz w:val="16"/>
                <w:szCs w:val="16"/>
                <w:color w:val="auto"/>
              </w:rPr>
              <w:t xml:space="preserve">Estimated reimbursements from affiliates </w:t>
            </w:r>
            <w:r>
              <w:rPr>
                <w:rFonts w:ascii="Arial" w:cs="Arial" w:eastAsia="Arial" w:hAnsi="Arial"/>
                <w:sz w:val="17"/>
                <w:szCs w:val="17"/>
                <w:color w:val="auto"/>
                <w:vertAlign w:val="superscript"/>
              </w:rPr>
              <w:t>(7)</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126,472</w:t>
            </w: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64,125</w:t>
            </w: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40,712</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9,081</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12,554</w:t>
            </w:r>
          </w:p>
        </w:tc>
        <w:tc>
          <w:tcPr>
            <w:tcW w:w="0" w:type="dxa"/>
            <w:vAlign w:val="bottom"/>
          </w:tcPr>
          <w:p>
            <w:pPr>
              <w:spacing w:after="0"/>
              <w:rPr>
                <w:sz w:val="1"/>
                <w:szCs w:val="1"/>
                <w:color w:val="auto"/>
              </w:rPr>
            </w:pPr>
          </w:p>
        </w:tc>
      </w:tr>
      <w:tr>
        <w:trPr>
          <w:trHeight w:val="258"/>
        </w:trPr>
        <w:tc>
          <w:tcPr>
            <w:tcW w:w="4660" w:type="dxa"/>
            <w:vAlign w:val="bottom"/>
          </w:tcPr>
          <w:p>
            <w:pPr>
              <w:spacing w:after="0"/>
              <w:rPr>
                <w:sz w:val="20"/>
                <w:szCs w:val="20"/>
                <w:color w:val="auto"/>
              </w:rPr>
            </w:pPr>
            <w:r>
              <w:rPr>
                <w:rFonts w:ascii="Arial" w:cs="Arial" w:eastAsia="Arial" w:hAnsi="Arial"/>
                <w:sz w:val="16"/>
                <w:szCs w:val="16"/>
                <w:b w:val="1"/>
                <w:bCs w:val="1"/>
                <w:color w:val="auto"/>
              </w:rPr>
              <w:t>Net contractual obligations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449,593</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146,383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134,354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24,665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144,191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right="120" w:hanging="409"/>
        <w:spacing w:after="0" w:line="273" w:lineRule="auto"/>
        <w:tabs>
          <w:tab w:leader="none" w:pos="6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Long-term debt amount differs from the balance presented on the Statements of Financial Position as the amount in the table above includes interest and principal payments based upon total draw commitments and excludes commitment fees.</w:t>
      </w:r>
    </w:p>
    <w:p>
      <w:pPr>
        <w:spacing w:after="0" w:line="65" w:lineRule="exact"/>
        <w:rPr>
          <w:rFonts w:ascii="Arial" w:cs="Arial" w:eastAsia="Arial" w:hAnsi="Arial"/>
          <w:sz w:val="14"/>
          <w:szCs w:val="14"/>
          <w:i w:val="1"/>
          <w:iCs w:val="1"/>
          <w:color w:val="auto"/>
        </w:rPr>
      </w:pPr>
    </w:p>
    <w:p>
      <w:pPr>
        <w:ind w:left="660" w:right="140" w:hanging="409"/>
        <w:spacing w:after="0" w:line="257" w:lineRule="auto"/>
        <w:tabs>
          <w:tab w:leader="none" w:pos="6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On July 10, 2017, we agreed to the guaranteed maximum price terms of an agreement with our construction manager for the construction of the office building that will serve as part of our principal headquarters. Substantial completion of the project is expected in the first half of 2020. The costs of this project are being funded by the senior secured draw term loan credit facility included in long-term debt in the table above.</w:t>
      </w:r>
    </w:p>
    <w:p>
      <w:pPr>
        <w:spacing w:after="0" w:line="77" w:lineRule="exact"/>
        <w:rPr>
          <w:rFonts w:ascii="Arial" w:cs="Arial" w:eastAsia="Arial" w:hAnsi="Arial"/>
          <w:sz w:val="14"/>
          <w:szCs w:val="14"/>
          <w:i w:val="1"/>
          <w:iCs w:val="1"/>
          <w:color w:val="auto"/>
        </w:rPr>
      </w:pPr>
    </w:p>
    <w:p>
      <w:pPr>
        <w:ind w:left="660" w:right="180" w:hanging="409"/>
        <w:spacing w:after="0" w:line="257" w:lineRule="auto"/>
        <w:tabs>
          <w:tab w:leader="none" w:pos="6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Limited partnership commitments will be funded as required for capital contributions at any time prior to the agreement expiration date. The commitment amounts are presented using the expiration date as the factor by which to age when the amounts are due. At December 31, 2018, our total commitment to fund limited partnerships that invest in private equity securities was $4.4 million, mezzanine debt was $7.5 million, and real estate activities was $0.3 million.</w:t>
      </w:r>
    </w:p>
    <w:p>
      <w:pPr>
        <w:spacing w:after="0" w:line="77" w:lineRule="exact"/>
        <w:rPr>
          <w:rFonts w:ascii="Arial" w:cs="Arial" w:eastAsia="Arial" w:hAnsi="Arial"/>
          <w:sz w:val="14"/>
          <w:szCs w:val="14"/>
          <w:i w:val="1"/>
          <w:iCs w:val="1"/>
          <w:color w:val="auto"/>
        </w:rPr>
      </w:pPr>
    </w:p>
    <w:p>
      <w:pPr>
        <w:ind w:left="660" w:right="120" w:hanging="409"/>
        <w:spacing w:after="0" w:line="252" w:lineRule="auto"/>
        <w:tabs>
          <w:tab w:leader="none" w:pos="6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Other commitments include various agreements for services, including information technology, support, and maintenance obligations, and other obligations in the ordinary course of business. These agreements are enforceable and legally binding and specify fixed or minimum quantities to be purchased and the approximate timing of the transaction. The table above also includes agreements that contain cancellation provisions, some of which may require us to pay a termination fee. The amounts under such contracts are included in the table above as we expect to make future cash payments according to the contract terms.</w:t>
      </w:r>
    </w:p>
    <w:p>
      <w:pPr>
        <w:spacing w:after="0" w:line="80" w:lineRule="exact"/>
        <w:rPr>
          <w:rFonts w:ascii="Arial" w:cs="Arial" w:eastAsia="Arial" w:hAnsi="Arial"/>
          <w:sz w:val="14"/>
          <w:szCs w:val="14"/>
          <w:i w:val="1"/>
          <w:iCs w:val="1"/>
          <w:color w:val="auto"/>
        </w:rPr>
      </w:pPr>
    </w:p>
    <w:p>
      <w:pPr>
        <w:ind w:left="660" w:hanging="409"/>
        <w:spacing w:after="0"/>
        <w:tabs>
          <w:tab w:leader="none" w:pos="66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Operating leases – real estate are for third party and related party office space and a warehouse facility. Commitments include minimum rental payments and related operating costs.</w:t>
      </w:r>
    </w:p>
    <w:p>
      <w:pPr>
        <w:spacing w:after="0" w:line="147" w:lineRule="exact"/>
        <w:rPr>
          <w:rFonts w:ascii="Arial" w:cs="Arial" w:eastAsia="Arial" w:hAnsi="Arial"/>
          <w:sz w:val="13"/>
          <w:szCs w:val="13"/>
          <w:i w:val="1"/>
          <w:iCs w:val="1"/>
          <w:color w:val="auto"/>
        </w:rPr>
      </w:pPr>
    </w:p>
    <w:p>
      <w:pPr>
        <w:ind w:left="660" w:right="140" w:hanging="409"/>
        <w:spacing w:after="0" w:line="286" w:lineRule="auto"/>
        <w:tabs>
          <w:tab w:leader="none" w:pos="66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The obligation for our unfunded Supplemental Employee Retirement Plan (SERP) for our executive and senior management is not included in gross contractual obligations. The recorded accumulated benefit obligation for this plan at December 31, 2018 is $18.9 million. We expect to have sufficient cash flows from operations to meet the future benefit payments as these become due. Additionally, a $3.1 million uncertain tax position related to the timing of deductibility is not included in gross contractual obligations.</w:t>
      </w:r>
    </w:p>
    <w:p>
      <w:pPr>
        <w:spacing w:after="0" w:line="59" w:lineRule="exact"/>
        <w:rPr>
          <w:rFonts w:ascii="Arial" w:cs="Arial" w:eastAsia="Arial" w:hAnsi="Arial"/>
          <w:sz w:val="13"/>
          <w:szCs w:val="13"/>
          <w:i w:val="1"/>
          <w:iCs w:val="1"/>
          <w:color w:val="auto"/>
        </w:rPr>
      </w:pPr>
    </w:p>
    <w:p>
      <w:pPr>
        <w:ind w:left="660" w:hanging="409"/>
        <w:spacing w:after="0"/>
        <w:tabs>
          <w:tab w:leader="none" w:pos="6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We are reimbursed from the Exchange and its subsidiaries for a portion of the costs related to other commitments and operating leases.</w:t>
      </w:r>
    </w:p>
    <w:p>
      <w:pPr>
        <w:spacing w:after="0" w:line="200" w:lineRule="exact"/>
        <w:rPr>
          <w:sz w:val="20"/>
          <w:szCs w:val="20"/>
          <w:color w:val="auto"/>
        </w:rPr>
      </w:pPr>
    </w:p>
    <w:p>
      <w:pPr>
        <w:spacing w:after="0" w:line="25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funding policy for our defined benefit pension plan is generally to contribute an amount equal or greater of the target normal cost for the plan year, or the amount necessary to fund the plan to 100%. Historically, this has resulted in an annual pension contribution. In 2018, however, we made accelerated pension contributions totaling $80 million. Following our 2018 contribution, we would not expect to make a subsequent contribution until the sum of the target normal costs for plan years beginning on and after December 31, 2017 exceeds $80 million, or earlier if a contribution is necessary to fund the plan to 100%.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We have no material off-balance sheet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Risk Management</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role of our Enterprise Risk Management ("ERM") function is to ensure that all significant risks are clearly identified, understood, proactively managed and consistently monitored to achieve strategic objectives for all stakeholders. Our ERM program views risk holistically across our entire group of companies. It ensures implementation of risk responses to mitigate potential impacts. See Item 1A "Risk Factors" contained in this report for a list of risk factors.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ERM process is founded on a governance framework that includes oversight at multiple levels of our organization, including our Board of Directors and executive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Given our defined tolerance for risk, risk model output is used to quantify the potential variability of future performance and the sufficiency of capital and liquidity levels.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TRANSACTIONS/AGREEMENTS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Board of Directors has a broad oversight responsibility over our intercompany relationships with the Exchange. As a consequence, our Board of Directors may be required to make decisions or take actions that may not be solely in the interest of our shareholders, such as setting the management fee rate paid by the Exchange to us and ratifying any other significant intercompany activity.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holding company system</w:t>
      </w:r>
    </w:p>
    <w:p>
      <w:pPr>
        <w:spacing w:after="0" w:line="2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and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1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Intercompany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Subscriber's and services agreements</w:t>
      </w:r>
    </w:p>
    <w:p>
      <w:pPr>
        <w:spacing w:after="0" w:line="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serve as attorney-in-fact for the subscribers at the Exchange, a reciprocal insurance exchange. Each applicant for insurance to a reciprocal insurance exchange signs a subscriber's agreement that contains an appointment of an attorney-in-fact. Through the designation of attorney-in-fact, we are required to provide policy issuance and renewal services and act as the attorney-in-fact for the Exchange with respect to all administrative services, as discussed previously. Pursuant to the subscriber's agreement, we earn a management fee for these services calculated as a percentage of the direct and assumed premiums written by the Exchange. By virtue of its legal structure as a reciprocal insurer, the Exchange does not have any employees or officers. Therefore, it enters into contractual relationships by and through the attorney-in-fact. The Exchange's insurance subsidiaries also utilize Indemnity for all administrative services in accordance with the service agreements between each of the subsidiaries and Indemnity. The amounts incurred for all administrative services are reimbursed to Indemnity at cost in accordance with the subscriber's agreement and the service agreements. These reimbursements are settled on a monthly basis. State insurance regulations require that intercompany service agreements and any material amendments be approved in advance by the state insurance department.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Leased property</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lease certain property from the Exchange including the home office and certain field office space. For the home office, rent is based on rental rates of like property in Erie, Pennsylvania and all operating expenses including utilities, cleaning, repairs, real estate taxes, property insurance and leasehold improvements are the responsibility of the tenant (Indemnity). Rental costs of shared facilities are allocated based upon usage or square footage occupied. We also had a lease commitment with EFL for a field office until December 31, 2018.</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previously owned three field offices for which rental costs of shared facilities were allocated based upon usage or square footage occupied. On December 31, 2018, we sold the three field offices to the Exchange at the current independent appraised value in order to align the ownership interest of these facilities with the functions being performed at these locations, which are claims-related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Allocation</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allocation of costs affects our financial condition and that of the Exchange and its wholly owned subsidiaries. Management's role is to determine that allocations are consistently made in accordance with the subscriber's agreement with the subscribers at the Exchange, intercompany service agreements, and applicable insurance laws and regulations. Allocation of</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costs under these various agreements requires judgment and interpretation, and such allocations are performed using a consistent methodology, which is intended to adhere to the terms and intentions of the underlying agreements.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Intercompany Receivables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4"/>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Percent of</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Percent of</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total</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total</w:t>
            </w:r>
          </w:p>
        </w:tc>
      </w:tr>
      <w:tr>
        <w:trPr>
          <w:trHeight w:val="251"/>
        </w:trPr>
        <w:tc>
          <w:tcPr>
            <w:tcW w:w="664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assets</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assets</w:t>
            </w:r>
          </w:p>
        </w:tc>
      </w:tr>
      <w:tr>
        <w:trPr>
          <w:trHeight w:val="499"/>
        </w:trPr>
        <w:tc>
          <w:tcPr>
            <w:tcW w:w="6640" w:type="dxa"/>
            <w:vAlign w:val="bottom"/>
          </w:tcPr>
          <w:p>
            <w:pPr>
              <w:ind w:left="40"/>
              <w:spacing w:after="0"/>
              <w:rPr>
                <w:sz w:val="20"/>
                <w:szCs w:val="20"/>
                <w:color w:val="auto"/>
              </w:rPr>
            </w:pPr>
            <w:r>
              <w:rPr>
                <w:rFonts w:ascii="Arial" w:cs="Arial" w:eastAsia="Arial" w:hAnsi="Arial"/>
                <w:sz w:val="18"/>
                <w:szCs w:val="18"/>
                <w:color w:val="auto"/>
              </w:rPr>
              <w:t>Receivables from the Exchange and other affiliates (management fees, costs and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reimbursements)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449,873</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418,328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25.1%</w:t>
            </w: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Note receivable from EFL</w:t>
            </w:r>
          </w:p>
        </w:tc>
        <w:tc>
          <w:tcPr>
            <w:tcW w:w="22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25,000</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1.5</w:t>
            </w:r>
          </w:p>
        </w:tc>
      </w:tr>
      <w:tr>
        <w:trPr>
          <w:trHeight w:val="27"/>
        </w:trPr>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640" w:type="dxa"/>
            <w:vAlign w:val="bottom"/>
          </w:tcPr>
          <w:p>
            <w:pPr>
              <w:ind w:left="220"/>
              <w:spacing w:after="0"/>
              <w:rPr>
                <w:sz w:val="20"/>
                <w:szCs w:val="20"/>
                <w:color w:val="auto"/>
              </w:rPr>
            </w:pPr>
            <w:r>
              <w:rPr>
                <w:rFonts w:ascii="Arial" w:cs="Arial" w:eastAsia="Arial" w:hAnsi="Arial"/>
                <w:sz w:val="18"/>
                <w:szCs w:val="18"/>
                <w:color w:val="auto"/>
              </w:rPr>
              <w:t>Total intercompany receivables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449,873</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25.3%</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443,328</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26.6%</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significant receivables from the Exchange and its subsidiaries that result in a concentration of credit risk. These receivables include management fees due for policy issuance and renewal services performed by us under the subscriber's agreement, and certain costs we incur acting as the attorney-in-fact on behalf of the Exchange as well as the service provider for its insurance subsidiaries with respect to all administrative services, as discussed previously. We continually monitor the financial strength of the Exchange. These receivables from the Exchange and its subsidiaries are settled monthly.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Surplus Note</w:t>
      </w:r>
    </w:p>
    <w:p>
      <w:pPr>
        <w:spacing w:after="0" w:line="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previously held a $25 million surplus note that was issued to us by EFL in 2003 and was payable on demand on or after December 31, 2018. On December 14, 2018, EFL, with the appropriate approval from the Pennsylvania Insurance Commissioner, satisfied its obligation and repaid the surplus note. The note bore an annual interest rate of 6.7% and EFL paid interest to us of $1.6 million in 2018, and $1.7 million in both 2017 and 2016.</w:t>
      </w:r>
    </w:p>
    <w:p>
      <w:pPr>
        <w:spacing w:after="0" w:line="3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7A.</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Market risk is the risk of loss arising from adverse changes in interest rates, credit spreads, equity prices, or foreign exchange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and equity price risk, and how those exposures are currently managed as of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invest primarily in fixed maturity investments, which comprised 88% of our invested assets at December 31, 2018. The value of the fixed maturity portfolio is subject to interest rate risk. As market interest rates decrease, the value of the portfolio increases with the opposite holding true in rising interest rate environments. We do not hedge our exposure to interest rate risk. A common measure of the interest sensitivity of fixed maturity assets is effective duration, a calculation that utilizes maturity, coupon rate, yield, and call terms to calculate an expected change in fair value given a change in interest rates. The longer the duration, the more sensitive the asset is to market interest rate fluctuations. Duration is analyzed quarterly to ensure that it remains in the targeted range we established.</w:t>
      </w:r>
    </w:p>
    <w:p>
      <w:pPr>
        <w:spacing w:after="0" w:line="1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 sensitivity analysis is used to measure the potential loss in future earnings, fair values, or cash flows of market-sensitive instruments resulting from one or more selected hypothetical changes in interest rates and other market rates or prices over a selected period. In our sensitivity analysis model, a hypothetical change in market rates is selected that is expected to reflect reasonably possible changes in those rates. The following pro forma information is presented assuming a 100-basis point increase in interest rates at December 31 of each year and reflects the estimated effect on the fair value of our fixed maturity portfolio. We used the effective duration of our fixed maturity portfolio to model the pro forma effect of a change in interest rates at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 interest-rate sensitivity analysis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762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21"/>
                <w:szCs w:val="21"/>
                <w:color w:val="auto"/>
              </w:rPr>
            </w:pPr>
          </w:p>
        </w:tc>
        <w:tc>
          <w:tcPr>
            <w:tcW w:w="2220" w:type="dxa"/>
            <w:vAlign w:val="bottom"/>
            <w:gridSpan w:val="2"/>
          </w:tcPr>
          <w:p>
            <w:pPr>
              <w:jc w:val="right"/>
              <w:ind w:right="10"/>
              <w:spacing w:after="0"/>
              <w:rPr>
                <w:sz w:val="20"/>
                <w:szCs w:val="20"/>
                <w:color w:val="auto"/>
              </w:rPr>
            </w:pPr>
            <w:r>
              <w:rPr>
                <w:rFonts w:ascii="Arial" w:cs="Arial" w:eastAsia="Arial" w:hAnsi="Arial"/>
                <w:sz w:val="18"/>
                <w:szCs w:val="18"/>
                <w:color w:val="auto"/>
              </w:rPr>
              <w:t>At December 31,</w:t>
            </w:r>
          </w:p>
        </w:tc>
        <w:tc>
          <w:tcPr>
            <w:tcW w:w="1140" w:type="dxa"/>
            <w:vAlign w:val="bottom"/>
          </w:tcPr>
          <w:p>
            <w:pPr>
              <w:spacing w:after="0"/>
              <w:rPr>
                <w:sz w:val="21"/>
                <w:szCs w:val="21"/>
                <w:color w:val="auto"/>
              </w:rPr>
            </w:pPr>
          </w:p>
        </w:tc>
      </w:tr>
      <w:tr>
        <w:trPr>
          <w:trHeight w:val="255"/>
        </w:trPr>
        <w:tc>
          <w:tcPr>
            <w:tcW w:w="7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71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2"/>
                <w:szCs w:val="22"/>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2017</w:t>
            </w:r>
          </w:p>
        </w:tc>
      </w:tr>
      <w:tr>
        <w:trPr>
          <w:trHeight w:val="27"/>
        </w:trPr>
        <w:tc>
          <w:tcPr>
            <w:tcW w:w="7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620" w:type="dxa"/>
            <w:vAlign w:val="bottom"/>
          </w:tcPr>
          <w:p>
            <w:pPr>
              <w:spacing w:after="0"/>
              <w:rPr>
                <w:sz w:val="20"/>
                <w:szCs w:val="20"/>
                <w:color w:val="auto"/>
              </w:rPr>
            </w:pPr>
            <w:r>
              <w:rPr>
                <w:rFonts w:ascii="Arial" w:cs="Arial" w:eastAsia="Arial" w:hAnsi="Arial"/>
                <w:sz w:val="18"/>
                <w:szCs w:val="18"/>
                <w:color w:val="auto"/>
              </w:rPr>
              <w:t>Fair value of fixed maturity portfolio</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748,523</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745,961</w:t>
            </w:r>
          </w:p>
        </w:tc>
      </w:tr>
      <w:tr>
        <w:trPr>
          <w:trHeight w:val="270"/>
        </w:trPr>
        <w:tc>
          <w:tcPr>
            <w:tcW w:w="7620" w:type="dxa"/>
            <w:vAlign w:val="bottom"/>
          </w:tcPr>
          <w:p>
            <w:pPr>
              <w:spacing w:after="0"/>
              <w:rPr>
                <w:sz w:val="20"/>
                <w:szCs w:val="20"/>
                <w:color w:val="auto"/>
              </w:rPr>
            </w:pPr>
            <w:r>
              <w:rPr>
                <w:rFonts w:ascii="Arial" w:cs="Arial" w:eastAsia="Arial" w:hAnsi="Arial"/>
                <w:sz w:val="18"/>
                <w:szCs w:val="18"/>
                <w:color w:val="auto"/>
              </w:rPr>
              <w:t>Fair value assuming 100-basis point rise in interest rates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735,806</w:t>
            </w: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727,787</w:t>
            </w:r>
          </w:p>
        </w:tc>
      </w:tr>
      <w:tr>
        <w:trPr>
          <w:trHeight w:val="281"/>
        </w:trPr>
        <w:tc>
          <w:tcPr>
            <w:tcW w:w="7620" w:type="dxa"/>
            <w:vAlign w:val="bottom"/>
          </w:tcPr>
          <w:p>
            <w:pPr>
              <w:spacing w:after="0"/>
              <w:rPr>
                <w:sz w:val="20"/>
                <w:szCs w:val="20"/>
                <w:color w:val="auto"/>
              </w:rPr>
            </w:pPr>
            <w:r>
              <w:rPr>
                <w:rFonts w:ascii="Arial" w:cs="Arial" w:eastAsia="Arial" w:hAnsi="Arial"/>
                <w:sz w:val="18"/>
                <w:szCs w:val="18"/>
                <w:color w:val="auto"/>
              </w:rPr>
              <w:t xml:space="preserve">Effective duration (as a percentage) </w:t>
            </w:r>
            <w:r>
              <w:rPr>
                <w:rFonts w:ascii="Arial" w:cs="Arial" w:eastAsia="Arial" w:hAnsi="Arial"/>
                <w:sz w:val="18"/>
                <w:szCs w:val="18"/>
                <w:color w:val="auto"/>
                <w:vertAlign w:val="superscript"/>
              </w:rPr>
              <w:t>(1)</w:t>
            </w:r>
          </w:p>
        </w:tc>
        <w:tc>
          <w:tcPr>
            <w:tcW w:w="400" w:type="dxa"/>
            <w:vAlign w:val="bottom"/>
          </w:tcPr>
          <w:p>
            <w:pPr>
              <w:spacing w:after="0"/>
              <w:rPr>
                <w:sz w:val="24"/>
                <w:szCs w:val="24"/>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r>
    </w:tbl>
    <w:p>
      <w:pPr>
        <w:spacing w:after="0" w:line="146" w:lineRule="exact"/>
        <w:rPr>
          <w:sz w:val="20"/>
          <w:szCs w:val="20"/>
          <w:color w:val="auto"/>
        </w:rPr>
      </w:pPr>
    </w:p>
    <w:p>
      <w:pPr>
        <w:ind w:left="820" w:right="180" w:hanging="281"/>
        <w:spacing w:after="0" w:line="353" w:lineRule="auto"/>
        <w:tabs>
          <w:tab w:leader="none" w:pos="817"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duration at December 31, 2018 reflects the reduction in municipal bonds and increase in short-term U.S. Treasury securities as we shift the portfolio away from tax-exempt securities.</w:t>
      </w:r>
    </w:p>
    <w:p>
      <w:pPr>
        <w:spacing w:after="0" w:line="36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While the fixed maturity portfolio is sensitive to interest rates, the future principal cash flows that will be received by contractual maturity date are presented below at December 31, 2018 and 2017. Actual cash flows may differ from those stated as a result of calls, prepayments, or defaults.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repayments of principal by maturity date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7620" w:type="dxa"/>
            <w:vAlign w:val="bottom"/>
          </w:tcPr>
          <w:p>
            <w:pPr>
              <w:spacing w:after="0"/>
              <w:rPr>
                <w:sz w:val="20"/>
                <w:szCs w:val="20"/>
                <w:color w:val="auto"/>
              </w:rPr>
            </w:pPr>
            <w:r>
              <w:rPr>
                <w:rFonts w:ascii="Arial" w:cs="Arial" w:eastAsia="Arial" w:hAnsi="Arial"/>
                <w:sz w:val="18"/>
                <w:szCs w:val="18"/>
                <w:color w:val="auto"/>
              </w:rPr>
              <w:t>Fixed maturities:</w:t>
            </w:r>
          </w:p>
        </w:tc>
        <w:tc>
          <w:tcPr>
            <w:tcW w:w="24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2018</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265,006</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55,808</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46,647</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19,911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317,446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742,463</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240"/>
              <w:spacing w:after="0"/>
              <w:rPr>
                <w:sz w:val="20"/>
                <w:szCs w:val="20"/>
                <w:color w:val="auto"/>
              </w:rPr>
            </w:pPr>
            <w:r>
              <w:rPr>
                <w:rFonts w:ascii="Arial" w:cs="Arial" w:eastAsia="Arial" w:hAnsi="Arial"/>
                <w:sz w:val="18"/>
                <w:szCs w:val="18"/>
                <w:color w:val="auto"/>
              </w:rPr>
              <w:t>Fair value</w:t>
            </w: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748,523</w:t>
            </w:r>
          </w:p>
        </w:tc>
        <w:tc>
          <w:tcPr>
            <w:tcW w:w="0" w:type="dxa"/>
            <w:vAlign w:val="bottom"/>
          </w:tcPr>
          <w:p>
            <w:pPr>
              <w:spacing w:after="0"/>
              <w:rPr>
                <w:sz w:val="1"/>
                <w:szCs w:val="1"/>
                <w:color w:val="auto"/>
              </w:rPr>
            </w:pPr>
          </w:p>
        </w:tc>
      </w:tr>
      <w:tr>
        <w:trPr>
          <w:trHeight w:val="27"/>
        </w:trPr>
        <w:tc>
          <w:tcPr>
            <w:tcW w:w="76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7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620" w:type="dxa"/>
            <w:vAlign w:val="bottom"/>
          </w:tcPr>
          <w:p>
            <w:pPr>
              <w:spacing w:after="0"/>
              <w:rPr>
                <w:sz w:val="20"/>
                <w:szCs w:val="20"/>
                <w:color w:val="auto"/>
              </w:rPr>
            </w:pPr>
            <w:r>
              <w:rPr>
                <w:rFonts w:ascii="Arial" w:cs="Arial" w:eastAsia="Arial" w:hAnsi="Arial"/>
                <w:sz w:val="18"/>
                <w:szCs w:val="18"/>
                <w:color w:val="auto"/>
              </w:rPr>
              <w:t>Fixed maturities:</w:t>
            </w:r>
          </w:p>
        </w:tc>
        <w:tc>
          <w:tcPr>
            <w:tcW w:w="24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2017</w:t>
            </w:r>
          </w:p>
        </w:tc>
        <w:tc>
          <w:tcPr>
            <w:tcW w:w="0" w:type="dxa"/>
            <w:vAlign w:val="bottom"/>
          </w:tcPr>
          <w:p>
            <w:pPr>
              <w:spacing w:after="0"/>
              <w:rPr>
                <w:sz w:val="1"/>
                <w:szCs w:val="1"/>
                <w:color w:val="auto"/>
              </w:rPr>
            </w:pPr>
          </w:p>
        </w:tc>
      </w:tr>
      <w:tr>
        <w:trPr>
          <w:trHeight w:val="27"/>
        </w:trPr>
        <w:tc>
          <w:tcPr>
            <w:tcW w:w="7620" w:type="dxa"/>
            <w:vAlign w:val="bottom"/>
            <w:vMerge w:val="restart"/>
          </w:tcPr>
          <w:p>
            <w:pPr>
              <w:ind w:left="1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70,862</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86,167</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104,561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76,970</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37,131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336,717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Pr>
          <w:p>
            <w:pPr>
              <w:ind w:left="2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712,408</w:t>
            </w:r>
          </w:p>
        </w:tc>
        <w:tc>
          <w:tcPr>
            <w:tcW w:w="0" w:type="dxa"/>
            <w:vAlign w:val="bottom"/>
          </w:tcPr>
          <w:p>
            <w:pPr>
              <w:spacing w:after="0"/>
              <w:rPr>
                <w:sz w:val="1"/>
                <w:szCs w:val="1"/>
                <w:color w:val="auto"/>
              </w:rPr>
            </w:pPr>
          </w:p>
        </w:tc>
      </w:tr>
      <w:tr>
        <w:trPr>
          <w:trHeight w:val="243"/>
        </w:trPr>
        <w:tc>
          <w:tcPr>
            <w:tcW w:w="7620" w:type="dxa"/>
            <w:vAlign w:val="bottom"/>
          </w:tcPr>
          <w:p>
            <w:pPr>
              <w:ind w:left="240"/>
              <w:spacing w:after="0"/>
              <w:rPr>
                <w:sz w:val="20"/>
                <w:szCs w:val="20"/>
                <w:color w:val="auto"/>
              </w:rPr>
            </w:pPr>
            <w:r>
              <w:rPr>
                <w:rFonts w:ascii="Arial" w:cs="Arial" w:eastAsia="Arial" w:hAnsi="Arial"/>
                <w:sz w:val="18"/>
                <w:szCs w:val="18"/>
                <w:color w:val="auto"/>
              </w:rPr>
              <w:t>Fair value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745,961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20" w:hanging="305"/>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This amount excludes Indemnity's $25 million surplus note due from EFL.</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Credit Risk</w:t>
      </w:r>
    </w:p>
    <w:p>
      <w:pPr>
        <w:spacing w:after="0" w:line="27" w:lineRule="exact"/>
        <w:rPr>
          <w:sz w:val="20"/>
          <w:szCs w:val="20"/>
          <w:color w:val="auto"/>
        </w:rPr>
      </w:pPr>
    </w:p>
    <w:p>
      <w:pPr>
        <w:jc w:val="both"/>
        <w:ind w:right="180"/>
        <w:spacing w:after="0" w:line="295"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Our portfolios of fixed maturity securities, nonredeemable preferred stock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fixed maturity portfolio in total. We do not hedge the credit risk inherent in our fixed maturity investments.</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our fixed maturity investments by rating</w:t>
      </w:r>
      <w:r>
        <w:rPr>
          <w:rFonts w:ascii="Arial" w:cs="Arial" w:eastAsia="Arial" w:hAnsi="Arial"/>
          <w:sz w:val="18"/>
          <w:szCs w:val="18"/>
          <w:i w:val="1"/>
          <w:iCs w:val="1"/>
          <w:color w:val="auto"/>
          <w:vertAlign w:val="superscript"/>
        </w:rPr>
        <w:t>(1)</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gridSpan w:val="2"/>
          </w:tcPr>
          <w:p>
            <w:pPr>
              <w:jc w:val="right"/>
              <w:ind w:right="50"/>
              <w:spacing w:after="0"/>
              <w:rPr>
                <w:sz w:val="20"/>
                <w:szCs w:val="20"/>
                <w:color w:val="auto"/>
              </w:rPr>
            </w:pPr>
            <w:r>
              <w:rPr>
                <w:rFonts w:ascii="Arial" w:cs="Arial" w:eastAsia="Arial" w:hAnsi="Arial"/>
                <w:sz w:val="16"/>
                <w:szCs w:val="16"/>
                <w:color w:val="auto"/>
                <w:w w:val="99"/>
              </w:rPr>
              <w:t>At December 31, 2018</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Amortized cost</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Fair value</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Percent of total</w:t>
            </w: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AAA, AA,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524,560</w:t>
            </w: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524,860</w:t>
            </w: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BBB</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73,378</w:t>
            </w:r>
          </w:p>
        </w:tc>
        <w:tc>
          <w:tcPr>
            <w:tcW w:w="34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72,377</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140"/>
              <w:spacing w:after="0"/>
              <w:rPr>
                <w:sz w:val="20"/>
                <w:szCs w:val="20"/>
                <w:color w:val="auto"/>
              </w:rPr>
            </w:pPr>
            <w:r>
              <w:rPr>
                <w:rFonts w:ascii="Arial" w:cs="Arial" w:eastAsia="Arial" w:hAnsi="Arial"/>
                <w:sz w:val="18"/>
                <w:szCs w:val="18"/>
                <w:color w:val="auto"/>
              </w:rPr>
              <w:t>Total investment grade</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597,938</w:t>
            </w:r>
          </w:p>
        </w:tc>
        <w:tc>
          <w:tcPr>
            <w:tcW w:w="34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597,237</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660" w:type="dxa"/>
            <w:vAlign w:val="bottom"/>
            <w:vMerge w:val="restart"/>
          </w:tcPr>
          <w:p>
            <w:pPr>
              <w:spacing w:after="0"/>
              <w:rPr>
                <w:sz w:val="20"/>
                <w:szCs w:val="20"/>
                <w:color w:val="auto"/>
              </w:rPr>
            </w:pPr>
            <w:r>
              <w:rPr>
                <w:rFonts w:ascii="Arial" w:cs="Arial" w:eastAsia="Arial" w:hAnsi="Arial"/>
                <w:sz w:val="18"/>
                <w:szCs w:val="18"/>
                <w:color w:val="auto"/>
              </w:rPr>
              <w:t>BB</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51,733</w:t>
            </w:r>
          </w:p>
        </w:tc>
        <w:tc>
          <w:tcPr>
            <w:tcW w:w="34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49,480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94,122</w:t>
            </w:r>
          </w:p>
        </w:tc>
        <w:tc>
          <w:tcPr>
            <w:tcW w:w="34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89,229</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CCC, CC, C, and below</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13,602</w:t>
            </w:r>
          </w:p>
        </w:tc>
        <w:tc>
          <w:tcPr>
            <w:tcW w:w="34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12,577</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140"/>
              <w:spacing w:after="0"/>
              <w:rPr>
                <w:sz w:val="20"/>
                <w:szCs w:val="20"/>
                <w:color w:val="auto"/>
              </w:rPr>
            </w:pPr>
            <w:r>
              <w:rPr>
                <w:rFonts w:ascii="Arial" w:cs="Arial" w:eastAsia="Arial" w:hAnsi="Arial"/>
                <w:sz w:val="18"/>
                <w:szCs w:val="18"/>
                <w:color w:val="auto"/>
              </w:rPr>
              <w:t>Total non-investment grade</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159,457</w:t>
            </w:r>
          </w:p>
        </w:tc>
        <w:tc>
          <w:tcPr>
            <w:tcW w:w="34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151,286</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757,395</w:t>
            </w: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748,523</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17145</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34290</wp:posOffset>
            </wp:positionV>
            <wp:extent cx="2992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6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gridSpan w:val="2"/>
          </w:tcPr>
          <w:p>
            <w:pPr>
              <w:jc w:val="right"/>
              <w:ind w:right="50"/>
              <w:spacing w:after="0"/>
              <w:rPr>
                <w:sz w:val="20"/>
                <w:szCs w:val="20"/>
                <w:color w:val="auto"/>
              </w:rPr>
            </w:pPr>
            <w:r>
              <w:rPr>
                <w:rFonts w:ascii="Arial" w:cs="Arial" w:eastAsia="Arial" w:hAnsi="Arial"/>
                <w:sz w:val="16"/>
                <w:szCs w:val="16"/>
                <w:color w:val="auto"/>
                <w:w w:val="99"/>
              </w:rPr>
              <w:t>At December 31, 2017</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Amortized cost</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Fair value</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Percent of total</w:t>
            </w: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AAA, AA,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448,823</w:t>
            </w: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452,983</w:t>
            </w: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BBB</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121,821</w:t>
            </w:r>
          </w:p>
        </w:tc>
        <w:tc>
          <w:tcPr>
            <w:tcW w:w="34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121,488</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140"/>
              <w:spacing w:after="0"/>
              <w:rPr>
                <w:sz w:val="20"/>
                <w:szCs w:val="20"/>
                <w:color w:val="auto"/>
              </w:rPr>
            </w:pPr>
            <w:r>
              <w:rPr>
                <w:rFonts w:ascii="Arial" w:cs="Arial" w:eastAsia="Arial" w:hAnsi="Arial"/>
                <w:sz w:val="18"/>
                <w:szCs w:val="18"/>
                <w:color w:val="auto"/>
              </w:rPr>
              <w:t>Total investment grade</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570,644</w:t>
            </w:r>
          </w:p>
        </w:tc>
        <w:tc>
          <w:tcPr>
            <w:tcW w:w="34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574,471</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r>
              <w:rPr>
                <w:rFonts w:ascii="Arial" w:cs="Arial" w:eastAsia="Arial" w:hAnsi="Arial"/>
                <w:sz w:val="18"/>
                <w:szCs w:val="18"/>
                <w:color w:val="auto"/>
              </w:rPr>
              <w:t>BB</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61,111</w:t>
            </w:r>
          </w:p>
        </w:tc>
        <w:tc>
          <w:tcPr>
            <w:tcW w:w="34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61,521</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94,827</w:t>
            </w:r>
          </w:p>
        </w:tc>
        <w:tc>
          <w:tcPr>
            <w:tcW w:w="34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94,996</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CCC, CC, C, and below</w:t>
            </w:r>
          </w:p>
        </w:tc>
        <w:tc>
          <w:tcPr>
            <w:tcW w:w="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15,217</w:t>
            </w:r>
          </w:p>
        </w:tc>
        <w:tc>
          <w:tcPr>
            <w:tcW w:w="340" w:type="dxa"/>
            <w:vAlign w:val="bottom"/>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14,973</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ind w:left="140"/>
              <w:spacing w:after="0"/>
              <w:rPr>
                <w:sz w:val="20"/>
                <w:szCs w:val="20"/>
                <w:color w:val="auto"/>
              </w:rPr>
            </w:pPr>
            <w:r>
              <w:rPr>
                <w:rFonts w:ascii="Arial" w:cs="Arial" w:eastAsia="Arial" w:hAnsi="Arial"/>
                <w:sz w:val="18"/>
                <w:szCs w:val="18"/>
                <w:color w:val="auto"/>
              </w:rPr>
              <w:t>Total non-investment grade</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171,155</w:t>
            </w:r>
          </w:p>
        </w:tc>
        <w:tc>
          <w:tcPr>
            <w:tcW w:w="34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171,490</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660" w:type="dxa"/>
            <w:vAlign w:val="bottom"/>
            <w:vMerge w:val="restart"/>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741,799</w:t>
            </w: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745,961</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17145</wp:posOffset>
            </wp:positionV>
            <wp:extent cx="2992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2755"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34290</wp:posOffset>
            </wp:positionV>
            <wp:extent cx="2992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69" w:lineRule="exact"/>
        <w:rPr>
          <w:sz w:val="20"/>
          <w:szCs w:val="20"/>
          <w:color w:val="auto"/>
        </w:rPr>
      </w:pPr>
    </w:p>
    <w:p>
      <w:pPr>
        <w:ind w:left="680" w:hanging="330"/>
        <w:spacing w:after="0"/>
        <w:tabs>
          <w:tab w:leader="none" w:pos="68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Ratings are supplied by S&amp;P, Moody's, and Fitch. The table is based upon the lowest rating for each security.</w:t>
      </w:r>
    </w:p>
    <w:p>
      <w:pPr>
        <w:spacing w:after="0" w:line="200" w:lineRule="exact"/>
        <w:rPr>
          <w:sz w:val="20"/>
          <w:szCs w:val="20"/>
          <w:color w:val="auto"/>
        </w:rPr>
      </w:pPr>
    </w:p>
    <w:p>
      <w:pPr>
        <w:spacing w:after="0" w:line="29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Approximately 18% of the fixed income portfolio is invested in structured products at December 31, 2018 compared to approximately 17% at December 31, 2017. Our structured portfolio includes residential mortgage-backed securities, commercial mortgage-backed securities, collateralized debt obligations, and asset-backed securities. The overall credit rating of the structured product portfolio is AA+ at December 31, 2018, compared to AA at December 31, 2017.</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municipal bond portfolio currently accounts for $159.0 million, or 21% of the total fixed maturity portfolio at December 31, 2018 compared to $259.3 million, or 35% of the total fixed maturity portfolio at December 31, 2017. In the fourth quarter of 2018, we began selling off our municipal bonds as part of a portfolio rebalancing. We intend to sell the remaining municipal bonds in the first half of 2019. The overall credit rating of our municipal portfolio is AA+ at both December 31, 2018 and 2017.</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limited partnership investment portfolio is exposed to credit risk, as well as price risk. Price risk is defined as the potential loss in estimated fair value resulting from an adverse change in prices. Our investments are directly affected by the impact of changes in these risk factors on the underlying investments held by our fund managers, which could vary significantly from fund to fund. We manage these risks by performing up-front due diligence on our fund managers, ongoing monitoring, and through the construction of a diversified portfolio.</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also exposed to a concentration of credit risk with the Exchange. See the section, "Transactions/Agreements with Related Parties, Intercompany Receivables" for further discussion of this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Periods of volatility in the financial markets can create conditions where fixed maturity investments, despite being publicly traded, can become illiquid. However, we actively manage the maturity profile of our fixed maturity portfolio such that</w:t>
      </w:r>
    </w:p>
    <w:p>
      <w:pPr>
        <w:sectPr>
          <w:pgSz w:w="11900" w:h="16838" w:orient="portrait"/>
          <w:cols w:equalWidth="0" w:num="1">
            <w:col w:w="11420"/>
          </w:cols>
          <w:pgMar w:left="240" w:top="122"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scheduled repayments of principal occur on a regular basis. Additionally, there is no ready market for limited partnerships, which increases the risk that these investments may not be converted to cash on favorable terms and on a timely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portfolio of equity securities, which includes nonredeemable preferred stock, are carried on the Statements of Financial Position at estimated fair value. Equity securities are exposed to the risk of potential loss in estimated fair value resulting from an adverse change in prices ("price risk"). We do not hedge our exposure to price risk inherent in our equity investments.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7"/>
          <w:szCs w:val="17"/>
          <w:b w:val="1"/>
          <w:bCs w:val="1"/>
          <w:u w:val="single" w:color="auto"/>
          <w:color w:val="auto"/>
        </w:rPr>
        <w:t>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Erie Indemnity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accompanying statements of financial position of Erie Indemnity Company (the "Company") as of December 31, 2018 and 2017, and the related statements of operations, comprehensive income, shareholders'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U.S. generally accepted accounting principles.</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21, 2019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discussed in Note 3 to the financial statements, the Company changed its method of accounting for revenue in 2018 due to the adoption of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Cleveland, 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2"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67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630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rPr>
              <w:t>ERIE INDEMNITY COMPANY</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300" w:type="dxa"/>
            <w:vAlign w:val="bottom"/>
            <w:gridSpan w:val="2"/>
          </w:tcPr>
          <w:p>
            <w:pPr>
              <w:jc w:val="center"/>
              <w:ind w:left="3010"/>
              <w:spacing w:after="0"/>
              <w:rPr>
                <w:sz w:val="20"/>
                <w:szCs w:val="20"/>
                <w:color w:val="auto"/>
              </w:rPr>
            </w:pPr>
            <w:r>
              <w:rPr>
                <w:rFonts w:ascii="Arial" w:cs="Arial" w:eastAsia="Arial" w:hAnsi="Arial"/>
                <w:sz w:val="18"/>
                <w:szCs w:val="18"/>
                <w:b w:val="1"/>
                <w:bCs w:val="1"/>
                <w:color w:val="auto"/>
                <w:w w:val="98"/>
              </w:rPr>
              <w:t>STATEMENTS OF OPERATIONS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7280" w:type="dxa"/>
            <w:vAlign w:val="bottom"/>
            <w:gridSpan w:val="3"/>
          </w:tcPr>
          <w:p>
            <w:pPr>
              <w:jc w:val="center"/>
              <w:ind w:left="2010"/>
              <w:spacing w:after="0"/>
              <w:rPr>
                <w:sz w:val="20"/>
                <w:szCs w:val="20"/>
                <w:color w:val="auto"/>
              </w:rPr>
            </w:pPr>
            <w:r>
              <w:rPr>
                <w:rFonts w:ascii="Arial" w:cs="Arial" w:eastAsia="Arial" w:hAnsi="Arial"/>
                <w:sz w:val="18"/>
                <w:szCs w:val="18"/>
                <w:b w:val="1"/>
                <w:bCs w:val="1"/>
                <w:color w:val="auto"/>
                <w:w w:val="89"/>
              </w:rPr>
              <w:t>Years ended December 31, 2018, 2017 and 2016</w:t>
            </w: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300" w:type="dxa"/>
            <w:vAlign w:val="bottom"/>
            <w:gridSpan w:val="2"/>
          </w:tcPr>
          <w:p>
            <w:pPr>
              <w:jc w:val="center"/>
              <w:ind w:left="299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2018</w:t>
            </w:r>
          </w:p>
        </w:tc>
        <w:tc>
          <w:tcPr>
            <w:tcW w:w="400" w:type="dxa"/>
            <w:vAlign w:val="bottom"/>
          </w:tcPr>
          <w:p>
            <w:pPr>
              <w:spacing w:after="0"/>
              <w:rPr>
                <w:sz w:val="24"/>
                <w:szCs w:val="24"/>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Operating revenue</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Management fee revenue - policy issuance and renewal services, net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1,719,567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1,662,625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1,567,431</w:t>
            </w: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Management fee revenue - administrative services, net</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53,632</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Administrative services reimbursement revenue</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580,336</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Service agreement revenue</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28,677</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29,149</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operating revenue</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2,382,212</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1,691,774</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1,596,631</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67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Cost of operations - policy issuance and renewal services</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1,457,533</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1,401,522</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1,303,114</w:t>
            </w: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Cost of operations - administrative services</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580,336</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2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2,037,869</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1,401,522</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1,303,114</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344,343</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290,252</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293,517</w:t>
            </w:r>
          </w:p>
        </w:tc>
        <w:tc>
          <w:tcPr>
            <w:tcW w:w="0" w:type="dxa"/>
            <w:vAlign w:val="bottom"/>
          </w:tcPr>
          <w:p>
            <w:pPr>
              <w:spacing w:after="0"/>
              <w:rPr>
                <w:sz w:val="1"/>
                <w:szCs w:val="1"/>
                <w:color w:val="auto"/>
              </w:rPr>
            </w:pPr>
          </w:p>
        </w:tc>
      </w:tr>
      <w:tr>
        <w:trPr>
          <w:trHeight w:val="540"/>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 income</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Net investment income</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30,209</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24,639</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20,558</w:t>
            </w: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Net realized investment (losses) gains</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1,334</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Net impairment losses recognized in earnings</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Equity in (losses) earnings of limited partnerships</w:t>
            </w:r>
          </w:p>
        </w:tc>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2,801</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Total investment income</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25,796</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28,592</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27,839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24"/>
                <w:szCs w:val="24"/>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2,460</w:t>
            </w:r>
          </w:p>
        </w:tc>
        <w:tc>
          <w:tcPr>
            <w:tcW w:w="40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1,238</w:t>
            </w:r>
          </w:p>
        </w:tc>
        <w:tc>
          <w:tcPr>
            <w:tcW w:w="4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0"/>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3,641</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(1,911)</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40"/>
              <w:spacing w:after="0"/>
              <w:rPr>
                <w:sz w:val="20"/>
                <w:szCs w:val="20"/>
                <w:color w:val="auto"/>
              </w:rPr>
            </w:pPr>
            <w:r>
              <w:rPr>
                <w:rFonts w:ascii="Arial" w:cs="Arial" w:eastAsia="Arial" w:hAnsi="Arial"/>
                <w:sz w:val="18"/>
                <w:szCs w:val="18"/>
                <w:color w:val="auto"/>
              </w:rPr>
              <w:t>Income before income taxes</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371,320</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315,695</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320,091</w:t>
            </w:r>
          </w:p>
        </w:tc>
        <w:tc>
          <w:tcPr>
            <w:tcW w:w="0" w:type="dxa"/>
            <w:vAlign w:val="bottom"/>
          </w:tcPr>
          <w:p>
            <w:pPr>
              <w:spacing w:after="0"/>
              <w:rPr>
                <w:sz w:val="1"/>
                <w:szCs w:val="1"/>
                <w:color w:val="auto"/>
              </w:rPr>
            </w:pPr>
          </w:p>
        </w:tc>
      </w:tr>
      <w:tr>
        <w:trPr>
          <w:trHeight w:val="270"/>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83,096</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118,696</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109,725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gridSpan w:val="2"/>
          </w:tcPr>
          <w:p>
            <w:pPr>
              <w:ind w:left="520"/>
              <w:spacing w:after="0"/>
              <w:rPr>
                <w:sz w:val="20"/>
                <w:szCs w:val="20"/>
                <w:color w:val="auto"/>
              </w:rPr>
            </w:pPr>
            <w:r>
              <w:rPr>
                <w:rFonts w:ascii="Arial" w:cs="Arial" w:eastAsia="Arial" w:hAnsi="Arial"/>
                <w:sz w:val="18"/>
                <w:szCs w:val="18"/>
                <w:b w:val="1"/>
                <w:bCs w:val="1"/>
                <w:color w:val="auto"/>
              </w:rPr>
              <w:t>Net income</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288,224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196,999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210,366</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7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per share</w:t>
            </w: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Class A common stock – basic</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6.19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Class A common stock – diluted</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5.51</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3.76</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4.01</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 – basic</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928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635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 – diluted</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928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634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Weighted average shares outstanding – Basic</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7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Class A common stock</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0"/>
              </w:rPr>
              <w:t>46,188,637</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46,186,831</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46,188,952</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2,542</w:t>
            </w:r>
          </w:p>
        </w:tc>
        <w:tc>
          <w:tcPr>
            <w:tcW w:w="4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2,542</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Weighted average shares outstanding – Diluted</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7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Class A common stock</w:t>
            </w:r>
          </w:p>
        </w:tc>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0"/>
              </w:rPr>
              <w:t>52,315,213</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52,337,463</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52,435,303</w:t>
            </w:r>
          </w:p>
        </w:tc>
        <w:tc>
          <w:tcPr>
            <w:tcW w:w="0" w:type="dxa"/>
            <w:vAlign w:val="bottom"/>
          </w:tcPr>
          <w:p>
            <w:pPr>
              <w:spacing w:after="0"/>
              <w:rPr>
                <w:sz w:val="1"/>
                <w:szCs w:val="1"/>
                <w:color w:val="auto"/>
              </w:rPr>
            </w:pPr>
          </w:p>
        </w:tc>
      </w:tr>
      <w:tr>
        <w:trPr>
          <w:trHeight w:val="27"/>
        </w:trPr>
        <w:tc>
          <w:tcPr>
            <w:tcW w:w="6760" w:type="dxa"/>
            <w:vAlign w:val="bottom"/>
            <w:gridSpan w:val="2"/>
            <w:vMerge w:val="restart"/>
          </w:tcPr>
          <w:p>
            <w:pPr>
              <w:ind w:left="380"/>
              <w:spacing w:after="0"/>
              <w:rPr>
                <w:sz w:val="20"/>
                <w:szCs w:val="20"/>
                <w:color w:val="auto"/>
              </w:rPr>
            </w:pPr>
            <w:r>
              <w:rPr>
                <w:rFonts w:ascii="Arial" w:cs="Arial" w:eastAsia="Arial" w:hAnsi="Arial"/>
                <w:sz w:val="18"/>
                <w:szCs w:val="18"/>
                <w:color w:val="auto"/>
              </w:rPr>
              <w:t>Class B common stock</w:t>
            </w: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2,542</w:t>
            </w:r>
          </w:p>
        </w:tc>
        <w:tc>
          <w:tcPr>
            <w:tcW w:w="4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2,542</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See accompanying notes to Financial Statements. See Note 13, "Accumulated Other Comprehensive Income (Loss)", for amounts reclassified out of accumulated other comprehensive income (loss) into the Statements of Operations.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14"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34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rPr>
              <w:t>ERIE INDEMNITY COMPANY</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64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rPr>
              <w:t>STATEMENTS OF COMPREHENSIVE INCOME</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4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89"/>
              </w:rPr>
              <w:t>Years ended December 31, 2018, 2017 and 2016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80" w:type="dxa"/>
            <w:vAlign w:val="bottom"/>
            <w:gridSpan w:val="2"/>
          </w:tcPr>
          <w:p>
            <w:pPr>
              <w:jc w:val="center"/>
              <w:ind w:left="470"/>
              <w:spacing w:after="0"/>
              <w:rPr>
                <w:sz w:val="20"/>
                <w:szCs w:val="20"/>
                <w:color w:val="auto"/>
              </w:rPr>
            </w:pPr>
            <w:r>
              <w:rPr>
                <w:rFonts w:ascii="Arial" w:cs="Arial" w:eastAsia="Arial" w:hAnsi="Arial"/>
                <w:sz w:val="18"/>
                <w:szCs w:val="18"/>
                <w:i w:val="1"/>
                <w:iCs w:val="1"/>
                <w:color w:val="auto"/>
                <w:w w:val="91"/>
              </w:rPr>
              <w:t>(in thousands)</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7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income</w:t>
            </w:r>
          </w:p>
        </w:tc>
        <w:tc>
          <w:tcPr>
            <w:tcW w:w="3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2"/>
            <w:vMerge w:val="continue"/>
          </w:tcPr>
          <w:p>
            <w:pPr>
              <w:spacing w:after="0"/>
              <w:rPr>
                <w:sz w:val="20"/>
                <w:szCs w:val="20"/>
                <w:color w:val="auto"/>
              </w:rPr>
            </w:pPr>
          </w:p>
        </w:tc>
        <w:tc>
          <w:tcPr>
            <w:tcW w:w="3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288,224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196,999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210,366</w:t>
            </w:r>
          </w:p>
        </w:tc>
        <w:tc>
          <w:tcPr>
            <w:tcW w:w="0" w:type="dxa"/>
            <w:vAlign w:val="bottom"/>
          </w:tcPr>
          <w:p>
            <w:pPr>
              <w:spacing w:after="0"/>
              <w:rPr>
                <w:sz w:val="1"/>
                <w:szCs w:val="1"/>
                <w:color w:val="auto"/>
              </w:rPr>
            </w:pPr>
          </w:p>
        </w:tc>
      </w:tr>
      <w:tr>
        <w:trPr>
          <w:trHeight w:val="540"/>
        </w:trPr>
        <w:tc>
          <w:tcPr>
            <w:tcW w:w="3700" w:type="dxa"/>
            <w:vAlign w:val="bottom"/>
            <w:gridSpan w:val="2"/>
          </w:tcPr>
          <w:p>
            <w:pPr>
              <w:ind w:left="160"/>
              <w:spacing w:after="0"/>
              <w:rPr>
                <w:sz w:val="20"/>
                <w:szCs w:val="20"/>
                <w:color w:val="auto"/>
              </w:rPr>
            </w:pPr>
            <w:r>
              <w:rPr>
                <w:rFonts w:ascii="Arial" w:cs="Arial" w:eastAsia="Arial" w:hAnsi="Arial"/>
                <w:sz w:val="18"/>
                <w:szCs w:val="18"/>
                <w:b w:val="1"/>
                <w:bCs w:val="1"/>
                <w:color w:val="auto"/>
                <w:w w:val="88"/>
              </w:rPr>
              <w:t>Other comprehensive income (loss), net of tax</w:t>
            </w: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80" w:type="dxa"/>
            <w:vAlign w:val="bottom"/>
            <w:gridSpan w:val="4"/>
          </w:tcPr>
          <w:p>
            <w:pPr>
              <w:ind w:left="320"/>
              <w:spacing w:after="0"/>
              <w:rPr>
                <w:sz w:val="20"/>
                <w:szCs w:val="20"/>
                <w:color w:val="auto"/>
              </w:rPr>
            </w:pPr>
            <w:r>
              <w:rPr>
                <w:rFonts w:ascii="Arial" w:cs="Arial" w:eastAsia="Arial" w:hAnsi="Arial"/>
                <w:sz w:val="18"/>
                <w:szCs w:val="18"/>
                <w:color w:val="auto"/>
              </w:rPr>
              <w:t>Change in unrealized holding (losses) gains on available-for-sale securities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(9,937)</w:t>
            </w:r>
          </w:p>
        </w:tc>
        <w:tc>
          <w:tcPr>
            <w:tcW w:w="4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36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3700" w:type="dxa"/>
            <w:vAlign w:val="bottom"/>
            <w:gridSpan w:val="2"/>
          </w:tcPr>
          <w:p>
            <w:pPr>
              <w:ind w:left="320"/>
              <w:spacing w:after="0"/>
              <w:rPr>
                <w:sz w:val="20"/>
                <w:szCs w:val="20"/>
                <w:color w:val="auto"/>
              </w:rPr>
            </w:pPr>
            <w:r>
              <w:rPr>
                <w:rFonts w:ascii="Arial" w:cs="Arial" w:eastAsia="Arial" w:hAnsi="Arial"/>
                <w:sz w:val="18"/>
                <w:szCs w:val="18"/>
                <w:color w:val="auto"/>
              </w:rPr>
              <w:t>Pension and other postretirement plans</w:t>
            </w:r>
          </w:p>
        </w:tc>
        <w:tc>
          <w:tcPr>
            <w:tcW w:w="3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35,712</w:t>
            </w:r>
          </w:p>
        </w:tc>
        <w:tc>
          <w:tcPr>
            <w:tcW w:w="4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(8,105)</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8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80" w:type="dxa"/>
            <w:vAlign w:val="bottom"/>
            <w:gridSpan w:val="4"/>
          </w:tcPr>
          <w:p>
            <w:pPr>
              <w:ind w:left="5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25,775</w:t>
            </w:r>
          </w:p>
        </w:tc>
        <w:tc>
          <w:tcPr>
            <w:tcW w:w="4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(8,295)</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Comprehensive income</w:t>
            </w:r>
          </w:p>
        </w:tc>
        <w:tc>
          <w:tcPr>
            <w:tcW w:w="3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313,999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188,704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185,849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accompanying notes to Financial Statements. See Note 13,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114"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81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7080" w:type="dxa"/>
            <w:vAlign w:val="bottom"/>
          </w:tcPr>
          <w:p>
            <w:pPr>
              <w:jc w:val="center"/>
              <w:ind w:left="2230"/>
              <w:spacing w:after="0"/>
              <w:rPr>
                <w:sz w:val="20"/>
                <w:szCs w:val="20"/>
                <w:color w:val="auto"/>
              </w:rPr>
            </w:pPr>
            <w:r>
              <w:rPr>
                <w:rFonts w:ascii="Arial" w:cs="Arial" w:eastAsia="Arial" w:hAnsi="Arial"/>
                <w:sz w:val="18"/>
                <w:szCs w:val="18"/>
                <w:b w:val="1"/>
                <w:bCs w:val="1"/>
                <w:color w:val="auto"/>
              </w:rPr>
              <w:t>ERIE INDEMNITY COMPANY</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rPr>
              <w:t>STATEMENTS OF FINANCIAL POSITION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At December 31, 2018 and 2017</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7080" w:type="dxa"/>
            <w:vAlign w:val="bottom"/>
          </w:tcPr>
          <w:p>
            <w:pPr>
              <w:jc w:val="center"/>
              <w:ind w:left="221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266,417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215,721</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402,339</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71,190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Receivables from Erie Insurance Exchange and affiliates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449,873</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418,328</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36,892</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34,890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Federal income taxes recoverable</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8,162</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29,900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Note receivable from Erie Family Life Insurance Company</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Accrued investment income</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5,263</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1,168,946</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801,882</w:t>
            </w:r>
          </w:p>
        </w:tc>
        <w:tc>
          <w:tcPr>
            <w:tcW w:w="0" w:type="dxa"/>
            <w:vAlign w:val="bottom"/>
          </w:tcPr>
          <w:p>
            <w:pPr>
              <w:spacing w:after="0"/>
              <w:rPr>
                <w:sz w:val="1"/>
                <w:szCs w:val="1"/>
                <w:color w:val="auto"/>
              </w:rPr>
            </w:pPr>
          </w:p>
        </w:tc>
      </w:tr>
      <w:tr>
        <w:trPr>
          <w:trHeight w:val="486"/>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Available-for-sale securities</w:t>
            </w:r>
          </w:p>
        </w:tc>
        <w:tc>
          <w:tcPr>
            <w:tcW w:w="36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346,184</w:t>
            </w:r>
          </w:p>
        </w:tc>
        <w:tc>
          <w:tcPr>
            <w:tcW w:w="44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687,523</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11,853</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Limited partnership investments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34,821</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45,122</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Fixed assets, net</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130,832</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83,149</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Deferred income taxes, net</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24,101</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19,390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61,590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1,778,327</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1,665,859</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1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Commissions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241,573</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228,124</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Agent bonuses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103,462</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122,528</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111,291</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104,533</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Dividends payable</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41,910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Contract liability</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33,854</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Deferred executive compensation</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13,107</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60"/>
              <w:spacing w:after="0"/>
              <w:rPr>
                <w:sz w:val="20"/>
                <w:szCs w:val="20"/>
                <w:color w:val="auto"/>
              </w:rPr>
            </w:pPr>
            <w:r>
              <w:rPr>
                <w:rFonts w:ascii="Arial" w:cs="Arial" w:eastAsia="Arial" w:hAnsi="Arial"/>
                <w:sz w:val="18"/>
                <w:szCs w:val="18"/>
                <w:color w:val="auto"/>
              </w:rPr>
              <w:t>Current portion of long-term borrowings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1,870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547,067</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509,906</w:t>
            </w:r>
          </w:p>
        </w:tc>
        <w:tc>
          <w:tcPr>
            <w:tcW w:w="0" w:type="dxa"/>
            <w:vAlign w:val="bottom"/>
          </w:tcPr>
          <w:p>
            <w:pPr>
              <w:spacing w:after="0"/>
              <w:rPr>
                <w:sz w:val="1"/>
                <w:szCs w:val="1"/>
                <w:color w:val="auto"/>
              </w:rPr>
            </w:pPr>
          </w:p>
        </w:tc>
      </w:tr>
      <w:tr>
        <w:trPr>
          <w:trHeight w:val="486"/>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Defined benefit pension plans</w:t>
            </w:r>
          </w:p>
        </w:tc>
        <w:tc>
          <w:tcPr>
            <w:tcW w:w="36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116,866</w:t>
            </w:r>
          </w:p>
        </w:tc>
        <w:tc>
          <w:tcPr>
            <w:tcW w:w="44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207,530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Contract liability</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17,873</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Deferred executive compensation</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13,075</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14,452</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Long-term borrowings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97,860</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74,728</w:t>
            </w:r>
          </w:p>
        </w:tc>
        <w:tc>
          <w:tcPr>
            <w:tcW w:w="0" w:type="dxa"/>
            <w:vAlign w:val="bottom"/>
          </w:tcPr>
          <w:p>
            <w:pPr>
              <w:spacing w:after="0"/>
              <w:rPr>
                <w:sz w:val="1"/>
                <w:szCs w:val="1"/>
                <w:color w:val="auto"/>
              </w:rPr>
            </w:pPr>
          </w:p>
        </w:tc>
      </w:tr>
      <w:tr>
        <w:trPr>
          <w:trHeight w:val="270"/>
        </w:trPr>
        <w:tc>
          <w:tcPr>
            <w:tcW w:w="810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11,914</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8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804,655</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808,515</w:t>
            </w:r>
          </w:p>
        </w:tc>
        <w:tc>
          <w:tcPr>
            <w:tcW w:w="0" w:type="dxa"/>
            <w:vAlign w:val="bottom"/>
          </w:tcPr>
          <w:p>
            <w:pPr>
              <w:spacing w:after="0"/>
              <w:rPr>
                <w:sz w:val="1"/>
                <w:szCs w:val="1"/>
                <w:color w:val="auto"/>
              </w:rPr>
            </w:pPr>
          </w:p>
        </w:tc>
      </w:tr>
      <w:tr>
        <w:trPr>
          <w:trHeight w:val="27"/>
        </w:trPr>
        <w:tc>
          <w:tcPr>
            <w:tcW w:w="81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81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1"/>
              </w:rPr>
              <w:t>Class A common stock, stated value $0.0292 per share; 74,996,930 shares authorized; 68,299,200 shares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issued; 46,189,068 shares outstanding</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1,992</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56"/>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3"/>
              </w:rPr>
              <w:t>Class B common stock, convertible at a rate of 2,400 Class A shares for one Class B share, stated value</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$70 per share; 3,070 shares authorized; 2,542 shares issued and outstanding</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16,459</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16,470</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(130,284)</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(156,059)</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2,231,417</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2,140,853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ind w:left="800"/>
              <w:spacing w:after="0"/>
              <w:rPr>
                <w:sz w:val="20"/>
                <w:szCs w:val="20"/>
                <w:color w:val="auto"/>
              </w:rPr>
            </w:pPr>
            <w:r>
              <w:rPr>
                <w:rFonts w:ascii="Arial" w:cs="Arial" w:eastAsia="Arial" w:hAnsi="Arial"/>
                <w:sz w:val="18"/>
                <w:szCs w:val="18"/>
                <w:color w:val="auto"/>
              </w:rPr>
              <w:t>Total contributed capital and retained earnings</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2,119,762</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2,003,434</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22,110,132 shares held</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(1,157,625)</w:t>
            </w:r>
          </w:p>
        </w:tc>
        <w:tc>
          <w:tcPr>
            <w:tcW w:w="4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(1,155,668)</w:t>
            </w:r>
          </w:p>
        </w:tc>
        <w:tc>
          <w:tcPr>
            <w:tcW w:w="0" w:type="dxa"/>
            <w:vAlign w:val="bottom"/>
          </w:tcPr>
          <w:p>
            <w:pPr>
              <w:spacing w:after="0"/>
              <w:rPr>
                <w:sz w:val="1"/>
                <w:szCs w:val="1"/>
                <w:color w:val="auto"/>
              </w:rPr>
            </w:pPr>
          </w:p>
        </w:tc>
      </w:tr>
      <w:tr>
        <w:trPr>
          <w:trHeight w:val="270"/>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11,535</w:t>
            </w:r>
          </w:p>
        </w:tc>
        <w:tc>
          <w:tcPr>
            <w:tcW w:w="44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9,578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973,672</w:t>
            </w:r>
          </w:p>
        </w:tc>
        <w:tc>
          <w:tcPr>
            <w:tcW w:w="44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857,344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gridSpan w:val="2"/>
          </w:tcPr>
          <w:p>
            <w:pPr>
              <w:ind w:left="800"/>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1,778,327</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1,665,859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11340"/>
          </w:cols>
          <w:pgMar w:left="240" w:top="114" w:right="319" w:bottom="231"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40"/>
          </w:cols>
          <w:pgMar w:left="240" w:top="114" w:right="319" w:bottom="231"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4"/>
              </w:rPr>
              <w:t>Accumulated other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Class A</w:t>
            </w:r>
          </w:p>
        </w:tc>
        <w:tc>
          <w:tcPr>
            <w:tcW w:w="18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Class B</w:t>
            </w:r>
          </w:p>
        </w:tc>
        <w:tc>
          <w:tcPr>
            <w:tcW w:w="140" w:type="dxa"/>
            <w:vAlign w:val="bottom"/>
          </w:tcPr>
          <w:p>
            <w:pPr>
              <w:spacing w:after="0"/>
              <w:rPr>
                <w:sz w:val="12"/>
                <w:szCs w:val="12"/>
                <w:color w:val="auto"/>
              </w:rPr>
            </w:pPr>
          </w:p>
        </w:tc>
        <w:tc>
          <w:tcPr>
            <w:tcW w:w="8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comprehensive</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Deferred</w:t>
            </w:r>
          </w:p>
        </w:tc>
        <w:tc>
          <w:tcPr>
            <w:tcW w:w="1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w w:val="97"/>
              </w:rPr>
              <w:t>Total shareholders'</w:t>
            </w:r>
          </w:p>
        </w:tc>
      </w:tr>
      <w:tr>
        <w:trPr>
          <w:trHeight w:val="188"/>
        </w:trPr>
        <w:tc>
          <w:tcPr>
            <w:tcW w:w="2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w w:val="95"/>
              </w:rPr>
              <w:t>common stock</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5"/>
              </w:rPr>
              <w:t>common stock</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paid-in-capital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3"/>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7"/>
              </w:rPr>
              <w:t>Retained earnings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Treasury stock</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compensation</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equity</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2015</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1,993,976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(1,155,108)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9,018</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769,503</w:t>
            </w: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210,366</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210,366</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(24,517)</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(24,517)</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A $2.9725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(137,297)</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(137,297)</w:t>
            </w: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B $445.875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(1,134)</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(1,134)</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Deferred compensation</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738</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(121,381)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2,065,911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(1,155,846)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9,756</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816,910</w:t>
            </w: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196,999</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196,999</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(8,295)</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(8,295)</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A $3.1875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(147,225)</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(147,225)</w:t>
            </w: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B $478.125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(1,215)</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(1,215)</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170</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Deferred compensation</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(1,177)</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1,177</w:t>
            </w: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8"/>
                <w:szCs w:val="8"/>
                <w:color w:val="auto"/>
              </w:rPr>
              <w:t>(2)</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1,355</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(1,355)</w:t>
            </w: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w:t>
            </w:r>
          </w:p>
        </w:tc>
      </w:tr>
      <w:tr>
        <w:trPr>
          <w:trHeight w:val="27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AOCI reclassification </w:t>
            </w:r>
            <w:r>
              <w:rPr>
                <w:rFonts w:ascii="Arial" w:cs="Arial" w:eastAsia="Arial" w:hAnsi="Arial"/>
                <w:sz w:val="8"/>
                <w:szCs w:val="8"/>
                <w:color w:val="auto"/>
              </w:rPr>
              <w:t>(3)</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(26,383)</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26,383</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2,140,853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(1,155,668)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9,578</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857,344</w:t>
            </w: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 xml:space="preserve">Cumulative effect adjustments </w:t>
            </w:r>
            <w:r>
              <w:rPr>
                <w:rFonts w:ascii="Arial" w:cs="Arial" w:eastAsia="Arial" w:hAnsi="Arial"/>
                <w:sz w:val="8"/>
                <w:szCs w:val="8"/>
                <w:color w:val="auto"/>
              </w:rPr>
              <w:t>(4)</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(38,392)</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(38,392)</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288,224</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288,224</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25,775</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25,775</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A $3.42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(157,964)</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(157,964)</w:t>
            </w:r>
          </w:p>
        </w:tc>
      </w:tr>
      <w:tr>
        <w:trPr>
          <w:trHeight w:val="270"/>
        </w:trPr>
        <w:tc>
          <w:tcPr>
            <w:tcW w:w="2180" w:type="dxa"/>
            <w:vAlign w:val="bottom"/>
          </w:tcPr>
          <w:p>
            <w:pPr>
              <w:ind w:left="180"/>
              <w:spacing w:after="0"/>
              <w:rPr>
                <w:sz w:val="20"/>
                <w:szCs w:val="20"/>
                <w:color w:val="auto"/>
              </w:rPr>
            </w:pPr>
            <w:r>
              <w:rPr>
                <w:rFonts w:ascii="Arial" w:cs="Arial" w:eastAsia="Arial" w:hAnsi="Arial"/>
                <w:sz w:val="14"/>
                <w:szCs w:val="14"/>
                <w:color w:val="auto"/>
              </w:rPr>
              <w:t>Class B $513.00 per share</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(1,304)</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(1,304)</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 xml:space="preserve">Net purchase of treasury stock </w:t>
            </w:r>
            <w:r>
              <w:rPr>
                <w:rFonts w:ascii="Arial" w:cs="Arial" w:eastAsia="Arial" w:hAnsi="Arial"/>
                <w:sz w:val="8"/>
                <w:szCs w:val="8"/>
                <w:color w:val="auto"/>
              </w:rPr>
              <w:t>(1)</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0"/>
        </w:trPr>
        <w:tc>
          <w:tcPr>
            <w:tcW w:w="2180" w:type="dxa"/>
            <w:vAlign w:val="bottom"/>
          </w:tcPr>
          <w:p>
            <w:pPr>
              <w:ind w:left="40"/>
              <w:spacing w:after="0"/>
              <w:rPr>
                <w:sz w:val="20"/>
                <w:szCs w:val="20"/>
                <w:color w:val="auto"/>
              </w:rPr>
            </w:pPr>
            <w:r>
              <w:rPr>
                <w:rFonts w:ascii="Arial" w:cs="Arial" w:eastAsia="Arial" w:hAnsi="Arial"/>
                <w:sz w:val="14"/>
                <w:szCs w:val="14"/>
                <w:color w:val="auto"/>
              </w:rPr>
              <w:t>Deferred compensation</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(2,566)</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2,566</w:t>
            </w:r>
          </w:p>
        </w:tc>
        <w:tc>
          <w:tcPr>
            <w:tcW w:w="2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w:t>
            </w:r>
          </w:p>
        </w:tc>
      </w:tr>
      <w:tr>
        <w:trPr>
          <w:trHeight w:val="27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Rabbi trust distribution </w:t>
            </w:r>
            <w:r>
              <w:rPr>
                <w:rFonts w:ascii="Arial" w:cs="Arial" w:eastAsia="Arial" w:hAnsi="Arial"/>
                <w:sz w:val="8"/>
                <w:szCs w:val="8"/>
                <w:color w:val="auto"/>
              </w:rPr>
              <w:t>(2)</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w:t>
            </w:r>
          </w:p>
        </w:tc>
      </w:tr>
      <w:tr>
        <w:trPr>
          <w:trHeight w:val="210"/>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2,231,417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(1,157,625)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11,535</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973,672</w:t>
            </w:r>
          </w:p>
        </w:tc>
      </w:tr>
    </w:tbl>
    <w:p>
      <w:pPr>
        <w:spacing w:after="0" w:line="202" w:lineRule="exact"/>
        <w:rPr>
          <w:sz w:val="20"/>
          <w:szCs w:val="20"/>
          <w:color w:val="auto"/>
        </w:rPr>
      </w:pPr>
    </w:p>
    <w:p>
      <w:pPr>
        <w:ind w:left="260" w:right="40" w:hanging="252"/>
        <w:spacing w:after="0" w:line="246" w:lineRule="auto"/>
        <w:tabs>
          <w:tab w:leader="none" w:pos="195"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Net purchases of treasury stock in 2016, 2017 and 2018 includes the repurchase of our Class A common stock in the open market that were subsequently distributed to satisfy stock based compensation awards. See Note 12, "Capital Stock", for additional information on treasury stock transactions.</w:t>
      </w:r>
    </w:p>
    <w:p>
      <w:pPr>
        <w:ind w:left="260" w:right="440" w:hanging="252"/>
        <w:spacing w:after="0" w:line="238" w:lineRule="auto"/>
        <w:tabs>
          <w:tab w:leader="none" w:pos="195"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Distributions of our Class A shares were made from the rabbi trust to a retired director and an incentive compensation deferral plan participant in 2018 and to a retired director in 2017. See Note 10, "Incentive and Deferred Compensation Plans".</w:t>
      </w:r>
    </w:p>
    <w:p>
      <w:pPr>
        <w:ind w:left="260" w:right="120" w:hanging="252"/>
        <w:spacing w:after="0" w:line="238" w:lineRule="auto"/>
        <w:tabs>
          <w:tab w:leader="none" w:pos="195"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A one-time adjustment was made in the fourth quarter of 2017 to reclassify stranded tax effects of the components of accumulated other comprehensive income ("AOCI") resulting from enactment of Tax Cuts and Jobs Act ("TCJA") from AOCI to retained earnings. See Note 2, "Significant Accounting Policies".</w:t>
      </w:r>
    </w:p>
    <w:p>
      <w:pPr>
        <w:ind w:left="180" w:hanging="172"/>
        <w:spacing w:after="0"/>
        <w:tabs>
          <w:tab w:leader="none" w:pos="180"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Cumulative effect adjustments are primarily related to the implementation of new revenue recognition guidance effective January 1, 2018. See Note 2, "Significant Accounting Policies".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1020" w:type="dxa"/>
            <w:vAlign w:val="bottom"/>
            <w:tcBorders>
              <w:top w:val="single" w:sz="8" w:color="0000EE"/>
            </w:tcBorders>
          </w:tcPr>
          <w:p>
            <w:pPr>
              <w:spacing w:after="0"/>
              <w:rPr>
                <w:sz w:val="24"/>
                <w:szCs w:val="24"/>
                <w:color w:val="auto"/>
              </w:rPr>
            </w:pPr>
          </w:p>
        </w:tc>
        <w:tc>
          <w:tcPr>
            <w:tcW w:w="6060" w:type="dxa"/>
            <w:vAlign w:val="bottom"/>
          </w:tcPr>
          <w:p>
            <w:pPr>
              <w:jc w:val="center"/>
              <w:ind w:left="3250"/>
              <w:spacing w:after="0"/>
              <w:rPr>
                <w:sz w:val="20"/>
                <w:szCs w:val="20"/>
                <w:color w:val="auto"/>
              </w:rPr>
            </w:pPr>
            <w:r>
              <w:rPr>
                <w:rFonts w:ascii="Arial" w:cs="Arial" w:eastAsia="Arial" w:hAnsi="Arial"/>
                <w:sz w:val="18"/>
                <w:szCs w:val="18"/>
                <w:b w:val="1"/>
                <w:bCs w:val="1"/>
                <w:color w:val="auto"/>
              </w:rPr>
              <w:t>ERIE INDEMNITY COMPANY</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6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STATEMENTS OF CASH FLOWS</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654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89"/>
              </w:rPr>
              <w:t>Years ended December 31, 2018, 2017 and 2016</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60" w:type="dxa"/>
            <w:vAlign w:val="bottom"/>
          </w:tcPr>
          <w:p>
            <w:pPr>
              <w:jc w:val="center"/>
              <w:ind w:left="3250"/>
              <w:spacing w:after="0"/>
              <w:rPr>
                <w:sz w:val="20"/>
                <w:szCs w:val="20"/>
                <w:color w:val="auto"/>
              </w:rPr>
            </w:pPr>
            <w:r>
              <w:rPr>
                <w:rFonts w:ascii="Arial" w:cs="Arial" w:eastAsia="Arial" w:hAnsi="Arial"/>
                <w:sz w:val="18"/>
                <w:szCs w:val="18"/>
                <w:i w:val="1"/>
                <w:iCs w:val="1"/>
                <w:color w:val="auto"/>
                <w:w w:val="91"/>
              </w:rPr>
              <w:t>(in thousands)</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9"/>
              </w:rPr>
              <w:t>2018</w:t>
            </w:r>
          </w:p>
        </w:tc>
        <w:tc>
          <w:tcPr>
            <w:tcW w:w="36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Management fee received</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4"/>
              </w:rPr>
              <w:t>1,751,247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1,627,558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1,536,699</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Administrative services reimbursements received</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574,698</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Service agreement fee received</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28,677</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29,149</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Net investment income received</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37,489</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31,281</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26,796</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Limited partnership distributions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7,173</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5,128</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17,837</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(Decrease) increase in reimbursements collected from affiliates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(4,720)</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Commissions paid to agents</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(853,758)</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(800,627)</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(756,713)</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Agents bonuses paid</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(134,314)</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(122,743)</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(113,859)</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Salaries and wages paid</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(182,537)</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(171,547)</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(160,985)</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Pension contributions and employee benefits paid</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(115,525)</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(89,981)</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(44,250)</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General operating expenses paid</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(208,036)</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(199,084)</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(176,029)</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Administrative services expenses paid</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(580,338)</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Income taxes paid</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(58,814)</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(106,250)</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(104,607)</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Interest paid</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(2,377)</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(1,038)</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263,585</w:t>
            </w:r>
          </w:p>
        </w:tc>
        <w:tc>
          <w:tcPr>
            <w:tcW w:w="3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197,126</w:t>
            </w:r>
          </w:p>
        </w:tc>
        <w:tc>
          <w:tcPr>
            <w:tcW w:w="3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254,336</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0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Purchase of investments:</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(392,895)</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(391,181)</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(369,811)</w:t>
            </w: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Equity securities</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(4,087)</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Limited partnerships</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Proceeds from investments:</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 sales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235,323</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144,317</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89,498</w:t>
            </w: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 maturities/calls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134,396</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194,980</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146,285</w:t>
            </w: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Equity securities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4,162</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Trading securities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70"/>
        </w:trPr>
        <w:tc>
          <w:tcPr>
            <w:tcW w:w="7080" w:type="dxa"/>
            <w:vAlign w:val="bottom"/>
            <w:gridSpan w:val="2"/>
          </w:tcPr>
          <w:p>
            <w:pPr>
              <w:ind w:left="420"/>
              <w:spacing w:after="0"/>
              <w:rPr>
                <w:sz w:val="20"/>
                <w:szCs w:val="20"/>
                <w:color w:val="auto"/>
              </w:rPr>
            </w:pPr>
            <w:r>
              <w:rPr>
                <w:rFonts w:ascii="Arial" w:cs="Arial" w:eastAsia="Arial" w:hAnsi="Arial"/>
                <w:sz w:val="18"/>
                <w:szCs w:val="18"/>
                <w:color w:val="auto"/>
              </w:rPr>
              <w:t>Limited partnerships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3,387</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10,768</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Purchase of fixed assets</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(56,297)</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(28,927)</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(25,208)</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Proceeds from disposal of fixed assets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6,014</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Distributions on agent loans</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(42,594)</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(9,153)</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Collections on agent loans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6,436</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4,943</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Repayment of note receivable from Erie Family Life Insurance</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(81,398)</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(74,663)</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(136,944)</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0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Dividends paid to shareholders</w:t>
            </w:r>
          </w:p>
        </w:tc>
        <w:tc>
          <w:tcPr>
            <w:tcW w:w="4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(156,474)</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(145,765)</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(135,985)</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Net proceeds from long-term borrowings</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24,983</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49,951</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24,776</w:t>
            </w:r>
          </w:p>
        </w:tc>
        <w:tc>
          <w:tcPr>
            <w:tcW w:w="0" w:type="dxa"/>
            <w:vAlign w:val="bottom"/>
          </w:tcPr>
          <w:p>
            <w:pPr>
              <w:spacing w:after="0"/>
              <w:rPr>
                <w:sz w:val="1"/>
                <w:szCs w:val="1"/>
                <w:color w:val="auto"/>
              </w:rPr>
            </w:pPr>
          </w:p>
        </w:tc>
      </w:tr>
      <w:tr>
        <w:trPr>
          <w:trHeight w:val="27"/>
        </w:trPr>
        <w:tc>
          <w:tcPr>
            <w:tcW w:w="70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Net cash used in financing activities</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(131,491)</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(95,814)</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(111,209)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080" w:type="dxa"/>
            <w:vAlign w:val="bottom"/>
            <w:gridSpan w:val="2"/>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48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50,696</w:t>
            </w:r>
          </w:p>
        </w:tc>
        <w:tc>
          <w:tcPr>
            <w:tcW w:w="36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26,649</w:t>
            </w:r>
          </w:p>
        </w:tc>
        <w:tc>
          <w:tcPr>
            <w:tcW w:w="38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70"/>
        </w:trPr>
        <w:tc>
          <w:tcPr>
            <w:tcW w:w="708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beginning of year</w:t>
            </w:r>
          </w:p>
        </w:tc>
        <w:tc>
          <w:tcPr>
            <w:tcW w:w="48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215,721</w:t>
            </w:r>
          </w:p>
        </w:tc>
        <w:tc>
          <w:tcPr>
            <w:tcW w:w="36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189,072</w:t>
            </w:r>
          </w:p>
        </w:tc>
        <w:tc>
          <w:tcPr>
            <w:tcW w:w="3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182,889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2"/>
          </w:tcPr>
          <w:p>
            <w:pPr>
              <w:ind w:left="620"/>
              <w:spacing w:after="0"/>
              <w:rPr>
                <w:sz w:val="20"/>
                <w:szCs w:val="20"/>
                <w:color w:val="auto"/>
              </w:rPr>
            </w:pPr>
            <w:r>
              <w:rPr>
                <w:rFonts w:ascii="Arial" w:cs="Arial" w:eastAsia="Arial" w:hAnsi="Arial"/>
                <w:sz w:val="18"/>
                <w:szCs w:val="18"/>
                <w:b w:val="1"/>
                <w:bCs w:val="1"/>
                <w:color w:val="auto"/>
              </w:rPr>
              <w:t>Cash and cash equivalents, end of year</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266,417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215,721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189,072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0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Transfer of investments from limited partnerships to trading securities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70"/>
        </w:trPr>
        <w:tc>
          <w:tcPr>
            <w:tcW w:w="7080" w:type="dxa"/>
            <w:vAlign w:val="bottom"/>
            <w:gridSpan w:val="2"/>
          </w:tcPr>
          <w:p>
            <w:pPr>
              <w:ind w:left="200"/>
              <w:spacing w:after="0"/>
              <w:rPr>
                <w:sz w:val="20"/>
                <w:szCs w:val="20"/>
                <w:color w:val="auto"/>
              </w:rPr>
            </w:pPr>
            <w:r>
              <w:rPr>
                <w:rFonts w:ascii="Arial" w:cs="Arial" w:eastAsia="Arial" w:hAnsi="Arial"/>
                <w:sz w:val="18"/>
                <w:szCs w:val="18"/>
                <w:color w:val="auto"/>
              </w:rPr>
              <w:t>Liability incurred to purchase fixed assets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8,453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 See Note 17, "Supplementary Data on Cash Flows", for additional supplemental cash flow information.</w:t>
      </w:r>
    </w:p>
    <w:p>
      <w:pPr>
        <w:sectPr>
          <w:pgSz w:w="11900" w:h="16838" w:orient="portrait"/>
          <w:cols w:equalWidth="0" w:num="1">
            <w:col w:w="11400"/>
          </w:cols>
          <w:pgMar w:left="240" w:top="114" w:right="259" w:bottom="555"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14" w:right="259" w:bottom="555"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ERIE INDEMNITY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primary function as attorney-in-fact is to perform policy issuance and renewal services on behalf of the subscribers at the Exchange. We also act as attorney-in-fact on behalf of the Exchange with respect to all claims handling and investment management services, as well as the service provider for all claims handling, life insurance, and investment management services for its insurance subsidiaries, collectively referred to as "administrative services". Acting as attorney-in-fact in these two capacities is done in accordance with a subscriber's agreement (a limited power of attorney) executed individually by each subscriber (policyholder), which appoints us as their common attorney-in-fact to transact certain business on their behalf. Pursuant to the subscriber's agreement for acting as attorney-in-fact in these two capacities, we earn a management fee calculated as a percentage of the direct and assumed premiums written by the Exchange.</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policy issuance and renewal services we provide to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additional commissions and bonuses to agents, which are earned by achieving targeted measures. Agent compensation comprised approximately 67% of our 2018 policy issuance and renewal expenses. The underwriting services we provide include underwriting and policy processing and comprised approximately 10% of our 2018 policy issuance and renewal expenses. The remaining services we provide include customer service and administrative support. We also provide information technology services that support all the functions listed above that comprised approximately 10% of our 2018 policy issuance and renewal expenses. Included in these expenses are allocations of costs for departments that support these policy issuance and renewal functions.</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would have as a consequence a decline in the total premiums paid and a correspondingly adverse effect on the amount of the management fees we receive. We also have an exposure to a concentration of credit risk related to the unsecured receivables due from the Exchange for its management fee and cost reimbursements. See Note 15,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financial statements have been prepared in conformity with U.S. generally accepted accounting principles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We adopted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on January 1, 2018, using the modified retrospective method applied to all contracts. We recognized the cumulative effect of initially adopting ASC 606 as an adjustment to the opening balance of retained earnings at January 1, 2018. The comparative information for periods preceding January 1, 2018 has not been restated and continues to be reported under the accounting standards in effect for those periods.</w:t>
      </w:r>
    </w:p>
    <w:p>
      <w:pPr>
        <w:spacing w:after="0" w:line="1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ASC 606, we determined that we have two performance obligations under the subscriber’s agreement. The first performance obligation is providing policy issuance and renewal services. The second performance obligation is acting as the attorney-in-fact on behalf of the Exchange, as well as the service provider for its insurance subsidiaries, with respect to all administrative services. Therefore, upon adoption of ASC 606 beginning January 1, 2018, the management fee earned per the subscriber’s agreement, currently 25% of all direct and assumed premiums written by the Exchange, is allocated between the two performance obligations. Prior to the adoption of ASC 606, the entire management fee was allocated to the policy issuance and renewal services. Additionally, the expenses we incur and related reimbursements we receive related to the administrative services are presented gross in our Statement of Operations effective January 1, 2018. There was no significant impact to service agreement revenue upon adoption of ASC 606.</w:t>
      </w:r>
    </w:p>
    <w:p>
      <w:pPr>
        <w:spacing w:after="0" w:line="16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Revenue allocated to the policy issuance and renewal services continues to be recognized at the time of policy issuance or renewal because it is at the time of policy issuance or renewal when the economic benefits of the service Indemnity provides (i.e. the substantially completed policy issuance or renewal service) and the control of the promised asset (i.e. the executed insurance policy) transfers to the customer. A significant portion of the management fee is currently allocated to this performance obligation and therefore, the related revenue recognition pattern for the vast majority of our revenues remains unchanged.</w:t>
      </w:r>
    </w:p>
    <w:p>
      <w:pPr>
        <w:spacing w:after="0" w:line="154"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revenue allocated to the second performance obligation is recognized over several years in correlation with the costs incurred because the economic benefit of the services provided (i.e. management of the administrative services) transfers to the customer over a period of time. The amounts incurred for these services are reimbursed to Indemnity at cost in accordance with the subscriber's agreement and the service agreements. On January 1, 2018, we established a contract liability of $48.5 million representing the portion of revenue not yet earned related to the administrative services to be provided in subsequent years. We recorded a related deferred tax asset of $10.2 million and a cumulative effect adjustment that reduced retained earnings by $38.3 million. The adoption of ASC 606 changed the presentation of our Statement of Cash Flows, but had no net impact to our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of the changes made to our Statement of Financial Position at January 1, 2018 were as follows: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w w:val="91"/>
              </w:rPr>
              <w:t>Balance at December 31,</w:t>
            </w:r>
          </w:p>
        </w:tc>
        <w:tc>
          <w:tcPr>
            <w:tcW w:w="180" w:type="dxa"/>
            <w:vAlign w:val="bottom"/>
          </w:tcPr>
          <w:p>
            <w:pPr>
              <w:spacing w:after="0"/>
              <w:rPr>
                <w:sz w:val="18"/>
                <w:szCs w:val="18"/>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w w:val="92"/>
              </w:rPr>
              <w:t>Adjustments due to</w:t>
            </w:r>
          </w:p>
        </w:tc>
        <w:tc>
          <w:tcPr>
            <w:tcW w:w="12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color w:val="auto"/>
                <w:w w:val="88"/>
              </w:rPr>
              <w:t>Balance at January 1,</w:t>
            </w:r>
          </w:p>
        </w:tc>
      </w:tr>
      <w:tr>
        <w:trPr>
          <w:trHeight w:val="251"/>
        </w:trPr>
        <w:tc>
          <w:tcPr>
            <w:tcW w:w="4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ASC 606</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r>
      <w:tr>
        <w:trPr>
          <w:trHeight w:val="243"/>
        </w:trPr>
        <w:tc>
          <w:tcPr>
            <w:tcW w:w="4020" w:type="dxa"/>
            <w:vAlign w:val="bottom"/>
          </w:tcPr>
          <w:p>
            <w:pPr>
              <w:spacing w:after="0"/>
              <w:rPr>
                <w:sz w:val="20"/>
                <w:szCs w:val="20"/>
                <w:color w:val="auto"/>
              </w:rPr>
            </w:pPr>
            <w:r>
              <w:rPr>
                <w:rFonts w:ascii="Arial" w:cs="Arial" w:eastAsia="Arial" w:hAnsi="Arial"/>
                <w:sz w:val="18"/>
                <w:szCs w:val="18"/>
                <w:b w:val="1"/>
                <w:bCs w:val="1"/>
                <w:color w:val="auto"/>
              </w:rPr>
              <w:t>Statement of Financial Position:</w:t>
            </w:r>
          </w:p>
        </w:tc>
        <w:tc>
          <w:tcPr>
            <w:tcW w:w="1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Assets</w:t>
            </w:r>
          </w:p>
        </w:tc>
        <w:tc>
          <w:tcPr>
            <w:tcW w:w="1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402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22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19,390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10,188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29,578</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Liabilities</w:t>
            </w:r>
          </w:p>
        </w:tc>
        <w:tc>
          <w:tcPr>
            <w:tcW w:w="1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4020" w:type="dxa"/>
            <w:vAlign w:val="bottom"/>
          </w:tcPr>
          <w:p>
            <w:pPr>
              <w:ind w:left="140"/>
              <w:spacing w:after="0"/>
              <w:rPr>
                <w:sz w:val="20"/>
                <w:szCs w:val="20"/>
                <w:color w:val="auto"/>
              </w:rPr>
            </w:pPr>
            <w:r>
              <w:rPr>
                <w:rFonts w:ascii="Arial" w:cs="Arial" w:eastAsia="Arial" w:hAnsi="Arial"/>
                <w:sz w:val="18"/>
                <w:szCs w:val="18"/>
                <w:color w:val="auto"/>
              </w:rPr>
              <w:t>Contract liability</w:t>
            </w:r>
          </w:p>
        </w:tc>
        <w:tc>
          <w:tcPr>
            <w:tcW w:w="1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48,514</w:t>
            </w:r>
          </w:p>
        </w:tc>
        <w:tc>
          <w:tcPr>
            <w:tcW w:w="12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48,514</w:t>
            </w:r>
          </w:p>
        </w:tc>
      </w:tr>
      <w:tr>
        <w:trPr>
          <w:trHeight w:val="270"/>
        </w:trPr>
        <w:tc>
          <w:tcPr>
            <w:tcW w:w="4020" w:type="dxa"/>
            <w:vAlign w:val="bottom"/>
          </w:tcPr>
          <w:p>
            <w:pPr>
              <w:spacing w:after="0"/>
              <w:rPr>
                <w:sz w:val="20"/>
                <w:szCs w:val="20"/>
                <w:color w:val="auto"/>
              </w:rPr>
            </w:pPr>
            <w:r>
              <w:rPr>
                <w:rFonts w:ascii="Arial" w:cs="Arial" w:eastAsia="Arial" w:hAnsi="Arial"/>
                <w:sz w:val="18"/>
                <w:szCs w:val="18"/>
                <w:color w:val="auto"/>
              </w:rPr>
              <w:t>Equity</w:t>
            </w:r>
          </w:p>
        </w:tc>
        <w:tc>
          <w:tcPr>
            <w:tcW w:w="1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40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2,140,853</w:t>
            </w: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(38,326)</w:t>
            </w:r>
          </w:p>
        </w:tc>
        <w:tc>
          <w:tcPr>
            <w:tcW w:w="12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2,102,527</w:t>
            </w:r>
          </w:p>
        </w:tc>
      </w:tr>
      <w:tr>
        <w:trPr>
          <w:trHeight w:val="918"/>
        </w:trPr>
        <w:tc>
          <w:tcPr>
            <w:tcW w:w="40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on our Statement of Financial Position at December 31, 2018 was as follows: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w w:val="97"/>
              </w:rPr>
              <w:t>Balances without ASC</w:t>
            </w:r>
          </w:p>
        </w:tc>
        <w:tc>
          <w:tcPr>
            <w:tcW w:w="2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w w:val="94"/>
              </w:rPr>
              <w:t>Impact of Change</w:t>
            </w:r>
          </w:p>
        </w:tc>
      </w:tr>
      <w:tr>
        <w:trPr>
          <w:trHeight w:val="251"/>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As Reported</w:t>
            </w:r>
          </w:p>
        </w:tc>
        <w:tc>
          <w:tcPr>
            <w:tcW w:w="4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Higher/(Lower)</w:t>
            </w:r>
          </w:p>
        </w:tc>
      </w:tr>
      <w:tr>
        <w:trPr>
          <w:trHeight w:val="513"/>
        </w:trPr>
        <w:tc>
          <w:tcPr>
            <w:tcW w:w="5780" w:type="dxa"/>
            <w:vAlign w:val="bottom"/>
          </w:tcPr>
          <w:p>
            <w:pPr>
              <w:spacing w:after="0"/>
              <w:rPr>
                <w:sz w:val="20"/>
                <w:szCs w:val="20"/>
                <w:color w:val="auto"/>
              </w:rPr>
            </w:pPr>
            <w:r>
              <w:rPr>
                <w:rFonts w:ascii="Arial" w:cs="Arial" w:eastAsia="Arial" w:hAnsi="Arial"/>
                <w:sz w:val="18"/>
                <w:szCs w:val="18"/>
                <w:b w:val="1"/>
                <w:bCs w:val="1"/>
                <w:color w:val="auto"/>
              </w:rPr>
              <w:t>Statement of Financial Position:</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78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24,101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10,863</w:t>
            </w: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780" w:type="dxa"/>
            <w:vAlign w:val="bottom"/>
          </w:tcPr>
          <w:p>
            <w:pPr>
              <w:ind w:left="140"/>
              <w:spacing w:after="0"/>
              <w:rPr>
                <w:sz w:val="20"/>
                <w:szCs w:val="20"/>
                <w:color w:val="auto"/>
              </w:rPr>
            </w:pPr>
            <w:r>
              <w:rPr>
                <w:rFonts w:ascii="Arial" w:cs="Arial" w:eastAsia="Arial" w:hAnsi="Arial"/>
                <w:sz w:val="18"/>
                <w:szCs w:val="18"/>
                <w:color w:val="auto"/>
              </w:rPr>
              <w:t>Contract liability</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51,727</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51,727</w:t>
            </w: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7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2,231,417</w:t>
            </w:r>
          </w:p>
        </w:tc>
        <w:tc>
          <w:tcPr>
            <w:tcW w:w="4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2,272,281</w:t>
            </w:r>
          </w:p>
        </w:tc>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(40,864)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adoption on our Statement of Operations for the year ended December 31, 2018 was as follows: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w w:val="96"/>
              </w:rPr>
              <w:t>Balances without ASC</w:t>
            </w:r>
          </w:p>
        </w:tc>
        <w:tc>
          <w:tcPr>
            <w:tcW w:w="20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w w:val="94"/>
              </w:rPr>
              <w:t>Impact of Change</w:t>
            </w:r>
          </w:p>
        </w:tc>
        <w:tc>
          <w:tcPr>
            <w:tcW w:w="0" w:type="dxa"/>
            <w:vAlign w:val="bottom"/>
          </w:tcPr>
          <w:p>
            <w:pPr>
              <w:spacing w:after="0"/>
              <w:rPr>
                <w:sz w:val="1"/>
                <w:szCs w:val="1"/>
                <w:color w:val="auto"/>
              </w:rPr>
            </w:pPr>
          </w:p>
        </w:tc>
      </w:tr>
      <w:tr>
        <w:trPr>
          <w:trHeight w:val="251"/>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As Reported</w:t>
            </w: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606</w:t>
            </w: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Higher/(Lower)</w:t>
            </w:r>
          </w:p>
        </w:tc>
        <w:tc>
          <w:tcPr>
            <w:tcW w:w="0" w:type="dxa"/>
            <w:vAlign w:val="bottom"/>
          </w:tcPr>
          <w:p>
            <w:pPr>
              <w:spacing w:after="0"/>
              <w:rPr>
                <w:sz w:val="1"/>
                <w:szCs w:val="1"/>
                <w:color w:val="auto"/>
              </w:rPr>
            </w:pPr>
          </w:p>
        </w:tc>
      </w:tr>
      <w:tr>
        <w:trPr>
          <w:trHeight w:val="513"/>
        </w:trPr>
        <w:tc>
          <w:tcPr>
            <w:tcW w:w="5780" w:type="dxa"/>
            <w:vAlign w:val="bottom"/>
          </w:tcPr>
          <w:p>
            <w:pPr>
              <w:spacing w:after="0"/>
              <w:rPr>
                <w:sz w:val="20"/>
                <w:szCs w:val="20"/>
                <w:color w:val="auto"/>
              </w:rPr>
            </w:pPr>
            <w:r>
              <w:rPr>
                <w:rFonts w:ascii="Arial" w:cs="Arial" w:eastAsia="Arial" w:hAnsi="Arial"/>
                <w:sz w:val="18"/>
                <w:szCs w:val="18"/>
                <w:b w:val="1"/>
                <w:bCs w:val="1"/>
                <w:color w:val="auto"/>
              </w:rPr>
              <w:t>Statement of Operations:</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0"/>
                <w:szCs w:val="20"/>
                <w:color w:val="auto"/>
              </w:rPr>
            </w:pPr>
            <w:r>
              <w:rPr>
                <w:rFonts w:ascii="Arial" w:cs="Arial" w:eastAsia="Arial" w:hAnsi="Arial"/>
                <w:sz w:val="18"/>
                <w:szCs w:val="18"/>
                <w:color w:val="auto"/>
                <w:w w:val="94"/>
              </w:rPr>
              <w:t>Management fee revenue allocated to policy issuance and renewal services,</w:t>
            </w:r>
          </w:p>
        </w:tc>
        <w:tc>
          <w:tcPr>
            <w:tcW w:w="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gross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1,721,309</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1,778,212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(56,903)</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w w:val="92"/>
              </w:rPr>
              <w:t>Less: change in allowance for management fee returned on cancelled policies</w:t>
            </w:r>
          </w:p>
        </w:tc>
        <w:tc>
          <w:tcPr>
            <w:tcW w:w="3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(1,742)</w:t>
            </w:r>
          </w:p>
        </w:tc>
        <w:tc>
          <w:tcPr>
            <w:tcW w:w="4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780" w:type="dxa"/>
            <w:vAlign w:val="bottom"/>
            <w:vMerge w:val="restart"/>
          </w:tcPr>
          <w:p>
            <w:pPr>
              <w:spacing w:after="0"/>
              <w:rPr>
                <w:sz w:val="20"/>
                <w:szCs w:val="20"/>
                <w:color w:val="auto"/>
              </w:rPr>
            </w:pPr>
            <w:r>
              <w:rPr>
                <w:rFonts w:ascii="Arial" w:cs="Arial" w:eastAsia="Arial" w:hAnsi="Arial"/>
                <w:sz w:val="18"/>
                <w:szCs w:val="18"/>
                <w:color w:val="auto"/>
                <w:w w:val="94"/>
              </w:rPr>
              <w:t>Management fee revenue allocated to policy issuance and renewal services,</w:t>
            </w: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60"/>
              <w:spacing w:after="0"/>
              <w:rPr>
                <w:sz w:val="20"/>
                <w:szCs w:val="20"/>
                <w:color w:val="auto"/>
              </w:rPr>
            </w:pPr>
            <w:r>
              <w:rPr>
                <w:rFonts w:ascii="Arial" w:cs="Arial" w:eastAsia="Arial" w:hAnsi="Arial"/>
                <w:sz w:val="18"/>
                <w:szCs w:val="18"/>
                <w:color w:val="auto"/>
              </w:rPr>
              <w:t>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1,719,567</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1,776,412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(56,845)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5780" w:type="dxa"/>
            <w:vAlign w:val="bottom"/>
          </w:tcPr>
          <w:p>
            <w:pPr>
              <w:spacing w:after="0"/>
              <w:rPr>
                <w:sz w:val="20"/>
                <w:szCs w:val="20"/>
                <w:color w:val="auto"/>
              </w:rPr>
            </w:pPr>
            <w:r>
              <w:rPr>
                <w:rFonts w:ascii="Arial" w:cs="Arial" w:eastAsia="Arial" w:hAnsi="Arial"/>
                <w:sz w:val="18"/>
                <w:szCs w:val="18"/>
                <w:color w:val="auto"/>
              </w:rPr>
              <w:t>Management fee revenue allocated to administrative services, gross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53,694</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53,694</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w w:val="92"/>
              </w:rPr>
              <w:t>Less: change in allowance for management fee returned on cancelled policies</w:t>
            </w:r>
          </w:p>
        </w:tc>
        <w:tc>
          <w:tcPr>
            <w:tcW w:w="3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Management fee revenue allocated to administrative services, net</w:t>
            </w:r>
          </w:p>
        </w:tc>
        <w:tc>
          <w:tcPr>
            <w:tcW w:w="3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53,632</w:t>
            </w:r>
          </w:p>
        </w:tc>
        <w:tc>
          <w:tcPr>
            <w:tcW w:w="4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53,632</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Administrative services reimbursement revenue</w:t>
            </w:r>
          </w:p>
        </w:tc>
        <w:tc>
          <w:tcPr>
            <w:tcW w:w="3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580,336</w:t>
            </w:r>
          </w:p>
        </w:tc>
        <w:tc>
          <w:tcPr>
            <w:tcW w:w="46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580,336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Arial" w:cs="Arial" w:eastAsia="Arial" w:hAnsi="Arial"/>
                <w:sz w:val="18"/>
                <w:szCs w:val="18"/>
                <w:color w:val="auto"/>
              </w:rPr>
              <w:t>Total revenue allocated to administrative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633,968</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633,968</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5780" w:type="dxa"/>
            <w:vAlign w:val="bottom"/>
          </w:tcPr>
          <w:p>
            <w:pPr>
              <w:spacing w:after="0"/>
              <w:rPr>
                <w:sz w:val="20"/>
                <w:szCs w:val="20"/>
                <w:color w:val="auto"/>
              </w:rPr>
            </w:pPr>
            <w:r>
              <w:rPr>
                <w:rFonts w:ascii="Arial" w:cs="Arial" w:eastAsia="Arial" w:hAnsi="Arial"/>
                <w:sz w:val="18"/>
                <w:szCs w:val="18"/>
                <w:color w:val="auto"/>
              </w:rPr>
              <w:t>Administrative services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580,336</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580,336</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2018, the Financial Accounting Standards Board ("FASB") issued Accounting Standards Update ("ASU") 2018-02, </w:t>
      </w:r>
      <w:r>
        <w:rPr>
          <w:rFonts w:ascii="Arial" w:cs="Arial" w:eastAsia="Arial" w:hAnsi="Arial"/>
          <w:sz w:val="18"/>
          <w:szCs w:val="18"/>
          <w:i w:val="1"/>
          <w:iCs w:val="1"/>
          <w:color w:val="auto"/>
        </w:rPr>
        <w:t>"Income Statement-Reporting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Income-Reclassification of Certain Tax Effects from Accumulated Other Comprehensive Income"</w:t>
      </w:r>
      <w:r>
        <w:rPr>
          <w:rFonts w:ascii="Arial" w:cs="Arial" w:eastAsia="Arial" w:hAnsi="Arial"/>
          <w:sz w:val="18"/>
          <w:szCs w:val="18"/>
          <w:color w:val="auto"/>
        </w:rPr>
        <w:t>, which permits entities to reclassify from</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to retained earnings tax effects stranded in accumulated other comprehensive income as a result of tax reform. ASU 2018-02 is effective for all entities for fiscal years beginning after December 15, 2018, including interim periods within those fiscal years. Early adoption is permitted for reporting periods for which financial statements have not yet been issued or made available for issuance. We elected to early adopt this guidance effective December 31, 2017 using a portfolio method, which resulted in a decrease of $26.4 million in accumulated other comprehensive income and a corresponding increase in retained earnings.</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w:t>
      </w:r>
      <w:r>
        <w:rPr>
          <w:rFonts w:ascii="Arial" w:cs="Arial" w:eastAsia="Arial" w:hAnsi="Arial"/>
          <w:sz w:val="17"/>
          <w:szCs w:val="17"/>
          <w:color w:val="auto"/>
        </w:rPr>
        <w:t>. ASU 2016-01 revises the accounting related to the classification and measurement of investments in equity securities and the presentation of certain fair value changes for financial liabilities measured at fair value. ASU 2016-01 is effective for interim and annual reporting periods beginning after December 15, 2017. We adopted this guidance on a prospective basis effective January 1, 2018. The adoption of this guidance resulted in reclassifying unrealized losses, net of tax, on equity securities from accumulated other comprehensive loss to retained earnings, which reduced retained earnings by $0.1 million at January 1, 2018. As of January 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2018, equity securities are presented separately in our Statement of Financial Position. Our disclosures were prepared in accordance with this guidance.</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"Compensation-Retirement Benefits"</w:t>
      </w:r>
      <w:r>
        <w:rPr>
          <w:rFonts w:ascii="Arial" w:cs="Arial" w:eastAsia="Arial" w:hAnsi="Arial"/>
          <w:sz w:val="17"/>
          <w:szCs w:val="17"/>
          <w:color w:val="auto"/>
        </w:rPr>
        <w:t>, which requires the service cost component of net benefit costs to be reported with other compensation costs arising from services rendered by the pertinent employees during the period. The other components of net benefit costs are required to be presented separately from the service cost component and outside of income from operations on a retrospective basis. This amendment also allows only the service cost component to be eligible for capitalization, when applicable, prospectively after the effective date. ASU 2017-07 is effective for interim and annual periods beginning after December 15, 2017. We adopted this guidance effective January 1, 2018 and have included the other components of net benefit costs in "Other income (expense)" in the Statements of Operations and conformed the prior-period presentation. The adoption of this guidance did not have a material impact on the presentation of our financial statements or related disclosures.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w:t>
      </w:r>
      <w:r>
        <w:rPr>
          <w:rFonts w:ascii="Arial" w:cs="Arial" w:eastAsia="Arial" w:hAnsi="Arial"/>
          <w:sz w:val="18"/>
          <w:szCs w:val="18"/>
          <w:color w:val="auto"/>
        </w:rPr>
        <w:t>, which modifies the disclosure requirements for employers that sponsor defined benefit pension or other post retirement plans. ASU 2018-14 is effective for fiscal years ending after December 15, 2020 and should be applied on a retrospective basis to all periods presented. Early adoption is permitted. We implemented this guidance as of December 31, 2018, and presented our disclosures in accordance with the new requirements. The adoption of this guidance did not have a material impact on our disclosures.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is effective for fiscal years beginning after December 15, 2019, including interim periods within those fiscal years. Early adoption is permitted. This guidance both modifies and adds new disclosure requirements primarily related to Level 3 fair value measurements. We implemented this guidance as of December 31, 2018, and presented our disclosures in accordance with the new requirements. The adoption of this guidance did not have a material impact on our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 Internal-Use Software"</w:t>
      </w:r>
      <w:r>
        <w:rPr>
          <w:rFonts w:ascii="Arial" w:cs="Arial" w:eastAsia="Arial" w:hAnsi="Arial"/>
          <w:sz w:val="16"/>
          <w:szCs w:val="16"/>
          <w:color w:val="auto"/>
        </w:rPr>
        <w:t>, which align the requirements for capitalizing implementation costs incurred in a hosting arrangement that is a service contract with the requirements for capitalizing implementation costs incurred to develop or obtain internal-use software. ASU 2018-15 is effective for fiscal years beginning after December 15, 2019 and interim periods within those fiscal years. The amendments under ASU 2018-15 may be applied either retrospectively or prospectively to all implementation costs incurred after the date of adoption. Early adoption is permitted. We are currently evaluating the impact of ASU 2018-15 on our financial statements and disclosures.</w:t>
      </w:r>
    </w:p>
    <w:p>
      <w:pPr>
        <w:spacing w:after="0" w:line="1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which requires financial assets measured at amortized cost to be presented at the net amount expected to be collected through the use of a new forward-looking expected loss model and credit losses relating to available-for-sale debt securities to be recognized through an allowance for credit losses. ASU 2016-13 is effective for interim and annual reporting periods beginning after December 15, 2019. Early adoption for interim and annual periods beginning after December 15, 2018 is permitted. We have evaluated the impact of this guidance on our invested assets. Our investments are not measured at amortized cost, and therefore do not require the use of a new expected loss model. Our available-for-sale debt securities will continue to be monitored for credit losses which would be reflected as an allowance for credit losses rather than a reduction of the carrying value of the asset. Other financial assets subject to this guidance include our receivables from the Exchange and its subsidiaries and agent loans. Given the financial strength of the Exchange, demonstrated by its strong surplus position and industry ratings, it is unlikely these receivables would have significant, if any, credit loss exposure. Accordingly, we do not expect a material impact on our financial statements or related disclosures as a result of this guidance.</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requires lessees to recognize assets and liabilities arising from operating leases on the Statements of Financial Position and to disclose key information about leasing arrangements. Under existing guidance, we recognize our operating lease expense in the Statements of Operations. The new lease guidance is effective for fiscal years beginning after December 15, 2018, including interim periods within those fiscal years. In July 2018, the FASB issued ASU 2018-11, </w:t>
      </w:r>
      <w:r>
        <w:rPr>
          <w:rFonts w:ascii="Arial" w:cs="Arial" w:eastAsia="Arial" w:hAnsi="Arial"/>
          <w:sz w:val="17"/>
          <w:szCs w:val="17"/>
          <w:i w:val="1"/>
          <w:iCs w:val="1"/>
          <w:color w:val="auto"/>
        </w:rPr>
        <w:t>"Leases-Targeted Improvements"</w:t>
      </w:r>
      <w:r>
        <w:rPr>
          <w:rFonts w:ascii="Arial" w:cs="Arial" w:eastAsia="Arial" w:hAnsi="Arial"/>
          <w:sz w:val="17"/>
          <w:szCs w:val="17"/>
          <w:color w:val="auto"/>
        </w:rPr>
        <w:t>, which permits entities to apply the existing lease guidance in comparative periods and recognize any cumulative effect adjustment in the year of adoption. We will apply this optional transition method upon adoption of ASU 2016-02. Leases for which an asset and related liability are recognized include agreements for real estate, computer equipment, vehicles, and copiers. While we will recognize lease assets and liabilities on our Statement of Financial Position at adoption date, there will not be a material cumulative effect adjustment. New disclosures are required with the adoption of this guidance. There will not be a material impact to our results of operations or cash flows in 2019.</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Cash, money market accounts and other short-term, highly liquid investments with a maturity of three months or less at the date of purchase, are considered cash and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Available-for-sale securities </w:t>
      </w:r>
      <w:r>
        <w:rPr>
          <w:rFonts w:ascii="Arial" w:cs="Arial" w:eastAsia="Arial" w:hAnsi="Arial"/>
          <w:sz w:val="17"/>
          <w:szCs w:val="17"/>
          <w:color w:val="auto"/>
        </w:rPr>
        <w:t>– Fixed maturity, preferred stock, and common stock securities, prior to the adoption of ASU 2016-01 on January 1, 2018, are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classified as available-for-sale and reported at fair value. Common stock securities classified as available-for-sale represent certain exchange traded funds with underlying holdings of fixed maturity securities. Unrealized holding gains and losses, net of related tax effects, on available-for-sale securities are recorded directly to shareholders' equity as accumulated other comprehensive income (loss). As discussed in the recently adopted accounting standards, we prospectively adopted ASU 2016-01 as of January 1, 2018. Subsequently, changes in the fair value of equity securities formerly classified as available-for-sale, which include preferred and common stock securities, are recognized in earnings rather than in other comprehensive income (loss). Additionally, equity securities are presented separately in the Statement of Financial Position.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Available-for-sale securities with a remaining maturity of 12 months or less are reported as current assets on the Statements of Financial Position. Realized gains and losses on sales of available-for-sale securities are recognized in income based upon the specific identification method. Interest and dividend income are recognized as earned and recorded to net investment income.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Available-for-sale securities are evaluated monthly for other-than-temporary impairment loss. For fixed maturity securities that have experienced a decline in fair value and that we intend to sell, or for which it is more likely than not we will be required to sell the security before recovery of its amortized cost, an other-than-temporary impairment is deemed to have occurred, and is recognized in earnings. Fixed maturity securities that have experienced a decline in fair value and that we do not intend to sell, and that we will not be required to sell before recovery, are evaluated to determine if the decline in fair value is other-than-temporary.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Some factors considered in this evaluation include:</w:t>
      </w:r>
    </w:p>
    <w:p>
      <w:pPr>
        <w:spacing w:after="0" w:line="2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and duration to which fair value is less than cost;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historical operating performance and financial condition of the issuer;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 and long-term prospects of the issuer and its industry based upon analysts' recommendations;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specific events that occurred affecting the issuer, including a ratings downgrade;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near term liquidity position of the issuer;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financial covenants.</w:t>
      </w:r>
    </w:p>
    <w:p>
      <w:pPr>
        <w:spacing w:after="0" w:line="21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If a decline is deemed to be other-than-temporary, an assessment is made to determine the amount of the total impairment related to a credit loss and that related to all other factors. Consideration is given to all available information relevant to the collectability of the security in this determination. If the entire amortized cost basis of the security will not be recovered, a credit loss exists. Currently, we have the intent to sell all of our securities that have been determined to have a credit-related impairment. As a result, the entire amount of any impairment is recognized in earnings. If we had securities with credit impairments that we did not intend to sell, the non-credit portion of the impairment would be recorded in other comprehensive income.</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Limited partnerships </w:t>
      </w:r>
      <w:r>
        <w:rPr>
          <w:rFonts w:ascii="Arial" w:cs="Arial" w:eastAsia="Arial" w:hAnsi="Arial"/>
          <w:sz w:val="17"/>
          <w:szCs w:val="17"/>
          <w:color w:val="auto"/>
        </w:rPr>
        <w:t>– Limited partnerships include U.S. and foreign private equity, mezzanine debt, and real estate investments. The majority of our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holdings are considered investment companies and are recorded using the equity method of accounting. For these limited partnerships the general partners record assets at fair value, including any other-than-temporary impairments of these individual investments. Our ownership interest in partnerships accounted for under the equity method is generally less than 10%, and does not provide us the ability to significantly influence the operations of the partnerships. However, we believe the equity method most appropriately reflects the value of our economic interest in these investments. We also own one real estate limited partnership that does not meet the criteria of an investment company. This partnership prepares audited financial statements on a cost basis. We have elected to report this limited partnership under the fair value option, which is based on the net asset value (NAV) from our partner's capital statement reflecting the general partner's estimate of fair value for the fund's underlying assets. Fair value provides consistency in the evaluation and financial reporting for this limited partnership and limited partnerships accounted for under the equity method. Limited partnerships reported under the fair value option are disclosed in Note 5, "Fair Value" as other limited partnership investments.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the timing of the preparation and delivery of financial statements for limited partnership investments, the use of the most recently available financial statements provided by the general partners results in a quarter delay in the inclusion of the limited partnership results in our Statements of Operations. Due to this delay, these financial statements do not yet reflect the market conditions experienced in the fourth quarter of 2018 for all partnerships other than the real estate limited partnership that is reported under the fair value option.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2" w:right="27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Nearly all of the underlying investments in our limited partnerships are valued using a source other than quoted prices in active markets. The fair value amounts for our private equity and mezzanine debt partnerships are based upon the financial statements of the general partners, who use multiple methods to estimate fair value including the market approach, income approach or the cost approach. The market approach uses prices and other pertinent information from market-generated transactions involving identical or comparable assets or liabilities. Such valuation techniques often use market multiples derived from a set of comparables. The income approach uses valuation techniques to convert future cash flows or earnings to a single discounted present value amount. The measurement is based upon the value indicated by current market expectations on those future amounts. The cost approach is derived from the amount that is currently required to replace the service capacity of an asset. If information becomes available that would impair the cost of investments owned by the partnerships, then the general partner would adjust to the net realizable value. For real estate limited partnerships, the general partners record these at fair value based upon an independent appraisal or internal estimates of fair value.</w:t>
      </w:r>
    </w:p>
    <w:p>
      <w:pPr>
        <w:spacing w:after="0" w:line="18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While we perform various procedures in review of the general partners' valuations, we rely on the general partners' financial statements as the best available information to record our share of the partnership unrealized gains and losses resulting from valuation changes. Due to the limited market for these investments, there is a greater potential for market price variability.</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Unrealized gains and losses for these investments are reflected in equity in (losses) earnings of limited partnerships in our Statements of Operations in accordance with the equity method of accounting or the fair value option, as applicable. Cash contributions made to and distributions received from the partnerships are recorded in the period in which the transaction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taxes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Deferred tax assets and liabilities are recorded for temporary differences between the tax basis of assets and liabilities and the reported amounts in the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The need for valuation allowances on deferred tax assets are estimated based upon our assessment of the realizability of such amounts.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assets</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Fixed assets are stated at cost less accumulated depreciation and amortization. Fixed assets are primarily comprised of software, which includes internally used capitalized software and development costs, as well as equipment, buildings and building improvements, and leasehold improvements. Assets in use are depreciated using the straight-line method over the estimated useful life except for leasehold improvements, which are depreciated over the shorter of their economic useful life or the lease term. Software is depreciated over periods ranging from 3-7 years, equipment is depreciated over 3-10 years, and buildings and building improvements are depreciated over 20-45 years. We review long-lived assets for impairment whenever events or changes indicate that the carrying value may not be recoverable. Under these circumstances, if the fair value were less than the carrying amount of the asset, we would recognize a loss for the difference. We capitalize applicable interest charges incurred during the construction period of significant long-term building projects as part of the historical cost of the asset.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assets include agent loans and other long-term assets. Agent loans are carried at unpaid principal balance with interest recorded in investment income as earned. It is our policy to charge the loans that are in default directly to expense. We do not record an allowance for credit losses on these loans, as the majority of the loans are senior secured and historically have had insignificant default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bonus estimates</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Agent bonuses are based upon an individual agency's property and casualty underwriting profitability and also include a component for growth in agency property and casualty premiums if the agency's underwriting profitability targets for the book of business are met. The estimate for agent bonuses, which are based upon the performance over 36 months, is modeled on a monthly basis using actual underwriting results for the two prior years and current year-to-date actual results and forecasted results for the remainder of the year.</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of each year, we use actual data available and record an accrual based upon the expected payment amount. These costs are included in "Cost of operations - policy issuance and renewal services" in the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management fee revenue</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earn management fees from the Exchange under the subscriber’s agreement for services provided. Pursuant to the subscriber’s agreement, we may retain up to 25% of all direct and assumed premiums written by the Exchange.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management fee rate is set at least annually by our Board of Directors. The management fee revenue is calculated by multiplying the management fee rate by the direct and assumed premiums written by the Exchange. Upon adoption of ASC 606 beginning January 1, 2018, we determined we have two performance obligations under the subscriber’s agreement. The first performance obligation is to provide policy issuance and renewal services. The second performance obligation is acting as the attorney-in-fact with respect to the administrative services. Beginning January 1, 2018, our management fee revenue is allocated to these two performance obligations. Prior to the adoption of ASC 606, the entire management fee was allocated to the policy issuance and renewal services.</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Management fee revenue allocated to the policy issuance and renewal services is recognized at the time of policy issuance or renewal, because it is at the time of policy issuance or renewal when the economic benefit of the service we provide (the substantially completed policy issuance or renewal service) and the control of the promised asset (the executed insurance policy) transfers to the customer.</w:t>
      </w:r>
    </w:p>
    <w:p>
      <w:pPr>
        <w:spacing w:after="0" w:line="18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Management fee revenue allocated to the second performance obligation relates to us acting as the attorney-in-fact on behalf of the Exchange, as well as the service provider for its insurance subsidiaries, with respect to the administrative services and is recognized over a four-year period representing the time over which the economic benefit of the services provided (i.e. management of the administrative services) transfers to the customer.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services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By virtue of its legal structure as a reciprocal insurer, the Exchange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Common overhead expenses and certain service department costs incurred by us on behalf of the Exchange and its insurance subsidiaries are reimbursed by the proper entity based upon appropriate utilization statistics (employee count, square footage, vehicle count, project hours, etc.) specifically measured to accomplish proportional allocations, which we believe are reasonable. Prior to the adoption of ASC 606, we recorded the reimbursements we receive for the administrative services expenses as receivables from the Exchange and its subsidiaries with a corresponding reduction to our expenses. Total cash settlements for the Exchange and its subsidiaries were $522.3 million and $496.1 million in 2017 and 2016, respectively. Upon adoption of ASC 606 on January 1, 2018, the expenses we incur and related reimbursements we receive for administrative services are presented gross in our Statement of Operations. Reimbursements are settled on a monthly basis. The amounts incurred for these services are reimbursed to Indemnity at cost in accordance with the subscriber's agreement and the service agreements. State insurance regulations require that intercompany service agreements and any material amendments be approved in advance by the state insurance department.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Recognition of service agreement revenue</w:t>
      </w:r>
    </w:p>
    <w:p>
      <w:pPr>
        <w:spacing w:after="0" w:line="2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Service agreement revenue consists of service charges we collect from policyholders for providing multiple payment plans on policies written by the Exchange. Service charges, which are flat dollar charges for each installment billed beyond the first installment, are recognized as revenue when bills are rendered to the policyholder. Service agreement revenue also includes late payment and policy reinstatement fees, which are also recognized as revenue when bills are rendered to the policyholder.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Certain amounts previously reported in the 2017 and 2016 financial statements have been reclassified for comparative purposes to conform to the current period’s presentation. One of the reclassifications resulted from new accounting guidance and only affected the Statements of Operations. Most notably, "Commissions", "Salaries and employee benefits", and "All other operating expenses" have been combined within "Cost of operations - policy issuance and renewal services" in the Statements of Operations (see Note 3, "Revenue"). This reclassification had no effect on previously reported net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majority of our revenue is derived from the subscriber’s agreement between us and the subscribers (policyholders) at the Exchange. Pursuant to the subscriber’s agreement, we earn a management fee calculated as a percentage, not to exceed 25%, of all direct and assumed written premiums of the Exchange. We account for management fee revenue earned under the subscriber’s agreement in accordance with ASC 606, which we adopted on January 1, 2018, using the modified retrospective method. See Note 2, "Significant Accounting Policies" for further discussion of the adoption, including the impact on our financial statements.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allocate a portion of our management fee revenue, currently 25% of the direct and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Exchange, as well as the service provider for its insurance subsidiaries, with respect to all administrative services. The transaction price, including management fee revenue and administrative service reimbursement revenue, is allocated based on the estimated standalone selling prices developed using industry information and other available information for similar services.</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first performance obligation is to provide policy issuance and renewal services that result in executed insurance policies between the Exchange or one of its insurance subsidiaries and the subscriber (policyholder). Our customer,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Exchange, by virtue of its legal structure as a reciprocal insurer, does not have any employees or officers. Therefore, it enters into contractual relationships by and through an attorney-in-fact. Indemnity serves as the attorney-in-fact on behalf of the Exchange with respect to its administrative services in accordance with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time as these services are provided. The portion of revenue not yet earned is recorded as a contract liability in the Statement of Financial Position. We recorded a contract liability of $48.5 million at January 1, 2018, upon adoption of ASC 606. The gross management fee revenue recognized as earned for these services for the year ended December 31, 2018 was $53.7 million. Beginning with the adoption of ASC 606 on January 1, 2018, the administrative services expenses we incur and the related reimbursements we receive are recorded gross in the Statement of Operations.</w:t>
      </w:r>
    </w:p>
    <w:p>
      <w:pPr>
        <w:spacing w:after="0" w:line="1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Indemnity records a receivable from the Exchange for management fee revenue when the premium is written or assumed by the Exchange. Indemnity collects the management fee from the Exchange when the Exchange collects the premiums from the subscribers (policyholders). As the Exchange issues policies with annual terms only, cash collections generally occur within one year.</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 constraining estimate exists around the management fee received as consideration related to the potential for management fee to be returned if a policy were to be cancelled mid-term. Management fees are returned to the Exchange when policyholders cancel their insurance coverage mid-term and unearned premiums are refunded to them. We maintain an estimated allowance to reduce the management fee to its estimated net realizable value to account for the potential of mid-term policy cancellations based on historical cancellation rates. This estimated allowance has been allocated between the two performance obligations consistent with the revenue allocation proportions.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by our two performance obligations for the years ended December 31: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5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w w:val="94"/>
              </w:rPr>
              <w:t>Management fee revenue - policy issuance and renewal services, net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1,719,567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1,662,625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1,567,431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Management fee revenue - administrative services, net</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53,632</w:t>
            </w:r>
          </w:p>
        </w:tc>
        <w:tc>
          <w:tcPr>
            <w:tcW w:w="4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8"/>
                <w:szCs w:val="18"/>
                <w:color w:val="auto"/>
              </w:rPr>
              <w:t>Administrative services reimbursement revenue</w:t>
            </w: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580,336</w:t>
            </w:r>
          </w:p>
        </w:tc>
        <w:tc>
          <w:tcPr>
            <w:tcW w:w="4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140"/>
              <w:spacing w:after="0"/>
              <w:rPr>
                <w:sz w:val="20"/>
                <w:szCs w:val="20"/>
                <w:color w:val="auto"/>
              </w:rPr>
            </w:pPr>
            <w:r>
              <w:rPr>
                <w:rFonts w:ascii="Arial" w:cs="Arial" w:eastAsia="Arial" w:hAnsi="Arial"/>
                <w:sz w:val="18"/>
                <w:szCs w:val="18"/>
                <w:color w:val="auto"/>
              </w:rPr>
              <w:t>Total administrative services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633,968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52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12, "Capital Stock".</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 See Note 10, "Incentive and Deferred Compensation Plans".</w:t>
      </w:r>
    </w:p>
    <w:p>
      <w:pPr>
        <w:spacing w:after="0" w:line="181"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At December 31, 2017, we recorded a one-time net non-cash tax expense of $10.1 million as a result of the enactment of the Tax Cuts and Jobs Act ("TCJA") on December 22, 2017. See Note 11, "Income Taxes". This resulted in a reduction in Class A basic earnings per share of $0.22 and diluted earnings per share of $0.19, and a reduction in Class B basic earnings per share of $33 and diluted earnings per share of $32.</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common stock:</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 except</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20"/>
                <w:szCs w:val="20"/>
                <w:color w:val="auto"/>
              </w:rPr>
            </w:pPr>
            <w:r>
              <w:rPr>
                <w:rFonts w:ascii="Arial" w:cs="Arial" w:eastAsia="Arial" w:hAnsi="Arial"/>
                <w:sz w:val="14"/>
                <w:szCs w:val="14"/>
                <w:i w:val="1"/>
                <w:iCs w:val="1"/>
                <w:color w:val="auto"/>
              </w:rPr>
              <w:t>per share data)</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5"/>
          </w:tcPr>
          <w:p>
            <w:pPr>
              <w:ind w:left="440"/>
              <w:spacing w:after="0"/>
              <w:rPr>
                <w:sz w:val="20"/>
                <w:szCs w:val="20"/>
                <w:color w:val="auto"/>
              </w:rPr>
            </w:pPr>
            <w:r>
              <w:rPr>
                <w:rFonts w:ascii="Arial" w:cs="Arial" w:eastAsia="Arial" w:hAnsi="Arial"/>
                <w:sz w:val="14"/>
                <w:szCs w:val="14"/>
                <w:color w:val="auto"/>
              </w:rPr>
              <w:t>For the years ended December 31,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jc w:val="right"/>
              <w:ind w:right="54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jc w:val="right"/>
              <w:ind w:right="548"/>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08"/>
              <w:spacing w:after="0" w:line="151" w:lineRule="exact"/>
              <w:rPr>
                <w:sz w:val="20"/>
                <w:szCs w:val="20"/>
                <w:color w:val="auto"/>
              </w:rPr>
            </w:pPr>
            <w:r>
              <w:rPr>
                <w:rFonts w:ascii="Arial" w:cs="Arial" w:eastAsia="Arial" w:hAnsi="Arial"/>
                <w:sz w:val="14"/>
                <w:szCs w:val="14"/>
                <w:color w:val="auto"/>
                <w:w w:val="96"/>
              </w:rPr>
              <w:t>Allocated net</w:t>
            </w:r>
          </w:p>
        </w:tc>
        <w:tc>
          <w:tcPr>
            <w:tcW w:w="1240" w:type="dxa"/>
            <w:vAlign w:val="bottom"/>
          </w:tcPr>
          <w:p>
            <w:pPr>
              <w:jc w:val="right"/>
              <w:ind w:right="48"/>
              <w:spacing w:after="0" w:line="151" w:lineRule="exact"/>
              <w:rPr>
                <w:sz w:val="20"/>
                <w:szCs w:val="20"/>
                <w:color w:val="auto"/>
              </w:rPr>
            </w:pPr>
            <w:r>
              <w:rPr>
                <w:rFonts w:ascii="Arial" w:cs="Arial" w:eastAsia="Arial" w:hAnsi="Arial"/>
                <w:sz w:val="14"/>
                <w:szCs w:val="14"/>
                <w:color w:val="auto"/>
              </w:rPr>
              <w:t>Weighted shares</w:t>
            </w:r>
          </w:p>
        </w:tc>
        <w:tc>
          <w:tcPr>
            <w:tcW w:w="920" w:type="dxa"/>
            <w:vAlign w:val="bottom"/>
            <w:gridSpan w:val="3"/>
          </w:tcPr>
          <w:p>
            <w:pPr>
              <w:jc w:val="center"/>
              <w:ind w:right="20"/>
              <w:spacing w:after="0" w:line="151" w:lineRule="exact"/>
              <w:rPr>
                <w:sz w:val="20"/>
                <w:szCs w:val="20"/>
                <w:color w:val="auto"/>
              </w:rPr>
            </w:pPr>
            <w:r>
              <w:rPr>
                <w:rFonts w:ascii="Arial" w:cs="Arial" w:eastAsia="Arial" w:hAnsi="Arial"/>
                <w:sz w:val="14"/>
                <w:szCs w:val="14"/>
                <w:color w:val="auto"/>
                <w:w w:val="88"/>
              </w:rPr>
              <w:t>Per- share</w:t>
            </w:r>
          </w:p>
        </w:tc>
        <w:tc>
          <w:tcPr>
            <w:tcW w:w="120" w:type="dxa"/>
            <w:vAlign w:val="bottom"/>
          </w:tcPr>
          <w:p>
            <w:pPr>
              <w:spacing w:after="0"/>
              <w:rPr>
                <w:sz w:val="13"/>
                <w:szCs w:val="13"/>
                <w:color w:val="auto"/>
              </w:rPr>
            </w:pPr>
          </w:p>
        </w:tc>
        <w:tc>
          <w:tcPr>
            <w:tcW w:w="960" w:type="dxa"/>
            <w:vAlign w:val="bottom"/>
          </w:tcPr>
          <w:p>
            <w:pPr>
              <w:jc w:val="center"/>
              <w:ind w:right="88"/>
              <w:spacing w:after="0" w:line="151" w:lineRule="exact"/>
              <w:rPr>
                <w:sz w:val="20"/>
                <w:szCs w:val="20"/>
                <w:color w:val="auto"/>
              </w:rPr>
            </w:pPr>
            <w:r>
              <w:rPr>
                <w:rFonts w:ascii="Arial" w:cs="Arial" w:eastAsia="Arial" w:hAnsi="Arial"/>
                <w:sz w:val="14"/>
                <w:szCs w:val="14"/>
                <w:color w:val="auto"/>
                <w:w w:val="93"/>
              </w:rPr>
              <w:t>Allocated net</w:t>
            </w:r>
          </w:p>
        </w:tc>
        <w:tc>
          <w:tcPr>
            <w:tcW w:w="1220" w:type="dxa"/>
            <w:vAlign w:val="bottom"/>
          </w:tcPr>
          <w:p>
            <w:pPr>
              <w:jc w:val="right"/>
              <w:ind w:right="48"/>
              <w:spacing w:after="0" w:line="151" w:lineRule="exact"/>
              <w:rPr>
                <w:sz w:val="20"/>
                <w:szCs w:val="20"/>
                <w:color w:val="auto"/>
              </w:rPr>
            </w:pPr>
            <w:r>
              <w:rPr>
                <w:rFonts w:ascii="Arial" w:cs="Arial" w:eastAsia="Arial" w:hAnsi="Arial"/>
                <w:sz w:val="14"/>
                <w:szCs w:val="14"/>
                <w:color w:val="auto"/>
              </w:rPr>
              <w:t>Weighted shares</w:t>
            </w:r>
          </w:p>
        </w:tc>
        <w:tc>
          <w:tcPr>
            <w:tcW w:w="860" w:type="dxa"/>
            <w:vAlign w:val="bottom"/>
            <w:gridSpan w:val="3"/>
          </w:tcPr>
          <w:p>
            <w:pPr>
              <w:ind w:left="120"/>
              <w:spacing w:after="0" w:line="151" w:lineRule="exact"/>
              <w:rPr>
                <w:sz w:val="20"/>
                <w:szCs w:val="20"/>
                <w:color w:val="auto"/>
              </w:rPr>
            </w:pPr>
            <w:r>
              <w:rPr>
                <w:rFonts w:ascii="Arial" w:cs="Arial" w:eastAsia="Arial" w:hAnsi="Arial"/>
                <w:sz w:val="14"/>
                <w:szCs w:val="14"/>
                <w:color w:val="auto"/>
              </w:rPr>
              <w:t>Per- share</w:t>
            </w:r>
          </w:p>
        </w:tc>
        <w:tc>
          <w:tcPr>
            <w:tcW w:w="100" w:type="dxa"/>
            <w:vAlign w:val="bottom"/>
          </w:tcPr>
          <w:p>
            <w:pPr>
              <w:spacing w:after="0"/>
              <w:rPr>
                <w:sz w:val="13"/>
                <w:szCs w:val="13"/>
                <w:color w:val="auto"/>
              </w:rPr>
            </w:pPr>
          </w:p>
        </w:tc>
        <w:tc>
          <w:tcPr>
            <w:tcW w:w="960" w:type="dxa"/>
            <w:vAlign w:val="bottom"/>
          </w:tcPr>
          <w:p>
            <w:pPr>
              <w:jc w:val="center"/>
              <w:ind w:right="88"/>
              <w:spacing w:after="0" w:line="151" w:lineRule="exact"/>
              <w:rPr>
                <w:sz w:val="20"/>
                <w:szCs w:val="20"/>
                <w:color w:val="auto"/>
              </w:rPr>
            </w:pPr>
            <w:r>
              <w:rPr>
                <w:rFonts w:ascii="Arial" w:cs="Arial" w:eastAsia="Arial" w:hAnsi="Arial"/>
                <w:sz w:val="14"/>
                <w:szCs w:val="14"/>
                <w:color w:val="auto"/>
                <w:w w:val="93"/>
              </w:rPr>
              <w:t>Allocated net</w:t>
            </w:r>
          </w:p>
        </w:tc>
        <w:tc>
          <w:tcPr>
            <w:tcW w:w="1200" w:type="dxa"/>
            <w:vAlign w:val="bottom"/>
          </w:tcPr>
          <w:p>
            <w:pPr>
              <w:jc w:val="right"/>
              <w:ind w:right="28"/>
              <w:spacing w:after="0" w:line="151" w:lineRule="exact"/>
              <w:rPr>
                <w:sz w:val="20"/>
                <w:szCs w:val="20"/>
                <w:color w:val="auto"/>
              </w:rPr>
            </w:pPr>
            <w:r>
              <w:rPr>
                <w:rFonts w:ascii="Arial" w:cs="Arial" w:eastAsia="Arial" w:hAnsi="Arial"/>
                <w:sz w:val="14"/>
                <w:szCs w:val="14"/>
                <w:color w:val="auto"/>
              </w:rPr>
              <w:t>Weighted shares</w:t>
            </w:r>
          </w:p>
        </w:tc>
        <w:tc>
          <w:tcPr>
            <w:tcW w:w="760" w:type="dxa"/>
            <w:vAlign w:val="bottom"/>
            <w:gridSpan w:val="2"/>
          </w:tcPr>
          <w:p>
            <w:pPr>
              <w:ind w:left="140"/>
              <w:spacing w:after="0" w:line="151" w:lineRule="exact"/>
              <w:rPr>
                <w:sz w:val="20"/>
                <w:szCs w:val="20"/>
                <w:color w:val="auto"/>
              </w:rPr>
            </w:pPr>
            <w:r>
              <w:rPr>
                <w:rFonts w:ascii="Arial" w:cs="Arial" w:eastAsia="Arial" w:hAnsi="Arial"/>
                <w:sz w:val="14"/>
                <w:szCs w:val="14"/>
                <w:color w:val="auto"/>
                <w:w w:val="91"/>
              </w:rPr>
              <w:t>Per- share</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2"/>
              </w:rPr>
              <w:t>income</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(denominator)</w:t>
            </w:r>
          </w:p>
        </w:tc>
        <w:tc>
          <w:tcPr>
            <w:tcW w:w="22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amount</w:t>
            </w:r>
          </w:p>
        </w:tc>
        <w:tc>
          <w:tcPr>
            <w:tcW w:w="12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income</w:t>
            </w:r>
          </w:p>
        </w:tc>
        <w:tc>
          <w:tcPr>
            <w:tcW w:w="12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7"/>
              </w:rPr>
              <w:t>income</w:t>
            </w:r>
          </w:p>
        </w:tc>
        <w:tc>
          <w:tcPr>
            <w:tcW w:w="12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(denominator)</w:t>
            </w:r>
          </w:p>
        </w:tc>
        <w:tc>
          <w:tcPr>
            <w:tcW w:w="200" w:type="dxa"/>
            <w:vAlign w:val="bottom"/>
          </w:tcPr>
          <w:p>
            <w:pPr>
              <w:spacing w:after="0"/>
              <w:rPr>
                <w:sz w:val="12"/>
                <w:szCs w:val="12"/>
                <w:color w:val="auto"/>
              </w:rPr>
            </w:pPr>
          </w:p>
        </w:tc>
        <w:tc>
          <w:tcPr>
            <w:tcW w:w="560" w:type="dxa"/>
            <w:vAlign w:val="bottom"/>
          </w:tcPr>
          <w:p>
            <w:pPr>
              <w:jc w:val="right"/>
              <w:ind w:right="48"/>
              <w:spacing w:after="0" w:line="149" w:lineRule="exact"/>
              <w:rPr>
                <w:sz w:val="20"/>
                <w:szCs w:val="20"/>
                <w:color w:val="auto"/>
              </w:rPr>
            </w:pPr>
            <w:r>
              <w:rPr>
                <w:rFonts w:ascii="Arial" w:cs="Arial" w:eastAsia="Arial" w:hAnsi="Arial"/>
                <w:sz w:val="14"/>
                <w:szCs w:val="14"/>
                <w:color w:val="auto"/>
                <w:w w:val="89"/>
              </w:rPr>
              <w:t>amount</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5"/>
              </w:rPr>
              <w:t>(numerator)</w:t>
            </w: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(numerator)</w:t>
            </w:r>
          </w:p>
        </w:tc>
        <w:tc>
          <w:tcPr>
            <w:tcW w:w="1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2"/>
              </w:rPr>
              <w:t>(numerator)</w:t>
            </w: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Class A – Basic EPS: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0"/>
                <w:szCs w:val="20"/>
                <w:color w:val="auto"/>
              </w:rPr>
            </w:pPr>
            <w:r>
              <w:rPr>
                <w:rFonts w:ascii="Arial" w:cs="Arial" w:eastAsia="Arial" w:hAnsi="Arial"/>
                <w:sz w:val="14"/>
                <w:szCs w:val="14"/>
                <w:color w:val="auto"/>
                <w:w w:val="96"/>
              </w:rPr>
              <w:t>Income available to</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Class A</w:t>
            </w: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285,864</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46,188,637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195,386</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46,186,831</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208,644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46,188,952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3"/>
        </w:trPr>
        <w:tc>
          <w:tcPr>
            <w:tcW w:w="1920" w:type="dxa"/>
            <w:vAlign w:val="bottom"/>
            <w:gridSpan w:val="2"/>
          </w:tcPr>
          <w:p>
            <w:pPr>
              <w:spacing w:after="0" w:line="143" w:lineRule="exact"/>
              <w:rPr>
                <w:sz w:val="20"/>
                <w:szCs w:val="20"/>
                <w:color w:val="auto"/>
              </w:rPr>
            </w:pPr>
            <w:r>
              <w:rPr>
                <w:rFonts w:ascii="Arial" w:cs="Arial" w:eastAsia="Arial" w:hAnsi="Arial"/>
                <w:sz w:val="14"/>
                <w:szCs w:val="14"/>
                <w:color w:val="auto"/>
              </w:rPr>
              <w:t>Dilutive effect of stock-based</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160"/>
              <w:spacing w:after="0"/>
              <w:rPr>
                <w:sz w:val="20"/>
                <w:szCs w:val="20"/>
                <w:color w:val="auto"/>
              </w:rPr>
            </w:pPr>
            <w:r>
              <w:rPr>
                <w:rFonts w:ascii="Arial" w:cs="Arial" w:eastAsia="Arial" w:hAnsi="Arial"/>
                <w:sz w:val="14"/>
                <w:szCs w:val="14"/>
                <w:color w:val="auto"/>
              </w:rPr>
              <w:t>awards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25,776</w:t>
            </w:r>
          </w:p>
        </w:tc>
        <w:tc>
          <w:tcPr>
            <w:tcW w:w="2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49,832</w:t>
            </w:r>
          </w:p>
        </w:tc>
        <w:tc>
          <w:tcPr>
            <w:tcW w:w="2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145,551</w:t>
            </w:r>
          </w:p>
        </w:tc>
        <w:tc>
          <w:tcPr>
            <w:tcW w:w="2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20" w:type="dxa"/>
            <w:vAlign w:val="bottom"/>
            <w:gridSpan w:val="2"/>
          </w:tcPr>
          <w:p>
            <w:pPr>
              <w:spacing w:after="0" w:line="143" w:lineRule="exact"/>
              <w:rPr>
                <w:sz w:val="20"/>
                <w:szCs w:val="20"/>
                <w:color w:val="auto"/>
              </w:rPr>
            </w:pPr>
            <w:r>
              <w:rPr>
                <w:rFonts w:ascii="Arial" w:cs="Arial" w:eastAsia="Arial" w:hAnsi="Arial"/>
                <w:sz w:val="14"/>
                <w:szCs w:val="14"/>
                <w:color w:val="auto"/>
              </w:rPr>
              <w:t>Assumed conversion of Class</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160"/>
              <w:spacing w:after="0"/>
              <w:rPr>
                <w:sz w:val="20"/>
                <w:szCs w:val="20"/>
                <w:color w:val="auto"/>
              </w:rPr>
            </w:pPr>
            <w:r>
              <w:rPr>
                <w:rFonts w:ascii="Arial" w:cs="Arial" w:eastAsia="Arial" w:hAnsi="Arial"/>
                <w:sz w:val="14"/>
                <w:szCs w:val="14"/>
                <w:color w:val="auto"/>
              </w:rPr>
              <w:t>B shares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2,360</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6,100,800</w:t>
            </w:r>
          </w:p>
        </w:tc>
        <w:tc>
          <w:tcPr>
            <w:tcW w:w="2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1,613</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6,100,800</w:t>
            </w:r>
          </w:p>
        </w:tc>
        <w:tc>
          <w:tcPr>
            <w:tcW w:w="20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1,722</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6,100,800</w:t>
            </w:r>
          </w:p>
        </w:tc>
        <w:tc>
          <w:tcPr>
            <w:tcW w:w="20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Class A – Diluted EPS: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40" w:type="dxa"/>
            <w:vAlign w:val="bottom"/>
            <w:gridSpan w:val="3"/>
          </w:tcPr>
          <w:p>
            <w:pPr>
              <w:spacing w:after="0"/>
              <w:rPr>
                <w:sz w:val="20"/>
                <w:szCs w:val="20"/>
                <w:color w:val="auto"/>
              </w:rPr>
            </w:pPr>
            <w:r>
              <w:rPr>
                <w:rFonts w:ascii="Arial" w:cs="Arial" w:eastAsia="Arial" w:hAnsi="Arial"/>
                <w:sz w:val="14"/>
                <w:szCs w:val="14"/>
                <w:color w:val="auto"/>
              </w:rPr>
              <w:t>Income available to Class A</w:t>
            </w:r>
          </w:p>
        </w:tc>
        <w:tc>
          <w:tcPr>
            <w:tcW w:w="10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40" w:type="dxa"/>
            <w:vAlign w:val="bottom"/>
            <w:gridSpan w:val="3"/>
          </w:tcPr>
          <w:p>
            <w:pPr>
              <w:ind w:left="160"/>
              <w:spacing w:after="0" w:line="141" w:lineRule="exact"/>
              <w:rPr>
                <w:sz w:val="20"/>
                <w:szCs w:val="20"/>
                <w:color w:val="auto"/>
              </w:rPr>
            </w:pPr>
            <w:r>
              <w:rPr>
                <w:rFonts w:ascii="Arial" w:cs="Arial" w:eastAsia="Arial" w:hAnsi="Arial"/>
                <w:sz w:val="14"/>
                <w:szCs w:val="14"/>
                <w:color w:val="auto"/>
              </w:rPr>
              <w:t>stockholders on Class A</w:t>
            </w: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160"/>
              <w:spacing w:after="0"/>
              <w:rPr>
                <w:sz w:val="20"/>
                <w:szCs w:val="20"/>
                <w:color w:val="auto"/>
              </w:rPr>
            </w:pPr>
            <w:r>
              <w:rPr>
                <w:rFonts w:ascii="Arial" w:cs="Arial" w:eastAsia="Arial" w:hAnsi="Arial"/>
                <w:sz w:val="14"/>
                <w:szCs w:val="14"/>
                <w:color w:val="auto"/>
                <w:w w:val="91"/>
              </w:rPr>
              <w:t>equivalent shares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288,224</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52,315,213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196,999</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52,337,463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210,366</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52,435,303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Basic EPS: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spacing w:after="0"/>
              <w:rPr>
                <w:sz w:val="20"/>
                <w:szCs w:val="20"/>
                <w:color w:val="auto"/>
              </w:rPr>
            </w:pPr>
            <w:r>
              <w:rPr>
                <w:rFonts w:ascii="Arial" w:cs="Arial" w:eastAsia="Arial" w:hAnsi="Arial"/>
                <w:sz w:val="14"/>
                <w:szCs w:val="14"/>
                <w:color w:val="auto"/>
              </w:rPr>
              <w:t>Income available to Class B</w:t>
            </w: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2,360</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1,613</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1,722</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 Diluted EPS: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40" w:type="dxa"/>
            <w:vAlign w:val="bottom"/>
            <w:gridSpan w:val="3"/>
          </w:tcPr>
          <w:p>
            <w:pPr>
              <w:spacing w:after="0"/>
              <w:rPr>
                <w:sz w:val="20"/>
                <w:szCs w:val="20"/>
                <w:color w:val="auto"/>
              </w:rPr>
            </w:pPr>
            <w:r>
              <w:rPr>
                <w:rFonts w:ascii="Arial" w:cs="Arial" w:eastAsia="Arial" w:hAnsi="Arial"/>
                <w:sz w:val="14"/>
                <w:szCs w:val="14"/>
                <w:color w:val="auto"/>
              </w:rPr>
              <w:t>Income available to Class B</w:t>
            </w:r>
          </w:p>
        </w:tc>
        <w:tc>
          <w:tcPr>
            <w:tcW w:w="10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80" w:type="dxa"/>
            <w:vAlign w:val="bottom"/>
          </w:tcPr>
          <w:p>
            <w:pPr>
              <w:ind w:left="160"/>
              <w:spacing w:after="0"/>
              <w:rPr>
                <w:sz w:val="20"/>
                <w:szCs w:val="20"/>
                <w:color w:val="auto"/>
              </w:rPr>
            </w:pPr>
            <w:r>
              <w:rPr>
                <w:rFonts w:ascii="Arial" w:cs="Arial" w:eastAsia="Arial" w:hAnsi="Arial"/>
                <w:sz w:val="14"/>
                <w:szCs w:val="14"/>
                <w:color w:val="auto"/>
              </w:rPr>
              <w:t>stockholders</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2,359</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1,613</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1,721</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2,542</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available-for-sale debt securities and equity securities are recorded at fair value, which is the price that would be received to sell the asset in an orderly transaction between willing market participants as of the measurement date.</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Valuation techniques used to derive the fair value of our available-for-sale debt securities and equity securities are based upon observable and unobservable inputs. Observable inputs reflect market data obtained from independent sources. Unobservable inputs reflect our own assumptions regarding fair market value for these securities. Although virtually all of our prices are obtained from third-party sources, we also perform an internal pricing review on outliers, which include securities with price changes inconsistent with current market conditions. Financial instruments are categorized based upon the following characteristics or inputs to the valuation techniques:</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reporting entity can access at the measurement date.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perform continuous reviews of the prices obtained from the pricing service. This includes evaluating the methodology and inputs used by the pricing service to ensure that we determine the proper classification level of the financial instrument. Price variances, including large periodic changes, are investigated and corroborated by market data. We have reviewed the pricing methodologies of our pricing service as well as other observable inputs, such as market data, and transaction volumes and believe that the prices adequately consider market activity in determining fair value.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Our evaluation includes the consideration of benchmark yields, reported trades, issuer spreads, two-sided markets, benchmark securities, bids, offers, and reference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fair value measurements on a recurring basis by asset class and level of input:</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tcPr>
          <w:p>
            <w:pPr>
              <w:jc w:val="center"/>
              <w:ind w:right="121"/>
              <w:spacing w:after="0"/>
              <w:rPr>
                <w:sz w:val="20"/>
                <w:szCs w:val="20"/>
                <w:color w:val="auto"/>
              </w:rPr>
            </w:pPr>
            <w:r>
              <w:rPr>
                <w:rFonts w:ascii="Arial" w:cs="Arial" w:eastAsia="Arial" w:hAnsi="Arial"/>
                <w:sz w:val="16"/>
                <w:szCs w:val="16"/>
                <w:color w:val="auto"/>
                <w:w w:val="92"/>
              </w:rPr>
              <w:t>At December 31, 2018</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80" w:type="dxa"/>
            <w:vAlign w:val="bottom"/>
            <w:gridSpan w:val="3"/>
          </w:tcPr>
          <w:p>
            <w:pPr>
              <w:jc w:val="center"/>
              <w:ind w:right="101"/>
              <w:spacing w:after="0"/>
              <w:rPr>
                <w:sz w:val="20"/>
                <w:szCs w:val="20"/>
                <w:color w:val="auto"/>
              </w:rPr>
            </w:pPr>
            <w:r>
              <w:rPr>
                <w:rFonts w:ascii="Arial" w:cs="Arial" w:eastAsia="Arial" w:hAnsi="Arial"/>
                <w:sz w:val="16"/>
                <w:szCs w:val="16"/>
                <w:color w:val="auto"/>
                <w:w w:val="90"/>
              </w:rPr>
              <w:t>Fair value measurements using:</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01"/>
              <w:spacing w:after="0"/>
              <w:rPr>
                <w:sz w:val="20"/>
                <w:szCs w:val="20"/>
                <w:color w:val="auto"/>
              </w:rPr>
            </w:pPr>
            <w:r>
              <w:rPr>
                <w:rFonts w:ascii="Arial" w:cs="Arial" w:eastAsia="Arial" w:hAnsi="Arial"/>
                <w:sz w:val="14"/>
                <w:szCs w:val="14"/>
                <w:color w:val="auto"/>
                <w:w w:val="94"/>
              </w:rPr>
              <w:t>Quoted prices in</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106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2"/>
              </w:rPr>
              <w:t>Observable</w:t>
            </w:r>
          </w:p>
        </w:tc>
        <w:tc>
          <w:tcPr>
            <w:tcW w:w="260" w:type="dxa"/>
            <w:vAlign w:val="bottom"/>
          </w:tcPr>
          <w:p>
            <w:pPr>
              <w:spacing w:after="0"/>
              <w:rPr>
                <w:sz w:val="12"/>
                <w:szCs w:val="12"/>
                <w:color w:val="auto"/>
              </w:rPr>
            </w:pPr>
          </w:p>
        </w:tc>
        <w:tc>
          <w:tcPr>
            <w:tcW w:w="108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01"/>
        </w:trPr>
        <w:tc>
          <w:tcPr>
            <w:tcW w:w="5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vMerge w:val="restart"/>
          </w:tcPr>
          <w:p>
            <w:pPr>
              <w:jc w:val="center"/>
              <w:ind w:right="101"/>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8"/>
                <w:szCs w:val="8"/>
                <w:color w:val="auto"/>
              </w:rPr>
            </w:pPr>
          </w:p>
        </w:tc>
        <w:tc>
          <w:tcPr>
            <w:tcW w:w="1060" w:type="dxa"/>
            <w:vAlign w:val="bottom"/>
            <w:vMerge w:val="restart"/>
          </w:tcPr>
          <w:p>
            <w:pPr>
              <w:jc w:val="center"/>
              <w:ind w:right="121"/>
              <w:spacing w:after="0" w:line="149" w:lineRule="exact"/>
              <w:rPr>
                <w:sz w:val="20"/>
                <w:szCs w:val="20"/>
                <w:color w:val="auto"/>
              </w:rPr>
            </w:pPr>
            <w:r>
              <w:rPr>
                <w:rFonts w:ascii="Arial" w:cs="Arial" w:eastAsia="Arial" w:hAnsi="Arial"/>
                <w:sz w:val="14"/>
                <w:szCs w:val="14"/>
                <w:color w:val="auto"/>
                <w:w w:val="90"/>
              </w:rPr>
              <w:t>inputs</w:t>
            </w:r>
          </w:p>
        </w:tc>
        <w:tc>
          <w:tcPr>
            <w:tcW w:w="260" w:type="dxa"/>
            <w:vAlign w:val="bottom"/>
          </w:tcPr>
          <w:p>
            <w:pPr>
              <w:spacing w:after="0"/>
              <w:rPr>
                <w:sz w:val="8"/>
                <w:szCs w:val="8"/>
                <w:color w:val="auto"/>
              </w:rPr>
            </w:pPr>
          </w:p>
        </w:tc>
        <w:tc>
          <w:tcPr>
            <w:tcW w:w="108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47"/>
        </w:trPr>
        <w:tc>
          <w:tcPr>
            <w:tcW w:w="5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2"/>
              </w:rPr>
              <w:t>Level 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5800" w:type="dxa"/>
            <w:vAlign w:val="bottom"/>
          </w:tcPr>
          <w:p>
            <w:pPr>
              <w:ind w:left="140"/>
              <w:spacing w:after="0"/>
              <w:rPr>
                <w:sz w:val="20"/>
                <w:szCs w:val="20"/>
                <w:color w:val="auto"/>
              </w:rPr>
            </w:pPr>
            <w:r>
              <w:rPr>
                <w:rFonts w:ascii="Arial" w:cs="Arial" w:eastAsia="Arial" w:hAnsi="Arial"/>
                <w:sz w:val="16"/>
                <w:szCs w:val="16"/>
                <w:color w:val="auto"/>
              </w:rPr>
              <w:t xml:space="preserve">U.S. Treasury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208,412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208,412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 xml:space="preserve">States &amp; political subdivisions </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159,023</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159,023</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6"/>
        </w:trPr>
        <w:tc>
          <w:tcPr>
            <w:tcW w:w="58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0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249,947</w:t>
            </w:r>
          </w:p>
        </w:tc>
        <w:tc>
          <w:tcPr>
            <w:tcW w:w="26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7"/>
                <w:szCs w:val="17"/>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237,370</w:t>
            </w:r>
          </w:p>
        </w:tc>
        <w:tc>
          <w:tcPr>
            <w:tcW w:w="26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4,609</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4,609</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46,515</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46,515</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64,239</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64,239</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15,778</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15,778</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0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30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748,523</w:t>
            </w:r>
          </w:p>
        </w:tc>
        <w:tc>
          <w:tcPr>
            <w:tcW w:w="2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735,946</w:t>
            </w: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33"/>
        </w:trPr>
        <w:tc>
          <w:tcPr>
            <w:tcW w:w="5800" w:type="dxa"/>
            <w:vAlign w:val="bottom"/>
            <w:vMerge w:val="restart"/>
          </w:tcPr>
          <w:p>
            <w:pPr>
              <w:spacing w:after="0"/>
              <w:rPr>
                <w:sz w:val="20"/>
                <w:szCs w:val="20"/>
                <w:color w:val="auto"/>
              </w:rPr>
            </w:pPr>
            <w:r>
              <w:rPr>
                <w:rFonts w:ascii="Arial" w:cs="Arial" w:eastAsia="Arial" w:hAnsi="Arial"/>
                <w:sz w:val="16"/>
                <w:szCs w:val="16"/>
                <w:color w:val="auto"/>
              </w:rPr>
              <w:t>Equity securities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0" w:type="dxa"/>
            <w:vAlign w:val="bottom"/>
          </w:tcPr>
          <w:p>
            <w:pPr>
              <w:ind w:left="80"/>
              <w:spacing w:after="0"/>
              <w:rPr>
                <w:sz w:val="20"/>
                <w:szCs w:val="20"/>
                <w:color w:val="auto"/>
              </w:rPr>
            </w:pPr>
            <w:r>
              <w:rPr>
                <w:rFonts w:ascii="Arial" w:cs="Arial" w:eastAsia="Arial" w:hAnsi="Arial"/>
                <w:sz w:val="16"/>
                <w:szCs w:val="16"/>
                <w:color w:val="auto"/>
              </w:rPr>
              <w:t>Nonredeemable preferred stock - financial services sector</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11,853</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1,809</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10,044</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00" w:type="dxa"/>
            <w:vAlign w:val="bottom"/>
          </w:tcPr>
          <w:p>
            <w:pPr>
              <w:spacing w:after="0"/>
              <w:rPr>
                <w:sz w:val="20"/>
                <w:szCs w:val="20"/>
                <w:color w:val="auto"/>
              </w:rPr>
            </w:pPr>
            <w:r>
              <w:rPr>
                <w:rFonts w:ascii="Arial" w:cs="Arial" w:eastAsia="Arial" w:hAnsi="Arial"/>
                <w:sz w:val="16"/>
                <w:szCs w:val="16"/>
                <w:color w:val="auto"/>
              </w:rPr>
              <w:t>Total equity securities</w:t>
            </w:r>
          </w:p>
        </w:tc>
        <w:tc>
          <w:tcPr>
            <w:tcW w:w="30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11,853</w:t>
            </w:r>
          </w:p>
        </w:tc>
        <w:tc>
          <w:tcPr>
            <w:tcW w:w="2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1,809</w:t>
            </w:r>
          </w:p>
        </w:tc>
        <w:tc>
          <w:tcPr>
            <w:tcW w:w="2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10,044</w:t>
            </w: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00" w:type="dxa"/>
            <w:vAlign w:val="bottom"/>
          </w:tcPr>
          <w:p>
            <w:pPr>
              <w:spacing w:after="0"/>
              <w:rPr>
                <w:sz w:val="20"/>
                <w:szCs w:val="20"/>
                <w:color w:val="auto"/>
              </w:rPr>
            </w:pPr>
            <w:r>
              <w:rPr>
                <w:rFonts w:ascii="Arial" w:cs="Arial" w:eastAsia="Arial" w:hAnsi="Arial"/>
                <w:sz w:val="16"/>
                <w:szCs w:val="16"/>
                <w:color w:val="auto"/>
              </w:rPr>
              <w:t xml:space="preserve">Other limited partnership investments </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3,206</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763,582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1,809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745,990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3"/>
          </w:tcPr>
          <w:p>
            <w:pPr>
              <w:jc w:val="center"/>
              <w:ind w:right="121"/>
              <w:spacing w:after="0"/>
              <w:rPr>
                <w:sz w:val="20"/>
                <w:szCs w:val="20"/>
                <w:color w:val="auto"/>
              </w:rPr>
            </w:pPr>
            <w:r>
              <w:rPr>
                <w:rFonts w:ascii="Arial" w:cs="Arial" w:eastAsia="Arial" w:hAnsi="Arial"/>
                <w:sz w:val="16"/>
                <w:szCs w:val="16"/>
                <w:color w:val="auto"/>
                <w:w w:val="92"/>
              </w:rPr>
              <w:t>At December 31, 2017</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3"/>
          </w:tcPr>
          <w:p>
            <w:pPr>
              <w:jc w:val="center"/>
              <w:ind w:right="101"/>
              <w:spacing w:after="0"/>
              <w:rPr>
                <w:sz w:val="20"/>
                <w:szCs w:val="20"/>
                <w:color w:val="auto"/>
              </w:rPr>
            </w:pPr>
            <w:r>
              <w:rPr>
                <w:rFonts w:ascii="Arial" w:cs="Arial" w:eastAsia="Arial" w:hAnsi="Arial"/>
                <w:sz w:val="16"/>
                <w:szCs w:val="16"/>
                <w:color w:val="auto"/>
                <w:w w:val="90"/>
              </w:rPr>
              <w:t>Fair value measurements using:</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101"/>
              <w:spacing w:after="0"/>
              <w:rPr>
                <w:sz w:val="20"/>
                <w:szCs w:val="20"/>
                <w:color w:val="auto"/>
              </w:rPr>
            </w:pPr>
            <w:r>
              <w:rPr>
                <w:rFonts w:ascii="Arial" w:cs="Arial" w:eastAsia="Arial" w:hAnsi="Arial"/>
                <w:sz w:val="14"/>
                <w:szCs w:val="14"/>
                <w:color w:val="auto"/>
                <w:w w:val="94"/>
              </w:rPr>
              <w:t>Quoted prices in</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4"/>
              </w:rPr>
              <w:t>active markets for</w:t>
            </w:r>
          </w:p>
        </w:tc>
        <w:tc>
          <w:tcPr>
            <w:tcW w:w="280" w:type="dxa"/>
            <w:vAlign w:val="bottom"/>
          </w:tcPr>
          <w:p>
            <w:pPr>
              <w:spacing w:after="0"/>
              <w:rPr>
                <w:sz w:val="12"/>
                <w:szCs w:val="12"/>
                <w:color w:val="auto"/>
              </w:rPr>
            </w:pPr>
          </w:p>
        </w:tc>
        <w:tc>
          <w:tcPr>
            <w:tcW w:w="106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2"/>
              </w:rPr>
              <w:t>Observable</w:t>
            </w:r>
          </w:p>
        </w:tc>
        <w:tc>
          <w:tcPr>
            <w:tcW w:w="260" w:type="dxa"/>
            <w:vAlign w:val="bottom"/>
          </w:tcPr>
          <w:p>
            <w:pPr>
              <w:spacing w:after="0"/>
              <w:rPr>
                <w:sz w:val="12"/>
                <w:szCs w:val="12"/>
                <w:color w:val="auto"/>
              </w:rPr>
            </w:pPr>
          </w:p>
        </w:tc>
        <w:tc>
          <w:tcPr>
            <w:tcW w:w="108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01"/>
        </w:trPr>
        <w:tc>
          <w:tcPr>
            <w:tcW w:w="58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vMerge w:val="restart"/>
          </w:tcPr>
          <w:p>
            <w:pPr>
              <w:jc w:val="center"/>
              <w:ind w:right="101"/>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8"/>
                <w:szCs w:val="8"/>
                <w:color w:val="auto"/>
              </w:rPr>
            </w:pPr>
          </w:p>
        </w:tc>
        <w:tc>
          <w:tcPr>
            <w:tcW w:w="1060" w:type="dxa"/>
            <w:vAlign w:val="bottom"/>
            <w:vMerge w:val="restart"/>
          </w:tcPr>
          <w:p>
            <w:pPr>
              <w:jc w:val="center"/>
              <w:ind w:right="121"/>
              <w:spacing w:after="0" w:line="149" w:lineRule="exact"/>
              <w:rPr>
                <w:sz w:val="20"/>
                <w:szCs w:val="20"/>
                <w:color w:val="auto"/>
              </w:rPr>
            </w:pPr>
            <w:r>
              <w:rPr>
                <w:rFonts w:ascii="Arial" w:cs="Arial" w:eastAsia="Arial" w:hAnsi="Arial"/>
                <w:sz w:val="14"/>
                <w:szCs w:val="14"/>
                <w:color w:val="auto"/>
                <w:w w:val="90"/>
              </w:rPr>
              <w:t>inputs</w:t>
            </w:r>
          </w:p>
        </w:tc>
        <w:tc>
          <w:tcPr>
            <w:tcW w:w="260" w:type="dxa"/>
            <w:vAlign w:val="bottom"/>
          </w:tcPr>
          <w:p>
            <w:pPr>
              <w:spacing w:after="0"/>
              <w:rPr>
                <w:sz w:val="8"/>
                <w:szCs w:val="8"/>
                <w:color w:val="auto"/>
              </w:rPr>
            </w:pPr>
          </w:p>
        </w:tc>
        <w:tc>
          <w:tcPr>
            <w:tcW w:w="1080" w:type="dxa"/>
            <w:vAlign w:val="bottom"/>
            <w:vMerge w:val="restart"/>
          </w:tcPr>
          <w:p>
            <w:pPr>
              <w:jc w:val="center"/>
              <w:ind w:right="81"/>
              <w:spacing w:after="0" w:line="149" w:lineRule="exact"/>
              <w:rPr>
                <w:sz w:val="20"/>
                <w:szCs w:val="20"/>
                <w:color w:val="auto"/>
              </w:rPr>
            </w:pPr>
            <w:r>
              <w:rPr>
                <w:rFonts w:ascii="Arial" w:cs="Arial" w:eastAsia="Arial" w:hAnsi="Arial"/>
                <w:sz w:val="14"/>
                <w:szCs w:val="14"/>
                <w:color w:val="auto"/>
                <w:w w:val="96"/>
              </w:rPr>
              <w:t>inputs</w:t>
            </w:r>
          </w:p>
        </w:tc>
        <w:tc>
          <w:tcPr>
            <w:tcW w:w="0" w:type="dxa"/>
            <w:vAlign w:val="bottom"/>
          </w:tcPr>
          <w:p>
            <w:pPr>
              <w:spacing w:after="0"/>
              <w:rPr>
                <w:sz w:val="1"/>
                <w:szCs w:val="1"/>
                <w:color w:val="auto"/>
              </w:rPr>
            </w:pPr>
          </w:p>
        </w:tc>
      </w:tr>
      <w:tr>
        <w:trPr>
          <w:trHeight w:val="47"/>
        </w:trPr>
        <w:tc>
          <w:tcPr>
            <w:tcW w:w="5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7"/>
              </w:rPr>
              <w:t>Level 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2"/>
              </w:rPr>
              <w:t>Level 2</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80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11,734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11,734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259,264</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259,264</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Foreign government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503</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503</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346,523</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338,644</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7,879</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25,571</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25,571</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32,804</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32,804</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58,034</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55,834</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70"/>
        </w:trPr>
        <w:tc>
          <w:tcPr>
            <w:tcW w:w="580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11,528</w:t>
            </w:r>
          </w:p>
        </w:tc>
        <w:tc>
          <w:tcPr>
            <w:tcW w:w="260" w:type="dxa"/>
            <w:vAlign w:val="bottom"/>
          </w:tcPr>
          <w:p>
            <w:pPr>
              <w:spacing w:after="0"/>
              <w:rPr>
                <w:sz w:val="23"/>
                <w:szCs w:val="23"/>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11,528</w:t>
            </w:r>
          </w:p>
        </w:tc>
        <w:tc>
          <w:tcPr>
            <w:tcW w:w="2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580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745,961</w:t>
            </w:r>
          </w:p>
        </w:tc>
        <w:tc>
          <w:tcPr>
            <w:tcW w:w="26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735,882</w:t>
            </w:r>
          </w:p>
        </w:tc>
        <w:tc>
          <w:tcPr>
            <w:tcW w:w="2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47"/>
        </w:trPr>
        <w:tc>
          <w:tcPr>
            <w:tcW w:w="5800" w:type="dxa"/>
            <w:vAlign w:val="bottom"/>
            <w:vMerge w:val="restart"/>
          </w:tcPr>
          <w:p>
            <w:pPr>
              <w:ind w:left="80"/>
              <w:spacing w:after="0"/>
              <w:rPr>
                <w:sz w:val="20"/>
                <w:szCs w:val="20"/>
                <w:color w:val="auto"/>
              </w:rPr>
            </w:pPr>
            <w:r>
              <w:rPr>
                <w:rFonts w:ascii="Arial" w:cs="Arial" w:eastAsia="Arial" w:hAnsi="Arial"/>
                <w:sz w:val="16"/>
                <w:szCs w:val="16"/>
                <w:color w:val="auto"/>
              </w:rPr>
              <w:t>Nonredeemable preferred stock - financial services sector</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11,659</w:t>
            </w:r>
          </w:p>
        </w:tc>
        <w:tc>
          <w:tcPr>
            <w:tcW w:w="26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2,015</w:t>
            </w:r>
          </w:p>
        </w:tc>
        <w:tc>
          <w:tcPr>
            <w:tcW w:w="2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9,644</w:t>
            </w: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7"/>
        </w:trPr>
        <w:tc>
          <w:tcPr>
            <w:tcW w:w="5800" w:type="dxa"/>
            <w:vAlign w:val="bottom"/>
          </w:tcPr>
          <w:p>
            <w:pPr>
              <w:ind w:left="80"/>
              <w:spacing w:after="0"/>
              <w:rPr>
                <w:sz w:val="20"/>
                <w:szCs w:val="20"/>
                <w:color w:val="auto"/>
              </w:rPr>
            </w:pPr>
            <w:r>
              <w:rPr>
                <w:rFonts w:ascii="Arial" w:cs="Arial" w:eastAsia="Arial" w:hAnsi="Arial"/>
                <w:sz w:val="16"/>
                <w:szCs w:val="16"/>
                <w:color w:val="auto"/>
              </w:rPr>
              <w:t>Nonredeemable preferred stock - utilities sector</w:t>
            </w:r>
          </w:p>
        </w:tc>
        <w:tc>
          <w:tcPr>
            <w:tcW w:w="300" w:type="dxa"/>
            <w:vAlign w:val="bottom"/>
          </w:tcPr>
          <w:p>
            <w:pPr>
              <w:spacing w:after="0"/>
              <w:rPr>
                <w:sz w:val="22"/>
                <w:szCs w:val="22"/>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1,093</w:t>
            </w:r>
          </w:p>
        </w:tc>
        <w:tc>
          <w:tcPr>
            <w:tcW w:w="260" w:type="dxa"/>
            <w:vAlign w:val="bottom"/>
          </w:tcPr>
          <w:p>
            <w:pPr>
              <w:spacing w:after="0"/>
              <w:rPr>
                <w:sz w:val="22"/>
                <w:szCs w:val="22"/>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1,093</w:t>
            </w:r>
          </w:p>
        </w:tc>
        <w:tc>
          <w:tcPr>
            <w:tcW w:w="26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580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8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758,713</w:t>
            </w:r>
          </w:p>
        </w:tc>
        <w:tc>
          <w:tcPr>
            <w:tcW w:w="260" w:type="dxa"/>
            <w:vAlign w:val="bottom"/>
          </w:tcPr>
          <w:p>
            <w:pPr>
              <w:spacing w:after="0"/>
              <w:rPr>
                <w:sz w:val="18"/>
                <w:szCs w:val="18"/>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2,015</w:t>
            </w:r>
          </w:p>
        </w:tc>
        <w:tc>
          <w:tcPr>
            <w:tcW w:w="28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746,619</w:t>
            </w:r>
          </w:p>
        </w:tc>
        <w:tc>
          <w:tcPr>
            <w:tcW w:w="2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47"/>
        </w:trPr>
        <w:tc>
          <w:tcPr>
            <w:tcW w:w="5800" w:type="dxa"/>
            <w:vAlign w:val="bottom"/>
            <w:vMerge w:val="restart"/>
          </w:tcPr>
          <w:p>
            <w:pPr>
              <w:spacing w:after="0"/>
              <w:rPr>
                <w:sz w:val="20"/>
                <w:szCs w:val="20"/>
                <w:color w:val="auto"/>
              </w:rPr>
            </w:pPr>
            <w:r>
              <w:rPr>
                <w:rFonts w:ascii="Arial" w:cs="Arial" w:eastAsia="Arial" w:hAnsi="Arial"/>
                <w:sz w:val="16"/>
                <w:szCs w:val="16"/>
                <w:color w:val="auto"/>
              </w:rPr>
              <w:t xml:space="preserve">Other limited partnership investments </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80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4,816</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tcPr>
          <w:p>
            <w:pPr>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763,529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2,015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746,619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47"/>
        </w:trPr>
        <w:tc>
          <w:tcPr>
            <w:tcW w:w="58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60" w:right="240" w:hanging="328"/>
        <w:spacing w:after="0" w:line="261" w:lineRule="auto"/>
        <w:tabs>
          <w:tab w:leader="none" w:pos="66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In the fourth quarter of 2018, we began selling off our municipal bonds as part of a portfolio rebalancing. We intend to sell the remaining municipal bonds in the first half of 2019. We have currently invested proceeds from these sales in short-term U.S. Treasuries.</w:t>
      </w:r>
    </w:p>
    <w:p>
      <w:pPr>
        <w:ind w:left="660" w:right="40" w:hanging="328"/>
        <w:spacing w:after="0" w:line="245" w:lineRule="auto"/>
        <w:tabs>
          <w:tab w:leader="none" w:pos="66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The limited partnership investment measured at fair value represents one real estate fund included on the balance sheet as a limited partnership investment reported under the fair value option using the net asset value practical expedient. These amounts are not required to be categorized in the fair value hierarchy. The investment can never be redeemed with the fund. Instead, distributions are received when liquidation of the underlying assets of the fund occurs. The fair value of this investment is based on the net asset value (NAV) information provided by the general partner. Fair value is based on our proportionate share of the NAV based on the most recent partners' capital statements received from the general partner, which is generally one quarter prior to our balance sheet date. These values are then analyzed to determine if the NAV represents fair value at our balance sheet date, with adjustment being made where appropriate. We consider observable market data and perform a review validating the appropriateness of the NAV at each balance sheet date. During the years ended December 31, 2018 and 2017, no contributions were made and distributions totaling $1.2 million and $0.5 million, respectively, were received from this investment. There were no unfunded commitments related to the investment as of December 31, 2018 and 2017. In 2018, the one remaining real estate fund was in the process of liquidating the underlying assets. Liquidation of the fund was completed in January 2019.</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review the fair value hierarchy classifications each reporting period. Transfers between hierarchy levels may occur due to changes in available market observable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color w:val="auto"/>
                <w:w w:val="98"/>
              </w:rPr>
              <w:t>Included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Beginning balance</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ind w:right="124"/>
              <w:spacing w:after="0" w:line="149" w:lineRule="exact"/>
              <w:rPr>
                <w:sz w:val="20"/>
                <w:szCs w:val="20"/>
                <w:color w:val="auto"/>
              </w:rPr>
            </w:pPr>
            <w:r>
              <w:rPr>
                <w:rFonts w:ascii="Arial" w:cs="Arial" w:eastAsia="Arial" w:hAnsi="Arial"/>
                <w:sz w:val="14"/>
                <w:szCs w:val="14"/>
                <w:color w:val="auto"/>
                <w:w w:val="94"/>
              </w:rPr>
              <w:t>in other</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63"/>
              <w:spacing w:after="0" w:line="149" w:lineRule="exact"/>
              <w:rPr>
                <w:sz w:val="20"/>
                <w:szCs w:val="20"/>
                <w:color w:val="auto"/>
              </w:rPr>
            </w:pPr>
            <w:r>
              <w:rPr>
                <w:rFonts w:ascii="Arial" w:cs="Arial" w:eastAsia="Arial" w:hAnsi="Arial"/>
                <w:sz w:val="14"/>
                <w:szCs w:val="14"/>
                <w:color w:val="auto"/>
                <w:w w:val="91"/>
              </w:rPr>
              <w:t>Transfers</w:t>
            </w:r>
          </w:p>
        </w:tc>
        <w:tc>
          <w:tcPr>
            <w:tcW w:w="240" w:type="dxa"/>
            <w:vAlign w:val="bottom"/>
          </w:tcPr>
          <w:p>
            <w:pPr>
              <w:spacing w:after="0"/>
              <w:rPr>
                <w:sz w:val="12"/>
                <w:szCs w:val="12"/>
                <w:color w:val="auto"/>
              </w:rPr>
            </w:pPr>
          </w:p>
        </w:tc>
        <w:tc>
          <w:tcPr>
            <w:tcW w:w="780" w:type="dxa"/>
            <w:vAlign w:val="bottom"/>
          </w:tcPr>
          <w:p>
            <w:pPr>
              <w:jc w:val="center"/>
              <w:ind w:right="83"/>
              <w:spacing w:after="0" w:line="149" w:lineRule="exact"/>
              <w:rPr>
                <w:sz w:val="20"/>
                <w:szCs w:val="20"/>
                <w:color w:val="auto"/>
              </w:rPr>
            </w:pPr>
            <w:r>
              <w:rPr>
                <w:rFonts w:ascii="Arial" w:cs="Arial" w:eastAsia="Arial" w:hAnsi="Arial"/>
                <w:sz w:val="14"/>
                <w:szCs w:val="14"/>
                <w:color w:val="auto"/>
                <w:w w:val="91"/>
              </w:rPr>
              <w:t>Transfers</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3"/>
              <w:spacing w:after="0" w:line="149" w:lineRule="exact"/>
              <w:rPr>
                <w:sz w:val="20"/>
                <w:szCs w:val="20"/>
                <w:color w:val="auto"/>
              </w:rPr>
            </w:pPr>
            <w:r>
              <w:rPr>
                <w:rFonts w:ascii="Arial" w:cs="Arial" w:eastAsia="Arial" w:hAnsi="Arial"/>
                <w:sz w:val="14"/>
                <w:szCs w:val="14"/>
                <w:color w:val="auto"/>
                <w:w w:val="88"/>
              </w:rPr>
              <w:t>at December 31,</w:t>
            </w:r>
          </w:p>
        </w:tc>
        <w:tc>
          <w:tcPr>
            <w:tcW w:w="200" w:type="dxa"/>
            <w:vAlign w:val="bottom"/>
          </w:tcPr>
          <w:p>
            <w:pPr>
              <w:spacing w:after="0"/>
              <w:rPr>
                <w:sz w:val="12"/>
                <w:szCs w:val="12"/>
                <w:color w:val="auto"/>
              </w:rPr>
            </w:pPr>
          </w:p>
        </w:tc>
        <w:tc>
          <w:tcPr>
            <w:tcW w:w="820" w:type="dxa"/>
            <w:vAlign w:val="bottom"/>
          </w:tcPr>
          <w:p>
            <w:pPr>
              <w:jc w:val="right"/>
              <w:ind w:right="83"/>
              <w:spacing w:after="0" w:line="149" w:lineRule="exact"/>
              <w:rPr>
                <w:sz w:val="20"/>
                <w:szCs w:val="20"/>
                <w:color w:val="auto"/>
              </w:rPr>
            </w:pPr>
            <w:r>
              <w:rPr>
                <w:rFonts w:ascii="Arial" w:cs="Arial" w:eastAsia="Arial" w:hAnsi="Arial"/>
                <w:sz w:val="14"/>
                <w:szCs w:val="14"/>
                <w:color w:val="auto"/>
                <w:w w:val="94"/>
              </w:rPr>
              <w:t>Included in</w:t>
            </w:r>
          </w:p>
        </w:tc>
        <w:tc>
          <w:tcPr>
            <w:tcW w:w="260" w:type="dxa"/>
            <w:vAlign w:val="bottom"/>
          </w:tcPr>
          <w:p>
            <w:pPr>
              <w:spacing w:after="0"/>
              <w:rPr>
                <w:sz w:val="12"/>
                <w:szCs w:val="12"/>
                <w:color w:val="auto"/>
              </w:rPr>
            </w:pPr>
          </w:p>
        </w:tc>
        <w:tc>
          <w:tcPr>
            <w:tcW w:w="1160" w:type="dxa"/>
            <w:vAlign w:val="bottom"/>
          </w:tcPr>
          <w:p>
            <w:pPr>
              <w:jc w:val="center"/>
              <w:ind w:right="124"/>
              <w:spacing w:after="0" w:line="149" w:lineRule="exact"/>
              <w:rPr>
                <w:sz w:val="20"/>
                <w:szCs w:val="20"/>
                <w:color w:val="auto"/>
              </w:rPr>
            </w:pPr>
            <w:r>
              <w:rPr>
                <w:rFonts w:ascii="Arial" w:cs="Arial" w:eastAsia="Arial" w:hAnsi="Arial"/>
                <w:sz w:val="14"/>
                <w:szCs w:val="14"/>
                <w:color w:val="auto"/>
                <w:w w:val="92"/>
              </w:rPr>
              <w:t>comprehensive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into</w:t>
            </w:r>
          </w:p>
        </w:tc>
        <w:tc>
          <w:tcPr>
            <w:tcW w:w="1020" w:type="dxa"/>
            <w:vAlign w:val="bottom"/>
            <w:gridSpan w:val="2"/>
          </w:tcPr>
          <w:p>
            <w:pPr>
              <w:jc w:val="center"/>
              <w:ind w:left="2"/>
              <w:spacing w:after="0" w:line="149" w:lineRule="exact"/>
              <w:rPr>
                <w:sz w:val="20"/>
                <w:szCs w:val="20"/>
                <w:color w:val="auto"/>
              </w:rPr>
            </w:pPr>
            <w:r>
              <w:rPr>
                <w:rFonts w:ascii="Arial" w:cs="Arial" w:eastAsia="Arial" w:hAnsi="Arial"/>
                <w:sz w:val="14"/>
                <w:szCs w:val="14"/>
                <w:color w:val="auto"/>
                <w:w w:val="96"/>
              </w:rPr>
              <w:t>out of Level</w:t>
            </w:r>
          </w:p>
        </w:tc>
        <w:tc>
          <w:tcPr>
            <w:tcW w:w="13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Ending balance at</w:t>
            </w: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w w:val="94"/>
              </w:rPr>
              <w:t>earnings</w:t>
            </w:r>
            <w:r>
              <w:rPr>
                <w:rFonts w:ascii="Arial" w:cs="Arial" w:eastAsia="Arial" w:hAnsi="Arial"/>
                <w:sz w:val="8"/>
                <w:szCs w:val="8"/>
                <w:color w:val="auto"/>
                <w:w w:val="94"/>
              </w:rPr>
              <w:t>(1)</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w w:val="97"/>
              </w:rPr>
              <w:t>income</w:t>
            </w:r>
          </w:p>
        </w:tc>
        <w:tc>
          <w:tcPr>
            <w:tcW w:w="8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Purchases</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Sales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8"/>
              </w:rPr>
              <w:t>Level 3</w:t>
            </w:r>
            <w:r>
              <w:rPr>
                <w:rFonts w:ascii="Arial" w:cs="Arial" w:eastAsia="Arial" w:hAnsi="Arial"/>
                <w:sz w:val="8"/>
                <w:szCs w:val="8"/>
                <w:color w:val="auto"/>
                <w:w w:val="98"/>
              </w:rPr>
              <w:t>(2)</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3</w:t>
            </w:r>
            <w:r>
              <w:rPr>
                <w:rFonts w:ascii="Arial" w:cs="Arial" w:eastAsia="Arial" w:hAnsi="Arial"/>
                <w:sz w:val="8"/>
                <w:szCs w:val="8"/>
                <w:color w:val="auto"/>
              </w:rPr>
              <w:t>(2)</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2018</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7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7,879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(312)</w:t>
            </w:r>
          </w:p>
        </w:tc>
        <w:tc>
          <w:tcPr>
            <w:tcW w:w="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5,550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(2,854)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18,232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(15,924)</w:t>
            </w:r>
          </w:p>
        </w:tc>
        <w:tc>
          <w:tcPr>
            <w:tcW w:w="48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284"/>
        </w:trPr>
        <w:tc>
          <w:tcPr>
            <w:tcW w:w="272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2,200</w:t>
            </w:r>
          </w:p>
        </w:tc>
        <w:tc>
          <w:tcPr>
            <w:tcW w:w="200" w:type="dxa"/>
            <w:vAlign w:val="bottom"/>
          </w:tcPr>
          <w:p>
            <w:pPr>
              <w:spacing w:after="0"/>
              <w:rPr>
                <w:sz w:val="24"/>
                <w:szCs w:val="24"/>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4"/>
                <w:szCs w:val="24"/>
                <w:color w:val="auto"/>
              </w:rPr>
            </w:pP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24"/>
                <w:szCs w:val="24"/>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905</w:t>
            </w:r>
          </w:p>
        </w:tc>
        <w:tc>
          <w:tcPr>
            <w:tcW w:w="260" w:type="dxa"/>
            <w:vAlign w:val="bottom"/>
          </w:tcPr>
          <w:p>
            <w:pPr>
              <w:spacing w:after="0"/>
              <w:rPr>
                <w:sz w:val="24"/>
                <w:szCs w:val="24"/>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4"/>
                <w:szCs w:val="24"/>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(3,115)</w:t>
            </w:r>
          </w:p>
        </w:tc>
        <w:tc>
          <w:tcPr>
            <w:tcW w:w="48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3"/>
        </w:trPr>
        <w:tc>
          <w:tcPr>
            <w:tcW w:w="2720" w:type="dxa"/>
            <w:vAlign w:val="bottom"/>
            <w:vMerge w:val="restart"/>
          </w:tcPr>
          <w:p>
            <w:pPr>
              <w:spacing w:after="0"/>
              <w:rPr>
                <w:sz w:val="20"/>
                <w:szCs w:val="20"/>
                <w:color w:val="auto"/>
              </w:rPr>
            </w:pPr>
            <w:r>
              <w:rPr>
                <w:rFonts w:ascii="Arial" w:cs="Arial" w:eastAsia="Arial" w:hAnsi="Arial"/>
                <w:sz w:val="16"/>
                <w:szCs w:val="16"/>
                <w:color w:val="auto"/>
              </w:rPr>
              <w:t>Total Level 3 available-for-sale</w:t>
            </w: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20" w:type="dxa"/>
            <w:vAlign w:val="bottom"/>
            <w:vMerge w:val="continue"/>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ind w:right="103"/>
              <w:spacing w:after="0"/>
              <w:rPr>
                <w:sz w:val="20"/>
                <w:szCs w:val="20"/>
                <w:color w:val="auto"/>
              </w:rPr>
            </w:pPr>
            <w:r>
              <w:rPr>
                <w:rFonts w:ascii="Arial" w:cs="Arial" w:eastAsia="Arial" w:hAnsi="Arial"/>
                <w:sz w:val="16"/>
                <w:szCs w:val="16"/>
                <w:color w:val="auto"/>
              </w:rPr>
              <w:t>10,079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63"/>
              <w:spacing w:after="0"/>
              <w:rPr>
                <w:sz w:val="20"/>
                <w:szCs w:val="20"/>
                <w:color w:val="auto"/>
              </w:rPr>
            </w:pPr>
            <w:r>
              <w:rPr>
                <w:rFonts w:ascii="Arial" w:cs="Arial" w:eastAsia="Arial" w:hAnsi="Arial"/>
                <w:sz w:val="16"/>
                <w:szCs w:val="16"/>
                <w:color w:val="auto"/>
              </w:rPr>
              <w:t>6</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24"/>
              <w:spacing w:after="0"/>
              <w:rPr>
                <w:sz w:val="20"/>
                <w:szCs w:val="20"/>
                <w:color w:val="auto"/>
              </w:rPr>
            </w:pPr>
            <w:r>
              <w:rPr>
                <w:rFonts w:ascii="Arial" w:cs="Arial" w:eastAsia="Arial" w:hAnsi="Arial"/>
                <w:sz w:val="16"/>
                <w:szCs w:val="16"/>
                <w:color w:val="auto"/>
              </w:rPr>
              <w:t>(302)</w:t>
            </w:r>
          </w:p>
        </w:tc>
        <w:tc>
          <w:tcPr>
            <w:tcW w:w="30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39"/>
              <w:spacing w:after="0"/>
              <w:rPr>
                <w:sz w:val="20"/>
                <w:szCs w:val="20"/>
                <w:color w:val="auto"/>
              </w:rPr>
            </w:pPr>
            <w:r>
              <w:rPr>
                <w:rFonts w:ascii="Arial" w:cs="Arial" w:eastAsia="Arial" w:hAnsi="Arial"/>
                <w:sz w:val="16"/>
                <w:szCs w:val="16"/>
                <w:color w:val="auto"/>
              </w:rPr>
              <w:t>6,455</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(2,854)</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43"/>
              <w:spacing w:after="0"/>
              <w:rPr>
                <w:sz w:val="20"/>
                <w:szCs w:val="20"/>
                <w:color w:val="auto"/>
              </w:rPr>
            </w:pPr>
            <w:r>
              <w:rPr>
                <w:rFonts w:ascii="Arial" w:cs="Arial" w:eastAsia="Arial" w:hAnsi="Arial"/>
                <w:sz w:val="16"/>
                <w:szCs w:val="16"/>
                <w:color w:val="auto"/>
              </w:rPr>
              <w:t>18,232</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6"/>
                <w:szCs w:val="16"/>
                <w:color w:val="auto"/>
              </w:rPr>
              <w:t>(19,039)</w:t>
            </w:r>
          </w:p>
        </w:tc>
        <w:tc>
          <w:tcPr>
            <w:tcW w:w="480" w:type="dxa"/>
            <w:vAlign w:val="bottom"/>
            <w:vMerge w:val="restart"/>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224"/>
        </w:trPr>
        <w:tc>
          <w:tcPr>
            <w:tcW w:w="2720" w:type="dxa"/>
            <w:vAlign w:val="bottom"/>
          </w:tcPr>
          <w:p>
            <w:pPr>
              <w:spacing w:after="0"/>
              <w:rPr>
                <w:sz w:val="20"/>
                <w:szCs w:val="20"/>
                <w:color w:val="auto"/>
              </w:rPr>
            </w:pPr>
            <w:r>
              <w:rPr>
                <w:rFonts w:ascii="Arial" w:cs="Arial" w:eastAsia="Arial" w:hAnsi="Arial"/>
                <w:sz w:val="16"/>
                <w:szCs w:val="16"/>
                <w:color w:val="auto"/>
              </w:rPr>
              <w:t>securities</w:t>
            </w:r>
          </w:p>
        </w:tc>
        <w:tc>
          <w:tcPr>
            <w:tcW w:w="1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Level 3 Assets – Year-to-Date Change:</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color w:val="auto"/>
                <w:w w:val="98"/>
              </w:rPr>
              <w:t>Included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Beginning balance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24"/>
              <w:spacing w:after="0" w:line="149" w:lineRule="exact"/>
              <w:rPr>
                <w:sz w:val="20"/>
                <w:szCs w:val="20"/>
                <w:color w:val="auto"/>
              </w:rPr>
            </w:pPr>
            <w:r>
              <w:rPr>
                <w:rFonts w:ascii="Arial" w:cs="Arial" w:eastAsia="Arial" w:hAnsi="Arial"/>
                <w:sz w:val="14"/>
                <w:szCs w:val="14"/>
                <w:color w:val="auto"/>
                <w:w w:val="94"/>
              </w:rPr>
              <w:t>in other</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63"/>
              <w:spacing w:after="0" w:line="149" w:lineRule="exact"/>
              <w:rPr>
                <w:sz w:val="20"/>
                <w:szCs w:val="20"/>
                <w:color w:val="auto"/>
              </w:rPr>
            </w:pPr>
            <w:r>
              <w:rPr>
                <w:rFonts w:ascii="Arial" w:cs="Arial" w:eastAsia="Arial" w:hAnsi="Arial"/>
                <w:sz w:val="14"/>
                <w:szCs w:val="14"/>
                <w:color w:val="auto"/>
                <w:w w:val="91"/>
              </w:rPr>
              <w:t>Transfers</w:t>
            </w:r>
          </w:p>
        </w:tc>
        <w:tc>
          <w:tcPr>
            <w:tcW w:w="240" w:type="dxa"/>
            <w:vAlign w:val="bottom"/>
          </w:tcPr>
          <w:p>
            <w:pPr>
              <w:spacing w:after="0"/>
              <w:rPr>
                <w:sz w:val="12"/>
                <w:szCs w:val="12"/>
                <w:color w:val="auto"/>
              </w:rPr>
            </w:pPr>
          </w:p>
        </w:tc>
        <w:tc>
          <w:tcPr>
            <w:tcW w:w="780" w:type="dxa"/>
            <w:vAlign w:val="bottom"/>
          </w:tcPr>
          <w:p>
            <w:pPr>
              <w:jc w:val="center"/>
              <w:ind w:right="83"/>
              <w:spacing w:after="0" w:line="149" w:lineRule="exact"/>
              <w:rPr>
                <w:sz w:val="20"/>
                <w:szCs w:val="20"/>
                <w:color w:val="auto"/>
              </w:rPr>
            </w:pPr>
            <w:r>
              <w:rPr>
                <w:rFonts w:ascii="Arial" w:cs="Arial" w:eastAsia="Arial" w:hAnsi="Arial"/>
                <w:sz w:val="14"/>
                <w:szCs w:val="14"/>
                <w:color w:val="auto"/>
                <w:w w:val="91"/>
              </w:rPr>
              <w:t>Transfers</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83"/>
              <w:spacing w:after="0" w:line="149" w:lineRule="exact"/>
              <w:rPr>
                <w:sz w:val="20"/>
                <w:szCs w:val="20"/>
                <w:color w:val="auto"/>
              </w:rPr>
            </w:pPr>
            <w:r>
              <w:rPr>
                <w:rFonts w:ascii="Arial" w:cs="Arial" w:eastAsia="Arial" w:hAnsi="Arial"/>
                <w:sz w:val="14"/>
                <w:szCs w:val="14"/>
                <w:color w:val="auto"/>
                <w:w w:val="88"/>
              </w:rPr>
              <w:t>at December 31,</w:t>
            </w:r>
          </w:p>
        </w:tc>
        <w:tc>
          <w:tcPr>
            <w:tcW w:w="200" w:type="dxa"/>
            <w:vAlign w:val="bottom"/>
          </w:tcPr>
          <w:p>
            <w:pPr>
              <w:spacing w:after="0"/>
              <w:rPr>
                <w:sz w:val="12"/>
                <w:szCs w:val="12"/>
                <w:color w:val="auto"/>
              </w:rPr>
            </w:pPr>
          </w:p>
        </w:tc>
        <w:tc>
          <w:tcPr>
            <w:tcW w:w="840" w:type="dxa"/>
            <w:vAlign w:val="bottom"/>
          </w:tcPr>
          <w:p>
            <w:pPr>
              <w:jc w:val="right"/>
              <w:ind w:right="103"/>
              <w:spacing w:after="0" w:line="149" w:lineRule="exact"/>
              <w:rPr>
                <w:sz w:val="20"/>
                <w:szCs w:val="20"/>
                <w:color w:val="auto"/>
              </w:rPr>
            </w:pPr>
            <w:r>
              <w:rPr>
                <w:rFonts w:ascii="Arial" w:cs="Arial" w:eastAsia="Arial" w:hAnsi="Arial"/>
                <w:sz w:val="14"/>
                <w:szCs w:val="14"/>
                <w:color w:val="auto"/>
                <w:w w:val="94"/>
              </w:rPr>
              <w:t>Included in</w:t>
            </w:r>
          </w:p>
        </w:tc>
        <w:tc>
          <w:tcPr>
            <w:tcW w:w="240" w:type="dxa"/>
            <w:vAlign w:val="bottom"/>
          </w:tcPr>
          <w:p>
            <w:pPr>
              <w:spacing w:after="0"/>
              <w:rPr>
                <w:sz w:val="12"/>
                <w:szCs w:val="12"/>
                <w:color w:val="auto"/>
              </w:rPr>
            </w:pPr>
          </w:p>
        </w:tc>
        <w:tc>
          <w:tcPr>
            <w:tcW w:w="1160" w:type="dxa"/>
            <w:vAlign w:val="bottom"/>
          </w:tcPr>
          <w:p>
            <w:pPr>
              <w:jc w:val="center"/>
              <w:ind w:right="124"/>
              <w:spacing w:after="0" w:line="149" w:lineRule="exact"/>
              <w:rPr>
                <w:sz w:val="20"/>
                <w:szCs w:val="20"/>
                <w:color w:val="auto"/>
              </w:rPr>
            </w:pPr>
            <w:r>
              <w:rPr>
                <w:rFonts w:ascii="Arial" w:cs="Arial" w:eastAsia="Arial" w:hAnsi="Arial"/>
                <w:sz w:val="14"/>
                <w:szCs w:val="14"/>
                <w:color w:val="auto"/>
                <w:w w:val="92"/>
              </w:rPr>
              <w:t>comprehensive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43"/>
              <w:spacing w:after="0" w:line="149" w:lineRule="exact"/>
              <w:rPr>
                <w:sz w:val="20"/>
                <w:szCs w:val="20"/>
                <w:color w:val="auto"/>
              </w:rPr>
            </w:pPr>
            <w:r>
              <w:rPr>
                <w:rFonts w:ascii="Arial" w:cs="Arial" w:eastAsia="Arial" w:hAnsi="Arial"/>
                <w:sz w:val="14"/>
                <w:szCs w:val="14"/>
                <w:color w:val="auto"/>
              </w:rPr>
              <w:t>into</w:t>
            </w:r>
          </w:p>
        </w:tc>
        <w:tc>
          <w:tcPr>
            <w:tcW w:w="1020" w:type="dxa"/>
            <w:vAlign w:val="bottom"/>
            <w:gridSpan w:val="2"/>
          </w:tcPr>
          <w:p>
            <w:pPr>
              <w:jc w:val="center"/>
              <w:ind w:left="2"/>
              <w:spacing w:after="0" w:line="149" w:lineRule="exact"/>
              <w:rPr>
                <w:sz w:val="20"/>
                <w:szCs w:val="20"/>
                <w:color w:val="auto"/>
              </w:rPr>
            </w:pPr>
            <w:r>
              <w:rPr>
                <w:rFonts w:ascii="Arial" w:cs="Arial" w:eastAsia="Arial" w:hAnsi="Arial"/>
                <w:sz w:val="14"/>
                <w:szCs w:val="14"/>
                <w:color w:val="auto"/>
                <w:w w:val="96"/>
              </w:rPr>
              <w:t>out of Level</w:t>
            </w:r>
          </w:p>
        </w:tc>
        <w:tc>
          <w:tcPr>
            <w:tcW w:w="13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Ending balance at</w:t>
            </w: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w w:val="94"/>
              </w:rPr>
              <w:t>earnings</w:t>
            </w:r>
            <w:r>
              <w:rPr>
                <w:rFonts w:ascii="Arial" w:cs="Arial" w:eastAsia="Arial" w:hAnsi="Arial"/>
                <w:sz w:val="8"/>
                <w:szCs w:val="8"/>
                <w:color w:val="auto"/>
                <w:w w:val="94"/>
              </w:rPr>
              <w:t>(1)</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color w:val="auto"/>
                <w:w w:val="97"/>
              </w:rPr>
              <w:t>income</w:t>
            </w:r>
          </w:p>
        </w:tc>
        <w:tc>
          <w:tcPr>
            <w:tcW w:w="8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Purchases</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Sales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8"/>
              </w:rPr>
              <w:t>Level 3</w:t>
            </w:r>
            <w:r>
              <w:rPr>
                <w:rFonts w:ascii="Arial" w:cs="Arial" w:eastAsia="Arial" w:hAnsi="Arial"/>
                <w:sz w:val="8"/>
                <w:szCs w:val="8"/>
                <w:color w:val="auto"/>
                <w:w w:val="98"/>
              </w:rPr>
              <w:t>(2)</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3</w:t>
            </w:r>
            <w:r>
              <w:rPr>
                <w:rFonts w:ascii="Arial" w:cs="Arial" w:eastAsia="Arial" w:hAnsi="Arial"/>
                <w:sz w:val="8"/>
                <w:szCs w:val="8"/>
                <w:color w:val="auto"/>
              </w:rPr>
              <w:t>(2)</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7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9,352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4"/>
              <w:spacing w:after="0"/>
              <w:rPr>
                <w:sz w:val="20"/>
                <w:szCs w:val="20"/>
                <w:color w:val="auto"/>
              </w:rPr>
            </w:pPr>
            <w:r>
              <w:rPr>
                <w:rFonts w:ascii="Arial" w:cs="Arial" w:eastAsia="Arial" w:hAnsi="Arial"/>
                <w:sz w:val="16"/>
                <w:szCs w:val="16"/>
                <w:color w:val="auto"/>
              </w:rPr>
              <w:t>(41)</w:t>
            </w:r>
          </w:p>
        </w:tc>
        <w:tc>
          <w:tcPr>
            <w:tcW w:w="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4,954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(5,411)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11,196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(12,086)</w:t>
            </w:r>
          </w:p>
        </w:tc>
        <w:tc>
          <w:tcPr>
            <w:tcW w:w="480" w:type="dxa"/>
            <w:vAlign w:val="bottom"/>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7,879</w:t>
            </w:r>
          </w:p>
        </w:tc>
        <w:tc>
          <w:tcPr>
            <w:tcW w:w="0" w:type="dxa"/>
            <w:vAlign w:val="bottom"/>
          </w:tcPr>
          <w:p>
            <w:pPr>
              <w:spacing w:after="0"/>
              <w:rPr>
                <w:sz w:val="1"/>
                <w:szCs w:val="1"/>
                <w:color w:val="auto"/>
              </w:rPr>
            </w:pPr>
          </w:p>
        </w:tc>
      </w:tr>
      <w:tr>
        <w:trPr>
          <w:trHeight w:val="284"/>
        </w:trPr>
        <w:tc>
          <w:tcPr>
            <w:tcW w:w="272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2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840" w:type="dxa"/>
            <w:vAlign w:val="bottom"/>
          </w:tcPr>
          <w:p>
            <w:pPr>
              <w:jc w:val="right"/>
              <w:ind w:right="83"/>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4"/>
                <w:szCs w:val="24"/>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2,200</w:t>
            </w:r>
          </w:p>
        </w:tc>
        <w:tc>
          <w:tcPr>
            <w:tcW w:w="260" w:type="dxa"/>
            <w:vAlign w:val="bottom"/>
          </w:tcPr>
          <w:p>
            <w:pPr>
              <w:spacing w:after="0"/>
              <w:rPr>
                <w:sz w:val="24"/>
                <w:szCs w:val="24"/>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24"/>
                <w:szCs w:val="24"/>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4"/>
                <w:szCs w:val="24"/>
                <w:color w:val="auto"/>
              </w:rPr>
            </w:pP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0</w:t>
            </w:r>
          </w:p>
        </w:tc>
        <w:tc>
          <w:tcPr>
            <w:tcW w:w="48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33"/>
        </w:trPr>
        <w:tc>
          <w:tcPr>
            <w:tcW w:w="2720" w:type="dxa"/>
            <w:vAlign w:val="bottom"/>
            <w:vMerge w:val="restart"/>
          </w:tcPr>
          <w:p>
            <w:pPr>
              <w:spacing w:after="0"/>
              <w:rPr>
                <w:sz w:val="20"/>
                <w:szCs w:val="20"/>
                <w:color w:val="auto"/>
              </w:rPr>
            </w:pPr>
            <w:r>
              <w:rPr>
                <w:rFonts w:ascii="Arial" w:cs="Arial" w:eastAsia="Arial" w:hAnsi="Arial"/>
                <w:sz w:val="16"/>
                <w:szCs w:val="16"/>
                <w:color w:val="auto"/>
              </w:rPr>
              <w:t>Total Level 3 available-for-sale</w:t>
            </w: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20" w:type="dxa"/>
            <w:vAlign w:val="bottom"/>
            <w:vMerge w:val="continue"/>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ind w:right="103"/>
              <w:spacing w:after="0"/>
              <w:rPr>
                <w:sz w:val="20"/>
                <w:szCs w:val="20"/>
                <w:color w:val="auto"/>
              </w:rPr>
            </w:pPr>
            <w:r>
              <w:rPr>
                <w:rFonts w:ascii="Arial" w:cs="Arial" w:eastAsia="Arial" w:hAnsi="Arial"/>
                <w:sz w:val="16"/>
                <w:szCs w:val="16"/>
                <w:color w:val="auto"/>
              </w:rPr>
              <w:t>9,352</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3"/>
              <w:spacing w:after="0"/>
              <w:rPr>
                <w:sz w:val="20"/>
                <w:szCs w:val="20"/>
                <w:color w:val="auto"/>
              </w:rPr>
            </w:pPr>
            <w:r>
              <w:rPr>
                <w:rFonts w:ascii="Arial" w:cs="Arial" w:eastAsia="Arial" w:hAnsi="Arial"/>
                <w:sz w:val="16"/>
                <w:szCs w:val="16"/>
                <w:color w:val="auto"/>
              </w:rPr>
              <w:t>(85)</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24"/>
              <w:spacing w:after="0"/>
              <w:rPr>
                <w:sz w:val="20"/>
                <w:szCs w:val="20"/>
                <w:color w:val="auto"/>
              </w:rPr>
            </w:pPr>
            <w:r>
              <w:rPr>
                <w:rFonts w:ascii="Arial" w:cs="Arial" w:eastAsia="Arial" w:hAnsi="Arial"/>
                <w:sz w:val="16"/>
                <w:szCs w:val="16"/>
                <w:color w:val="auto"/>
              </w:rPr>
              <w:t>(41)</w:t>
            </w:r>
          </w:p>
        </w:tc>
        <w:tc>
          <w:tcPr>
            <w:tcW w:w="30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39"/>
              <w:spacing w:after="0"/>
              <w:rPr>
                <w:sz w:val="20"/>
                <w:szCs w:val="20"/>
                <w:color w:val="auto"/>
              </w:rPr>
            </w:pPr>
            <w:r>
              <w:rPr>
                <w:rFonts w:ascii="Arial" w:cs="Arial" w:eastAsia="Arial" w:hAnsi="Arial"/>
                <w:sz w:val="16"/>
                <w:szCs w:val="16"/>
                <w:color w:val="auto"/>
              </w:rPr>
              <w:t>7,154</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(5,411)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43"/>
              <w:spacing w:after="0"/>
              <w:rPr>
                <w:sz w:val="20"/>
                <w:szCs w:val="20"/>
                <w:color w:val="auto"/>
              </w:rPr>
            </w:pPr>
            <w:r>
              <w:rPr>
                <w:rFonts w:ascii="Arial" w:cs="Arial" w:eastAsia="Arial" w:hAnsi="Arial"/>
                <w:sz w:val="16"/>
                <w:szCs w:val="16"/>
                <w:color w:val="auto"/>
              </w:rPr>
              <w:t>11,196</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3"/>
              <w:spacing w:after="0"/>
              <w:rPr>
                <w:sz w:val="20"/>
                <w:szCs w:val="20"/>
                <w:color w:val="auto"/>
              </w:rPr>
            </w:pPr>
            <w:r>
              <w:rPr>
                <w:rFonts w:ascii="Arial" w:cs="Arial" w:eastAsia="Arial" w:hAnsi="Arial"/>
                <w:sz w:val="16"/>
                <w:szCs w:val="16"/>
                <w:color w:val="auto"/>
              </w:rPr>
              <w:t>(12,086)</w:t>
            </w:r>
          </w:p>
        </w:tc>
        <w:tc>
          <w:tcPr>
            <w:tcW w:w="480" w:type="dxa"/>
            <w:vAlign w:val="bottom"/>
            <w:vMerge w:val="restart"/>
          </w:tcPr>
          <w:p>
            <w:pPr>
              <w:jc w:val="right"/>
              <w:ind w:right="223"/>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224"/>
        </w:trPr>
        <w:tc>
          <w:tcPr>
            <w:tcW w:w="2720" w:type="dxa"/>
            <w:vAlign w:val="bottom"/>
          </w:tcPr>
          <w:p>
            <w:pPr>
              <w:spacing w:after="0"/>
              <w:rPr>
                <w:sz w:val="20"/>
                <w:szCs w:val="20"/>
                <w:color w:val="auto"/>
              </w:rPr>
            </w:pPr>
            <w:r>
              <w:rPr>
                <w:rFonts w:ascii="Arial" w:cs="Arial" w:eastAsia="Arial" w:hAnsi="Arial"/>
                <w:sz w:val="16"/>
                <w:szCs w:val="16"/>
                <w:color w:val="auto"/>
              </w:rPr>
              <w:t>securities</w:t>
            </w:r>
          </w:p>
        </w:tc>
        <w:tc>
          <w:tcPr>
            <w:tcW w:w="1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reported in the Statements of Operations as net investment income and net realized investment gains (losses) for each of the periods presented above.</w:t>
      </w:r>
    </w:p>
    <w:p>
      <w:pPr>
        <w:spacing w:after="0" w:line="13" w:lineRule="exact"/>
        <w:rPr>
          <w:rFonts w:ascii="Arial" w:cs="Arial" w:eastAsia="Arial" w:hAnsi="Arial"/>
          <w:sz w:val="14"/>
          <w:szCs w:val="14"/>
          <w:i w:val="1"/>
          <w:iCs w:val="1"/>
          <w:color w:val="auto"/>
        </w:rPr>
      </w:pPr>
    </w:p>
    <w:p>
      <w:pPr>
        <w:ind w:left="660" w:hanging="328"/>
        <w:spacing w:after="0"/>
        <w:tabs>
          <w:tab w:leader="none" w:pos="66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2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change in unrealized gains or losses included in other comprehensive income related to Level 3 securities held at the reporting date is as follows for the years ended December 31:</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2017</w:t>
            </w:r>
          </w:p>
        </w:tc>
        <w:tc>
          <w:tcPr>
            <w:tcW w:w="3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47"/>
        </w:trPr>
        <w:tc>
          <w:tcPr>
            <w:tcW w:w="808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0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80" w:type="dxa"/>
            <w:vAlign w:val="bottom"/>
            <w:vMerge w:val="restart"/>
          </w:tcPr>
          <w:p>
            <w:pPr>
              <w:spacing w:after="0"/>
              <w:rPr>
                <w:sz w:val="20"/>
                <w:szCs w:val="20"/>
                <w:color w:val="auto"/>
              </w:rPr>
            </w:pPr>
            <w:r>
              <w:rPr>
                <w:rFonts w:ascii="Arial" w:cs="Arial" w:eastAsia="Arial" w:hAnsi="Arial"/>
                <w:sz w:val="16"/>
                <w:szCs w:val="16"/>
                <w:color w:val="auto"/>
              </w:rPr>
              <w:t>Net unrealized losses on Level 3 securities held at reporting date</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80" w:type="dxa"/>
            <w:vAlign w:val="bottom"/>
            <w:vMerge w:val="continue"/>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Quantitative and Qualitative Disclosures about Unobservable Inputs</w:t>
      </w:r>
    </w:p>
    <w:p>
      <w:pPr>
        <w:spacing w:after="0" w:line="225" w:lineRule="exact"/>
        <w:rPr>
          <w:sz w:val="20"/>
          <w:szCs w:val="20"/>
          <w:color w:val="auto"/>
        </w:rPr>
      </w:pPr>
    </w:p>
    <w:p>
      <w:pPr>
        <w:ind w:left="60" w:right="280"/>
        <w:spacing w:after="0" w:line="277" w:lineRule="auto"/>
        <w:rPr>
          <w:sz w:val="20"/>
          <w:szCs w:val="20"/>
          <w:color w:val="auto"/>
        </w:rPr>
      </w:pPr>
      <w:r>
        <w:rPr>
          <w:rFonts w:ascii="Arial" w:cs="Arial" w:eastAsia="Arial" w:hAnsi="Arial"/>
          <w:sz w:val="18"/>
          <w:szCs w:val="18"/>
          <w:color w:val="auto"/>
        </w:rPr>
        <w:t>When a non-binding broker quote was the only input available, the security was classified as Level 3. The quantitative detail of the unobservable inputs is neither provided nor reasonably available to us.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fair value measurements on a recurring basis by pricing source:</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3"/>
          </w:tcPr>
          <w:p>
            <w:pPr>
              <w:jc w:val="right"/>
              <w:ind w:right="499"/>
              <w:spacing w:after="0"/>
              <w:rPr>
                <w:sz w:val="20"/>
                <w:szCs w:val="20"/>
                <w:color w:val="auto"/>
              </w:rPr>
            </w:pPr>
            <w:r>
              <w:rPr>
                <w:rFonts w:ascii="Arial" w:cs="Arial" w:eastAsia="Arial" w:hAnsi="Arial"/>
                <w:sz w:val="16"/>
                <w:szCs w:val="16"/>
                <w:color w:val="auto"/>
              </w:rPr>
              <w:t>At December 31, 2018</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Level 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Level 2</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 xml:space="preserve">Level 3 </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Arial" w:cs="Arial" w:eastAsia="Arial" w:hAnsi="Arial"/>
                <w:sz w:val="16"/>
                <w:szCs w:val="16"/>
                <w:color w:val="auto"/>
              </w:rPr>
              <w:t>Available-for-sale securities: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040" w:type="dxa"/>
            <w:vAlign w:val="bottom"/>
          </w:tcPr>
          <w:p>
            <w:pPr>
              <w:ind w:left="120"/>
              <w:spacing w:after="0"/>
              <w:rPr>
                <w:sz w:val="20"/>
                <w:szCs w:val="20"/>
                <w:color w:val="auto"/>
              </w:rPr>
            </w:pPr>
            <w:r>
              <w:rPr>
                <w:rFonts w:ascii="Arial" w:cs="Arial" w:eastAsia="Arial" w:hAnsi="Arial"/>
                <w:sz w:val="16"/>
                <w:szCs w:val="16"/>
                <w:color w:val="auto"/>
              </w:rPr>
              <w:t>Priced via pricing services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748,480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735,946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12,534</w:t>
            </w:r>
          </w:p>
        </w:tc>
        <w:tc>
          <w:tcPr>
            <w:tcW w:w="0" w:type="dxa"/>
            <w:vAlign w:val="bottom"/>
          </w:tcPr>
          <w:p>
            <w:pPr>
              <w:spacing w:after="0"/>
              <w:rPr>
                <w:sz w:val="1"/>
                <w:szCs w:val="1"/>
                <w:color w:val="auto"/>
              </w:rPr>
            </w:pPr>
          </w:p>
        </w:tc>
      </w:tr>
      <w:tr>
        <w:trPr>
          <w:trHeight w:val="270"/>
        </w:trPr>
        <w:tc>
          <w:tcPr>
            <w:tcW w:w="6040" w:type="dxa"/>
            <w:vAlign w:val="bottom"/>
          </w:tcPr>
          <w:p>
            <w:pPr>
              <w:ind w:left="120"/>
              <w:spacing w:after="0"/>
              <w:rPr>
                <w:sz w:val="20"/>
                <w:szCs w:val="20"/>
                <w:color w:val="auto"/>
              </w:rPr>
            </w:pPr>
            <w:r>
              <w:rPr>
                <w:rFonts w:ascii="Arial" w:cs="Arial" w:eastAsia="Arial" w:hAnsi="Arial"/>
                <w:sz w:val="16"/>
                <w:szCs w:val="16"/>
                <w:color w:val="auto"/>
              </w:rPr>
              <w:t>Priced via market comparables/broker quotes</w:t>
            </w: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240"/>
              <w:spacing w:after="0"/>
              <w:rPr>
                <w:sz w:val="20"/>
                <w:szCs w:val="20"/>
                <w:color w:val="auto"/>
              </w:rPr>
            </w:pPr>
            <w:r>
              <w:rPr>
                <w:rFonts w:ascii="Arial" w:cs="Arial" w:eastAsia="Arial" w:hAnsi="Arial"/>
                <w:sz w:val="16"/>
                <w:szCs w:val="16"/>
                <w:color w:val="auto"/>
              </w:rPr>
              <w:t>Total available-for-sale securities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748,523</w:t>
            </w:r>
          </w:p>
        </w:tc>
        <w:tc>
          <w:tcPr>
            <w:tcW w:w="3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735,946</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r>
              <w:rPr>
                <w:rFonts w:ascii="Arial" w:cs="Arial" w:eastAsia="Arial" w:hAnsi="Arial"/>
                <w:sz w:val="16"/>
                <w:szCs w:val="16"/>
                <w:color w:val="auto"/>
              </w:rPr>
              <w:t>Equity securities priced via pricing services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11,853</w:t>
            </w:r>
          </w:p>
        </w:tc>
        <w:tc>
          <w:tcPr>
            <w:tcW w:w="3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1,809</w:t>
            </w: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10,044</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302"/>
        </w:trPr>
        <w:tc>
          <w:tcPr>
            <w:tcW w:w="6040" w:type="dxa"/>
            <w:vAlign w:val="bottom"/>
          </w:tcPr>
          <w:p>
            <w:pPr>
              <w:spacing w:after="0"/>
              <w:rPr>
                <w:sz w:val="20"/>
                <w:szCs w:val="20"/>
                <w:color w:val="auto"/>
              </w:rPr>
            </w:pPr>
            <w:r>
              <w:rPr>
                <w:rFonts w:ascii="Arial" w:cs="Arial" w:eastAsia="Arial" w:hAnsi="Arial"/>
                <w:sz w:val="16"/>
                <w:szCs w:val="16"/>
                <w:color w:val="auto"/>
              </w:rPr>
              <w:t xml:space="preserve">Other limited partnership investments priced via unobservable inputs </w:t>
            </w:r>
            <w:r>
              <w:rPr>
                <w:rFonts w:ascii="Arial" w:cs="Arial" w:eastAsia="Arial" w:hAnsi="Arial"/>
                <w:sz w:val="17"/>
                <w:szCs w:val="17"/>
                <w:color w:val="auto"/>
                <w:vertAlign w:val="superscript"/>
              </w:rPr>
              <w:t>(2)</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3,206</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6040" w:type="dxa"/>
            <w:vAlign w:val="bottom"/>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763,582</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745,990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12,577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Securities classified as Level 3 were priced using non-binding broker quotes.</w:t>
      </w:r>
    </w:p>
    <w:p>
      <w:pPr>
        <w:spacing w:after="0" w:line="13" w:lineRule="exact"/>
        <w:rPr>
          <w:rFonts w:ascii="Arial" w:cs="Arial" w:eastAsia="Arial" w:hAnsi="Arial"/>
          <w:sz w:val="14"/>
          <w:szCs w:val="14"/>
          <w:i w:val="1"/>
          <w:iCs w:val="1"/>
          <w:color w:val="auto"/>
        </w:rPr>
      </w:pPr>
    </w:p>
    <w:p>
      <w:pPr>
        <w:ind w:left="660" w:right="200" w:hanging="328"/>
        <w:spacing w:after="0" w:line="255" w:lineRule="auto"/>
        <w:tabs>
          <w:tab w:leader="none" w:pos="66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one real estate fund included on the Statements of Financial Position as limited partnership investments that is reported under the fair value option using the NAV practical expedient. These amounts are not required to be categorized in the fair value hierarchy.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disclosed, but not carried at fair value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carrying values and fair value measurements, which are categorized as Level 3 in the fair value hierarchy, of financial instruments disclosed, but not carried at fair value:</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gridSpan w:val="4"/>
          </w:tcPr>
          <w:p>
            <w:pPr>
              <w:ind w:left="640"/>
              <w:spacing w:after="0"/>
              <w:rPr>
                <w:sz w:val="20"/>
                <w:szCs w:val="20"/>
                <w:color w:val="auto"/>
              </w:rPr>
            </w:pPr>
            <w:r>
              <w:rPr>
                <w:rFonts w:ascii="Arial" w:cs="Arial" w:eastAsia="Arial" w:hAnsi="Arial"/>
                <w:sz w:val="16"/>
                <w:szCs w:val="16"/>
                <w:color w:val="auto"/>
              </w:rPr>
              <w:t>At December 31, 2018</w:t>
            </w:r>
          </w:p>
        </w:tc>
        <w:tc>
          <w:tcPr>
            <w:tcW w:w="160" w:type="dxa"/>
            <w:vAlign w:val="bottom"/>
          </w:tcPr>
          <w:p>
            <w:pPr>
              <w:spacing w:after="0"/>
              <w:rPr>
                <w:sz w:val="17"/>
                <w:szCs w:val="17"/>
                <w:color w:val="auto"/>
              </w:rPr>
            </w:pPr>
          </w:p>
        </w:tc>
        <w:tc>
          <w:tcPr>
            <w:tcW w:w="2880" w:type="dxa"/>
            <w:vAlign w:val="bottom"/>
            <w:gridSpan w:val="3"/>
          </w:tcPr>
          <w:p>
            <w:pPr>
              <w:ind w:left="640"/>
              <w:spacing w:after="0"/>
              <w:rPr>
                <w:sz w:val="20"/>
                <w:szCs w:val="20"/>
                <w:color w:val="auto"/>
              </w:rPr>
            </w:pPr>
            <w:r>
              <w:rPr>
                <w:rFonts w:ascii="Arial" w:cs="Arial" w:eastAsia="Arial" w:hAnsi="Arial"/>
                <w:sz w:val="16"/>
                <w:szCs w:val="16"/>
                <w:color w:val="auto"/>
              </w:rPr>
              <w:t>At December 31, 2017</w:t>
            </w:r>
          </w:p>
        </w:tc>
      </w:tr>
      <w:tr>
        <w:trPr>
          <w:trHeight w:val="297"/>
        </w:trPr>
        <w:tc>
          <w:tcPr>
            <w:tcW w:w="5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w w:val="98"/>
              </w:rPr>
              <w:t>Carrying Value</w:t>
            </w:r>
          </w:p>
        </w:tc>
        <w:tc>
          <w:tcPr>
            <w:tcW w:w="40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6"/>
                <w:szCs w:val="16"/>
                <w:color w:val="auto"/>
              </w:rPr>
              <w:t>Fair Value</w:t>
            </w:r>
          </w:p>
        </w:tc>
        <w:tc>
          <w:tcPr>
            <w:tcW w:w="160" w:type="dxa"/>
            <w:vAlign w:val="bottom"/>
          </w:tcPr>
          <w:p>
            <w:pPr>
              <w:spacing w:after="0"/>
              <w:rPr>
                <w:sz w:val="24"/>
                <w:szCs w:val="24"/>
                <w:color w:val="auto"/>
              </w:rPr>
            </w:pPr>
          </w:p>
        </w:tc>
        <w:tc>
          <w:tcPr>
            <w:tcW w:w="1280" w:type="dxa"/>
            <w:vAlign w:val="bottom"/>
          </w:tcPr>
          <w:p>
            <w:pPr>
              <w:ind w:left="40"/>
              <w:spacing w:after="0"/>
              <w:rPr>
                <w:sz w:val="20"/>
                <w:szCs w:val="20"/>
                <w:color w:val="auto"/>
              </w:rPr>
            </w:pPr>
            <w:r>
              <w:rPr>
                <w:rFonts w:ascii="Arial" w:cs="Arial" w:eastAsia="Arial" w:hAnsi="Arial"/>
                <w:sz w:val="16"/>
                <w:szCs w:val="16"/>
                <w:color w:val="auto"/>
              </w:rPr>
              <w:t>Carrying Value</w:t>
            </w:r>
          </w:p>
        </w:tc>
        <w:tc>
          <w:tcPr>
            <w:tcW w:w="400" w:type="dxa"/>
            <w:vAlign w:val="bottom"/>
          </w:tcPr>
          <w:p>
            <w:pPr>
              <w:spacing w:after="0"/>
              <w:rPr>
                <w:sz w:val="24"/>
                <w:szCs w:val="24"/>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Fair Value</w:t>
            </w:r>
          </w:p>
        </w:tc>
      </w:tr>
      <w:tr>
        <w:trPr>
          <w:trHeight w:val="241"/>
        </w:trPr>
        <w:tc>
          <w:tcPr>
            <w:tcW w:w="5000" w:type="dxa"/>
            <w:vAlign w:val="bottom"/>
          </w:tcPr>
          <w:p>
            <w:pPr>
              <w:ind w:left="140"/>
              <w:spacing w:after="0"/>
              <w:rPr>
                <w:sz w:val="20"/>
                <w:szCs w:val="20"/>
                <w:color w:val="auto"/>
              </w:rPr>
            </w:pPr>
            <w:r>
              <w:rPr>
                <w:rFonts w:ascii="Arial" w:cs="Arial" w:eastAsia="Arial" w:hAnsi="Arial"/>
                <w:sz w:val="16"/>
                <w:szCs w:val="16"/>
                <w:color w:val="auto"/>
              </w:rPr>
              <w:t xml:space="preserve">Agent loans </w:t>
            </w:r>
            <w:r>
              <w:rPr>
                <w:rFonts w:ascii="Arial" w:cs="Arial" w:eastAsia="Arial" w:hAnsi="Arial"/>
                <w:sz w:val="17"/>
                <w:szCs w:val="17"/>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58,006</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54,110</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rPr>
              <w:t>21,849</w:t>
            </w:r>
          </w:p>
        </w:tc>
        <w:tc>
          <w:tcPr>
            <w:tcW w:w="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21,849</w:t>
            </w:r>
          </w:p>
        </w:tc>
      </w:tr>
      <w:tr>
        <w:trPr>
          <w:trHeight w:val="266"/>
        </w:trPr>
        <w:tc>
          <w:tcPr>
            <w:tcW w:w="5000" w:type="dxa"/>
            <w:vAlign w:val="bottom"/>
          </w:tcPr>
          <w:p>
            <w:pPr>
              <w:ind w:left="140"/>
              <w:spacing w:after="0"/>
              <w:rPr>
                <w:sz w:val="20"/>
                <w:szCs w:val="20"/>
                <w:color w:val="auto"/>
              </w:rPr>
            </w:pPr>
            <w:r>
              <w:rPr>
                <w:rFonts w:ascii="Arial" w:cs="Arial" w:eastAsia="Arial" w:hAnsi="Arial"/>
                <w:sz w:val="16"/>
                <w:szCs w:val="16"/>
                <w:color w:val="auto"/>
              </w:rPr>
              <w:t>Long-term borrowings</w:t>
            </w:r>
          </w:p>
        </w:tc>
        <w:tc>
          <w:tcPr>
            <w:tcW w:w="180" w:type="dxa"/>
            <w:vAlign w:val="bottom"/>
          </w:tcPr>
          <w:p>
            <w:pPr>
              <w:spacing w:after="0"/>
              <w:rPr>
                <w:sz w:val="23"/>
                <w:szCs w:val="23"/>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99,730</w:t>
            </w:r>
          </w:p>
        </w:tc>
        <w:tc>
          <w:tcPr>
            <w:tcW w:w="40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94,057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ind w:left="660"/>
              <w:spacing w:after="0"/>
              <w:rPr>
                <w:sz w:val="20"/>
                <w:szCs w:val="20"/>
                <w:color w:val="auto"/>
              </w:rPr>
            </w:pPr>
            <w:r>
              <w:rPr>
                <w:rFonts w:ascii="Arial" w:cs="Arial" w:eastAsia="Arial" w:hAnsi="Arial"/>
                <w:sz w:val="16"/>
                <w:szCs w:val="16"/>
                <w:color w:val="auto"/>
              </w:rPr>
              <w:t>74,728</w:t>
            </w:r>
          </w:p>
        </w:tc>
        <w:tc>
          <w:tcPr>
            <w:tcW w:w="40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72,424</w:t>
            </w:r>
          </w:p>
        </w:tc>
      </w:tr>
    </w:tbl>
    <w:p>
      <w:pPr>
        <w:spacing w:after="0" w:line="9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agent loans approximates carrying value at December 31, 2017.</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cost and fair value of our available-for-sale securities. See also Note 5, "Fair Value" for additional fair value disclosures.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739"/>
              <w:spacing w:after="0"/>
              <w:rPr>
                <w:sz w:val="20"/>
                <w:szCs w:val="20"/>
                <w:color w:val="auto"/>
              </w:rPr>
            </w:pPr>
            <w:r>
              <w:rPr>
                <w:rFonts w:ascii="Arial" w:cs="Arial" w:eastAsia="Arial" w:hAnsi="Arial"/>
                <w:sz w:val="16"/>
                <w:szCs w:val="16"/>
                <w:color w:val="auto"/>
              </w:rPr>
              <w:t>At December 31, 2018</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0"/>
              </w:rPr>
              <w:t>Gross unrealized</w:t>
            </w:r>
          </w:p>
        </w:tc>
        <w:tc>
          <w:tcPr>
            <w:tcW w:w="28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w w:val="89"/>
              </w:rPr>
              <w:t>Gross unrealized</w:t>
            </w:r>
          </w:p>
        </w:tc>
        <w:tc>
          <w:tcPr>
            <w:tcW w:w="32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Estimated fair</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w w:val="96"/>
              </w:rPr>
              <w:t>Amortized cost</w:t>
            </w:r>
          </w:p>
        </w:tc>
        <w:tc>
          <w:tcPr>
            <w:tcW w:w="280" w:type="dxa"/>
            <w:vAlign w:val="bottom"/>
          </w:tcPr>
          <w:p>
            <w:pPr>
              <w:spacing w:after="0"/>
              <w:rPr>
                <w:sz w:val="17"/>
                <w:szCs w:val="17"/>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color w:val="auto"/>
              </w:rPr>
              <w:t>gains</w:t>
            </w:r>
          </w:p>
        </w:tc>
        <w:tc>
          <w:tcPr>
            <w:tcW w:w="280" w:type="dxa"/>
            <w:vAlign w:val="bottom"/>
          </w:tcPr>
          <w:p>
            <w:pPr>
              <w:spacing w:after="0"/>
              <w:rPr>
                <w:sz w:val="17"/>
                <w:szCs w:val="17"/>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3"/>
        </w:trPr>
        <w:tc>
          <w:tcPr>
            <w:tcW w:w="524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5240" w:type="dxa"/>
            <w:vAlign w:val="bottom"/>
          </w:tcPr>
          <w:p>
            <w:pPr>
              <w:ind w:left="140"/>
              <w:spacing w:after="0"/>
              <w:rPr>
                <w:sz w:val="20"/>
                <w:szCs w:val="20"/>
                <w:color w:val="auto"/>
              </w:rPr>
            </w:pPr>
            <w:r>
              <w:rPr>
                <w:rFonts w:ascii="Arial" w:cs="Arial" w:eastAsia="Arial" w:hAnsi="Arial"/>
                <w:sz w:val="16"/>
                <w:szCs w:val="16"/>
                <w:color w:val="auto"/>
              </w:rPr>
              <w:t xml:space="preserve">U.S. Treasury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208,610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216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208,412</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 xml:space="preserve">States &amp; political subdivisions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157,003</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159,023</w:t>
            </w:r>
          </w:p>
        </w:tc>
        <w:tc>
          <w:tcPr>
            <w:tcW w:w="0" w:type="dxa"/>
            <w:vAlign w:val="bottom"/>
          </w:tcPr>
          <w:p>
            <w:pPr>
              <w:spacing w:after="0"/>
              <w:rPr>
                <w:sz w:val="1"/>
                <w:szCs w:val="1"/>
                <w:color w:val="auto"/>
              </w:rPr>
            </w:pPr>
          </w:p>
        </w:tc>
      </w:tr>
      <w:tr>
        <w:trPr>
          <w:trHeight w:val="206"/>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259,362</w:t>
            </w:r>
          </w:p>
        </w:tc>
        <w:tc>
          <w:tcPr>
            <w:tcW w:w="280" w:type="dxa"/>
            <w:vAlign w:val="bottom"/>
          </w:tcPr>
          <w:p>
            <w:pPr>
              <w:spacing w:after="0"/>
              <w:rPr>
                <w:sz w:val="17"/>
                <w:szCs w:val="17"/>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139</w:t>
            </w:r>
          </w:p>
        </w:tc>
        <w:tc>
          <w:tcPr>
            <w:tcW w:w="28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9,554</w:t>
            </w:r>
          </w:p>
        </w:tc>
        <w:tc>
          <w:tcPr>
            <w:tcW w:w="32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249,947</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4,603</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4,609</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47,022</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587</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46,515</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65,039</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830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64,239</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15,756</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15,778</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757,395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2,358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11,230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748,523</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660" w:right="240" w:hanging="247"/>
        <w:spacing w:after="0" w:line="353" w:lineRule="auto"/>
        <w:tabs>
          <w:tab w:leader="none" w:pos="660"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In the fourth quarter of 2018, we began selling off our municipal bonds as part of a portfolio rebalancing. We intend to sell the remaining municipal bonds in the first half of 2019. We have currently invested proceeds from these sales in short-term U.S. Treasuries.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739"/>
              <w:spacing w:after="0"/>
              <w:rPr>
                <w:sz w:val="20"/>
                <w:szCs w:val="20"/>
                <w:color w:val="auto"/>
              </w:rPr>
            </w:pPr>
            <w:r>
              <w:rPr>
                <w:rFonts w:ascii="Arial" w:cs="Arial" w:eastAsia="Arial" w:hAnsi="Arial"/>
                <w:sz w:val="16"/>
                <w:szCs w:val="16"/>
                <w:color w:val="auto"/>
              </w:rPr>
              <w:t>At December 31, 2017</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0"/>
              </w:rPr>
              <w:t>Gross unrealized</w:t>
            </w:r>
          </w:p>
        </w:tc>
        <w:tc>
          <w:tcPr>
            <w:tcW w:w="28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w w:val="89"/>
              </w:rPr>
              <w:t>Gross unrealized</w:t>
            </w:r>
          </w:p>
        </w:tc>
        <w:tc>
          <w:tcPr>
            <w:tcW w:w="320" w:type="dxa"/>
            <w:vAlign w:val="bottom"/>
          </w:tcPr>
          <w:p>
            <w:pPr>
              <w:spacing w:after="0"/>
              <w:rPr>
                <w:sz w:val="21"/>
                <w:szCs w:val="21"/>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Estimated fair</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w w:val="96"/>
              </w:rPr>
              <w:t>Amortized cost</w:t>
            </w:r>
          </w:p>
        </w:tc>
        <w:tc>
          <w:tcPr>
            <w:tcW w:w="280" w:type="dxa"/>
            <w:vAlign w:val="bottom"/>
          </w:tcPr>
          <w:p>
            <w:pPr>
              <w:spacing w:after="0"/>
              <w:rPr>
                <w:sz w:val="17"/>
                <w:szCs w:val="17"/>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color w:val="auto"/>
              </w:rPr>
              <w:t>gains</w:t>
            </w:r>
          </w:p>
        </w:tc>
        <w:tc>
          <w:tcPr>
            <w:tcW w:w="280" w:type="dxa"/>
            <w:vAlign w:val="bottom"/>
          </w:tcPr>
          <w:p>
            <w:pPr>
              <w:spacing w:after="0"/>
              <w:rPr>
                <w:sz w:val="17"/>
                <w:szCs w:val="17"/>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losses</w:t>
            </w:r>
          </w:p>
        </w:tc>
        <w:tc>
          <w:tcPr>
            <w:tcW w:w="32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33"/>
        </w:trPr>
        <w:tc>
          <w:tcPr>
            <w:tcW w:w="524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24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11,873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139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11,734</w:t>
            </w:r>
          </w:p>
        </w:tc>
        <w:tc>
          <w:tcPr>
            <w:tcW w:w="0" w:type="dxa"/>
            <w:vAlign w:val="bottom"/>
          </w:tcPr>
          <w:p>
            <w:pPr>
              <w:spacing w:after="0"/>
              <w:rPr>
                <w:sz w:val="1"/>
                <w:szCs w:val="1"/>
                <w:color w:val="auto"/>
              </w:rPr>
            </w:pPr>
          </w:p>
        </w:tc>
      </w:tr>
      <w:tr>
        <w:trPr>
          <w:trHeight w:val="284"/>
        </w:trPr>
        <w:tc>
          <w:tcPr>
            <w:tcW w:w="524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140" w:type="dxa"/>
            <w:vAlign w:val="bottom"/>
          </w:tcPr>
          <w:p>
            <w:pPr>
              <w:spacing w:after="0"/>
              <w:rPr>
                <w:sz w:val="24"/>
                <w:szCs w:val="24"/>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254,533</w:t>
            </w:r>
          </w:p>
        </w:tc>
        <w:tc>
          <w:tcPr>
            <w:tcW w:w="28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5,351</w:t>
            </w:r>
          </w:p>
        </w:tc>
        <w:tc>
          <w:tcPr>
            <w:tcW w:w="280" w:type="dxa"/>
            <w:vAlign w:val="bottom"/>
          </w:tcPr>
          <w:p>
            <w:pPr>
              <w:spacing w:after="0"/>
              <w:rPr>
                <w:sz w:val="24"/>
                <w:szCs w:val="24"/>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620</w:t>
            </w:r>
          </w:p>
        </w:tc>
        <w:tc>
          <w:tcPr>
            <w:tcW w:w="32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259,264</w:t>
            </w:r>
          </w:p>
        </w:tc>
        <w:tc>
          <w:tcPr>
            <w:tcW w:w="0" w:type="dxa"/>
            <w:vAlign w:val="bottom"/>
          </w:tcPr>
          <w:p>
            <w:pPr>
              <w:spacing w:after="0"/>
              <w:rPr>
                <w:sz w:val="1"/>
                <w:szCs w:val="1"/>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6"/>
                <w:szCs w:val="16"/>
                <w:color w:val="auto"/>
              </w:rPr>
              <w:t>Foreign government securities</w:t>
            </w:r>
          </w:p>
        </w:tc>
        <w:tc>
          <w:tcPr>
            <w:tcW w:w="140" w:type="dxa"/>
            <w:vAlign w:val="bottom"/>
          </w:tcPr>
          <w:p>
            <w:pPr>
              <w:spacing w:after="0"/>
              <w:rPr>
                <w:sz w:val="22"/>
                <w:szCs w:val="22"/>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501</w:t>
            </w:r>
          </w:p>
        </w:tc>
        <w:tc>
          <w:tcPr>
            <w:tcW w:w="28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346,759</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1,688</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1,924</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346,523</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25,324</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371</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124</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25,571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33,475</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697</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32,804</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57,838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237</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58,034</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11,496</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11,528</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24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741,799</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7,707</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3,545</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745,961</w:t>
            </w:r>
          </w:p>
        </w:tc>
        <w:tc>
          <w:tcPr>
            <w:tcW w:w="0" w:type="dxa"/>
            <w:vAlign w:val="bottom"/>
          </w:tcPr>
          <w:p>
            <w:pPr>
              <w:spacing w:after="0"/>
              <w:rPr>
                <w:sz w:val="1"/>
                <w:szCs w:val="1"/>
                <w:color w:val="auto"/>
              </w:rPr>
            </w:pPr>
          </w:p>
        </w:tc>
      </w:tr>
      <w:tr>
        <w:trPr>
          <w:trHeight w:val="47"/>
        </w:trPr>
        <w:tc>
          <w:tcPr>
            <w:tcW w:w="5240" w:type="dxa"/>
            <w:vAlign w:val="bottom"/>
            <w:vMerge w:val="restart"/>
          </w:tcPr>
          <w:p>
            <w:pPr>
              <w:ind w:left="80"/>
              <w:spacing w:after="0"/>
              <w:rPr>
                <w:sz w:val="20"/>
                <w:szCs w:val="20"/>
                <w:color w:val="auto"/>
              </w:rPr>
            </w:pPr>
            <w:r>
              <w:rPr>
                <w:rFonts w:ascii="Arial" w:cs="Arial" w:eastAsia="Arial" w:hAnsi="Arial"/>
                <w:sz w:val="16"/>
                <w:szCs w:val="16"/>
                <w:color w:val="auto"/>
              </w:rPr>
              <w:t>Nonredeemable preferred stock - financial services sector</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11,719</w:t>
            </w:r>
          </w:p>
        </w:tc>
        <w:tc>
          <w:tcPr>
            <w:tcW w:w="28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11,659</w:t>
            </w:r>
          </w:p>
        </w:tc>
        <w:tc>
          <w:tcPr>
            <w:tcW w:w="0" w:type="dxa"/>
            <w:vAlign w:val="bottom"/>
          </w:tcPr>
          <w:p>
            <w:pPr>
              <w:spacing w:after="0"/>
              <w:rPr>
                <w:sz w:val="1"/>
                <w:szCs w:val="1"/>
                <w:color w:val="auto"/>
              </w:rPr>
            </w:pPr>
          </w:p>
        </w:tc>
      </w:tr>
      <w:tr>
        <w:trPr>
          <w:trHeight w:val="270"/>
        </w:trPr>
        <w:tc>
          <w:tcPr>
            <w:tcW w:w="5240" w:type="dxa"/>
            <w:vAlign w:val="bottom"/>
          </w:tcPr>
          <w:p>
            <w:pPr>
              <w:ind w:left="80"/>
              <w:spacing w:after="0"/>
              <w:rPr>
                <w:sz w:val="20"/>
                <w:szCs w:val="20"/>
                <w:color w:val="auto"/>
              </w:rPr>
            </w:pPr>
            <w:r>
              <w:rPr>
                <w:rFonts w:ascii="Arial" w:cs="Arial" w:eastAsia="Arial" w:hAnsi="Arial"/>
                <w:sz w:val="16"/>
                <w:szCs w:val="16"/>
                <w:color w:val="auto"/>
              </w:rPr>
              <w:t>Nonredeemable preferred stock - utilities sector</w:t>
            </w:r>
          </w:p>
        </w:tc>
        <w:tc>
          <w:tcPr>
            <w:tcW w:w="1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1,118</w:t>
            </w:r>
          </w:p>
        </w:tc>
        <w:tc>
          <w:tcPr>
            <w:tcW w:w="280" w:type="dxa"/>
            <w:vAlign w:val="bottom"/>
          </w:tcPr>
          <w:p>
            <w:pPr>
              <w:spacing w:after="0"/>
              <w:rPr>
                <w:sz w:val="23"/>
                <w:szCs w:val="23"/>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47"/>
        </w:trPr>
        <w:tc>
          <w:tcPr>
            <w:tcW w:w="524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2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754,636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7,722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3,645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758,713</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amortized cost and estimated fair value of available-for-sale securities at December 31, 2018, are shown below by remaining contractual term to maturity. Mortgage-backed securities are allocated based upon stated maturity dates. Expected maturities may differ from contractual maturities because borrowers may have the right to call or prepay obligations with or without call or prepayment penalties.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3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in one year or less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after one year through five years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after five years through ten years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Due after ten years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available-for-sale securities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2720" w:type="dxa"/>
            <w:vAlign w:val="bottom"/>
            <w:gridSpan w:val="3"/>
          </w:tcPr>
          <w:p>
            <w:pPr>
              <w:ind w:left="520"/>
              <w:spacing w:after="0"/>
              <w:rPr>
                <w:sz w:val="20"/>
                <w:szCs w:val="20"/>
                <w:color w:val="auto"/>
              </w:rPr>
            </w:pPr>
            <w:r>
              <w:rPr>
                <w:rFonts w:ascii="Arial" w:cs="Arial" w:eastAsia="Arial" w:hAnsi="Arial"/>
                <w:sz w:val="16"/>
                <w:szCs w:val="16"/>
                <w:color w:val="auto"/>
              </w:rPr>
              <w:t>At December 31, 2018</w:t>
            </w:r>
          </w:p>
        </w:tc>
      </w:tr>
      <w:tr>
        <w:trPr>
          <w:trHeight w:val="270"/>
        </w:trPr>
        <w:tc>
          <w:tcPr>
            <w:tcW w:w="240" w:type="dxa"/>
            <w:vAlign w:val="bottom"/>
          </w:tcPr>
          <w:p>
            <w:pPr>
              <w:spacing w:after="0"/>
              <w:rPr>
                <w:sz w:val="23"/>
                <w:szCs w:val="23"/>
                <w:color w:val="auto"/>
              </w:rPr>
            </w:pPr>
          </w:p>
        </w:tc>
        <w:tc>
          <w:tcPr>
            <w:tcW w:w="1220" w:type="dxa"/>
            <w:vAlign w:val="bottom"/>
          </w:tcPr>
          <w:p>
            <w:pPr>
              <w:ind w:left="120"/>
              <w:spacing w:after="0"/>
              <w:rPr>
                <w:sz w:val="20"/>
                <w:szCs w:val="20"/>
                <w:color w:val="auto"/>
              </w:rPr>
            </w:pPr>
            <w:r>
              <w:rPr>
                <w:rFonts w:ascii="Arial" w:cs="Arial" w:eastAsia="Arial" w:hAnsi="Arial"/>
                <w:sz w:val="16"/>
                <w:szCs w:val="16"/>
                <w:color w:val="auto"/>
              </w:rPr>
              <w:t>Amortized</w:t>
            </w:r>
          </w:p>
        </w:tc>
        <w:tc>
          <w:tcPr>
            <w:tcW w:w="380" w:type="dxa"/>
            <w:vAlign w:val="bottom"/>
          </w:tcPr>
          <w:p>
            <w:pPr>
              <w:spacing w:after="0"/>
              <w:rPr>
                <w:sz w:val="23"/>
                <w:szCs w:val="23"/>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Estimated</w:t>
            </w:r>
          </w:p>
        </w:tc>
      </w:tr>
      <w:tr>
        <w:trPr>
          <w:trHeight w:val="270"/>
        </w:trPr>
        <w:tc>
          <w:tcPr>
            <w:tcW w:w="240" w:type="dxa"/>
            <w:vAlign w:val="bottom"/>
          </w:tcPr>
          <w:p>
            <w:pPr>
              <w:spacing w:after="0"/>
              <w:rPr>
                <w:sz w:val="23"/>
                <w:szCs w:val="23"/>
                <w:color w:val="auto"/>
              </w:rPr>
            </w:pPr>
          </w:p>
        </w:tc>
        <w:tc>
          <w:tcPr>
            <w:tcW w:w="1220" w:type="dxa"/>
            <w:vAlign w:val="bottom"/>
          </w:tcPr>
          <w:p>
            <w:pPr>
              <w:ind w:left="320"/>
              <w:spacing w:after="0"/>
              <w:rPr>
                <w:sz w:val="20"/>
                <w:szCs w:val="20"/>
                <w:color w:val="auto"/>
              </w:rPr>
            </w:pPr>
            <w:r>
              <w:rPr>
                <w:rFonts w:ascii="Arial" w:cs="Arial" w:eastAsia="Arial" w:hAnsi="Arial"/>
                <w:sz w:val="16"/>
                <w:szCs w:val="16"/>
                <w:color w:val="auto"/>
              </w:rPr>
              <w:t>cost</w:t>
            </w:r>
          </w:p>
        </w:tc>
        <w:tc>
          <w:tcPr>
            <w:tcW w:w="380" w:type="dxa"/>
            <w:vAlign w:val="bottom"/>
          </w:tcPr>
          <w:p>
            <w:pPr>
              <w:spacing w:after="0"/>
              <w:rPr>
                <w:sz w:val="23"/>
                <w:szCs w:val="23"/>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fair value</w:t>
            </w:r>
          </w:p>
        </w:tc>
      </w:tr>
      <w:tr>
        <w:trPr>
          <w:trHeight w:val="33"/>
        </w:trPr>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ind w:left="500"/>
              <w:spacing w:after="0"/>
              <w:rPr>
                <w:sz w:val="20"/>
                <w:szCs w:val="20"/>
                <w:color w:val="auto"/>
              </w:rPr>
            </w:pPr>
            <w:r>
              <w:rPr>
                <w:rFonts w:ascii="Arial" w:cs="Arial" w:eastAsia="Arial" w:hAnsi="Arial"/>
                <w:sz w:val="16"/>
                <w:szCs w:val="16"/>
                <w:color w:val="auto"/>
              </w:rPr>
              <w:t>263,957</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263,837</w:t>
            </w:r>
          </w:p>
        </w:tc>
      </w:tr>
      <w:tr>
        <w:trPr>
          <w:trHeight w:val="270"/>
        </w:trPr>
        <w:tc>
          <w:tcPr>
            <w:tcW w:w="240" w:type="dxa"/>
            <w:vAlign w:val="bottom"/>
          </w:tcPr>
          <w:p>
            <w:pPr>
              <w:spacing w:after="0"/>
              <w:rPr>
                <w:sz w:val="23"/>
                <w:szCs w:val="23"/>
                <w:color w:val="auto"/>
              </w:rPr>
            </w:pPr>
          </w:p>
        </w:tc>
        <w:tc>
          <w:tcPr>
            <w:tcW w:w="1220" w:type="dxa"/>
            <w:vAlign w:val="bottom"/>
          </w:tcPr>
          <w:p>
            <w:pPr>
              <w:ind w:left="500"/>
              <w:spacing w:after="0"/>
              <w:rPr>
                <w:sz w:val="20"/>
                <w:szCs w:val="20"/>
                <w:color w:val="auto"/>
              </w:rPr>
            </w:pPr>
            <w:r>
              <w:rPr>
                <w:rFonts w:ascii="Arial" w:cs="Arial" w:eastAsia="Arial" w:hAnsi="Arial"/>
                <w:sz w:val="16"/>
                <w:szCs w:val="16"/>
                <w:color w:val="auto"/>
              </w:rPr>
              <w:t>163,276</w:t>
            </w:r>
          </w:p>
        </w:tc>
        <w:tc>
          <w:tcPr>
            <w:tcW w:w="3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160,504</w:t>
            </w:r>
          </w:p>
        </w:tc>
      </w:tr>
      <w:tr>
        <w:trPr>
          <w:trHeight w:val="270"/>
        </w:trPr>
        <w:tc>
          <w:tcPr>
            <w:tcW w:w="240" w:type="dxa"/>
            <w:vAlign w:val="bottom"/>
          </w:tcPr>
          <w:p>
            <w:pPr>
              <w:spacing w:after="0"/>
              <w:rPr>
                <w:sz w:val="23"/>
                <w:szCs w:val="23"/>
                <w:color w:val="auto"/>
              </w:rPr>
            </w:pPr>
          </w:p>
        </w:tc>
        <w:tc>
          <w:tcPr>
            <w:tcW w:w="1220" w:type="dxa"/>
            <w:vAlign w:val="bottom"/>
          </w:tcPr>
          <w:p>
            <w:pPr>
              <w:ind w:left="500"/>
              <w:spacing w:after="0"/>
              <w:rPr>
                <w:sz w:val="20"/>
                <w:szCs w:val="20"/>
                <w:color w:val="auto"/>
              </w:rPr>
            </w:pPr>
            <w:r>
              <w:rPr>
                <w:rFonts w:ascii="Arial" w:cs="Arial" w:eastAsia="Arial" w:hAnsi="Arial"/>
                <w:sz w:val="16"/>
                <w:szCs w:val="16"/>
                <w:color w:val="auto"/>
              </w:rPr>
              <w:t>217,659</w:t>
            </w:r>
          </w:p>
        </w:tc>
        <w:tc>
          <w:tcPr>
            <w:tcW w:w="3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212,692</w:t>
            </w:r>
          </w:p>
        </w:tc>
      </w:tr>
      <w:tr>
        <w:trPr>
          <w:trHeight w:val="270"/>
        </w:trPr>
        <w:tc>
          <w:tcPr>
            <w:tcW w:w="240" w:type="dxa"/>
            <w:vAlign w:val="bottom"/>
          </w:tcPr>
          <w:p>
            <w:pPr>
              <w:spacing w:after="0"/>
              <w:rPr>
                <w:sz w:val="23"/>
                <w:szCs w:val="23"/>
                <w:color w:val="auto"/>
              </w:rPr>
            </w:pPr>
          </w:p>
        </w:tc>
        <w:tc>
          <w:tcPr>
            <w:tcW w:w="1220" w:type="dxa"/>
            <w:vAlign w:val="bottom"/>
          </w:tcPr>
          <w:p>
            <w:pPr>
              <w:ind w:left="520"/>
              <w:spacing w:after="0"/>
              <w:rPr>
                <w:sz w:val="20"/>
                <w:szCs w:val="20"/>
                <w:color w:val="auto"/>
              </w:rPr>
            </w:pPr>
            <w:r>
              <w:rPr>
                <w:rFonts w:ascii="Arial" w:cs="Arial" w:eastAsia="Arial" w:hAnsi="Arial"/>
                <w:sz w:val="16"/>
                <w:szCs w:val="16"/>
                <w:color w:val="auto"/>
              </w:rPr>
              <w:t>112,503</w:t>
            </w:r>
          </w:p>
        </w:tc>
        <w:tc>
          <w:tcPr>
            <w:tcW w:w="3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111,490</w:t>
            </w:r>
          </w:p>
        </w:tc>
      </w:tr>
      <w:tr>
        <w:trPr>
          <w:trHeight w:val="33"/>
        </w:trPr>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ind w:left="500"/>
              <w:spacing w:after="0"/>
              <w:rPr>
                <w:sz w:val="20"/>
                <w:szCs w:val="20"/>
                <w:color w:val="auto"/>
              </w:rPr>
            </w:pPr>
            <w:r>
              <w:rPr>
                <w:rFonts w:ascii="Arial" w:cs="Arial" w:eastAsia="Arial" w:hAnsi="Arial"/>
                <w:sz w:val="16"/>
                <w:szCs w:val="16"/>
                <w:color w:val="auto"/>
              </w:rPr>
              <w:t>757,395</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748,523</w:t>
            </w:r>
          </w:p>
        </w:tc>
      </w:tr>
      <w:tr>
        <w:trPr>
          <w:trHeight w:val="33"/>
        </w:trPr>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7740" w:space="720"/>
            <w:col w:w="2960"/>
          </w:cols>
          <w:pgMar w:left="240" w:top="122" w:right="239" w:bottom="1440" w:gutter="0" w:footer="0" w:header="0"/>
          <w:type w:val="continuous"/>
        </w:sectPr>
      </w:pPr>
    </w:p>
    <w:p>
      <w:pPr>
        <w:ind w:left="660" w:right="340" w:hanging="328"/>
        <w:spacing w:after="0" w:line="273" w:lineRule="auto"/>
        <w:tabs>
          <w:tab w:leader="none" w:pos="54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 contractual maturities of our municipal bond portfolio are included in the table. However, given our intent to sell this portfolio, municipal bond securities are classified as current assets in our Statements of Financial Position at December 31, 2018.</w:t>
      </w:r>
    </w:p>
    <w:p>
      <w:pPr>
        <w:sectPr>
          <w:pgSz w:w="11900" w:h="16838" w:orient="portrait"/>
          <w:cols w:equalWidth="0" w:num="1">
            <w:col w:w="11420"/>
          </w:cols>
          <w:pgMar w:left="240" w:top="122" w:right="239"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Available-for-sale securities in a gross unrealized loss position are as follows. Data is provided by length of time for securities in a gross unrealized loss position.</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4"/>
          </w:tcPr>
          <w:p>
            <w:pPr>
              <w:ind w:left="500"/>
              <w:spacing w:after="0"/>
              <w:rPr>
                <w:sz w:val="20"/>
                <w:szCs w:val="20"/>
                <w:color w:val="auto"/>
              </w:rPr>
            </w:pPr>
            <w:r>
              <w:rPr>
                <w:rFonts w:ascii="Arial" w:cs="Arial" w:eastAsia="Arial" w:hAnsi="Arial"/>
                <w:sz w:val="16"/>
                <w:szCs w:val="16"/>
                <w:color w:val="auto"/>
                <w:w w:val="97"/>
              </w:rPr>
              <w:t>At December 31, 2018</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23"/>
                <w:szCs w:val="23"/>
                <w:color w:val="auto"/>
              </w:rPr>
            </w:pPr>
          </w:p>
        </w:tc>
        <w:tc>
          <w:tcPr>
            <w:tcW w:w="2140" w:type="dxa"/>
            <w:vAlign w:val="bottom"/>
            <w:gridSpan w:val="4"/>
          </w:tcPr>
          <w:p>
            <w:pPr>
              <w:ind w:left="200"/>
              <w:spacing w:after="0"/>
              <w:rPr>
                <w:sz w:val="20"/>
                <w:szCs w:val="20"/>
                <w:color w:val="auto"/>
              </w:rPr>
            </w:pPr>
            <w:r>
              <w:rPr>
                <w:rFonts w:ascii="Arial" w:cs="Arial" w:eastAsia="Arial" w:hAnsi="Arial"/>
                <w:sz w:val="16"/>
                <w:szCs w:val="16"/>
                <w:color w:val="auto"/>
              </w:rPr>
              <w:t>Less than 12 months</w:t>
            </w:r>
          </w:p>
        </w:tc>
        <w:tc>
          <w:tcPr>
            <w:tcW w:w="200" w:type="dxa"/>
            <w:vAlign w:val="bottom"/>
          </w:tcPr>
          <w:p>
            <w:pPr>
              <w:spacing w:after="0"/>
              <w:rPr>
                <w:sz w:val="23"/>
                <w:szCs w:val="23"/>
                <w:color w:val="auto"/>
              </w:rPr>
            </w:pPr>
          </w:p>
        </w:tc>
        <w:tc>
          <w:tcPr>
            <w:tcW w:w="2080" w:type="dxa"/>
            <w:vAlign w:val="bottom"/>
            <w:gridSpan w:val="4"/>
          </w:tcPr>
          <w:p>
            <w:pPr>
              <w:ind w:left="180"/>
              <w:spacing w:after="0"/>
              <w:rPr>
                <w:sz w:val="20"/>
                <w:szCs w:val="20"/>
                <w:color w:val="auto"/>
              </w:rPr>
            </w:pPr>
            <w:r>
              <w:rPr>
                <w:rFonts w:ascii="Arial" w:cs="Arial" w:eastAsia="Arial" w:hAnsi="Arial"/>
                <w:sz w:val="16"/>
                <w:szCs w:val="16"/>
                <w:color w:val="auto"/>
              </w:rPr>
              <w:t>12 months or longer</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center"/>
              <w:ind w:right="119"/>
              <w:spacing w:after="0"/>
              <w:rPr>
                <w:sz w:val="20"/>
                <w:szCs w:val="20"/>
                <w:color w:val="auto"/>
              </w:rPr>
            </w:pPr>
            <w:r>
              <w:rPr>
                <w:rFonts w:ascii="Arial" w:cs="Arial" w:eastAsia="Arial" w:hAnsi="Arial"/>
                <w:sz w:val="16"/>
                <w:szCs w:val="16"/>
                <w:color w:val="auto"/>
                <w:w w:val="94"/>
              </w:rPr>
              <w:t>Fair</w:t>
            </w: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20"/>
                <w:szCs w:val="20"/>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rPr>
              <w:t>Fair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20"/>
                <w:szCs w:val="20"/>
                <w:color w:val="auto"/>
              </w:rPr>
            </w:pPr>
          </w:p>
        </w:tc>
        <w:tc>
          <w:tcPr>
            <w:tcW w:w="720" w:type="dxa"/>
            <w:vAlign w:val="bottom"/>
          </w:tcPr>
          <w:p>
            <w:pPr>
              <w:jc w:val="center"/>
              <w:ind w:right="99"/>
              <w:spacing w:after="0"/>
              <w:rPr>
                <w:sz w:val="20"/>
                <w:szCs w:val="20"/>
                <w:color w:val="auto"/>
              </w:rPr>
            </w:pPr>
            <w:r>
              <w:rPr>
                <w:rFonts w:ascii="Arial" w:cs="Arial" w:eastAsia="Arial" w:hAnsi="Arial"/>
                <w:sz w:val="16"/>
                <w:szCs w:val="16"/>
                <w:color w:val="auto"/>
                <w:w w:val="94"/>
              </w:rPr>
              <w:t>Fair</w:t>
            </w:r>
          </w:p>
        </w:tc>
        <w:tc>
          <w:tcPr>
            <w:tcW w:w="2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Unrealized</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No. of</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60" w:type="dxa"/>
            <w:vAlign w:val="bottom"/>
          </w:tcPr>
          <w:p>
            <w:pPr>
              <w:spacing w:after="0"/>
              <w:rPr>
                <w:sz w:val="22"/>
                <w:szCs w:val="2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losses</w:t>
            </w: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40" w:type="dxa"/>
            <w:vAlign w:val="bottom"/>
          </w:tcPr>
          <w:p>
            <w:pPr>
              <w:spacing w:after="0"/>
              <w:rPr>
                <w:sz w:val="22"/>
                <w:szCs w:val="2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22"/>
                <w:szCs w:val="22"/>
                <w:color w:val="auto"/>
              </w:rPr>
            </w:pPr>
          </w:p>
        </w:tc>
        <w:tc>
          <w:tcPr>
            <w:tcW w:w="720" w:type="dxa"/>
            <w:vAlign w:val="bottom"/>
          </w:tcPr>
          <w:p>
            <w:pPr>
              <w:jc w:val="center"/>
              <w:ind w:right="119"/>
              <w:spacing w:after="0"/>
              <w:rPr>
                <w:sz w:val="20"/>
                <w:szCs w:val="20"/>
                <w:color w:val="auto"/>
              </w:rPr>
            </w:pPr>
            <w:r>
              <w:rPr>
                <w:rFonts w:ascii="Arial" w:cs="Arial" w:eastAsia="Arial" w:hAnsi="Arial"/>
                <w:sz w:val="16"/>
                <w:szCs w:val="16"/>
                <w:color w:val="auto"/>
                <w:w w:val="94"/>
              </w:rPr>
              <w:t>value</w:t>
            </w:r>
          </w:p>
        </w:tc>
        <w:tc>
          <w:tcPr>
            <w:tcW w:w="22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losses</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holdings</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86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129,474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11,656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141,130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7"/>
        </w:trPr>
        <w:tc>
          <w:tcPr>
            <w:tcW w:w="38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157,300</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6,866</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86,586</w:t>
            </w: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2,688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243,886</w:t>
            </w:r>
          </w:p>
        </w:tc>
        <w:tc>
          <w:tcPr>
            <w:tcW w:w="2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9,554</w:t>
            </w: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84"/>
        </w:trPr>
        <w:tc>
          <w:tcPr>
            <w:tcW w:w="386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777</w:t>
            </w:r>
          </w:p>
        </w:tc>
        <w:tc>
          <w:tcPr>
            <w:tcW w:w="26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1,618</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2,395</w:t>
            </w:r>
          </w:p>
        </w:tc>
        <w:tc>
          <w:tcPr>
            <w:tcW w:w="2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17,624</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16,997</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34,621</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7"/>
        </w:trPr>
        <w:tc>
          <w:tcPr>
            <w:tcW w:w="38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55,246</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1,248</w:t>
            </w:r>
          </w:p>
        </w:tc>
        <w:tc>
          <w:tcPr>
            <w:tcW w:w="2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56,494</w:t>
            </w:r>
          </w:p>
        </w:tc>
        <w:tc>
          <w:tcPr>
            <w:tcW w:w="2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830</w:t>
            </w:r>
          </w:p>
        </w:tc>
        <w:tc>
          <w:tcPr>
            <w:tcW w:w="12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8,213</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8,213</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60" w:type="dxa"/>
            <w:vAlign w:val="bottom"/>
            <w:vMerge w:val="continue"/>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368,634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7,903</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118,105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486,739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11,230</w:t>
            </w:r>
          </w:p>
        </w:tc>
        <w:tc>
          <w:tcPr>
            <w:tcW w:w="1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Quality breakdown of 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386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242,821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1,295</w:t>
            </w:r>
          </w:p>
        </w:tc>
        <w:tc>
          <w:tcPr>
            <w:tcW w:w="2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98,118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1,641</w:t>
            </w: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340,939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2,936</w:t>
            </w:r>
          </w:p>
        </w:tc>
        <w:tc>
          <w:tcPr>
            <w:tcW w:w="12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125,813</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6,608</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19,987</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1,686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145,800</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8,294</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47"/>
        </w:trPr>
        <w:tc>
          <w:tcPr>
            <w:tcW w:w="3860" w:type="dxa"/>
            <w:vAlign w:val="bottom"/>
            <w:vMerge w:val="restart"/>
          </w:tcPr>
          <w:p>
            <w:pPr>
              <w:ind w:left="240"/>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860" w:type="dxa"/>
            <w:vAlign w:val="bottom"/>
            <w:vMerge w:val="continue"/>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368,634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7,903</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118,105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486,739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11,230</w:t>
            </w:r>
          </w:p>
        </w:tc>
        <w:tc>
          <w:tcPr>
            <w:tcW w:w="1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4"/>
          </w:tcPr>
          <w:p>
            <w:pPr>
              <w:ind w:left="500"/>
              <w:spacing w:after="0"/>
              <w:rPr>
                <w:sz w:val="20"/>
                <w:szCs w:val="20"/>
                <w:color w:val="auto"/>
              </w:rPr>
            </w:pPr>
            <w:r>
              <w:rPr>
                <w:rFonts w:ascii="Arial" w:cs="Arial" w:eastAsia="Arial" w:hAnsi="Arial"/>
                <w:sz w:val="16"/>
                <w:szCs w:val="16"/>
                <w:color w:val="auto"/>
                <w:w w:val="97"/>
              </w:rPr>
              <w:t>At December 31, 2017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23"/>
                <w:szCs w:val="23"/>
                <w:color w:val="auto"/>
              </w:rPr>
            </w:pPr>
          </w:p>
        </w:tc>
        <w:tc>
          <w:tcPr>
            <w:tcW w:w="2140" w:type="dxa"/>
            <w:vAlign w:val="bottom"/>
            <w:gridSpan w:val="4"/>
          </w:tcPr>
          <w:p>
            <w:pPr>
              <w:ind w:left="200"/>
              <w:spacing w:after="0"/>
              <w:rPr>
                <w:sz w:val="20"/>
                <w:szCs w:val="20"/>
                <w:color w:val="auto"/>
              </w:rPr>
            </w:pPr>
            <w:r>
              <w:rPr>
                <w:rFonts w:ascii="Arial" w:cs="Arial" w:eastAsia="Arial" w:hAnsi="Arial"/>
                <w:sz w:val="16"/>
                <w:szCs w:val="16"/>
                <w:color w:val="auto"/>
              </w:rPr>
              <w:t>Less than 12 months</w:t>
            </w:r>
          </w:p>
        </w:tc>
        <w:tc>
          <w:tcPr>
            <w:tcW w:w="200" w:type="dxa"/>
            <w:vAlign w:val="bottom"/>
          </w:tcPr>
          <w:p>
            <w:pPr>
              <w:spacing w:after="0"/>
              <w:rPr>
                <w:sz w:val="23"/>
                <w:szCs w:val="23"/>
                <w:color w:val="auto"/>
              </w:rPr>
            </w:pPr>
          </w:p>
        </w:tc>
        <w:tc>
          <w:tcPr>
            <w:tcW w:w="2080" w:type="dxa"/>
            <w:vAlign w:val="bottom"/>
            <w:gridSpan w:val="4"/>
          </w:tcPr>
          <w:p>
            <w:pPr>
              <w:ind w:left="180"/>
              <w:spacing w:after="0"/>
              <w:rPr>
                <w:sz w:val="20"/>
                <w:szCs w:val="20"/>
                <w:color w:val="auto"/>
              </w:rPr>
            </w:pPr>
            <w:r>
              <w:rPr>
                <w:rFonts w:ascii="Arial" w:cs="Arial" w:eastAsia="Arial" w:hAnsi="Arial"/>
                <w:sz w:val="16"/>
                <w:szCs w:val="16"/>
                <w:color w:val="auto"/>
              </w:rPr>
              <w:t>12 months or longer</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38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center"/>
              <w:ind w:right="119"/>
              <w:spacing w:after="0"/>
              <w:rPr>
                <w:sz w:val="20"/>
                <w:szCs w:val="20"/>
                <w:color w:val="auto"/>
              </w:rPr>
            </w:pPr>
            <w:r>
              <w:rPr>
                <w:rFonts w:ascii="Arial" w:cs="Arial" w:eastAsia="Arial" w:hAnsi="Arial"/>
                <w:sz w:val="16"/>
                <w:szCs w:val="16"/>
                <w:color w:val="auto"/>
                <w:w w:val="94"/>
              </w:rPr>
              <w:t>Fair</w:t>
            </w:r>
          </w:p>
        </w:tc>
        <w:tc>
          <w:tcPr>
            <w:tcW w:w="26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94"/>
              </w:rPr>
              <w:t>Unrealized</w:t>
            </w:r>
          </w:p>
        </w:tc>
        <w:tc>
          <w:tcPr>
            <w:tcW w:w="200" w:type="dxa"/>
            <w:vAlign w:val="bottom"/>
          </w:tcPr>
          <w:p>
            <w:pPr>
              <w:spacing w:after="0"/>
              <w:rPr>
                <w:sz w:val="20"/>
                <w:szCs w:val="20"/>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rPr>
              <w:t>Fair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Unrealized</w:t>
            </w:r>
          </w:p>
        </w:tc>
        <w:tc>
          <w:tcPr>
            <w:tcW w:w="180" w:type="dxa"/>
            <w:vAlign w:val="bottom"/>
          </w:tcPr>
          <w:p>
            <w:pPr>
              <w:spacing w:after="0"/>
              <w:rPr>
                <w:sz w:val="20"/>
                <w:szCs w:val="20"/>
                <w:color w:val="auto"/>
              </w:rPr>
            </w:pPr>
          </w:p>
        </w:tc>
        <w:tc>
          <w:tcPr>
            <w:tcW w:w="720" w:type="dxa"/>
            <w:vAlign w:val="bottom"/>
          </w:tcPr>
          <w:p>
            <w:pPr>
              <w:jc w:val="center"/>
              <w:ind w:right="99"/>
              <w:spacing w:after="0"/>
              <w:rPr>
                <w:sz w:val="20"/>
                <w:szCs w:val="20"/>
                <w:color w:val="auto"/>
              </w:rPr>
            </w:pPr>
            <w:r>
              <w:rPr>
                <w:rFonts w:ascii="Arial" w:cs="Arial" w:eastAsia="Arial" w:hAnsi="Arial"/>
                <w:sz w:val="16"/>
                <w:szCs w:val="16"/>
                <w:color w:val="auto"/>
                <w:w w:val="94"/>
              </w:rPr>
              <w:t>Fair</w:t>
            </w:r>
          </w:p>
        </w:tc>
        <w:tc>
          <w:tcPr>
            <w:tcW w:w="2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color w:val="auto"/>
              </w:rPr>
              <w:t>Unrealized</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No. of</w:t>
            </w: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60" w:type="dxa"/>
            <w:vAlign w:val="bottom"/>
          </w:tcPr>
          <w:p>
            <w:pPr>
              <w:spacing w:after="0"/>
              <w:rPr>
                <w:sz w:val="22"/>
                <w:szCs w:val="2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losses</w:t>
            </w:r>
          </w:p>
        </w:tc>
        <w:tc>
          <w:tcPr>
            <w:tcW w:w="200" w:type="dxa"/>
            <w:vAlign w:val="bottom"/>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color w:val="auto"/>
                <w:w w:val="94"/>
              </w:rPr>
              <w:t>value</w:t>
            </w:r>
          </w:p>
        </w:tc>
        <w:tc>
          <w:tcPr>
            <w:tcW w:w="240" w:type="dxa"/>
            <w:vAlign w:val="bottom"/>
          </w:tcPr>
          <w:p>
            <w:pPr>
              <w:spacing w:after="0"/>
              <w:rPr>
                <w:sz w:val="22"/>
                <w:szCs w:val="2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color w:val="auto"/>
                <w:w w:val="83"/>
              </w:rPr>
              <w:t>losses</w:t>
            </w:r>
          </w:p>
        </w:tc>
        <w:tc>
          <w:tcPr>
            <w:tcW w:w="180" w:type="dxa"/>
            <w:vAlign w:val="bottom"/>
          </w:tcPr>
          <w:p>
            <w:pPr>
              <w:spacing w:after="0"/>
              <w:rPr>
                <w:sz w:val="22"/>
                <w:szCs w:val="22"/>
                <w:color w:val="auto"/>
              </w:rPr>
            </w:pPr>
          </w:p>
        </w:tc>
        <w:tc>
          <w:tcPr>
            <w:tcW w:w="720" w:type="dxa"/>
            <w:vAlign w:val="bottom"/>
          </w:tcPr>
          <w:p>
            <w:pPr>
              <w:jc w:val="center"/>
              <w:ind w:right="119"/>
              <w:spacing w:after="0"/>
              <w:rPr>
                <w:sz w:val="20"/>
                <w:szCs w:val="20"/>
                <w:color w:val="auto"/>
              </w:rPr>
            </w:pPr>
            <w:r>
              <w:rPr>
                <w:rFonts w:ascii="Arial" w:cs="Arial" w:eastAsia="Arial" w:hAnsi="Arial"/>
                <w:sz w:val="16"/>
                <w:szCs w:val="16"/>
                <w:color w:val="auto"/>
                <w:w w:val="94"/>
              </w:rPr>
              <w:t>value</w:t>
            </w:r>
          </w:p>
        </w:tc>
        <w:tc>
          <w:tcPr>
            <w:tcW w:w="220" w:type="dxa"/>
            <w:vAlign w:val="bottom"/>
          </w:tcPr>
          <w:p>
            <w:pPr>
              <w:spacing w:after="0"/>
              <w:rPr>
                <w:sz w:val="22"/>
                <w:szCs w:val="22"/>
                <w:color w:val="auto"/>
              </w:rPr>
            </w:pPr>
          </w:p>
        </w:tc>
        <w:tc>
          <w:tcPr>
            <w:tcW w:w="1000" w:type="dxa"/>
            <w:vAlign w:val="bottom"/>
            <w:gridSpan w:val="2"/>
          </w:tcPr>
          <w:p>
            <w:pPr>
              <w:ind w:left="180"/>
              <w:spacing w:after="0"/>
              <w:rPr>
                <w:sz w:val="20"/>
                <w:szCs w:val="20"/>
                <w:color w:val="auto"/>
              </w:rPr>
            </w:pPr>
            <w:r>
              <w:rPr>
                <w:rFonts w:ascii="Arial" w:cs="Arial" w:eastAsia="Arial" w:hAnsi="Arial"/>
                <w:sz w:val="16"/>
                <w:szCs w:val="16"/>
                <w:color w:val="auto"/>
              </w:rPr>
              <w:t>losses</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holdings</w:t>
            </w:r>
          </w:p>
        </w:tc>
        <w:tc>
          <w:tcPr>
            <w:tcW w:w="0" w:type="dxa"/>
            <w:vAlign w:val="bottom"/>
          </w:tcPr>
          <w:p>
            <w:pPr>
              <w:spacing w:after="0"/>
              <w:rPr>
                <w:sz w:val="1"/>
                <w:szCs w:val="1"/>
                <w:color w:val="auto"/>
              </w:rPr>
            </w:pPr>
          </w:p>
        </w:tc>
      </w:tr>
      <w:tr>
        <w:trPr>
          <w:trHeight w:val="47"/>
        </w:trPr>
        <w:tc>
          <w:tcPr>
            <w:tcW w:w="386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U.S. Treasury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10,237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11,734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States &amp; political subdivisions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52,553</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14,361</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66,914</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171,154</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1,585</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31,113</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339</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202,267</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4,156</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7,064</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11,220</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10,836</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11,984</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22,820</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Collateralized debt obligations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21,598</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21,598</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Other debt securities</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1,499</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1,499</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60" w:type="dxa"/>
            <w:vAlign w:val="bottom"/>
          </w:tcPr>
          <w:p>
            <w:pPr>
              <w:ind w:left="240"/>
              <w:spacing w:after="0"/>
              <w:rPr>
                <w:sz w:val="20"/>
                <w:szCs w:val="20"/>
                <w:color w:val="auto"/>
              </w:rPr>
            </w:pPr>
            <w:r>
              <w:rPr>
                <w:rFonts w:ascii="Arial" w:cs="Arial" w:eastAsia="Arial" w:hAnsi="Arial"/>
                <w:sz w:val="16"/>
                <w:szCs w:val="16"/>
                <w:color w:val="auto"/>
              </w:rPr>
              <w:t>Total fixed maturities</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272,033</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66,019</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1,407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338,052</w:t>
            </w: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3,545</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33"/>
        </w:trPr>
        <w:tc>
          <w:tcPr>
            <w:tcW w:w="3860" w:type="dxa"/>
            <w:vAlign w:val="bottom"/>
            <w:vMerge w:val="restart"/>
          </w:tcPr>
          <w:p>
            <w:pPr>
              <w:ind w:left="140"/>
              <w:spacing w:after="0"/>
              <w:rPr>
                <w:sz w:val="20"/>
                <w:szCs w:val="20"/>
                <w:color w:val="auto"/>
              </w:rPr>
            </w:pPr>
            <w:r>
              <w:rPr>
                <w:rFonts w:ascii="Arial" w:cs="Arial" w:eastAsia="Arial" w:hAnsi="Arial"/>
                <w:sz w:val="16"/>
                <w:szCs w:val="16"/>
                <w:color w:val="auto"/>
              </w:rPr>
              <w:t>Nonredeemable preferred stock - financial services</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60" w:type="dxa"/>
            <w:vAlign w:val="bottom"/>
          </w:tcPr>
          <w:p>
            <w:pPr>
              <w:ind w:left="140"/>
              <w:spacing w:after="0"/>
              <w:rPr>
                <w:sz w:val="20"/>
                <w:szCs w:val="20"/>
                <w:color w:val="auto"/>
              </w:rPr>
            </w:pPr>
            <w:r>
              <w:rPr>
                <w:rFonts w:ascii="Arial" w:cs="Arial" w:eastAsia="Arial" w:hAnsi="Arial"/>
                <w:sz w:val="16"/>
                <w:szCs w:val="16"/>
                <w:color w:val="auto"/>
              </w:rPr>
              <w:t>sector</w:t>
            </w:r>
          </w:p>
        </w:tc>
        <w:tc>
          <w:tcPr>
            <w:tcW w:w="2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9,644</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9,644</w:t>
            </w:r>
          </w:p>
        </w:tc>
        <w:tc>
          <w:tcPr>
            <w:tcW w:w="2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Nonredeemable preferred stock - utilities sector</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1,093</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1,093</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6"/>
                <w:szCs w:val="16"/>
                <w:color w:val="auto"/>
              </w:rPr>
              <w:t>Total available-for-sale securities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282,770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2,238</w:t>
            </w:r>
          </w:p>
        </w:tc>
        <w:tc>
          <w:tcPr>
            <w:tcW w:w="24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66,019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1,407</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348,789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3,645</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Quality breakdown of fixed maturities:</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Investment grade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214,586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1,064</w:t>
            </w:r>
          </w:p>
        </w:tc>
        <w:tc>
          <w:tcPr>
            <w:tcW w:w="2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62,193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276,779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2,049</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Non-investment grade</w:t>
            </w: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57,447</w:t>
            </w: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3,826</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61,273</w:t>
            </w: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1,496</w:t>
            </w:r>
          </w:p>
        </w:tc>
        <w:tc>
          <w:tcPr>
            <w:tcW w:w="1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Pr>
          <w:p>
            <w:pPr>
              <w:ind w:left="240"/>
              <w:spacing w:after="0"/>
              <w:rPr>
                <w:sz w:val="20"/>
                <w:szCs w:val="20"/>
                <w:color w:val="auto"/>
              </w:rPr>
            </w:pPr>
            <w:r>
              <w:rPr>
                <w:rFonts w:ascii="Arial" w:cs="Arial" w:eastAsia="Arial" w:hAnsi="Arial"/>
                <w:sz w:val="16"/>
                <w:szCs w:val="16"/>
                <w:color w:val="auto"/>
              </w:rPr>
              <w:t>Total fixed maturities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272,033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2,138</w:t>
            </w:r>
          </w:p>
        </w:tc>
        <w:tc>
          <w:tcPr>
            <w:tcW w:w="24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66,019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1,407</w:t>
            </w:r>
          </w:p>
        </w:tc>
        <w:tc>
          <w:tcPr>
            <w:tcW w:w="2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338,052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3,545</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above securities have been evaluated and determined to be temporary impairments for which we expect to recover our entire principal plus interest. The primary components of this analysis include a general review of market conditions and financial performance of the issuer along with the extent and duration at which fair value is less than cost. Any securities that we intend to sell or will more likely than not be required to sell before recovery are included in other-than-temporary impairments, which are recognized in earnings.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net of expenses, was generated from the following portfolios for the years ended December 31:</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color w:val="auto"/>
              </w:rPr>
              <w:t>2018</w:t>
            </w:r>
          </w:p>
        </w:tc>
        <w:tc>
          <w:tcPr>
            <w:tcW w:w="42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color w:val="auto"/>
              </w:rPr>
              <w:t>2017</w:t>
            </w:r>
          </w:p>
        </w:tc>
        <w:tc>
          <w:tcPr>
            <w:tcW w:w="40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340"/>
              <w:spacing w:after="0"/>
              <w:rPr>
                <w:sz w:val="20"/>
                <w:szCs w:val="20"/>
                <w:color w:val="auto"/>
              </w:rPr>
            </w:pPr>
            <w:r>
              <w:rPr>
                <w:rFonts w:ascii="Arial" w:cs="Arial" w:eastAsia="Arial" w:hAnsi="Arial"/>
                <w:sz w:val="16"/>
                <w:szCs w:val="16"/>
                <w:color w:val="auto"/>
              </w:rPr>
              <w:t xml:space="preserve">Fixed maturities </w:t>
            </w:r>
            <w:r>
              <w:rPr>
                <w:rFonts w:ascii="Arial" w:cs="Arial" w:eastAsia="Arial" w:hAnsi="Arial"/>
                <w:sz w:val="17"/>
                <w:szCs w:val="17"/>
                <w:color w:val="auto"/>
                <w:vertAlign w:val="superscript"/>
              </w:rPr>
              <w:t>(1)</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7520" w:type="dxa"/>
            <w:vAlign w:val="bottom"/>
            <w:vMerge w:val="continue"/>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24,978</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23,587</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20,175</w:t>
            </w:r>
          </w:p>
        </w:tc>
        <w:tc>
          <w:tcPr>
            <w:tcW w:w="0" w:type="dxa"/>
            <w:vAlign w:val="bottom"/>
          </w:tcPr>
          <w:p>
            <w:pPr>
              <w:spacing w:after="0"/>
              <w:rPr>
                <w:sz w:val="1"/>
                <w:szCs w:val="1"/>
                <w:color w:val="auto"/>
              </w:rPr>
            </w:pPr>
          </w:p>
        </w:tc>
      </w:tr>
      <w:tr>
        <w:trPr>
          <w:trHeight w:val="253"/>
        </w:trPr>
        <w:tc>
          <w:tcPr>
            <w:tcW w:w="7520" w:type="dxa"/>
            <w:vAlign w:val="bottom"/>
          </w:tcPr>
          <w:p>
            <w:pPr>
              <w:ind w:left="3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1"/>
                <w:szCs w:val="21"/>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628</w:t>
            </w:r>
          </w:p>
        </w:tc>
        <w:tc>
          <w:tcPr>
            <w:tcW w:w="420" w:type="dxa"/>
            <w:vAlign w:val="bottom"/>
          </w:tcPr>
          <w:p>
            <w:pPr>
              <w:spacing w:after="0"/>
              <w:rPr>
                <w:sz w:val="21"/>
                <w:szCs w:val="21"/>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82</w:t>
            </w:r>
          </w:p>
        </w:tc>
        <w:tc>
          <w:tcPr>
            <w:tcW w:w="40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Cash equivalents and other</w:t>
            </w:r>
          </w:p>
        </w:tc>
        <w:tc>
          <w:tcPr>
            <w:tcW w:w="26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5,628</w:t>
            </w:r>
          </w:p>
        </w:tc>
        <w:tc>
          <w:tcPr>
            <w:tcW w:w="42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2,486</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Total investment income</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31,234</w:t>
            </w:r>
          </w:p>
        </w:tc>
        <w:tc>
          <w:tcPr>
            <w:tcW w:w="42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26,155</w:t>
            </w:r>
          </w:p>
        </w:tc>
        <w:tc>
          <w:tcPr>
            <w:tcW w:w="4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21,737</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6"/>
                <w:szCs w:val="16"/>
                <w:color w:val="auto"/>
              </w:rPr>
              <w:t>Less: investment expenses</w:t>
            </w:r>
          </w:p>
        </w:tc>
        <w:tc>
          <w:tcPr>
            <w:tcW w:w="26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1,025</w:t>
            </w:r>
          </w:p>
        </w:tc>
        <w:tc>
          <w:tcPr>
            <w:tcW w:w="42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1,516</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Investment income, net of expenses</w:t>
            </w: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30,209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24,639</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20,558</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interest earned on note receivable from Erie Family Life Insurance Company ("EFL") of $1.6 million in 2018 and $1.7 million in 2017 and 2016.</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Realized investment (losses) gains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Realized (losses) gains on investments were as follows for the years ended December 31:</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2017</w:t>
            </w:r>
          </w:p>
        </w:tc>
        <w:tc>
          <w:tcPr>
            <w:tcW w:w="38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Available-for-sale securities: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7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7520" w:type="dxa"/>
            <w:vAlign w:val="bottom"/>
          </w:tcPr>
          <w:p>
            <w:pPr>
              <w:ind w:left="240"/>
              <w:spacing w:after="0"/>
              <w:rPr>
                <w:sz w:val="20"/>
                <w:szCs w:val="20"/>
                <w:color w:val="auto"/>
              </w:rPr>
            </w:pPr>
            <w:r>
              <w:rPr>
                <w:rFonts w:ascii="Arial" w:cs="Arial" w:eastAsia="Arial" w:hAnsi="Arial"/>
                <w:sz w:val="16"/>
                <w:szCs w:val="16"/>
                <w:color w:val="auto"/>
              </w:rPr>
              <w:t>Gross realized gains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1,892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2,996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70"/>
        </w:trPr>
        <w:tc>
          <w:tcPr>
            <w:tcW w:w="7520" w:type="dxa"/>
            <w:vAlign w:val="bottom"/>
          </w:tcPr>
          <w:p>
            <w:pPr>
              <w:ind w:left="240"/>
              <w:spacing w:after="0"/>
              <w:rPr>
                <w:sz w:val="20"/>
                <w:szCs w:val="20"/>
                <w:color w:val="auto"/>
              </w:rPr>
            </w:pPr>
            <w:r>
              <w:rPr>
                <w:rFonts w:ascii="Arial" w:cs="Arial" w:eastAsia="Arial" w:hAnsi="Arial"/>
                <w:sz w:val="16"/>
                <w:szCs w:val="16"/>
                <w:color w:val="auto"/>
              </w:rPr>
              <w:t>Gross realized losses</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(3,189)</w:t>
            </w:r>
          </w:p>
        </w:tc>
        <w:tc>
          <w:tcPr>
            <w:tcW w:w="3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(1,756)</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20" w:type="dxa"/>
            <w:vAlign w:val="bottom"/>
          </w:tcPr>
          <w:p>
            <w:pPr>
              <w:ind w:left="340"/>
              <w:spacing w:after="0"/>
              <w:rPr>
                <w:sz w:val="20"/>
                <w:szCs w:val="20"/>
                <w:color w:val="auto"/>
              </w:rPr>
            </w:pPr>
            <w:r>
              <w:rPr>
                <w:rFonts w:ascii="Arial" w:cs="Arial" w:eastAsia="Arial" w:hAnsi="Arial"/>
                <w:sz w:val="16"/>
                <w:szCs w:val="16"/>
                <w:color w:val="auto"/>
              </w:rPr>
              <w:t>Net realized (losses) gains on available-for-sale securities</w:t>
            </w:r>
          </w:p>
        </w:tc>
        <w:tc>
          <w:tcPr>
            <w:tcW w:w="2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(1,297)</w:t>
            </w:r>
          </w:p>
        </w:tc>
        <w:tc>
          <w:tcPr>
            <w:tcW w:w="38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1,240</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520" w:type="dxa"/>
            <w:vAlign w:val="bottom"/>
            <w:vMerge w:val="restart"/>
          </w:tcPr>
          <w:p>
            <w:pPr>
              <w:spacing w:after="0"/>
              <w:rPr>
                <w:sz w:val="20"/>
                <w:szCs w:val="20"/>
                <w:color w:val="auto"/>
              </w:rPr>
            </w:pPr>
            <w:r>
              <w:rPr>
                <w:rFonts w:ascii="Arial" w:cs="Arial" w:eastAsia="Arial" w:hAnsi="Arial"/>
                <w:sz w:val="16"/>
                <w:szCs w:val="16"/>
                <w:color w:val="auto"/>
              </w:rPr>
              <w:t>Equity securities</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(819)</w:t>
            </w:r>
          </w:p>
        </w:tc>
        <w:tc>
          <w:tcPr>
            <w:tcW w:w="3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16"/>
                <w:szCs w:val="16"/>
                <w:color w:val="auto"/>
              </w:rPr>
              <w:t>Common stock trading securities</w:t>
            </w:r>
          </w:p>
        </w:tc>
        <w:tc>
          <w:tcPr>
            <w:tcW w:w="26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0</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106</w:t>
            </w:r>
          </w:p>
        </w:tc>
        <w:tc>
          <w:tcPr>
            <w:tcW w:w="38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94</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Net realized investment (losses) gains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520" w:type="dxa"/>
            <w:vAlign w:val="bottom"/>
            <w:vMerge w:val="continue"/>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(2,010)</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1,334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portion of net unrealized losses recognized during the reporting period related to equity securities held at the reporting date is calculated as follows for the years ended December 31:</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2018</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2017</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2016</w:t>
            </w:r>
          </w:p>
        </w:tc>
      </w:tr>
      <w:tr>
        <w:trPr>
          <w:trHeight w:val="268"/>
        </w:trPr>
        <w:tc>
          <w:tcPr>
            <w:tcW w:w="7520" w:type="dxa"/>
            <w:vAlign w:val="bottom"/>
          </w:tcPr>
          <w:p>
            <w:pPr>
              <w:spacing w:after="0"/>
              <w:rPr>
                <w:sz w:val="20"/>
                <w:szCs w:val="20"/>
                <w:color w:val="auto"/>
              </w:rPr>
            </w:pPr>
            <w:r>
              <w:rPr>
                <w:rFonts w:ascii="Arial" w:cs="Arial" w:eastAsia="Arial" w:hAnsi="Arial"/>
                <w:sz w:val="16"/>
                <w:szCs w:val="16"/>
                <w:color w:val="auto"/>
              </w:rPr>
              <w:t xml:space="preserve">Equity securities: </w:t>
            </w:r>
            <w:r>
              <w:rPr>
                <w:rFonts w:ascii="Arial" w:cs="Arial" w:eastAsia="Arial" w:hAnsi="Arial"/>
                <w:sz w:val="17"/>
                <w:szCs w:val="17"/>
                <w:color w:val="auto"/>
                <w:vertAlign w:val="superscript"/>
              </w:rPr>
              <w:t>(1)</w:t>
            </w: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9"/>
        </w:trPr>
        <w:tc>
          <w:tcPr>
            <w:tcW w:w="7520" w:type="dxa"/>
            <w:vAlign w:val="bottom"/>
          </w:tcPr>
          <w:p>
            <w:pPr>
              <w:ind w:left="240"/>
              <w:spacing w:after="0"/>
              <w:rPr>
                <w:sz w:val="20"/>
                <w:szCs w:val="20"/>
                <w:color w:val="auto"/>
              </w:rPr>
            </w:pPr>
            <w:r>
              <w:rPr>
                <w:rFonts w:ascii="Arial" w:cs="Arial" w:eastAsia="Arial" w:hAnsi="Arial"/>
                <w:sz w:val="16"/>
                <w:szCs w:val="16"/>
                <w:color w:val="auto"/>
              </w:rPr>
              <w:t>Net losses recognized during the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(819)</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62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270"/>
        </w:trPr>
        <w:tc>
          <w:tcPr>
            <w:tcW w:w="7520" w:type="dxa"/>
            <w:vAlign w:val="bottom"/>
          </w:tcPr>
          <w:p>
            <w:pPr>
              <w:ind w:left="240"/>
              <w:spacing w:after="0"/>
              <w:rPr>
                <w:sz w:val="20"/>
                <w:szCs w:val="20"/>
                <w:color w:val="auto"/>
              </w:rPr>
            </w:pPr>
            <w:r>
              <w:rPr>
                <w:rFonts w:ascii="Arial" w:cs="Arial" w:eastAsia="Arial" w:hAnsi="Arial"/>
                <w:sz w:val="16"/>
                <w:szCs w:val="16"/>
                <w:color w:val="auto"/>
              </w:rPr>
              <w:t>Less: net losses recognized on securities sold</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380" w:type="dxa"/>
            <w:vAlign w:val="bottom"/>
          </w:tcPr>
          <w:p>
            <w:pPr>
              <w:spacing w:after="0"/>
              <w:rPr>
                <w:sz w:val="23"/>
                <w:szCs w:val="23"/>
                <w:color w:val="auto"/>
              </w:rPr>
            </w:pPr>
          </w:p>
        </w:tc>
        <w:tc>
          <w:tcPr>
            <w:tcW w:w="960" w:type="dxa"/>
            <w:vAlign w:val="bottom"/>
          </w:tcPr>
          <w:p>
            <w:pPr>
              <w:ind w:left="6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w:t>
            </w:r>
          </w:p>
        </w:tc>
      </w:tr>
      <w:tr>
        <w:trPr>
          <w:trHeight w:val="3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20" w:type="dxa"/>
            <w:vAlign w:val="bottom"/>
          </w:tcPr>
          <w:p>
            <w:pPr>
              <w:spacing w:after="0"/>
              <w:rPr>
                <w:sz w:val="20"/>
                <w:szCs w:val="20"/>
                <w:color w:val="auto"/>
              </w:rPr>
            </w:pPr>
            <w:r>
              <w:rPr>
                <w:rFonts w:ascii="Arial" w:cs="Arial" w:eastAsia="Arial" w:hAnsi="Arial"/>
                <w:sz w:val="16"/>
                <w:szCs w:val="16"/>
                <w:color w:val="auto"/>
              </w:rPr>
              <w:t>Net unrealized losses recognized on securities held at reporting date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(733)</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660" w:right="380" w:hanging="328"/>
        <w:spacing w:after="0" w:line="257" w:lineRule="auto"/>
        <w:tabs>
          <w:tab w:leader="none" w:pos="6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With the adoption of ASU 2016-01 effective January 1, 2018, changes in unrealized gains and losses on equity securities are included in net realized investment gains (losses) in the Statement of Operations. The adoption of this guidance resulted in a reclassification of net unrealized losses of $0.1 million from accumulated other comprehensive loss to retained earnings at January 1, 2018.</w:t>
      </w:r>
    </w:p>
    <w:p>
      <w:pPr>
        <w:spacing w:after="0" w:line="200" w:lineRule="exact"/>
        <w:rPr>
          <w:sz w:val="20"/>
          <w:szCs w:val="20"/>
          <w:color w:val="auto"/>
        </w:rPr>
      </w:pP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Other-than-temporary impairments on available-for-sale securities recognized in earnings were $1.6 million, $0.2 million and $0.4 million for the years ended December 31, 2018, 2017 and 2016, respectively. We have the intent to sell all credit-impaired available-for-sale debt securities; therefore, the entire amount of the impairment charges were included in earnings and no non-credit impairments were recognized in other comprehensive income. See also Note 2,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majority of our limited partnership holdings are considered investment companies where the general partners record assets at fair value. These limited partnerships are recorded using the equity method of accounting and are generally reported on a one-quarter lag; therefore, our year-to-date limited partnership results through December 31, 2018 are comprised of partnership financial results for the fourth quarter of 2017 and the first, second and third quarters of 2018. Given the lag in reporting, our limited partnership results do not reflect the market conditions of the fourth quarter of 2018. We also own one real estate limited partnership that does not meet the criteria of an investment company. This partnership prepares audited financial statements on a cost basis. We have elected to report this limited partnership under the fair value option, which is based on the NAV from our partner's capital statement reflecting the general partner's estimate of fair value for the fund's underlying assets. Fair value provides consistency in the evaluation and financial reporting for this limited partnership and limited partnerships accounted for under the equity method. Cash contributions made to and distributions received from the partnerships are recorded in the period in which the transaction occurs.</w:t>
      </w:r>
    </w:p>
    <w:p>
      <w:pPr>
        <w:sectPr>
          <w:pgSz w:w="11900" w:h="16838" w:orient="portrait"/>
          <w:cols w:equalWidth="0" w:num="1">
            <w:col w:w="11420"/>
          </w:cols>
          <w:pgMar w:left="240" w:top="12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2" w:right="2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Equity in (losses) earnings of limited partnerships by method of accounting were as follows for the years ended December 31: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color w:val="auto"/>
              </w:rPr>
              <w:t>2017</w:t>
            </w:r>
          </w:p>
        </w:tc>
        <w:tc>
          <w:tcPr>
            <w:tcW w:w="40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47"/>
        </w:trPr>
        <w:tc>
          <w:tcPr>
            <w:tcW w:w="7520" w:type="dxa"/>
            <w:vAlign w:val="bottom"/>
            <w:vMerge w:val="restart"/>
          </w:tcPr>
          <w:p>
            <w:pPr>
              <w:ind w:left="140"/>
              <w:spacing w:after="0"/>
              <w:rPr>
                <w:sz w:val="20"/>
                <w:szCs w:val="20"/>
                <w:color w:val="auto"/>
              </w:rPr>
            </w:pPr>
            <w:r>
              <w:rPr>
                <w:rFonts w:ascii="Arial" w:cs="Arial" w:eastAsia="Arial" w:hAnsi="Arial"/>
                <w:sz w:val="16"/>
                <w:szCs w:val="16"/>
                <w:color w:val="auto"/>
              </w:rPr>
              <w:t>Equity in (losses) earnings of limited partnerships - equity method</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(448)</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1,925</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6,273</w:t>
            </w:r>
          </w:p>
        </w:tc>
        <w:tc>
          <w:tcPr>
            <w:tcW w:w="0" w:type="dxa"/>
            <w:vAlign w:val="bottom"/>
          </w:tcPr>
          <w:p>
            <w:pPr>
              <w:spacing w:after="0"/>
              <w:rPr>
                <w:sz w:val="1"/>
                <w:szCs w:val="1"/>
                <w:color w:val="auto"/>
              </w:rPr>
            </w:pPr>
          </w:p>
        </w:tc>
      </w:tr>
      <w:tr>
        <w:trPr>
          <w:trHeight w:val="270"/>
        </w:trPr>
        <w:tc>
          <w:tcPr>
            <w:tcW w:w="7520" w:type="dxa"/>
            <w:vAlign w:val="bottom"/>
          </w:tcPr>
          <w:p>
            <w:pPr>
              <w:ind w:left="140"/>
              <w:spacing w:after="0"/>
              <w:rPr>
                <w:sz w:val="20"/>
                <w:szCs w:val="20"/>
                <w:color w:val="auto"/>
              </w:rPr>
            </w:pPr>
            <w:r>
              <w:rPr>
                <w:rFonts w:ascii="Arial" w:cs="Arial" w:eastAsia="Arial" w:hAnsi="Arial"/>
                <w:sz w:val="16"/>
                <w:szCs w:val="16"/>
                <w:color w:val="auto"/>
              </w:rPr>
              <w:t>Change in fair value of limited partnerships - fair value option</w:t>
            </w:r>
          </w:p>
        </w:tc>
        <w:tc>
          <w:tcPr>
            <w:tcW w:w="26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(374)</w:t>
            </w:r>
          </w:p>
        </w:tc>
        <w:tc>
          <w:tcPr>
            <w:tcW w:w="38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876</w:t>
            </w:r>
          </w:p>
        </w:tc>
        <w:tc>
          <w:tcPr>
            <w:tcW w:w="4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6"/>
                <w:szCs w:val="16"/>
                <w:color w:val="auto"/>
              </w:rPr>
              <w:t>Equity in (losses) earnings of limited partnerships</w:t>
            </w: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520" w:type="dxa"/>
            <w:vAlign w:val="bottom"/>
            <w:vMerge w:val="continue"/>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2,801</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7,025</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limited partnership investments by sector at December 31: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8"/>
                <w:szCs w:val="18"/>
                <w:color w:val="auto"/>
              </w:rPr>
            </w:pPr>
          </w:p>
        </w:tc>
        <w:tc>
          <w:tcPr>
            <w:tcW w:w="1300" w:type="dxa"/>
            <w:vAlign w:val="bottom"/>
          </w:tcPr>
          <w:p>
            <w:pPr>
              <w:jc w:val="right"/>
              <w:ind w:right="639"/>
              <w:spacing w:after="0"/>
              <w:rPr>
                <w:sz w:val="20"/>
                <w:szCs w:val="20"/>
                <w:color w:val="auto"/>
              </w:rPr>
            </w:pPr>
            <w:r>
              <w:rPr>
                <w:rFonts w:ascii="Arial" w:cs="Arial" w:eastAsia="Arial" w:hAnsi="Arial"/>
                <w:sz w:val="16"/>
                <w:szCs w:val="16"/>
                <w:color w:val="auto"/>
              </w:rPr>
              <w:t>2018</w:t>
            </w:r>
          </w:p>
        </w:tc>
        <w:tc>
          <w:tcPr>
            <w:tcW w:w="50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47"/>
        </w:trPr>
        <w:tc>
          <w:tcPr>
            <w:tcW w:w="7980" w:type="dxa"/>
            <w:vAlign w:val="bottom"/>
            <w:vMerge w:val="restart"/>
          </w:tcPr>
          <w:p>
            <w:pPr>
              <w:ind w:left="140"/>
              <w:spacing w:after="0"/>
              <w:rPr>
                <w:sz w:val="20"/>
                <w:szCs w:val="20"/>
                <w:color w:val="auto"/>
              </w:rPr>
            </w:pPr>
            <w:r>
              <w:rPr>
                <w:rFonts w:ascii="Arial" w:cs="Arial" w:eastAsia="Arial" w:hAnsi="Arial"/>
                <w:sz w:val="16"/>
                <w:szCs w:val="16"/>
                <w:color w:val="auto"/>
              </w:rPr>
              <w:t>Private equity</w:t>
            </w: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980" w:type="dxa"/>
            <w:vAlign w:val="bottom"/>
            <w:vMerge w:val="continue"/>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28,271</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31,663</w:t>
            </w:r>
          </w:p>
        </w:tc>
        <w:tc>
          <w:tcPr>
            <w:tcW w:w="0" w:type="dxa"/>
            <w:vAlign w:val="bottom"/>
          </w:tcPr>
          <w:p>
            <w:pPr>
              <w:spacing w:after="0"/>
              <w:rPr>
                <w:sz w:val="1"/>
                <w:szCs w:val="1"/>
                <w:color w:val="auto"/>
              </w:rPr>
            </w:pPr>
          </w:p>
        </w:tc>
      </w:tr>
      <w:tr>
        <w:trPr>
          <w:trHeight w:val="270"/>
        </w:trPr>
        <w:tc>
          <w:tcPr>
            <w:tcW w:w="7980" w:type="dxa"/>
            <w:vAlign w:val="bottom"/>
          </w:tcPr>
          <w:p>
            <w:pPr>
              <w:ind w:left="140"/>
              <w:spacing w:after="0"/>
              <w:rPr>
                <w:sz w:val="20"/>
                <w:szCs w:val="20"/>
                <w:color w:val="auto"/>
              </w:rPr>
            </w:pPr>
            <w:r>
              <w:rPr>
                <w:rFonts w:ascii="Arial" w:cs="Arial" w:eastAsia="Arial" w:hAnsi="Arial"/>
                <w:sz w:val="16"/>
                <w:szCs w:val="16"/>
                <w:color w:val="auto"/>
              </w:rPr>
              <w:t>Mezzanine debt</w:t>
            </w:r>
          </w:p>
        </w:tc>
        <w:tc>
          <w:tcPr>
            <w:tcW w:w="3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1,152</w:t>
            </w:r>
          </w:p>
        </w:tc>
        <w:tc>
          <w:tcPr>
            <w:tcW w:w="50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3,516</w:t>
            </w:r>
          </w:p>
        </w:tc>
        <w:tc>
          <w:tcPr>
            <w:tcW w:w="0" w:type="dxa"/>
            <w:vAlign w:val="bottom"/>
          </w:tcPr>
          <w:p>
            <w:pPr>
              <w:spacing w:after="0"/>
              <w:rPr>
                <w:sz w:val="1"/>
                <w:szCs w:val="1"/>
                <w:color w:val="auto"/>
              </w:rPr>
            </w:pPr>
          </w:p>
        </w:tc>
      </w:tr>
      <w:tr>
        <w:trPr>
          <w:trHeight w:val="270"/>
        </w:trPr>
        <w:tc>
          <w:tcPr>
            <w:tcW w:w="7980" w:type="dxa"/>
            <w:vAlign w:val="bottom"/>
          </w:tcPr>
          <w:p>
            <w:pPr>
              <w:ind w:left="140"/>
              <w:spacing w:after="0"/>
              <w:rPr>
                <w:sz w:val="20"/>
                <w:szCs w:val="20"/>
                <w:color w:val="auto"/>
              </w:rPr>
            </w:pPr>
            <w:r>
              <w:rPr>
                <w:rFonts w:ascii="Arial" w:cs="Arial" w:eastAsia="Arial" w:hAnsi="Arial"/>
                <w:sz w:val="16"/>
                <w:szCs w:val="16"/>
                <w:color w:val="auto"/>
              </w:rPr>
              <w:t>Real estate</w:t>
            </w:r>
          </w:p>
        </w:tc>
        <w:tc>
          <w:tcPr>
            <w:tcW w:w="3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2,192</w:t>
            </w:r>
          </w:p>
        </w:tc>
        <w:tc>
          <w:tcPr>
            <w:tcW w:w="50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5,127</w:t>
            </w:r>
          </w:p>
        </w:tc>
        <w:tc>
          <w:tcPr>
            <w:tcW w:w="0" w:type="dxa"/>
            <w:vAlign w:val="bottom"/>
          </w:tcPr>
          <w:p>
            <w:pPr>
              <w:spacing w:after="0"/>
              <w:rPr>
                <w:sz w:val="1"/>
                <w:szCs w:val="1"/>
                <w:color w:val="auto"/>
              </w:rPr>
            </w:pPr>
          </w:p>
        </w:tc>
      </w:tr>
      <w:tr>
        <w:trPr>
          <w:trHeight w:val="270"/>
        </w:trPr>
        <w:tc>
          <w:tcPr>
            <w:tcW w:w="7980" w:type="dxa"/>
            <w:vAlign w:val="bottom"/>
          </w:tcPr>
          <w:p>
            <w:pPr>
              <w:ind w:left="140"/>
              <w:spacing w:after="0"/>
              <w:rPr>
                <w:sz w:val="20"/>
                <w:szCs w:val="20"/>
                <w:color w:val="auto"/>
              </w:rPr>
            </w:pPr>
            <w:r>
              <w:rPr>
                <w:rFonts w:ascii="Arial" w:cs="Arial" w:eastAsia="Arial" w:hAnsi="Arial"/>
                <w:sz w:val="16"/>
                <w:szCs w:val="16"/>
                <w:color w:val="auto"/>
              </w:rPr>
              <w:t>Real estate - fair value option</w:t>
            </w:r>
          </w:p>
        </w:tc>
        <w:tc>
          <w:tcPr>
            <w:tcW w:w="380" w:type="dxa"/>
            <w:vAlign w:val="bottom"/>
          </w:tcPr>
          <w:p>
            <w:pPr>
              <w:spacing w:after="0"/>
              <w:rPr>
                <w:sz w:val="23"/>
                <w:szCs w:val="23"/>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3,206</w:t>
            </w:r>
          </w:p>
        </w:tc>
        <w:tc>
          <w:tcPr>
            <w:tcW w:w="50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4,816</w:t>
            </w:r>
          </w:p>
        </w:tc>
        <w:tc>
          <w:tcPr>
            <w:tcW w:w="0" w:type="dxa"/>
            <w:vAlign w:val="bottom"/>
          </w:tcPr>
          <w:p>
            <w:pPr>
              <w:spacing w:after="0"/>
              <w:rPr>
                <w:sz w:val="1"/>
                <w:szCs w:val="1"/>
                <w:color w:val="auto"/>
              </w:rPr>
            </w:pPr>
          </w:p>
        </w:tc>
      </w:tr>
      <w:tr>
        <w:trPr>
          <w:trHeight w:val="33"/>
        </w:trPr>
        <w:tc>
          <w:tcPr>
            <w:tcW w:w="7980" w:type="dxa"/>
            <w:vAlign w:val="bottom"/>
            <w:vMerge w:val="restart"/>
          </w:tcPr>
          <w:p>
            <w:pPr>
              <w:spacing w:after="0"/>
              <w:rPr>
                <w:sz w:val="20"/>
                <w:szCs w:val="20"/>
                <w:color w:val="auto"/>
              </w:rPr>
            </w:pPr>
            <w:r>
              <w:rPr>
                <w:rFonts w:ascii="Arial" w:cs="Arial" w:eastAsia="Arial" w:hAnsi="Arial"/>
                <w:sz w:val="16"/>
                <w:szCs w:val="16"/>
                <w:color w:val="auto"/>
              </w:rPr>
              <w:t>Total limited partnership investments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vMerge w:val="continue"/>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34,821</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45,122</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16, "Commitments and Contingencies", for investment commitments related to limited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Fixed Assets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fixed assets by category at December 31:</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69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2017</w:t>
            </w:r>
          </w:p>
        </w:tc>
      </w:t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Land, buildings, and building improvements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7,627</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617</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1,375</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Software</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163,735</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129,553</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Equipment</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15,075</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13,858</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Projects in progress</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10,392</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21,898</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23"/>
                <w:szCs w:val="23"/>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66,088</w:t>
            </w:r>
          </w:p>
        </w:tc>
        <w:tc>
          <w:tcPr>
            <w:tcW w:w="56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26,312</w:t>
            </w:r>
          </w:p>
        </w:tc>
      </w:tr>
      <w:tr>
        <w:trPr>
          <w:trHeight w:val="27"/>
        </w:trPr>
        <w:tc>
          <w:tcPr>
            <w:tcW w:w="6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6960" w:type="dxa"/>
            <w:vAlign w:val="bottom"/>
          </w:tcPr>
          <w:p>
            <w:pPr>
              <w:ind w:left="140"/>
              <w:spacing w:after="0"/>
              <w:rPr>
                <w:sz w:val="20"/>
                <w:szCs w:val="20"/>
                <w:color w:val="auto"/>
              </w:rPr>
            </w:pPr>
            <w:r>
              <w:rPr>
                <w:rFonts w:ascii="Arial" w:cs="Arial" w:eastAsia="Arial" w:hAnsi="Arial"/>
                <w:sz w:val="18"/>
                <w:szCs w:val="18"/>
                <w:color w:val="auto"/>
              </w:rPr>
              <w:t>Total fixed assets, gross</w:t>
            </w:r>
          </w:p>
        </w:tc>
        <w:tc>
          <w:tcPr>
            <w:tcW w:w="50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255,907</w:t>
            </w:r>
          </w:p>
        </w:tc>
        <w:tc>
          <w:tcPr>
            <w:tcW w:w="5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200,623</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0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(125,075)</w:t>
            </w:r>
          </w:p>
        </w:tc>
        <w:tc>
          <w:tcPr>
            <w:tcW w:w="56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(117,474)</w:t>
            </w:r>
          </w:p>
        </w:tc>
      </w:tr>
      <w:tr>
        <w:trPr>
          <w:trHeight w:val="27"/>
        </w:trPr>
        <w:tc>
          <w:tcPr>
            <w:tcW w:w="6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6960" w:type="dxa"/>
            <w:vAlign w:val="bottom"/>
          </w:tcPr>
          <w:p>
            <w:pPr>
              <w:ind w:left="140"/>
              <w:spacing w:after="0"/>
              <w:rPr>
                <w:sz w:val="20"/>
                <w:szCs w:val="20"/>
                <w:color w:val="auto"/>
              </w:rPr>
            </w:pPr>
            <w:r>
              <w:rPr>
                <w:rFonts w:ascii="Arial" w:cs="Arial" w:eastAsia="Arial" w:hAnsi="Arial"/>
                <w:sz w:val="18"/>
                <w:szCs w:val="18"/>
                <w:color w:val="auto"/>
              </w:rPr>
              <w:t>Fixed assets, net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130,832</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83,149</w:t>
            </w:r>
          </w:p>
        </w:tc>
      </w:tr>
      <w:tr>
        <w:trPr>
          <w:trHeight w:val="20"/>
        </w:trPr>
        <w:tc>
          <w:tcPr>
            <w:tcW w:w="6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December 31, 2018, we sold the field offices we owned to the Exchange at the current independent appraised value in order to align the ownership interest of these facilities with the functions being performed at these locations, which are claims-related activities. We recognized a gain on the sale of $3.4 million, which is included in "Other income (expense)" in the Statements of Operations. See Note 14, "Related Party".</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Software increased primarily related to an investment in platform technology, as well as internally developed software projects in progress that were completed and placed in production related to providing new quote and application processing capabilities for commercial lines and new web-based system functionality for personal lines.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Projects in progress include certain computer software and software developments costs for internal use that are not yet subject to amortization.</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2016, we announced the construction of a new office building that will serve as part of our principal headquarters. The costs associated with this project are included in construction in progress. Capitalized interest included in construction in progress was $2.1 million at December 31, 2018 and $0.6 million at December 31, 2017, respectively. The building is expected to be completed in 2020 and is financed using a senior secured draw term loan credit facility. See Note 8, "Borrowing Arrangements".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years ended December 31, 2018, 2017 and 2016, depreciation and amortization of fixed assets totaled $13.4 million, $14.8 million and $15.1 million, respectively, and is included in "Cost of operations - policy issuance and renewal services" in the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Line of Credit</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December 31, 2018, we have access to a $100 million bank revolving line of credit with a $25 million letter of credit sublimit that expires on October 30, 2023. As of December 31, 2018, a total of $99.1 million remains available under the facility due to $0.9 million outstanding letters of credit, which reduces the availability for letters of credit to $24.1 million. We had no borrowings outstanding on our line of credit as of December 31, 2018. Bonds with a fair value of $108.7 million were pledged as collateral on the line at December 31, 2018. The securities pledged as collateral have no trading restrictions and are reported as available-for-sale securities in the Statements of Financial Position as of December 31, 2018. The banks require compliance with certain covenants, which include leverage ratios and debt restrictions, for our line of credit. We are in compliance with all covenants at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Credit Facility</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2016, we entered into a credit agreement for a $100 million senior secured draw term loan credit facility ("Credit Facility") for the acquisition of real property and construction of an office building that will serve as part of our principal headquarters. Under the agreement, $25 million was drawn on December 1, 2016, June 1, 2017, December 1, 2017, and June 1, 2018, for a total drawn amount of $100 million. During the draw period from December 1, 2016 through December 31, 2018, we made monthly interest payments under the Credit Facility. At expiration of the draw period, the Credit Facility converted to a fully-amortized term loan with monthly payments of principal and interest over a period of 28 years, commencing on January 1, 2019. Borrowings under the Credit Facility will bear interest at a fixed rate of 4.35%. In addition, we were required to pay a quarterly commitment fee of 0.08% on the unused portion of the Credit Facility during the draw period. Bonds with a fair value of $114.3 million were pledged as collateral for the facility and are reported as available-for-sale securities in the Statements of Financial Position as of December 31, 2018. The bank requires compliance with certain covenants, which include leverage ratios, debt restrictions and minimum net worth, for our Credit Facility. We are in compliance with all covenants at December 31, 2018.</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Amounts drawn from the Credit Facility are reported at carrying value on our Statements of Financial Position, net of unamortized loan origination and commitment fees. See Note 5, "Fair Value" for the estimated fair value of these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Annual principal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maturity of the $100 million Credit Facility began on January 1, 2019. The following table sets forth future principal payments:</w:t>
      </w:r>
    </w:p>
    <w:p>
      <w:pPr>
        <w:spacing w:after="0" w:line="220" w:lineRule="exact"/>
        <w:rPr>
          <w:sz w:val="20"/>
          <w:szCs w:val="20"/>
          <w:color w:val="auto"/>
        </w:rPr>
      </w:pPr>
    </w:p>
    <w:tbl>
      <w:tblPr>
        <w:tblLayout w:type="fixed"/>
        <w:tblInd w:w="3660" w:type="dxa"/>
        <w:tblCellMar>
          <w:top w:w="0" w:type="dxa"/>
          <w:left w:w="0" w:type="dxa"/>
          <w:bottom w:w="0" w:type="dxa"/>
          <w:right w:w="0" w:type="dxa"/>
        </w:tblCellMar>
      </w:tblPr>
      <w:tr>
        <w:trPr>
          <w:trHeight w:val="182"/>
        </w:trPr>
        <w:tc>
          <w:tcPr>
            <w:tcW w:w="1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9"/>
        </w:trPr>
        <w:tc>
          <w:tcPr>
            <w:tcW w:w="1720" w:type="dxa"/>
            <w:vAlign w:val="bottom"/>
          </w:tcPr>
          <w:p>
            <w:pPr>
              <w:jc w:val="center"/>
              <w:ind w:left="413"/>
              <w:spacing w:after="0"/>
              <w:rPr>
                <w:sz w:val="20"/>
                <w:szCs w:val="20"/>
                <w:color w:val="auto"/>
              </w:rPr>
            </w:pPr>
            <w:r>
              <w:rPr>
                <w:rFonts w:ascii="Arial" w:cs="Arial" w:eastAsia="Arial" w:hAnsi="Arial"/>
                <w:sz w:val="16"/>
                <w:szCs w:val="16"/>
                <w:color w:val="auto"/>
                <w:w w:val="88"/>
              </w:rPr>
              <w:t>Year</w:t>
            </w:r>
          </w:p>
        </w:tc>
        <w:tc>
          <w:tcPr>
            <w:tcW w:w="800" w:type="dxa"/>
            <w:vAlign w:val="bottom"/>
          </w:tcPr>
          <w:p>
            <w:pPr>
              <w:spacing w:after="0"/>
              <w:rPr>
                <w:sz w:val="21"/>
                <w:szCs w:val="21"/>
                <w:color w:val="auto"/>
              </w:rPr>
            </w:pPr>
          </w:p>
        </w:tc>
        <w:tc>
          <w:tcPr>
            <w:tcW w:w="1580" w:type="dxa"/>
            <w:vAlign w:val="bottom"/>
          </w:tcPr>
          <w:p>
            <w:pPr>
              <w:jc w:val="right"/>
              <w:ind w:right="111"/>
              <w:spacing w:after="0"/>
              <w:rPr>
                <w:sz w:val="20"/>
                <w:szCs w:val="20"/>
                <w:color w:val="auto"/>
              </w:rPr>
            </w:pPr>
            <w:r>
              <w:rPr>
                <w:rFonts w:ascii="Arial" w:cs="Arial" w:eastAsia="Arial" w:hAnsi="Arial"/>
                <w:sz w:val="16"/>
                <w:szCs w:val="16"/>
                <w:color w:val="auto"/>
              </w:rPr>
              <w:t>Principal payments</w:t>
            </w:r>
          </w:p>
        </w:tc>
      </w:tr>
      <w:tr>
        <w:trPr>
          <w:trHeight w:val="33"/>
        </w:trPr>
        <w:tc>
          <w:tcPr>
            <w:tcW w:w="1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720" w:type="dxa"/>
            <w:vAlign w:val="bottom"/>
          </w:tcPr>
          <w:p>
            <w:pPr>
              <w:jc w:val="center"/>
              <w:ind w:left="433"/>
              <w:spacing w:after="0"/>
              <w:rPr>
                <w:sz w:val="20"/>
                <w:szCs w:val="20"/>
                <w:color w:val="auto"/>
              </w:rPr>
            </w:pPr>
            <w:r>
              <w:rPr>
                <w:rFonts w:ascii="Arial" w:cs="Arial" w:eastAsia="Arial" w:hAnsi="Arial"/>
                <w:sz w:val="18"/>
                <w:szCs w:val="18"/>
                <w:color w:val="auto"/>
                <w:w w:val="89"/>
              </w:rPr>
              <w:t>2019</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1,870</w:t>
            </w:r>
          </w:p>
        </w:tc>
      </w:tr>
      <w:tr>
        <w:trPr>
          <w:trHeight w:val="270"/>
        </w:trPr>
        <w:tc>
          <w:tcPr>
            <w:tcW w:w="1720" w:type="dxa"/>
            <w:vAlign w:val="bottom"/>
          </w:tcPr>
          <w:p>
            <w:pPr>
              <w:jc w:val="center"/>
              <w:ind w:left="433"/>
              <w:spacing w:after="0"/>
              <w:rPr>
                <w:sz w:val="20"/>
                <w:szCs w:val="20"/>
                <w:color w:val="auto"/>
              </w:rPr>
            </w:pPr>
            <w:r>
              <w:rPr>
                <w:rFonts w:ascii="Arial" w:cs="Arial" w:eastAsia="Arial" w:hAnsi="Arial"/>
                <w:sz w:val="18"/>
                <w:szCs w:val="18"/>
                <w:color w:val="auto"/>
                <w:w w:val="89"/>
              </w:rPr>
              <w:t>2020</w:t>
            </w:r>
          </w:p>
        </w:tc>
        <w:tc>
          <w:tcPr>
            <w:tcW w:w="8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1,953</w:t>
            </w:r>
          </w:p>
        </w:tc>
      </w:tr>
      <w:tr>
        <w:trPr>
          <w:trHeight w:val="270"/>
        </w:trPr>
        <w:tc>
          <w:tcPr>
            <w:tcW w:w="1720" w:type="dxa"/>
            <w:vAlign w:val="bottom"/>
          </w:tcPr>
          <w:p>
            <w:pPr>
              <w:jc w:val="center"/>
              <w:ind w:left="433"/>
              <w:spacing w:after="0"/>
              <w:rPr>
                <w:sz w:val="20"/>
                <w:szCs w:val="20"/>
                <w:color w:val="auto"/>
              </w:rPr>
            </w:pPr>
            <w:r>
              <w:rPr>
                <w:rFonts w:ascii="Arial" w:cs="Arial" w:eastAsia="Arial" w:hAnsi="Arial"/>
                <w:sz w:val="18"/>
                <w:szCs w:val="18"/>
                <w:color w:val="auto"/>
                <w:w w:val="89"/>
              </w:rPr>
              <w:t>2021</w:t>
            </w:r>
          </w:p>
        </w:tc>
        <w:tc>
          <w:tcPr>
            <w:tcW w:w="8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2,040</w:t>
            </w:r>
          </w:p>
        </w:tc>
      </w:tr>
      <w:tr>
        <w:trPr>
          <w:trHeight w:val="270"/>
        </w:trPr>
        <w:tc>
          <w:tcPr>
            <w:tcW w:w="1720" w:type="dxa"/>
            <w:vAlign w:val="bottom"/>
          </w:tcPr>
          <w:p>
            <w:pPr>
              <w:jc w:val="center"/>
              <w:ind w:left="433"/>
              <w:spacing w:after="0"/>
              <w:rPr>
                <w:sz w:val="20"/>
                <w:szCs w:val="20"/>
                <w:color w:val="auto"/>
              </w:rPr>
            </w:pPr>
            <w:r>
              <w:rPr>
                <w:rFonts w:ascii="Arial" w:cs="Arial" w:eastAsia="Arial" w:hAnsi="Arial"/>
                <w:sz w:val="18"/>
                <w:szCs w:val="18"/>
                <w:color w:val="auto"/>
                <w:w w:val="89"/>
              </w:rPr>
              <w:t>2022</w:t>
            </w:r>
          </w:p>
        </w:tc>
        <w:tc>
          <w:tcPr>
            <w:tcW w:w="8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2,130</w:t>
            </w:r>
          </w:p>
        </w:tc>
      </w:tr>
      <w:tr>
        <w:trPr>
          <w:trHeight w:val="270"/>
        </w:trPr>
        <w:tc>
          <w:tcPr>
            <w:tcW w:w="1720" w:type="dxa"/>
            <w:vAlign w:val="bottom"/>
          </w:tcPr>
          <w:p>
            <w:pPr>
              <w:jc w:val="center"/>
              <w:ind w:left="433"/>
              <w:spacing w:after="0"/>
              <w:rPr>
                <w:sz w:val="20"/>
                <w:szCs w:val="20"/>
                <w:color w:val="auto"/>
              </w:rPr>
            </w:pPr>
            <w:r>
              <w:rPr>
                <w:rFonts w:ascii="Arial" w:cs="Arial" w:eastAsia="Arial" w:hAnsi="Arial"/>
                <w:sz w:val="18"/>
                <w:szCs w:val="18"/>
                <w:color w:val="auto"/>
                <w:w w:val="89"/>
              </w:rPr>
              <w:t>2023</w:t>
            </w:r>
          </w:p>
        </w:tc>
        <w:tc>
          <w:tcPr>
            <w:tcW w:w="8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70"/>
        </w:trPr>
        <w:tc>
          <w:tcPr>
            <w:tcW w:w="1720" w:type="dxa"/>
            <w:vAlign w:val="bottom"/>
          </w:tcPr>
          <w:p>
            <w:pPr>
              <w:jc w:val="center"/>
              <w:ind w:left="433"/>
              <w:spacing w:after="0"/>
              <w:rPr>
                <w:sz w:val="20"/>
                <w:szCs w:val="20"/>
                <w:color w:val="auto"/>
              </w:rPr>
            </w:pPr>
            <w:r>
              <w:rPr>
                <w:rFonts w:ascii="Arial" w:cs="Arial" w:eastAsia="Arial" w:hAnsi="Arial"/>
                <w:sz w:val="18"/>
                <w:szCs w:val="18"/>
                <w:color w:val="auto"/>
                <w:w w:val="91"/>
              </w:rPr>
              <w:t>Thereafter</w:t>
            </w:r>
          </w:p>
        </w:tc>
        <w:tc>
          <w:tcPr>
            <w:tcW w:w="8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89,782</w:t>
            </w:r>
          </w:p>
        </w:tc>
      </w:tr>
      <w:tr>
        <w:trPr>
          <w:trHeight w:val="702"/>
        </w:trPr>
        <w:tc>
          <w:tcPr>
            <w:tcW w:w="1720" w:type="dxa"/>
            <w:vAlign w:val="bottom"/>
          </w:tcPr>
          <w:p>
            <w:pPr>
              <w:spacing w:after="0"/>
              <w:rPr>
                <w:sz w:val="24"/>
                <w:szCs w:val="24"/>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67</w:t>
            </w:r>
          </w:p>
        </w:tc>
        <w:tc>
          <w:tcPr>
            <w:tcW w:w="1580" w:type="dxa"/>
            <w:vAlign w:val="bottom"/>
          </w:tcPr>
          <w:p>
            <w:pPr>
              <w:spacing w:after="0"/>
              <w:rPr>
                <w:sz w:val="24"/>
                <w:szCs w:val="24"/>
                <w:color w:val="auto"/>
              </w:rPr>
            </w:pPr>
          </w:p>
        </w:tc>
      </w:tr>
    </w:tbl>
    <w:p>
      <w:pPr>
        <w:sectPr>
          <w:pgSz w:w="11900" w:h="16838" w:orient="portrait"/>
          <w:cols w:equalWidth="0" w:num="1">
            <w:col w:w="11320"/>
          </w:cols>
          <w:pgMar w:left="240" w:top="122" w:right="3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plans</w:t>
      </w:r>
    </w:p>
    <w:p>
      <w:pPr>
        <w:spacing w:after="0" w:line="2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Our pension plans consist of a noncontributory defined benefit pension plan covering substantially all employees and an unfunded supplemental employee retirement plan ("SERP") for certain members of executive and senior management. The pension plans provide benefits to covered individuals satisfying certain age and service requirements. The defined benefit pension plan and SERP each provide benefits through a final average earnings formula.</w:t>
      </w:r>
    </w:p>
    <w:p>
      <w:pPr>
        <w:spacing w:after="0" w:line="15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Although we are the sponsor of these postretirement plans and record the funded status of these plans, the Exchange and its subsidiaries reimburse us for approximately 59% of the annual benefit expense of these plans, which represents pension benefits for employees performing administrative services and their allocated share of costs for employees in departments that support the administrative functions. For our funded pension plan, amounts are settled in cash for the portion of pension costs allocated to the Exchange and its subsidiaries. For our unfunded plans, we pay the obligations when due and amounts are settled in cash between entities when there is a payout.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pension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Pension plan cost includes the following components: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5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2"/>
                <w:szCs w:val="22"/>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38,052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31,106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28,201</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4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35,382</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34,275</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33,125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(51,260)</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(41,267)</w:t>
            </w:r>
          </w:p>
        </w:tc>
        <w:tc>
          <w:tcPr>
            <w:tcW w:w="4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(39,520)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Prior service cost amortization</w:t>
            </w:r>
          </w:p>
        </w:tc>
        <w:tc>
          <w:tcPr>
            <w:tcW w:w="34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1,353</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871</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Net actuarial loss amortization</w:t>
            </w:r>
          </w:p>
        </w:tc>
        <w:tc>
          <w:tcPr>
            <w:tcW w:w="340" w:type="dxa"/>
            <w:vAlign w:val="bottom"/>
          </w:tcPr>
          <w:p>
            <w:pPr>
              <w:spacing w:after="0"/>
              <w:rPr>
                <w:sz w:val="23"/>
                <w:szCs w:val="23"/>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12,809</w:t>
            </w:r>
          </w:p>
        </w:tc>
        <w:tc>
          <w:tcPr>
            <w:tcW w:w="4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9,301</w:t>
            </w:r>
          </w:p>
        </w:tc>
        <w:tc>
          <w:tcPr>
            <w:tcW w:w="4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8,111</w:t>
            </w:r>
          </w:p>
        </w:tc>
      </w:tr>
      <w:tr>
        <w:trPr>
          <w:trHeight w:val="297"/>
        </w:trPr>
        <w:tc>
          <w:tcPr>
            <w:tcW w:w="6580" w:type="dxa"/>
            <w:vAlign w:val="bottom"/>
          </w:tcPr>
          <w:p>
            <w:pPr>
              <w:spacing w:after="0"/>
              <w:rPr>
                <w:sz w:val="20"/>
                <w:szCs w:val="20"/>
                <w:color w:val="auto"/>
              </w:rPr>
            </w:pPr>
            <w:r>
              <w:rPr>
                <w:rFonts w:ascii="Arial" w:cs="Arial" w:eastAsia="Arial" w:hAnsi="Arial"/>
                <w:sz w:val="18"/>
                <w:szCs w:val="18"/>
                <w:color w:val="auto"/>
              </w:rPr>
              <w:t xml:space="preserve">Settlement cost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302</w:t>
            </w: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6580" w:type="dxa"/>
            <w:vAlign w:val="bottom"/>
          </w:tcPr>
          <w:p>
            <w:pPr>
              <w:ind w:left="140"/>
              <w:spacing w:after="0" w:line="264" w:lineRule="exact"/>
              <w:rPr>
                <w:sz w:val="20"/>
                <w:szCs w:val="20"/>
                <w:color w:val="auto"/>
              </w:rPr>
            </w:pPr>
            <w:r>
              <w:rPr>
                <w:rFonts w:ascii="Arial" w:cs="Arial" w:eastAsia="Arial" w:hAnsi="Arial"/>
                <w:sz w:val="18"/>
                <w:szCs w:val="18"/>
                <w:color w:val="auto"/>
              </w:rPr>
              <w:t xml:space="preserve">Pension plan cost </w:t>
            </w:r>
            <w:r>
              <w:rPr>
                <w:rFonts w:ascii="Arial" w:cs="Arial" w:eastAsia="Arial" w:hAnsi="Arial"/>
                <w:sz w:val="25"/>
                <w:szCs w:val="25"/>
                <w:color w:val="auto"/>
                <w:vertAlign w:val="superscript"/>
              </w:rPr>
              <w:t>(2)</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36,336</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34,588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30,613</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The final SERP benefit for two former executives was settled with lump sum payments in 2017.</w:t>
      </w:r>
    </w:p>
    <w:p>
      <w:pPr>
        <w:spacing w:after="0" w:line="13" w:lineRule="exact"/>
        <w:rPr>
          <w:rFonts w:ascii="Arial" w:cs="Arial" w:eastAsia="Arial" w:hAnsi="Arial"/>
          <w:sz w:val="14"/>
          <w:szCs w:val="14"/>
          <w:i w:val="1"/>
          <w:iCs w:val="1"/>
          <w:color w:val="auto"/>
        </w:rPr>
      </w:pPr>
    </w:p>
    <w:p>
      <w:pPr>
        <w:ind w:left="660" w:hanging="328"/>
        <w:spacing w:after="0"/>
        <w:tabs>
          <w:tab w:leader="none" w:pos="66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Pension plan costs represent the total cost before reimbursements to Indemnity from the Exchange and its subsidiaries.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Actuarial assumptions</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describes the assumptions at December 31 used to measure the year-end obligations and the net periodic benefit costs for the subsequent year:</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860" w:type="dxa"/>
            <w:vAlign w:val="bottom"/>
          </w:tcPr>
          <w:p>
            <w:pPr>
              <w:jc w:val="right"/>
              <w:ind w:right="810"/>
              <w:spacing w:after="0"/>
              <w:rPr>
                <w:sz w:val="20"/>
                <w:szCs w:val="20"/>
                <w:color w:val="auto"/>
              </w:rPr>
            </w:pPr>
            <w:r>
              <w:rPr>
                <w:rFonts w:ascii="Arial" w:cs="Arial" w:eastAsia="Arial" w:hAnsi="Arial"/>
                <w:sz w:val="18"/>
                <w:szCs w:val="18"/>
                <w:color w:val="auto"/>
              </w:rPr>
              <w:t>2018</w:t>
            </w: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2017</w:t>
            </w:r>
          </w:p>
        </w:tc>
        <w:tc>
          <w:tcPr>
            <w:tcW w:w="1640" w:type="dxa"/>
            <w:vAlign w:val="bottom"/>
          </w:tcPr>
          <w:p>
            <w:pPr>
              <w:jc w:val="right"/>
              <w:ind w:right="830"/>
              <w:spacing w:after="0"/>
              <w:rPr>
                <w:sz w:val="20"/>
                <w:szCs w:val="20"/>
                <w:color w:val="auto"/>
              </w:rPr>
            </w:pPr>
            <w:r>
              <w:rPr>
                <w:rFonts w:ascii="Arial" w:cs="Arial" w:eastAsia="Arial" w:hAnsi="Arial"/>
                <w:sz w:val="18"/>
                <w:szCs w:val="18"/>
                <w:color w:val="auto"/>
              </w:rPr>
              <w:t>2016</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8"/>
                <w:szCs w:val="18"/>
                <w:color w:val="auto"/>
              </w:rPr>
              <w:t>Employee pension plan:</w:t>
            </w:r>
          </w:p>
        </w:tc>
        <w:tc>
          <w:tcPr>
            <w:tcW w:w="1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4.47%</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3.73%</w:t>
            </w: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4.24%</w:t>
            </w:r>
          </w:p>
        </w:tc>
        <w:tc>
          <w:tcPr>
            <w:tcW w:w="132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Expected return on assets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6.75</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6.75</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7.00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310"/>
        </w:trPr>
        <w:tc>
          <w:tcPr>
            <w:tcW w:w="4820" w:type="dxa"/>
            <w:vAlign w:val="bottom"/>
          </w:tcPr>
          <w:p>
            <w:pPr>
              <w:ind w:left="140"/>
              <w:spacing w:after="0"/>
              <w:rPr>
                <w:sz w:val="20"/>
                <w:szCs w:val="20"/>
                <w:color w:val="auto"/>
              </w:rPr>
            </w:pPr>
            <w:r>
              <w:rPr>
                <w:rFonts w:ascii="Arial" w:cs="Arial" w:eastAsia="Arial" w:hAnsi="Arial"/>
                <w:sz w:val="18"/>
                <w:szCs w:val="18"/>
                <w:color w:val="auto"/>
              </w:rPr>
              <w:t xml:space="preserve">Compensation increases </w:t>
            </w:r>
            <w:r>
              <w:rPr>
                <w:rFonts w:ascii="Arial" w:cs="Arial" w:eastAsia="Arial" w:hAnsi="Arial"/>
                <w:sz w:val="25"/>
                <w:szCs w:val="25"/>
                <w:color w:val="auto"/>
                <w:vertAlign w:val="superscript"/>
              </w:rPr>
              <w:t>(1)</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3.32</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SERP:</w:t>
            </w: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Discount rate – pre-retirement/post-retirement</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4.47/3.97</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3.73/3.23</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4.24/3.74</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4.57/4.07</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Arial" w:cs="Arial" w:eastAsia="Arial" w:hAnsi="Arial"/>
                <w:sz w:val="18"/>
                <w:szCs w:val="18"/>
                <w:color w:val="auto"/>
              </w:rPr>
              <w:t>Rate of compensation increase</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5.00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3"/>
          <w:szCs w:val="13"/>
          <w:i w:val="1"/>
          <w:iCs w:val="1"/>
          <w:color w:val="auto"/>
        </w:rPr>
      </w:pPr>
      <w:r>
        <w:rPr>
          <w:rFonts w:ascii="Arial" w:cs="Arial" w:eastAsia="Arial" w:hAnsi="Arial"/>
          <w:sz w:val="13"/>
          <w:szCs w:val="13"/>
          <w:i w:val="1"/>
          <w:iCs w:val="1"/>
          <w:color w:val="auto"/>
        </w:rPr>
        <w:t>The rate of compensation increase for the employee plan is age-graded. An equivalent single compensation increase rate of 3.32% in 2018, 2017 and 2016 would produce similar results.</w:t>
      </w:r>
    </w:p>
    <w:p>
      <w:pPr>
        <w:spacing w:after="0" w:line="200" w:lineRule="exact"/>
        <w:rPr>
          <w:sz w:val="20"/>
          <w:szCs w:val="20"/>
          <w:color w:val="auto"/>
        </w:rPr>
      </w:pPr>
    </w:p>
    <w:p>
      <w:pPr>
        <w:spacing w:after="0" w:line="2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economic assumptions that have the most impact on the postretirement benefits expense are the discount rate and the long-term rate of return on plan assets. The discount rate assumption used to determine the benefit obligation for all periods presented was based upon a yield curve developed from corporate bond yield information.</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pension plan's expected long-term rate of return represents the average rate of return to be earned on plan assets over the period the benefits included in the benefit obligation are to be paid.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Funding policy/funded status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2018, we made accelerated pension contributions totaling $80 million. Following our 2018 contributions, we would not expect to make a subsequent contribution until the sum of the target normal costs for plan years beginning on and after December 31, 2017 exceeds $80 million, or earlier if a contribution is necessary to fund the plan to 100%. At that time, our funding policy will again generally be to contribute an amount equal or greater of the target normal cost for the plan year, or the amount necessary to fund the plan to 100%. Additional contributions may be necessary or desirable due to future plan changes, our particular business or investment strategy, or pending law changes. In 2017, in addition to our planned contribution of $19.0 million, we made additional unplanned contributions of $39.9 million. The following table sets forth the funded status of the pension plans and the amounts recognized in the Statements of Financial Position at December 31:</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7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(118,596)</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(207,766)</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40"/>
        </w:trPr>
        <w:tc>
          <w:tcPr>
            <w:tcW w:w="7740" w:type="dxa"/>
            <w:vAlign w:val="bottom"/>
          </w:tcPr>
          <w:p>
            <w:pPr>
              <w:spacing w:after="0"/>
              <w:rPr>
                <w:sz w:val="20"/>
                <w:szCs w:val="20"/>
                <w:color w:val="auto"/>
              </w:rPr>
            </w:pPr>
            <w:r>
              <w:rPr>
                <w:rFonts w:ascii="Arial" w:cs="Arial" w:eastAsia="Arial" w:hAnsi="Arial"/>
                <w:sz w:val="18"/>
                <w:szCs w:val="18"/>
                <w:color w:val="auto"/>
              </w:rPr>
              <w:t xml:space="preserve">Pension liabilities – due within one year </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(1,730)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Pension liabilities – due after one year</w:t>
            </w:r>
          </w:p>
        </w:tc>
        <w:tc>
          <w:tcPr>
            <w:tcW w:w="34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(116,866)</w:t>
            </w: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(207,530)</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(118,596)</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(207,766)</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The current portion of pension liabilities is included in accounts payable and accrued liabilities in the Statements of Financial Position.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obligations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Benefit obligations are described in the following tables. Accumulated and projected benefit obligations represent the obligations of a pension plan for past service as of the measurement date. The accumulated benefit obligation is the present value of pension benefits earned as of the measurement date based on employee service and compensation prior to that date. It differs from the projected benefit obligation in that the accumulated benefit obligation includes no assumptions to reflect expected future compensation. The following table sets forth a reconciliation of beginning and ending balances of the projected benefit obligation, as well as the accumulated benefit obligation at December 31:</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Projected benefit obligation, beginning of year</w:t>
            </w:r>
          </w:p>
        </w:tc>
        <w:tc>
          <w:tcPr>
            <w:tcW w:w="2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vMerge w:val="continue"/>
          </w:tcPr>
          <w:p>
            <w:pPr>
              <w:spacing w:after="0"/>
              <w:rPr>
                <w:sz w:val="20"/>
                <w:szCs w:val="20"/>
                <w:color w:val="auto"/>
              </w:rPr>
            </w:pPr>
          </w:p>
        </w:tc>
        <w:tc>
          <w:tcPr>
            <w:tcW w:w="2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951,666</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816,659</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Service cost for benefits earned</w:t>
            </w:r>
          </w:p>
        </w:tc>
        <w:tc>
          <w:tcPr>
            <w:tcW w:w="2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38,052</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31,106</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Interest cost on benefit obligation</w:t>
            </w:r>
          </w:p>
        </w:tc>
        <w:tc>
          <w:tcPr>
            <w:tcW w:w="2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35,382</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34,275</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Plan amendments</w:t>
            </w:r>
          </w:p>
        </w:tc>
        <w:tc>
          <w:tcPr>
            <w:tcW w:w="2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3,007</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Actuarial (gain) loss</w:t>
            </w:r>
          </w:p>
        </w:tc>
        <w:tc>
          <w:tcPr>
            <w:tcW w:w="2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(123,910)</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82,940</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2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(18,032)</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70"/>
        </w:trPr>
        <w:tc>
          <w:tcPr>
            <w:tcW w:w="5640" w:type="dxa"/>
            <w:vAlign w:val="bottom"/>
          </w:tcPr>
          <w:p>
            <w:pPr>
              <w:ind w:left="140"/>
              <w:spacing w:after="0"/>
              <w:rPr>
                <w:sz w:val="20"/>
                <w:szCs w:val="20"/>
                <w:color w:val="auto"/>
              </w:rPr>
            </w:pPr>
            <w:r>
              <w:rPr>
                <w:rFonts w:ascii="Arial" w:cs="Arial" w:eastAsia="Arial" w:hAnsi="Arial"/>
                <w:sz w:val="18"/>
                <w:szCs w:val="18"/>
                <w:color w:val="auto"/>
              </w:rPr>
              <w:t>Settlement cost</w:t>
            </w:r>
          </w:p>
        </w:tc>
        <w:tc>
          <w:tcPr>
            <w:tcW w:w="2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2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886,165</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951,666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640" w:type="dxa"/>
            <w:vAlign w:val="bottom"/>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2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727,340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767,527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Projected benefit obligations decreased $65.5 million at December 31, 2018 compared to December 31, 2017 due primarily to actuarial gains resulting from the increase in the discount rate used to measure the future benefit obligations. The discount rate increased to 4.47% in 2018 from 3.73% in 2017.</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122" w:right="29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plans with assets less than projected benefit obligation at December 31: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8"/>
                <w:szCs w:val="18"/>
                <w:color w:val="auto"/>
              </w:rPr>
            </w:pPr>
          </w:p>
        </w:tc>
        <w:tc>
          <w:tcPr>
            <w:tcW w:w="3160" w:type="dxa"/>
            <w:vAlign w:val="bottom"/>
            <w:gridSpan w:val="3"/>
          </w:tcPr>
          <w:p>
            <w:pPr>
              <w:jc w:val="center"/>
              <w:ind w:right="10"/>
              <w:spacing w:after="0"/>
              <w:rPr>
                <w:sz w:val="20"/>
                <w:szCs w:val="20"/>
                <w:color w:val="auto"/>
              </w:rPr>
            </w:pPr>
            <w:r>
              <w:rPr>
                <w:rFonts w:ascii="Arial" w:cs="Arial" w:eastAsia="Arial" w:hAnsi="Arial"/>
                <w:sz w:val="18"/>
                <w:szCs w:val="18"/>
                <w:color w:val="auto"/>
                <w:w w:val="91"/>
              </w:rPr>
              <w:t>Projected Benefit Obligation in Excess of</w:t>
            </w:r>
          </w:p>
        </w:tc>
        <w:tc>
          <w:tcPr>
            <w:tcW w:w="0" w:type="dxa"/>
            <w:vAlign w:val="bottom"/>
          </w:tcPr>
          <w:p>
            <w:pPr>
              <w:spacing w:after="0"/>
              <w:rPr>
                <w:sz w:val="1"/>
                <w:szCs w:val="1"/>
                <w:color w:val="auto"/>
              </w:rPr>
            </w:pPr>
          </w:p>
        </w:tc>
      </w:tr>
      <w:tr>
        <w:trPr>
          <w:trHeight w:val="97"/>
        </w:trPr>
        <w:tc>
          <w:tcPr>
            <w:tcW w:w="7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100" w:type="dxa"/>
            <w:vAlign w:val="bottom"/>
            <w:gridSpan w:val="2"/>
            <w:vMerge w:val="restart"/>
          </w:tcPr>
          <w:p>
            <w:pPr>
              <w:jc w:val="center"/>
              <w:ind w:left="870"/>
              <w:spacing w:after="0"/>
              <w:rPr>
                <w:sz w:val="20"/>
                <w:szCs w:val="20"/>
                <w:color w:val="auto"/>
              </w:rPr>
            </w:pPr>
            <w:r>
              <w:rPr>
                <w:rFonts w:ascii="Arial" w:cs="Arial" w:eastAsia="Arial" w:hAnsi="Arial"/>
                <w:sz w:val="18"/>
                <w:szCs w:val="18"/>
                <w:color w:val="auto"/>
                <w:w w:val="86"/>
              </w:rPr>
              <w:t>Plan Assets</w:t>
            </w: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886,165</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951,666</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Plan assets</w:t>
            </w:r>
          </w:p>
        </w:tc>
        <w:tc>
          <w:tcPr>
            <w:tcW w:w="140" w:type="dxa"/>
            <w:vAlign w:val="bottom"/>
          </w:tcPr>
          <w:p>
            <w:pPr>
              <w:spacing w:after="0"/>
              <w:rPr>
                <w:sz w:val="23"/>
                <w:szCs w:val="23"/>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767,569</w:t>
            </w:r>
          </w:p>
        </w:tc>
        <w:tc>
          <w:tcPr>
            <w:tcW w:w="6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743,900</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both the defined benefit plan and the SERP had projected benefit obligations in excess of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plans with assets less than accumulated benefit obligation at December 31: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8"/>
                <w:szCs w:val="18"/>
                <w:color w:val="auto"/>
              </w:rPr>
            </w:pPr>
          </w:p>
        </w:tc>
        <w:tc>
          <w:tcPr>
            <w:tcW w:w="3180" w:type="dxa"/>
            <w:vAlign w:val="bottom"/>
            <w:gridSpan w:val="3"/>
          </w:tcPr>
          <w:p>
            <w:pPr>
              <w:jc w:val="center"/>
              <w:ind w:right="10"/>
              <w:spacing w:after="0"/>
              <w:rPr>
                <w:sz w:val="20"/>
                <w:szCs w:val="20"/>
                <w:color w:val="auto"/>
              </w:rPr>
            </w:pPr>
            <w:r>
              <w:rPr>
                <w:rFonts w:ascii="Arial" w:cs="Arial" w:eastAsia="Arial" w:hAnsi="Arial"/>
                <w:sz w:val="18"/>
                <w:szCs w:val="18"/>
                <w:color w:val="auto"/>
                <w:w w:val="92"/>
              </w:rPr>
              <w:t>Accumulated Benefit Obligation in Excess</w:t>
            </w:r>
          </w:p>
        </w:tc>
        <w:tc>
          <w:tcPr>
            <w:tcW w:w="0" w:type="dxa"/>
            <w:vAlign w:val="bottom"/>
          </w:tcPr>
          <w:p>
            <w:pPr>
              <w:spacing w:after="0"/>
              <w:rPr>
                <w:sz w:val="1"/>
                <w:szCs w:val="1"/>
                <w:color w:val="auto"/>
              </w:rPr>
            </w:pPr>
          </w:p>
        </w:tc>
      </w:tr>
      <w:tr>
        <w:trPr>
          <w:trHeight w:val="97"/>
        </w:trPr>
        <w:tc>
          <w:tcPr>
            <w:tcW w:w="7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gridSpan w:val="2"/>
            <w:vMerge w:val="restart"/>
          </w:tcPr>
          <w:p>
            <w:pPr>
              <w:jc w:val="center"/>
              <w:ind w:left="850"/>
              <w:spacing w:after="0"/>
              <w:rPr>
                <w:sz w:val="20"/>
                <w:szCs w:val="20"/>
                <w:color w:val="auto"/>
              </w:rPr>
            </w:pPr>
            <w:r>
              <w:rPr>
                <w:rFonts w:ascii="Arial" w:cs="Arial" w:eastAsia="Arial" w:hAnsi="Arial"/>
                <w:sz w:val="18"/>
                <w:szCs w:val="18"/>
                <w:color w:val="auto"/>
                <w:w w:val="88"/>
              </w:rPr>
              <w:t>of Plan Assets</w:t>
            </w: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7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3"/>
                <w:szCs w:val="23"/>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18,908</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767,527</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Plan assets</w:t>
            </w:r>
          </w:p>
        </w:tc>
        <w:tc>
          <w:tcPr>
            <w:tcW w:w="12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743,900</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2018, the SERP had an accumulated benefit obligation in excess of plan assets. At December 31, 2017, both the defined benefit plan and the SERP had accumulated benefit obligations in excess of plan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Pension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reconciliation of beginning and ending balances of the fair value of plan assets at December 31: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Fair value of plan assets, beginning of year</w:t>
            </w:r>
          </w:p>
        </w:tc>
        <w:tc>
          <w:tcPr>
            <w:tcW w:w="2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2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743,900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592,544</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Actual (loss) gain on plan assets</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(38,360)</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108,618</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80,061</w:t>
            </w:r>
          </w:p>
        </w:tc>
        <w:tc>
          <w:tcPr>
            <w:tcW w:w="5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61,102</w:t>
            </w:r>
          </w:p>
        </w:tc>
        <w:tc>
          <w:tcPr>
            <w:tcW w:w="0" w:type="dxa"/>
            <w:vAlign w:val="bottom"/>
          </w:tcPr>
          <w:p>
            <w:pPr>
              <w:spacing w:after="0"/>
              <w:rPr>
                <w:sz w:val="1"/>
                <w:szCs w:val="1"/>
                <w:color w:val="auto"/>
              </w:rPr>
            </w:pPr>
          </w:p>
        </w:tc>
      </w:tr>
      <w:tr>
        <w:trPr>
          <w:trHeight w:val="270"/>
        </w:trPr>
        <w:tc>
          <w:tcPr>
            <w:tcW w:w="55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2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(18,032)</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97"/>
        </w:trPr>
        <w:tc>
          <w:tcPr>
            <w:tcW w:w="5520" w:type="dxa"/>
            <w:vAlign w:val="bottom"/>
          </w:tcPr>
          <w:p>
            <w:pPr>
              <w:ind w:left="140"/>
              <w:spacing w:after="0"/>
              <w:rPr>
                <w:sz w:val="20"/>
                <w:szCs w:val="20"/>
                <w:color w:val="auto"/>
              </w:rPr>
            </w:pPr>
            <w:r>
              <w:rPr>
                <w:rFonts w:ascii="Arial" w:cs="Arial" w:eastAsia="Arial" w:hAnsi="Arial"/>
                <w:sz w:val="18"/>
                <w:szCs w:val="18"/>
                <w:color w:val="auto"/>
              </w:rPr>
              <w:t xml:space="preserve">Settlements </w:t>
            </w:r>
            <w:r>
              <w:rPr>
                <w:rFonts w:ascii="Arial" w:cs="Arial" w:eastAsia="Arial" w:hAnsi="Arial"/>
                <w:sz w:val="25"/>
                <w:szCs w:val="25"/>
                <w:color w:val="auto"/>
                <w:vertAlign w:val="superscript"/>
              </w:rPr>
              <w:t>(1)</w:t>
            </w:r>
          </w:p>
        </w:tc>
        <w:tc>
          <w:tcPr>
            <w:tcW w:w="2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767,569</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743,900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The final SERP benefit for two former executives was settled with lump sum payments in 2017.</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Accumulated other comprehensive income</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Net actuarial loss and prior service cost included in accumulated other comprehensive income that were not yet recognized as components of net benefit costs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7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Net actuarial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144,165</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191,264</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Prior service cost</w:t>
            </w:r>
          </w:p>
        </w:tc>
        <w:tc>
          <w:tcPr>
            <w:tcW w:w="340" w:type="dxa"/>
            <w:vAlign w:val="bottom"/>
          </w:tcPr>
          <w:p>
            <w:pPr>
              <w:spacing w:after="0"/>
              <w:rPr>
                <w:sz w:val="23"/>
                <w:szCs w:val="23"/>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11,855</w:t>
            </w:r>
          </w:p>
        </w:tc>
        <w:tc>
          <w:tcPr>
            <w:tcW w:w="5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10,201</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Net amount not yet recognized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156,020</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201,465</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22" w:right="25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other comprehensive income for pension plans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5"/>
        </w:trPr>
        <w:tc>
          <w:tcPr>
            <w:tcW w:w="7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2"/>
                <w:szCs w:val="22"/>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Net actuarial (gain) loss arising during the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(34,290)</w:t>
            </w:r>
          </w:p>
        </w:tc>
        <w:tc>
          <w:tcPr>
            <w:tcW w:w="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15,588</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(12,809)</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(9,301)</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(1,353)</w:t>
            </w: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310"/>
        </w:trPr>
        <w:tc>
          <w:tcPr>
            <w:tcW w:w="7740" w:type="dxa"/>
            <w:vAlign w:val="bottom"/>
          </w:tcPr>
          <w:p>
            <w:pPr>
              <w:spacing w:after="0"/>
              <w:rPr>
                <w:sz w:val="20"/>
                <w:szCs w:val="20"/>
                <w:color w:val="auto"/>
              </w:rPr>
            </w:pPr>
            <w:r>
              <w:rPr>
                <w:rFonts w:ascii="Arial" w:cs="Arial" w:eastAsia="Arial" w:hAnsi="Arial"/>
                <w:sz w:val="18"/>
                <w:szCs w:val="18"/>
                <w:color w:val="auto"/>
              </w:rPr>
              <w:t xml:space="preserve">Amendments </w:t>
            </w:r>
            <w:r>
              <w:rPr>
                <w:rFonts w:ascii="Arial" w:cs="Arial" w:eastAsia="Arial" w:hAnsi="Arial"/>
                <w:sz w:val="25"/>
                <w:szCs w:val="25"/>
                <w:color w:val="auto"/>
                <w:vertAlign w:val="superscript"/>
              </w:rPr>
              <w:t>(1)</w:t>
            </w:r>
          </w:p>
        </w:tc>
        <w:tc>
          <w:tcPr>
            <w:tcW w:w="34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3,007</w:t>
            </w:r>
          </w:p>
        </w:tc>
        <w:tc>
          <w:tcPr>
            <w:tcW w:w="50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5,050</w:t>
            </w:r>
          </w:p>
        </w:tc>
      </w:tr>
      <w:tr>
        <w:trPr>
          <w:trHeight w:val="257"/>
        </w:trPr>
        <w:tc>
          <w:tcPr>
            <w:tcW w:w="7740" w:type="dxa"/>
            <w:vAlign w:val="bottom"/>
          </w:tcPr>
          <w:p>
            <w:pPr>
              <w:spacing w:after="0" w:line="257" w:lineRule="exact"/>
              <w:rPr>
                <w:sz w:val="20"/>
                <w:szCs w:val="20"/>
                <w:color w:val="auto"/>
              </w:rPr>
            </w:pPr>
            <w:r>
              <w:rPr>
                <w:rFonts w:ascii="Arial" w:cs="Arial" w:eastAsia="Arial" w:hAnsi="Arial"/>
                <w:sz w:val="18"/>
                <w:szCs w:val="18"/>
                <w:color w:val="auto"/>
              </w:rPr>
              <w:t xml:space="preserve">Impact due to settlement </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57"/>
        </w:trPr>
        <w:tc>
          <w:tcPr>
            <w:tcW w:w="7740" w:type="dxa"/>
            <w:vAlign w:val="bottom"/>
          </w:tcPr>
          <w:p>
            <w:pPr>
              <w:ind w:left="140"/>
              <w:spacing w:after="0"/>
              <w:rPr>
                <w:sz w:val="20"/>
                <w:szCs w:val="20"/>
                <w:color w:val="auto"/>
              </w:rPr>
            </w:pPr>
            <w:r>
              <w:rPr>
                <w:rFonts w:ascii="Arial" w:cs="Arial" w:eastAsia="Arial" w:hAnsi="Arial"/>
                <w:sz w:val="18"/>
                <w:szCs w:val="18"/>
                <w:color w:val="auto"/>
              </w:rPr>
              <w:t>Total recognized in other 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(45,445)</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10,164</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right="20" w:hanging="328"/>
        <w:spacing w:after="0" w:line="250" w:lineRule="auto"/>
        <w:tabs>
          <w:tab w:leader="none" w:pos="66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In 2018, there were five new SERP participants. In 2017, amendments include an enactment to the surviving spouse's death benefits, which increased the pension plan obligation by $3.6 million and the SERP obligation by $0.3 million, additionally there were two new SERP participants in 2017, which contributed $1.2 million.</w:t>
      </w:r>
    </w:p>
    <w:p>
      <w:pPr>
        <w:ind w:left="660" w:hanging="328"/>
        <w:spacing w:after="0"/>
        <w:tabs>
          <w:tab w:leader="none" w:pos="66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The final SERP benefit for two former executives was settled with lump sum payments in 2017.</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allocation</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that are dedicated exclusively to the management of employee benefit plan assets.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target and actual asset allocations for the portfolio are as follows for the years ended December 31:</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5"/>
              </w:rPr>
              <w:t>Target asset</w:t>
            </w:r>
          </w:p>
        </w:tc>
        <w:tc>
          <w:tcPr>
            <w:tcW w:w="420" w:type="dxa"/>
            <w:vAlign w:val="bottom"/>
          </w:tcPr>
          <w:p>
            <w:pPr>
              <w:spacing w:after="0"/>
              <w:rPr>
                <w:sz w:val="18"/>
                <w:szCs w:val="18"/>
                <w:color w:val="auto"/>
              </w:rPr>
            </w:pPr>
          </w:p>
        </w:tc>
        <w:tc>
          <w:tcPr>
            <w:tcW w:w="1880" w:type="dxa"/>
            <w:vAlign w:val="bottom"/>
          </w:tcPr>
          <w:p>
            <w:pPr>
              <w:jc w:val="center"/>
              <w:ind w:right="410"/>
              <w:spacing w:after="0"/>
              <w:rPr>
                <w:sz w:val="20"/>
                <w:szCs w:val="20"/>
                <w:color w:val="auto"/>
              </w:rPr>
            </w:pPr>
            <w:r>
              <w:rPr>
                <w:rFonts w:ascii="Arial" w:cs="Arial" w:eastAsia="Arial" w:hAnsi="Arial"/>
                <w:sz w:val="18"/>
                <w:szCs w:val="18"/>
                <w:color w:val="auto"/>
                <w:w w:val="85"/>
              </w:rPr>
              <w:t>Target asset</w:t>
            </w:r>
          </w:p>
        </w:tc>
        <w:tc>
          <w:tcPr>
            <w:tcW w:w="1980" w:type="dxa"/>
            <w:vAlign w:val="bottom"/>
          </w:tcPr>
          <w:p>
            <w:pPr>
              <w:jc w:val="center"/>
              <w:ind w:right="110"/>
              <w:spacing w:after="0"/>
              <w:rPr>
                <w:sz w:val="20"/>
                <w:szCs w:val="20"/>
                <w:color w:val="auto"/>
              </w:rPr>
            </w:pPr>
            <w:r>
              <w:rPr>
                <w:rFonts w:ascii="Arial" w:cs="Arial" w:eastAsia="Arial" w:hAnsi="Arial"/>
                <w:sz w:val="18"/>
                <w:szCs w:val="18"/>
                <w:color w:val="auto"/>
                <w:w w:val="87"/>
              </w:rPr>
              <w:t>Actual asset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Actual asset</w:t>
            </w:r>
          </w:p>
        </w:tc>
        <w:tc>
          <w:tcPr>
            <w:tcW w:w="0" w:type="dxa"/>
            <w:vAlign w:val="bottom"/>
          </w:tcPr>
          <w:p>
            <w:pPr>
              <w:spacing w:after="0"/>
              <w:rPr>
                <w:sz w:val="1"/>
                <w:szCs w:val="1"/>
                <w:color w:val="auto"/>
              </w:rPr>
            </w:pPr>
          </w:p>
        </w:tc>
      </w:tr>
      <w:tr>
        <w:trPr>
          <w:trHeight w:val="251"/>
        </w:trPr>
        <w:tc>
          <w:tcPr>
            <w:tcW w:w="392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allocation </w:t>
            </w:r>
            <w:r>
              <w:rPr>
                <w:rFonts w:ascii="Arial" w:cs="Arial" w:eastAsia="Arial" w:hAnsi="Arial"/>
                <w:sz w:val="18"/>
                <w:szCs w:val="18"/>
                <w:color w:val="auto"/>
                <w:w w:val="89"/>
                <w:vertAlign w:val="superscript"/>
              </w:rPr>
              <w:t>(1)</w:t>
            </w:r>
          </w:p>
        </w:tc>
        <w:tc>
          <w:tcPr>
            <w:tcW w:w="4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2"/>
              </w:rPr>
              <w:t>allocation</w:t>
            </w:r>
          </w:p>
        </w:tc>
        <w:tc>
          <w:tcPr>
            <w:tcW w:w="1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allocation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allocation</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b w:val="1"/>
                <w:bCs w:val="1"/>
                <w:color w:val="auto"/>
              </w:rPr>
              <w:t>Asset allocation:</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420" w:type="dxa"/>
            <w:vAlign w:val="bottom"/>
          </w:tcPr>
          <w:p>
            <w:pPr>
              <w:spacing w:after="0"/>
              <w:rPr>
                <w:sz w:val="21"/>
                <w:szCs w:val="21"/>
                <w:color w:val="auto"/>
              </w:rPr>
            </w:pPr>
          </w:p>
        </w:tc>
        <w:tc>
          <w:tcPr>
            <w:tcW w:w="1880" w:type="dxa"/>
            <w:vAlign w:val="bottom"/>
          </w:tcPr>
          <w:p>
            <w:pPr>
              <w:jc w:val="center"/>
              <w:ind w:right="390"/>
              <w:spacing w:after="0"/>
              <w:rPr>
                <w:sz w:val="20"/>
                <w:szCs w:val="20"/>
                <w:color w:val="auto"/>
              </w:rPr>
            </w:pPr>
            <w:r>
              <w:rPr>
                <w:rFonts w:ascii="Arial" w:cs="Arial" w:eastAsia="Arial" w:hAnsi="Arial"/>
                <w:sz w:val="18"/>
                <w:szCs w:val="18"/>
                <w:color w:val="auto"/>
                <w:w w:val="89"/>
              </w:rPr>
              <w:t>2017</w:t>
            </w:r>
          </w:p>
        </w:tc>
        <w:tc>
          <w:tcPr>
            <w:tcW w:w="198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140"/>
              <w:spacing w:after="0"/>
              <w:rPr>
                <w:sz w:val="20"/>
                <w:szCs w:val="20"/>
                <w:color w:val="auto"/>
              </w:rPr>
            </w:pPr>
            <w:r>
              <w:rPr>
                <w:rFonts w:ascii="Arial" w:cs="Arial" w:eastAsia="Arial" w:hAnsi="Arial"/>
                <w:sz w:val="18"/>
                <w:szCs w:val="18"/>
                <w:color w:val="auto"/>
              </w:rPr>
              <w:t>Equity securities:</w:t>
            </w: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1940" w:type="dxa"/>
            <w:vAlign w:val="bottom"/>
            <w:gridSpan w:val="2"/>
          </w:tcPr>
          <w:p>
            <w:pPr>
              <w:jc w:val="right"/>
              <w:ind w:right="235"/>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8"/>
                <w:szCs w:val="8"/>
                <w:color w:val="auto"/>
              </w:rPr>
              <w:t>(2)</w:t>
            </w:r>
          </w:p>
        </w:tc>
        <w:tc>
          <w:tcPr>
            <w:tcW w:w="188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24%</w:t>
            </w: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(3)</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20</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20"/>
              <w:spacing w:after="0"/>
              <w:rPr>
                <w:sz w:val="20"/>
                <w:szCs w:val="20"/>
                <w:color w:val="auto"/>
              </w:rPr>
            </w:pPr>
            <w:r>
              <w:rPr>
                <w:rFonts w:ascii="Arial" w:cs="Arial" w:eastAsia="Arial" w:hAnsi="Arial"/>
                <w:sz w:val="18"/>
                <w:szCs w:val="18"/>
                <w:color w:val="auto"/>
              </w:rPr>
              <w:t>Total equity securities</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55</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38</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(4)</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61</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3920" w:type="dxa"/>
            <w:vAlign w:val="bottom"/>
          </w:tcPr>
          <w:p>
            <w:pPr>
              <w:ind w:left="140"/>
              <w:spacing w:after="0"/>
              <w:rPr>
                <w:sz w:val="20"/>
                <w:szCs w:val="20"/>
                <w:color w:val="auto"/>
              </w:rPr>
            </w:pPr>
            <w:r>
              <w:rPr>
                <w:rFonts w:ascii="Arial" w:cs="Arial" w:eastAsia="Arial" w:hAnsi="Arial"/>
                <w:sz w:val="18"/>
                <w:szCs w:val="18"/>
                <w:color w:val="auto"/>
              </w:rPr>
              <w:t>Other</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420" w:type="dxa"/>
            <w:vAlign w:val="bottom"/>
          </w:tcPr>
          <w:p>
            <w:pPr>
              <w:jc w:val="right"/>
              <w:ind w:right="235"/>
              <w:spacing w:after="0"/>
              <w:rPr>
                <w:sz w:val="20"/>
                <w:szCs w:val="20"/>
                <w:color w:val="auto"/>
              </w:rPr>
            </w:pPr>
            <w:r>
              <w:rPr>
                <w:rFonts w:ascii="Arial" w:cs="Arial" w:eastAsia="Arial" w:hAnsi="Arial"/>
                <w:sz w:val="9"/>
                <w:szCs w:val="9"/>
                <w:color w:val="auto"/>
              </w:rPr>
              <w:t>(5)</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1</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Pr>
          <w:p>
            <w:pPr>
              <w:ind w:left="1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100%</w:t>
            </w:r>
          </w:p>
        </w:tc>
        <w:tc>
          <w:tcPr>
            <w:tcW w:w="1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Changes to the target asset allocation in 2018 were made to reduce investment risk by shifting portfolio assets from equity securities to debt securities.</w:t>
      </w:r>
    </w:p>
    <w:p>
      <w:pPr>
        <w:spacing w:after="0" w:line="55" w:lineRule="exact"/>
        <w:rPr>
          <w:rFonts w:ascii="Arial" w:cs="Arial" w:eastAsia="Arial" w:hAnsi="Arial"/>
          <w:sz w:val="14"/>
          <w:szCs w:val="14"/>
          <w:i w:val="1"/>
          <w:iCs w:val="1"/>
          <w:color w:val="auto"/>
        </w:rPr>
      </w:pPr>
    </w:p>
    <w:p>
      <w:pPr>
        <w:ind w:left="660" w:hanging="328"/>
        <w:spacing w:after="0" w:line="273" w:lineRule="auto"/>
        <w:tabs>
          <w:tab w:leader="none" w:pos="6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21% seek to achieve excess returns relative to the Russell 2000 Index. The remaining 79% of the allocation to U.S. equity securities are comprised of equity index funds that track the S&amp;P 500.</w:t>
      </w:r>
    </w:p>
    <w:p>
      <w:pPr>
        <w:spacing w:after="0" w:line="11" w:lineRule="exact"/>
        <w:rPr>
          <w:rFonts w:ascii="Arial" w:cs="Arial" w:eastAsia="Arial" w:hAnsi="Arial"/>
          <w:sz w:val="14"/>
          <w:szCs w:val="14"/>
          <w:i w:val="1"/>
          <w:iCs w:val="1"/>
          <w:color w:val="auto"/>
        </w:rPr>
      </w:pPr>
    </w:p>
    <w:p>
      <w:pPr>
        <w:ind w:left="660" w:right="180" w:hanging="328"/>
        <w:spacing w:after="0" w:line="273" w:lineRule="auto"/>
        <w:tabs>
          <w:tab w:leader="none" w:pos="6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Non-U.S. equity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11% are allocated to international small cap investments, while another 20% are allocated to international emerging market investments. The remaining 69% of the Non-U.S. equity securities are allocated to investments seeking to achieve excess returns relative to an international market index.</w:t>
      </w:r>
    </w:p>
    <w:p>
      <w:pPr>
        <w:spacing w:after="0" w:line="11" w:lineRule="exact"/>
        <w:rPr>
          <w:rFonts w:ascii="Arial" w:cs="Arial" w:eastAsia="Arial" w:hAnsi="Arial"/>
          <w:sz w:val="14"/>
          <w:szCs w:val="14"/>
          <w:i w:val="1"/>
          <w:iCs w:val="1"/>
          <w:color w:val="auto"/>
        </w:rPr>
      </w:pPr>
    </w:p>
    <w:p>
      <w:pPr>
        <w:ind w:left="660" w:right="440" w:hanging="328"/>
        <w:spacing w:after="0" w:line="273" w:lineRule="auto"/>
        <w:tabs>
          <w:tab w:leader="none" w:pos="6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Debt securities </w:t>
      </w:r>
      <w:r>
        <w:rPr>
          <w:rFonts w:ascii="Arial" w:cs="Arial" w:eastAsia="Arial" w:hAnsi="Arial"/>
          <w:sz w:val="14"/>
          <w:szCs w:val="14"/>
          <w:color w:val="auto"/>
        </w:rPr>
        <w:t>–</w:t>
      </w:r>
      <w:r>
        <w:rPr>
          <w:rFonts w:ascii="Arial" w:cs="Arial" w:eastAsia="Arial" w:hAnsi="Arial"/>
          <w:sz w:val="14"/>
          <w:szCs w:val="14"/>
          <w:i w:val="1"/>
          <w:iCs w:val="1"/>
          <w:color w:val="auto"/>
        </w:rPr>
        <w:t xml:space="preserve"> 32% are allocated to long U.S. Treasury Strips, 62% are allocated to U.S. corporate bonds with an emphasis on long duration bonds rated A or better, while the remaining 6% are allocated to floating rate high income leverage loans.</w:t>
      </w:r>
    </w:p>
    <w:p>
      <w:pPr>
        <w:spacing w:after="0" w:line="11" w:lineRule="exact"/>
        <w:rPr>
          <w:rFonts w:ascii="Arial" w:cs="Arial" w:eastAsia="Arial" w:hAnsi="Arial"/>
          <w:sz w:val="14"/>
          <w:szCs w:val="14"/>
          <w:i w:val="1"/>
          <w:iCs w:val="1"/>
          <w:color w:val="auto"/>
        </w:rPr>
      </w:pPr>
    </w:p>
    <w:p>
      <w:pPr>
        <w:ind w:left="660" w:hanging="328"/>
        <w:spacing w:after="0"/>
        <w:tabs>
          <w:tab w:leader="none" w:pos="66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Institutional money market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122" w:right="31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the fair value measurements for the pension plan assets by major category and level of input:</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3"/>
          </w:tcPr>
          <w:p>
            <w:pPr>
              <w:jc w:val="center"/>
              <w:ind w:right="337"/>
              <w:spacing w:after="0"/>
              <w:rPr>
                <w:sz w:val="20"/>
                <w:szCs w:val="20"/>
                <w:color w:val="auto"/>
              </w:rPr>
            </w:pPr>
            <w:r>
              <w:rPr>
                <w:rFonts w:ascii="Arial" w:cs="Arial" w:eastAsia="Arial" w:hAnsi="Arial"/>
                <w:sz w:val="18"/>
                <w:szCs w:val="18"/>
                <w:color w:val="auto"/>
                <w:w w:val="91"/>
              </w:rPr>
              <w:t>At December 31, 2018</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color w:val="auto"/>
                <w:w w:val="88"/>
              </w:rPr>
              <w:t>Fair value measurements of plan assets using:</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4"/>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center"/>
              <w:ind w:right="157"/>
              <w:spacing w:after="0"/>
              <w:rPr>
                <w:sz w:val="20"/>
                <w:szCs w:val="20"/>
                <w:color w:val="auto"/>
              </w:rPr>
            </w:pPr>
            <w:r>
              <w:rPr>
                <w:rFonts w:ascii="Arial" w:cs="Arial" w:eastAsia="Arial" w:hAnsi="Arial"/>
                <w:sz w:val="14"/>
                <w:szCs w:val="14"/>
                <w:color w:val="auto"/>
                <w:w w:val="94"/>
              </w:rPr>
              <w:t>Quoted prices in</w:t>
            </w:r>
          </w:p>
        </w:tc>
        <w:tc>
          <w:tcPr>
            <w:tcW w:w="340" w:type="dxa"/>
            <w:vAlign w:val="bottom"/>
          </w:tcPr>
          <w:p>
            <w:pPr>
              <w:spacing w:after="0"/>
              <w:rPr>
                <w:sz w:val="15"/>
                <w:szCs w:val="15"/>
                <w:color w:val="auto"/>
              </w:rPr>
            </w:pPr>
          </w:p>
        </w:tc>
        <w:tc>
          <w:tcPr>
            <w:tcW w:w="1200" w:type="dxa"/>
            <w:vAlign w:val="bottom"/>
          </w:tcPr>
          <w:p>
            <w:pPr>
              <w:jc w:val="center"/>
              <w:ind w:right="217"/>
              <w:spacing w:after="0"/>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color w:val="auto"/>
                <w:w w:val="99"/>
              </w:rPr>
              <w:t>Significant</w:t>
            </w:r>
          </w:p>
        </w:tc>
      </w:tr>
      <w:tr>
        <w:trPr>
          <w:trHeight w:val="149"/>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4"/>
              </w:rPr>
              <w:t>active markets for</w:t>
            </w:r>
          </w:p>
        </w:tc>
        <w:tc>
          <w:tcPr>
            <w:tcW w:w="340" w:type="dxa"/>
            <w:vAlign w:val="bottom"/>
          </w:tcPr>
          <w:p>
            <w:pPr>
              <w:spacing w:after="0"/>
              <w:rPr>
                <w:sz w:val="12"/>
                <w:szCs w:val="12"/>
                <w:color w:val="auto"/>
              </w:rPr>
            </w:pPr>
          </w:p>
        </w:tc>
        <w:tc>
          <w:tcPr>
            <w:tcW w:w="120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0"/>
              </w:rPr>
              <w:t>observable</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2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89"/>
              </w:rPr>
              <w:t>identical assets</w:t>
            </w:r>
          </w:p>
        </w:tc>
        <w:tc>
          <w:tcPr>
            <w:tcW w:w="340" w:type="dxa"/>
            <w:vAlign w:val="bottom"/>
          </w:tcPr>
          <w:p>
            <w:pPr>
              <w:spacing w:after="0"/>
              <w:rPr>
                <w:sz w:val="12"/>
                <w:szCs w:val="12"/>
                <w:color w:val="auto"/>
              </w:rPr>
            </w:pPr>
          </w:p>
        </w:tc>
        <w:tc>
          <w:tcPr>
            <w:tcW w:w="1200" w:type="dxa"/>
            <w:vAlign w:val="bottom"/>
          </w:tcPr>
          <w:p>
            <w:pPr>
              <w:jc w:val="center"/>
              <w:ind w:right="237"/>
              <w:spacing w:after="0" w:line="149" w:lineRule="exact"/>
              <w:rPr>
                <w:sz w:val="20"/>
                <w:szCs w:val="20"/>
                <w:color w:val="auto"/>
              </w:rPr>
            </w:pPr>
            <w:r>
              <w:rPr>
                <w:rFonts w:ascii="Arial" w:cs="Arial" w:eastAsia="Arial" w:hAnsi="Arial"/>
                <w:sz w:val="14"/>
                <w:szCs w:val="14"/>
                <w:color w:val="auto"/>
                <w:w w:val="96"/>
              </w:rPr>
              <w:t>inputs</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6"/>
              </w:rPr>
              <w:t>inputs</w:t>
            </w:r>
          </w:p>
        </w:tc>
      </w:tr>
      <w:tr>
        <w:trPr>
          <w:trHeight w:val="188"/>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7"/>
              </w:rPr>
              <w:t>Level 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97"/>
              </w:rPr>
              <w:t>Level 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7"/>
              </w:rPr>
              <w:t>Level 3</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182,495</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182,495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110,942</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110,942</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293,437</w:t>
            </w:r>
          </w:p>
        </w:tc>
        <w:tc>
          <w:tcPr>
            <w:tcW w:w="4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293,437</w:t>
            </w:r>
          </w:p>
        </w:tc>
        <w:tc>
          <w:tcPr>
            <w:tcW w:w="22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464,613</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464,613</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9,519</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9,519</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767,569</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9,519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758,050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1"/>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gridSpan w:val="3"/>
          </w:tcPr>
          <w:p>
            <w:pPr>
              <w:jc w:val="center"/>
              <w:ind w:right="337"/>
              <w:spacing w:after="0"/>
              <w:rPr>
                <w:sz w:val="20"/>
                <w:szCs w:val="20"/>
                <w:color w:val="auto"/>
              </w:rPr>
            </w:pPr>
            <w:r>
              <w:rPr>
                <w:rFonts w:ascii="Arial" w:cs="Arial" w:eastAsia="Arial" w:hAnsi="Arial"/>
                <w:sz w:val="18"/>
                <w:szCs w:val="18"/>
                <w:color w:val="auto"/>
                <w:w w:val="91"/>
              </w:rPr>
              <w:t>At December 31, 2017</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420" w:type="dxa"/>
            <w:vAlign w:val="bottom"/>
            <w:gridSpan w:val="4"/>
          </w:tcPr>
          <w:p>
            <w:pPr>
              <w:jc w:val="center"/>
              <w:spacing w:after="0"/>
              <w:rPr>
                <w:sz w:val="20"/>
                <w:szCs w:val="20"/>
                <w:color w:val="auto"/>
              </w:rPr>
            </w:pPr>
            <w:r>
              <w:rPr>
                <w:rFonts w:ascii="Arial" w:cs="Arial" w:eastAsia="Arial" w:hAnsi="Arial"/>
                <w:sz w:val="18"/>
                <w:szCs w:val="18"/>
                <w:color w:val="auto"/>
                <w:w w:val="88"/>
              </w:rPr>
              <w:t>Fair value measurements of plan assets using:</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184"/>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center"/>
              <w:ind w:right="157"/>
              <w:spacing w:after="0"/>
              <w:rPr>
                <w:sz w:val="20"/>
                <w:szCs w:val="20"/>
                <w:color w:val="auto"/>
              </w:rPr>
            </w:pPr>
            <w:r>
              <w:rPr>
                <w:rFonts w:ascii="Arial" w:cs="Arial" w:eastAsia="Arial" w:hAnsi="Arial"/>
                <w:sz w:val="14"/>
                <w:szCs w:val="14"/>
                <w:color w:val="auto"/>
                <w:w w:val="94"/>
              </w:rPr>
              <w:t>Quoted prices in</w:t>
            </w:r>
          </w:p>
        </w:tc>
        <w:tc>
          <w:tcPr>
            <w:tcW w:w="340" w:type="dxa"/>
            <w:vAlign w:val="bottom"/>
          </w:tcPr>
          <w:p>
            <w:pPr>
              <w:spacing w:after="0"/>
              <w:rPr>
                <w:sz w:val="15"/>
                <w:szCs w:val="15"/>
                <w:color w:val="auto"/>
              </w:rPr>
            </w:pPr>
          </w:p>
        </w:tc>
        <w:tc>
          <w:tcPr>
            <w:tcW w:w="1200" w:type="dxa"/>
            <w:vAlign w:val="bottom"/>
          </w:tcPr>
          <w:p>
            <w:pPr>
              <w:jc w:val="center"/>
              <w:ind w:right="217"/>
              <w:spacing w:after="0"/>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color w:val="auto"/>
                <w:w w:val="99"/>
              </w:rPr>
              <w:t>Significant</w:t>
            </w:r>
          </w:p>
        </w:tc>
      </w:tr>
      <w:tr>
        <w:trPr>
          <w:trHeight w:val="149"/>
        </w:trPr>
        <w:tc>
          <w:tcPr>
            <w:tcW w:w="5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4"/>
              </w:rPr>
              <w:t>active markets for</w:t>
            </w:r>
          </w:p>
        </w:tc>
        <w:tc>
          <w:tcPr>
            <w:tcW w:w="340" w:type="dxa"/>
            <w:vAlign w:val="bottom"/>
          </w:tcPr>
          <w:p>
            <w:pPr>
              <w:spacing w:after="0"/>
              <w:rPr>
                <w:sz w:val="12"/>
                <w:szCs w:val="12"/>
                <w:color w:val="auto"/>
              </w:rPr>
            </w:pPr>
          </w:p>
        </w:tc>
        <w:tc>
          <w:tcPr>
            <w:tcW w:w="120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0"/>
              </w:rPr>
              <w:t>observable</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0"/>
              </w:rPr>
              <w:t>unobservable</w:t>
            </w:r>
          </w:p>
        </w:tc>
      </w:tr>
      <w:tr>
        <w:trPr>
          <w:trHeight w:val="149"/>
        </w:trPr>
        <w:tc>
          <w:tcPr>
            <w:tcW w:w="52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jc w:val="center"/>
              <w:ind w:right="137"/>
              <w:spacing w:after="0" w:line="149" w:lineRule="exact"/>
              <w:rPr>
                <w:sz w:val="20"/>
                <w:szCs w:val="20"/>
                <w:color w:val="auto"/>
              </w:rPr>
            </w:pPr>
            <w:r>
              <w:rPr>
                <w:rFonts w:ascii="Arial" w:cs="Arial" w:eastAsia="Arial" w:hAnsi="Arial"/>
                <w:sz w:val="14"/>
                <w:szCs w:val="14"/>
                <w:color w:val="auto"/>
                <w:w w:val="89"/>
              </w:rPr>
              <w:t>identical assets</w:t>
            </w:r>
          </w:p>
        </w:tc>
        <w:tc>
          <w:tcPr>
            <w:tcW w:w="340" w:type="dxa"/>
            <w:vAlign w:val="bottom"/>
          </w:tcPr>
          <w:p>
            <w:pPr>
              <w:spacing w:after="0"/>
              <w:rPr>
                <w:sz w:val="12"/>
                <w:szCs w:val="12"/>
                <w:color w:val="auto"/>
              </w:rPr>
            </w:pPr>
          </w:p>
        </w:tc>
        <w:tc>
          <w:tcPr>
            <w:tcW w:w="1200" w:type="dxa"/>
            <w:vAlign w:val="bottom"/>
          </w:tcPr>
          <w:p>
            <w:pPr>
              <w:jc w:val="center"/>
              <w:ind w:right="237"/>
              <w:spacing w:after="0" w:line="149" w:lineRule="exact"/>
              <w:rPr>
                <w:sz w:val="20"/>
                <w:szCs w:val="20"/>
                <w:color w:val="auto"/>
              </w:rPr>
            </w:pPr>
            <w:r>
              <w:rPr>
                <w:rFonts w:ascii="Arial" w:cs="Arial" w:eastAsia="Arial" w:hAnsi="Arial"/>
                <w:sz w:val="14"/>
                <w:szCs w:val="14"/>
                <w:color w:val="auto"/>
                <w:w w:val="96"/>
              </w:rPr>
              <w:t>inputs</w:t>
            </w:r>
          </w:p>
        </w:tc>
        <w:tc>
          <w:tcPr>
            <w:tcW w:w="22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6"/>
              </w:rPr>
              <w:t>inputs</w:t>
            </w:r>
          </w:p>
        </w:tc>
      </w:tr>
      <w:tr>
        <w:trPr>
          <w:trHeight w:val="188"/>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7"/>
              </w:rPr>
              <w:t>Level 1</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97"/>
              </w:rPr>
              <w:t>Level 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7"/>
              </w:rPr>
              <w:t>Level 3</w:t>
            </w: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U.S. 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288,861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288,861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240"/>
              <w:spacing w:after="0"/>
              <w:rPr>
                <w:sz w:val="20"/>
                <w:szCs w:val="20"/>
                <w:color w:val="auto"/>
              </w:rPr>
            </w:pPr>
            <w:r>
              <w:rPr>
                <w:rFonts w:ascii="Arial" w:cs="Arial" w:eastAsia="Arial" w:hAnsi="Arial"/>
                <w:sz w:val="18"/>
                <w:szCs w:val="18"/>
                <w:color w:val="auto"/>
              </w:rPr>
              <w:t>Non-U.S. equity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145,238</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145,238</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340"/>
              <w:spacing w:after="0"/>
              <w:rPr>
                <w:sz w:val="20"/>
                <w:szCs w:val="20"/>
                <w:color w:val="auto"/>
              </w:rPr>
            </w:pPr>
            <w:r>
              <w:rPr>
                <w:rFonts w:ascii="Arial" w:cs="Arial" w:eastAsia="Arial" w:hAnsi="Arial"/>
                <w:sz w:val="18"/>
                <w:szCs w:val="18"/>
                <w:color w:val="auto"/>
              </w:rPr>
              <w:t>Total equity securities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434,099</w:t>
            </w:r>
          </w:p>
        </w:tc>
        <w:tc>
          <w:tcPr>
            <w:tcW w:w="40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434,099</w:t>
            </w:r>
          </w:p>
        </w:tc>
        <w:tc>
          <w:tcPr>
            <w:tcW w:w="22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303,331</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303,331</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6,470</w:t>
            </w:r>
          </w:p>
        </w:tc>
        <w:tc>
          <w:tcPr>
            <w:tcW w:w="400" w:type="dxa"/>
            <w:vAlign w:val="bottom"/>
          </w:tcPr>
          <w:p>
            <w:pPr>
              <w:spacing w:after="0"/>
              <w:rPr>
                <w:sz w:val="23"/>
                <w:szCs w:val="23"/>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6,470</w:t>
            </w:r>
          </w:p>
        </w:tc>
        <w:tc>
          <w:tcPr>
            <w:tcW w:w="340" w:type="dxa"/>
            <w:vAlign w:val="bottom"/>
          </w:tcPr>
          <w:p>
            <w:pPr>
              <w:spacing w:after="0"/>
              <w:rPr>
                <w:sz w:val="23"/>
                <w:szCs w:val="23"/>
                <w:color w:val="auto"/>
              </w:rPr>
            </w:pPr>
          </w:p>
        </w:tc>
        <w:tc>
          <w:tcPr>
            <w:tcW w:w="1200" w:type="dxa"/>
            <w:vAlign w:val="bottom"/>
          </w:tcPr>
          <w:p>
            <w:pPr>
              <w:jc w:val="right"/>
              <w:ind w:right="97"/>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0</w:t>
            </w: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743,900</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6,470</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737,430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0</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Estimates of fair values of the pension plan assets are obtained primarily from the trustee and custodian of our pension plan. Our Level 1 category includes a money market fund that is a mutual fund for which the fair value is determined using an exchange traded price provided by the trustee and custodian. Our Level 2 category includes commingled pools. Estimates of fair values for securities held by our commingled pools are obtained primarily from the trustee and custodian. The methodologies used by the trustee and custodian that support a financial instrument Level 2 classification include multiple verifiable, observable inputs including benchmark yields, reported trades, broker/dealer quotes, issuers spreads, two-sided markets, benchmark securities, bids, offers, and reference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Estimated future benefit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amounts of benefits expected to be paid over the next 10 years from our pension plans as of December 31:</w:t>
      </w:r>
    </w:p>
    <w:p>
      <w:pPr>
        <w:spacing w:after="0" w:line="220" w:lineRule="exact"/>
        <w:rPr>
          <w:sz w:val="20"/>
          <w:szCs w:val="20"/>
          <w:color w:val="auto"/>
        </w:rPr>
      </w:pPr>
    </w:p>
    <w:tbl>
      <w:tblPr>
        <w:tblLayout w:type="fixed"/>
        <w:tblInd w:w="3660" w:type="dxa"/>
        <w:tblCellMar>
          <w:top w:w="0" w:type="dxa"/>
          <w:left w:w="0" w:type="dxa"/>
          <w:bottom w:w="0" w:type="dxa"/>
          <w:right w:w="0" w:type="dxa"/>
        </w:tblCellMar>
      </w:tblPr>
      <w:tr>
        <w:trPr>
          <w:trHeight w:val="182"/>
        </w:trPr>
        <w:tc>
          <w:tcPr>
            <w:tcW w:w="19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2"/>
        </w:trPr>
        <w:tc>
          <w:tcPr>
            <w:tcW w:w="1940" w:type="dxa"/>
            <w:vAlign w:val="bottom"/>
          </w:tcPr>
          <w:p>
            <w:pPr>
              <w:jc w:val="center"/>
              <w:ind w:left="194"/>
              <w:spacing w:after="0"/>
              <w:rPr>
                <w:sz w:val="20"/>
                <w:szCs w:val="20"/>
                <w:color w:val="auto"/>
              </w:rPr>
            </w:pPr>
            <w:r>
              <w:rPr>
                <w:rFonts w:ascii="Arial" w:cs="Arial" w:eastAsia="Arial" w:hAnsi="Arial"/>
                <w:sz w:val="16"/>
                <w:szCs w:val="16"/>
                <w:color w:val="auto"/>
                <w:w w:val="90"/>
              </w:rPr>
              <w:t>Year ending</w:t>
            </w:r>
          </w:p>
        </w:tc>
        <w:tc>
          <w:tcPr>
            <w:tcW w:w="620" w:type="dxa"/>
            <w:vAlign w:val="bottom"/>
          </w:tcPr>
          <w:p>
            <w:pPr>
              <w:spacing w:after="0"/>
              <w:rPr>
                <w:sz w:val="20"/>
                <w:szCs w:val="20"/>
                <w:color w:val="auto"/>
              </w:rPr>
            </w:pPr>
          </w:p>
        </w:tc>
        <w:tc>
          <w:tcPr>
            <w:tcW w:w="1540" w:type="dxa"/>
            <w:vAlign w:val="bottom"/>
          </w:tcPr>
          <w:p>
            <w:pPr>
              <w:jc w:val="right"/>
              <w:ind w:right="212"/>
              <w:spacing w:after="0"/>
              <w:rPr>
                <w:sz w:val="20"/>
                <w:szCs w:val="20"/>
                <w:color w:val="auto"/>
              </w:rPr>
            </w:pPr>
            <w:r>
              <w:rPr>
                <w:rFonts w:ascii="Arial" w:cs="Arial" w:eastAsia="Arial" w:hAnsi="Arial"/>
                <w:sz w:val="16"/>
                <w:szCs w:val="16"/>
                <w:color w:val="auto"/>
              </w:rPr>
              <w:t>Expected future</w:t>
            </w:r>
          </w:p>
        </w:tc>
      </w:tr>
      <w:tr>
        <w:trPr>
          <w:trHeight w:val="206"/>
        </w:trPr>
        <w:tc>
          <w:tcPr>
            <w:tcW w:w="1940" w:type="dxa"/>
            <w:vAlign w:val="bottom"/>
          </w:tcPr>
          <w:p>
            <w:pPr>
              <w:jc w:val="center"/>
              <w:ind w:left="194"/>
              <w:spacing w:after="0"/>
              <w:rPr>
                <w:sz w:val="20"/>
                <w:szCs w:val="20"/>
                <w:color w:val="auto"/>
              </w:rPr>
            </w:pPr>
            <w:r>
              <w:rPr>
                <w:rFonts w:ascii="Arial" w:cs="Arial" w:eastAsia="Arial" w:hAnsi="Arial"/>
                <w:sz w:val="16"/>
                <w:szCs w:val="16"/>
                <w:color w:val="auto"/>
                <w:w w:val="89"/>
              </w:rPr>
              <w:t>December 31,</w:t>
            </w:r>
          </w:p>
        </w:tc>
        <w:tc>
          <w:tcPr>
            <w:tcW w:w="620" w:type="dxa"/>
            <w:vAlign w:val="bottom"/>
          </w:tcPr>
          <w:p>
            <w:pPr>
              <w:spacing w:after="0"/>
              <w:rPr>
                <w:sz w:val="17"/>
                <w:szCs w:val="17"/>
                <w:color w:val="auto"/>
              </w:rPr>
            </w:pPr>
          </w:p>
        </w:tc>
        <w:tc>
          <w:tcPr>
            <w:tcW w:w="1540" w:type="dxa"/>
            <w:vAlign w:val="bottom"/>
          </w:tcPr>
          <w:p>
            <w:pPr>
              <w:jc w:val="right"/>
              <w:ind w:right="172"/>
              <w:spacing w:after="0"/>
              <w:rPr>
                <w:sz w:val="20"/>
                <w:szCs w:val="20"/>
                <w:color w:val="auto"/>
              </w:rPr>
            </w:pPr>
            <w:r>
              <w:rPr>
                <w:rFonts w:ascii="Arial" w:cs="Arial" w:eastAsia="Arial" w:hAnsi="Arial"/>
                <w:sz w:val="16"/>
                <w:szCs w:val="16"/>
                <w:color w:val="auto"/>
              </w:rPr>
              <w:t>benefit payments</w:t>
            </w:r>
          </w:p>
        </w:tc>
      </w:tr>
      <w:tr>
        <w:trPr>
          <w:trHeight w:val="33"/>
        </w:trPr>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22,039</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2020</w:t>
            </w:r>
          </w:p>
        </w:tc>
        <w:tc>
          <w:tcPr>
            <w:tcW w:w="6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23,244</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2021</w:t>
            </w:r>
          </w:p>
        </w:tc>
        <w:tc>
          <w:tcPr>
            <w:tcW w:w="6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25,946</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2022</w:t>
            </w:r>
          </w:p>
        </w:tc>
        <w:tc>
          <w:tcPr>
            <w:tcW w:w="6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29,319</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89"/>
              </w:rPr>
              <w:t>2023</w:t>
            </w:r>
          </w:p>
        </w:tc>
        <w:tc>
          <w:tcPr>
            <w:tcW w:w="6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32,631</w:t>
            </w:r>
          </w:p>
        </w:tc>
      </w:tr>
      <w:tr>
        <w:trPr>
          <w:trHeight w:val="270"/>
        </w:trPr>
        <w:tc>
          <w:tcPr>
            <w:tcW w:w="1940" w:type="dxa"/>
            <w:vAlign w:val="bottom"/>
          </w:tcPr>
          <w:p>
            <w:pPr>
              <w:jc w:val="center"/>
              <w:ind w:left="214"/>
              <w:spacing w:after="0"/>
              <w:rPr>
                <w:sz w:val="20"/>
                <w:szCs w:val="20"/>
                <w:color w:val="auto"/>
              </w:rPr>
            </w:pPr>
            <w:r>
              <w:rPr>
                <w:rFonts w:ascii="Arial" w:cs="Arial" w:eastAsia="Arial" w:hAnsi="Arial"/>
                <w:sz w:val="18"/>
                <w:szCs w:val="18"/>
                <w:color w:val="auto"/>
                <w:w w:val="91"/>
              </w:rPr>
              <w:t>2024 - 2028</w:t>
            </w:r>
          </w:p>
        </w:tc>
        <w:tc>
          <w:tcPr>
            <w:tcW w:w="6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213,490</w:t>
            </w:r>
          </w:p>
        </w:tc>
      </w:tr>
    </w:tbl>
    <w:p>
      <w:pPr>
        <w:spacing w:after="0" w:line="200" w:lineRule="exact"/>
        <w:rPr>
          <w:sz w:val="20"/>
          <w:szCs w:val="20"/>
          <w:color w:val="auto"/>
        </w:rPr>
      </w:pPr>
    </w:p>
    <w:p>
      <w:pPr>
        <w:sectPr>
          <w:pgSz w:w="11900" w:h="16838" w:orient="portrait"/>
          <w:cols w:equalWidth="0" w:num="1">
            <w:col w:w="11340"/>
          </w:cols>
          <w:pgMar w:left="24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40"/>
          </w:cols>
          <w:pgMar w:left="240" w:top="122" w:right="31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savings plan</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All full-time and regular part-time employees are eligible to participate in a traditional qualified 401(k) or a Roth 401(k) savings plan. We match 100% of the participant contributions up to 3% of compensation and 50% of participant contributions over 3% and up to 5% of compensation. Matching contributions paid to the plan were $13.9 million in 2018, $12.8 million in 2017, and $12.1 million in 2016. In 2018, we made an additional discretionary employer contribution of $5.4 million, as a way of sharing the tax savings realized from the lower corporate income tax rate that became effective January 1, 2018 with our employees. The Exchange and its subsidiaries reimbursed us for approximately 61% of the matching and discretionary contributions. Employees are permitted to invest the employer-matching contributions in our Class A common stock. Employees, other than executive and senior officers, may sell the shares at any time without restriction, provided they are in compliance with applicable insider trading laws; sales by executive and senior officers are subject to additional pre-clearance restrictions imposed by our insider trading policies. The plan acquires shares in the open market necessary to meet the obligations of the plan. Plan participants held 0.2 million shares of our Class A common stock at December 31, 2018 and 2017.</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Incentive and Deferred Compensation Plans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two incentive plans and two deferred compensation plans for our executives, senior vice presidents and other selected officers, and two deferred compensation plans for our outside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plan</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annual incentive plan ("AIP") is a bonus plan that pays cash to our executives, senior vice presidents and other selected officers annually. Participants can elect to defer up to 100% of the award under either the deferred compensation plan or the incentive compensation deferral plan, which began in 2017. The awards are based on attainment of corporate and individual performance measures, which can include various financial measures. The plan includes a funding qualifier which considers our financial results, based on operating income, before a payout can be made to plan participants. If the funding qualifier is met, plan participants are eligible to receive the incentive based upon specific performance measures. The measures are established at the beginning of each year by the Executive Compensation and Development Committee of our Board of Directors ("ECDC"), with ultimate approval by the full Board of Directors. The performance measures primarily included the growth in direct written premium and statutory combined ratio of the Exchange and its property and casualty subsidiaries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plan</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long-term incentive plan ("LTIP") is a performance based incentive plan designed to reward executives, senior vice presidents and other selected officers who can have a significant impact on our long-term performance and to further align the interests of such employees with those of our shareholders. The LTIP permits grants of performance shares or units, or phantom shares to be satisfied with shares of our Class A common stock or cash payment as determined by the ECDC. Participants can elect to defer up to 100% of the award under the incentive compensation deferral plan, which began in 2017. The ECDC determines the form of the award to be granted at the beginning of each performance period, which is generally a three-year period. The number of shares of the Company's common stock authorized for grant under the LTIP is 1.5 million shares, with no one person able to receive more than 250,000 shares or the equivalent of $5 million during any one performance period. We repurchase our Class A common stock on the open market to settle stock awards under the plan. We do not issue new shares of common stock to settle stock awards. LTIP awards are considered vested at the end of each applicable performance period.</w:t>
      </w:r>
    </w:p>
    <w:p>
      <w:pPr>
        <w:spacing w:after="0" w:line="21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LTIP provides the recipient the right to earn performance shares or units, or phantom stock based on the level of achievement of performance goals as defined by us. Performance measures and a peer group of property and casualty companies to be used for comparison are determined by the ECDC. The performance measures for all periods presented were the reported growth in direct written premium and statutory combined ratio of the Exchange and its property and casualty subsidiaries and return on invested assets over a three-year performance period as compared to the results of the peer group over the same period. Because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fair value of LTIP awards is measured at each reporting date at the current share price of our Class A common stock. A liability is recorded and compensation expense is recognized ratably over the performance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2" w:right="25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December 31, 2018, the plan awards for the 2016-2018 performance period, which will be granted as a cash award, were fully vested. Distributions will be made in 2019 once peer group financial information becomes available. The estimated plan award based upon the peer group information as of September 30, 2018 is $7.4 million. At December 31, 2017, the awards paid in cash for the 2015-2017 performance period were fully vested and resulted in an $8.3 million payment to participants in June 2018. At December 31, 2016, the awards for the 2014-2016 performance period were fully vested. Participants had the option of receiving either cash or stock for the 2014-2016 awards. The cash award of $4.7 million was paid in June 2017 and the stock award of 46,884 shares with an average share price of $126.21 and a market value of $5.9 million was delivered to plan participants in June 2017. The ECDC has determined that the plan awards for the 2017-2019 and 2018-2020 performance periods will be paid in cash.</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Exchange and its subsidiaries reimburse us for compensation costs of employees performing administrative services. Earned compensation costs are allocated to these entities and reimbursed to us in cash once the payout is made. The total compensation cost charged to operations related to these LTIP awards was $6.3 million in 2018, $10.3 million in 2017, and $8.2 million in 2016. The related tax benefits recognized in income were $1.3 million in 2018, $3.6 million in 2017, and $2.9 million in 2016. The Exchange and its subsidiaries reimburse us for approximately 47% of the annual compensation cost of these plans. At December 31, 2018, there was $5.7 million of total unrecognized compensation cost for non-vested LTIP awards related to open performance periods. Unrecognized compensation is expected to be recognized over a period of two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deferred compensation plan allows executives, senior vice presidents and other selected officers to elect to defer receipt of a portion of their compensation and AIP cash awards until a later date. Employer 401(k) matching contributions that are in excess of the annual contribution or compensation limits are also credited to the participant accounts for those who elected to defer receipt of some portion of their base salary. Participants select hypothetical investment funds for their deferrals which are credited with the hypothetical returns generated.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compensation deferral plan</w:t>
      </w:r>
    </w:p>
    <w:p>
      <w:pPr>
        <w:spacing w:after="0" w:line="2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Effective January 1, 2017, our Board of Directors approved an unfunded, non-qualified incentive compensation deferral plan for participants of the AIP and LTIP. Participants can elect to defer up to 100% of their annual AIP award and/or up to 100% of their LTIP award for each performance period. Deferred awards will be credited to a deferred stock account as credits denominated in Class A shares of the Company stock until retirement or other separation from service from the Company. Participants are 100% vested at date of deferral. The shares are held in a rabbi trust, which was established to hold the shares earned under both the incentive compensation deferral plan and the deferred stock compensation plan for outside directors. The rabbi trust is classified and accounted for as equity in a manner consistent with the accounting for treasury stock. Dividends received on the shares in the rabbi trust are used to purchase additional shares. Vested share credits will be paid to participants from the rabbi trust upon separation from service in approximate equal annual installments of Class A shares for a period of three years. In 2018, the rabbi trust purchased 12,005 shares of our common stock in the open market at an average price of $119.28 for $1.4 million to satisfy the liability for the 2017 AIP awards deferred under the incentive compensation deferral plan. The total compensation charged to operations related to these deferred AIP awards was $0.7 million in 2018 and $1.4 million in 2017. The Exchange and its subsidiaries reimbursed us for approximately 42% of the annual compensation cost of this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plans for outside directors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We have a deferred compensation plan for our outside directors that allows participants to defer receipt of a portion of their annual compensation until a later date. Participants select hypothetical investment funds for their deferrals which are credited with the hypothetical returns generated.</w:t>
      </w:r>
    </w:p>
    <w:p>
      <w:pPr>
        <w:spacing w:after="0" w:line="16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also have a deferred stock compensation plan for our outside directors to further align the interests of directors with those of our shareholders that provides for a portion of the directors' annual compensation in shares of our Class A common stock. Each director vests in the grant 25% every three months over the course of a year. Dividends paid by us are credited to each director's account which vest immediately. We do not issue new shares of common stock to directors. Our practice is to repurchase shares of our Class A common stock in the open market to satisfy these awards, which are held in the rabbi trust.</w:t>
      </w:r>
    </w:p>
    <w:p>
      <w:pPr>
        <w:spacing w:after="0" w:line="15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rabbi trust purchased 9,285 shares of our common stock on the open market at an average price of $122.19 for $1.1 million in 2018, 9,663 shares at an average price of $121.85 for $1.2 million in 2017, and 7,432 shares at an average price of $99.23 for $0.7 million in 2016 to satisfy the liability of the stock compensation plan for outside directors. The shares are distributed to the outside director from the rabbi trust upon ending board service. The total compensation charged to operations related to these awards totaled $0.8 million, $0.9 million and $0.5 million in 2018, 2017 and 2016,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deferred executive and outside directors' compensation liability for December 31:</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5"/>
        </w:trPr>
        <w:tc>
          <w:tcPr>
            <w:tcW w:w="8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2"/>
                <w:szCs w:val="22"/>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2"/>
                <w:szCs w:val="22"/>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2016</w:t>
            </w: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507"/>
        </w:trPr>
        <w:tc>
          <w:tcPr>
            <w:tcW w:w="8400" w:type="dxa"/>
            <w:vAlign w:val="bottom"/>
          </w:tcPr>
          <w:p>
            <w:pPr>
              <w:spacing w:after="0"/>
              <w:rPr>
                <w:sz w:val="20"/>
                <w:szCs w:val="20"/>
                <w:color w:val="auto"/>
              </w:rPr>
            </w:pPr>
            <w:r>
              <w:rPr>
                <w:rFonts w:ascii="Arial" w:cs="Arial" w:eastAsia="Arial" w:hAnsi="Arial"/>
                <w:sz w:val="18"/>
                <w:szCs w:val="18"/>
                <w:color w:val="auto"/>
              </w:rPr>
              <w:t>Annual incentive plan awards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4,751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6,118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6,460</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Long-term incentive plan awards</w:t>
            </w:r>
          </w:p>
        </w:tc>
        <w:tc>
          <w:tcPr>
            <w:tcW w:w="20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6,331</w:t>
            </w:r>
          </w:p>
        </w:tc>
        <w:tc>
          <w:tcPr>
            <w:tcW w:w="24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10,931</w:t>
            </w:r>
          </w:p>
        </w:tc>
        <w:tc>
          <w:tcPr>
            <w:tcW w:w="2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11,321</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Employer match and hypothetical earnings on deferred compensation</w:t>
            </w:r>
          </w:p>
        </w:tc>
        <w:tc>
          <w:tcPr>
            <w:tcW w:w="200" w:type="dxa"/>
            <w:vAlign w:val="bottom"/>
          </w:tcPr>
          <w:p>
            <w:pPr>
              <w:spacing w:after="0"/>
              <w:rPr>
                <w:sz w:val="23"/>
                <w:szCs w:val="23"/>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2,664</w:t>
            </w:r>
          </w:p>
        </w:tc>
        <w:tc>
          <w:tcPr>
            <w:tcW w:w="2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1,164</w:t>
            </w: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Total plan awards and earnings</w:t>
            </w:r>
          </w:p>
        </w:tc>
        <w:tc>
          <w:tcPr>
            <w:tcW w:w="2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12,566</w:t>
            </w:r>
          </w:p>
        </w:tc>
        <w:tc>
          <w:tcPr>
            <w:tcW w:w="2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19,713</w:t>
            </w:r>
          </w:p>
        </w:tc>
        <w:tc>
          <w:tcPr>
            <w:tcW w:w="2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18,945</w:t>
            </w: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ind w:left="140"/>
              <w:spacing w:after="0"/>
              <w:rPr>
                <w:sz w:val="20"/>
                <w:szCs w:val="20"/>
                <w:color w:val="auto"/>
              </w:rPr>
            </w:pPr>
            <w:r>
              <w:rPr>
                <w:rFonts w:ascii="Arial" w:cs="Arial" w:eastAsia="Arial" w:hAnsi="Arial"/>
                <w:sz w:val="18"/>
                <w:szCs w:val="18"/>
                <w:color w:val="auto"/>
              </w:rPr>
              <w:t>Total plan awards paid</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8"/>
              </w:rPr>
              <w:t>(14,482)</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(20,621)</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(20,418)</w:t>
            </w: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spacing w:after="0"/>
              <w:rPr>
                <w:sz w:val="20"/>
                <w:szCs w:val="20"/>
                <w:color w:val="auto"/>
              </w:rPr>
            </w:pPr>
            <w:r>
              <w:rPr>
                <w:rFonts w:ascii="Arial" w:cs="Arial" w:eastAsia="Arial" w:hAnsi="Arial"/>
                <w:sz w:val="18"/>
                <w:szCs w:val="18"/>
                <w:color w:val="auto"/>
              </w:rPr>
              <w:t>Compensation deferred</w:t>
            </w:r>
          </w:p>
        </w:tc>
        <w:tc>
          <w:tcPr>
            <w:tcW w:w="2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1,928</w:t>
            </w:r>
          </w:p>
        </w:tc>
        <w:tc>
          <w:tcPr>
            <w:tcW w:w="2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1,214</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Distributions from the deferred compensation plans</w:t>
            </w:r>
          </w:p>
        </w:tc>
        <w:tc>
          <w:tcPr>
            <w:tcW w:w="2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310"/>
        </w:trPr>
        <w:tc>
          <w:tcPr>
            <w:tcW w:w="8400" w:type="dxa"/>
            <w:vAlign w:val="bottom"/>
          </w:tcPr>
          <w:p>
            <w:pPr>
              <w:spacing w:after="0"/>
              <w:rPr>
                <w:sz w:val="20"/>
                <w:szCs w:val="20"/>
                <w:color w:val="auto"/>
              </w:rPr>
            </w:pPr>
            <w:r>
              <w:rPr>
                <w:rFonts w:ascii="Arial" w:cs="Arial" w:eastAsia="Arial" w:hAnsi="Arial"/>
                <w:sz w:val="18"/>
                <w:szCs w:val="18"/>
                <w:color w:val="auto"/>
              </w:rPr>
              <w:t xml:space="preserve">Forfeitures </w:t>
            </w:r>
            <w:r>
              <w:rPr>
                <w:rFonts w:ascii="Arial" w:cs="Arial" w:eastAsia="Arial" w:hAnsi="Arial"/>
                <w:sz w:val="25"/>
                <w:szCs w:val="25"/>
                <w:color w:val="auto"/>
                <w:vertAlign w:val="superscript"/>
              </w:rPr>
              <w:t>(1)</w:t>
            </w:r>
          </w:p>
        </w:tc>
        <w:tc>
          <w:tcPr>
            <w:tcW w:w="20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(3,117)</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Funding of rabbi trust for deferred stock compensation plan for outside directors</w:t>
            </w:r>
          </w:p>
        </w:tc>
        <w:tc>
          <w:tcPr>
            <w:tcW w:w="2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70"/>
        </w:trPr>
        <w:tc>
          <w:tcPr>
            <w:tcW w:w="8400" w:type="dxa"/>
            <w:vAlign w:val="bottom"/>
          </w:tcPr>
          <w:p>
            <w:pPr>
              <w:spacing w:after="0"/>
              <w:rPr>
                <w:sz w:val="20"/>
                <w:szCs w:val="20"/>
                <w:color w:val="auto"/>
              </w:rPr>
            </w:pPr>
            <w:r>
              <w:rPr>
                <w:rFonts w:ascii="Arial" w:cs="Arial" w:eastAsia="Arial" w:hAnsi="Arial"/>
                <w:sz w:val="18"/>
                <w:szCs w:val="18"/>
                <w:color w:val="auto"/>
              </w:rPr>
              <w:t>Funding of rabbi trust for incentive compensation deferral plan</w:t>
            </w:r>
          </w:p>
        </w:tc>
        <w:tc>
          <w:tcPr>
            <w:tcW w:w="20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(1,401)</w:t>
            </w:r>
          </w:p>
        </w:tc>
        <w:tc>
          <w:tcPr>
            <w:tcW w:w="24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400" w:type="dxa"/>
            <w:vAlign w:val="bottom"/>
          </w:tcPr>
          <w:p>
            <w:pPr>
              <w:ind w:left="140"/>
              <w:spacing w:after="0"/>
              <w:rPr>
                <w:sz w:val="20"/>
                <w:szCs w:val="20"/>
                <w:color w:val="auto"/>
              </w:rPr>
            </w:pPr>
            <w:r>
              <w:rPr>
                <w:rFonts w:ascii="Arial" w:cs="Arial" w:eastAsia="Arial" w:hAnsi="Arial"/>
                <w:sz w:val="18"/>
                <w:szCs w:val="18"/>
                <w:color w:val="auto"/>
              </w:rPr>
              <w:t>Incentive plan and deferred compensation liabilities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26,182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30,057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32,908</w:t>
            </w: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i w:val="1"/>
          <w:iCs w:val="1"/>
          <w:color w:val="auto"/>
        </w:rPr>
        <w:t>(1)</w:t>
        <w:tab/>
        <w:t>Forfeitures are the result of plan participants who separated from service with the Company.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also have an equity compensation plan ("ECP") which is designed to reward key employees, as determined by the ECDC or the chief executive officer, who can have a significant impact on our long-term performance and to further align the interests of such employees with those of our shareholders. The ECP permits grants of restricted shares, restricted share units and other share based awards, to be satisfied with shares of our Class A common stock or cash. The ECDC determines the form of the award to be granted at the beginning of each performance period. The number of shares of the Company's Class A common stock authorized for grant under the ECP is 100,000 shares, with no one person able to receive more than 5,000 shares in a calendar year. We do not issue new shares of common stock to satisfy plan awards. Share awards are settled through the repurchase of our Class A common stock on the open market.</w:t>
      </w:r>
    </w:p>
    <w:p>
      <w:pPr>
        <w:spacing w:after="0" w:line="1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share awards may be entitled to receive dividends payable during the performance period, or, if subject to performance goals, to receive dividend equivalents payable upon vesting. Dividend equivalents may provide for the crediting of interest or hypothetical reinvestment experience payable after expiration of the performance period.</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Vesting conditions are determined at the time the award is granted and may include continuation of employment for a specific period, satisfaction of performance goals and the defined performance period, and the satisfaction of any other terms and conditions as determined to be appropriate. The plan is to remain in effect until December 31, 2022, unless earlier amended or terminated by our Board of Directors. Awards will be satisfied with shares of our Class A common stock. In 2018, 5,830 Class A shares with an average share price of $115.45 and a market value of $0.7 million were delivered to plan participants to satisfy the 2015 plan year and remainder of 2014 plan year awards. In 2017, 3,785 Class A shares with an average share price of $109.41 and a market value of $0.4 million were delivered to plan participants to satisfy a portion of the 2014 plan year award. The total compensation charged to operations related to these ECP awards was $0.4 million in 2018, $0.2 million in 2017, and $0.8 million in 2016. The Exchange and its subsidiaries reimburse us for earned compensation costs of employees performing administrative services, which can fluctuate each year based on the plan participants. The Exchange and its subsidiaries reimbursed us for approximately 68% and 38% of the awards paid in 2018 and 2017, respectively. Unearned compensation expense of $0.3 million is expected to be recognized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2" w:right="25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for the years ended December 31:</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5"/>
        </w:trPr>
        <w:tc>
          <w:tcPr>
            <w:tcW w:w="60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2"/>
                <w:szCs w:val="22"/>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84,454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81,689</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109,727</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10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(1,358)</w:t>
            </w:r>
          </w:p>
        </w:tc>
        <w:tc>
          <w:tcPr>
            <w:tcW w:w="4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26,912</w:t>
            </w:r>
          </w:p>
        </w:tc>
        <w:tc>
          <w:tcPr>
            <w:tcW w:w="5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Other income tax expense</w:t>
            </w:r>
          </w:p>
        </w:tc>
        <w:tc>
          <w:tcPr>
            <w:tcW w:w="10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10,095</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83,096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118,696</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109,725</w:t>
            </w: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income tax expense for 2017 was impacted by the re-measurement of our deferred tax assets and liabilities due to the enactment of the Tax Cuts and Jobs Act ("TCJA") on December 22, 2017, which reduced the corporate tax rate from 35% to 21% effective January 1, 2018. The current and deferred income tax (benefit) expense for 2018 is measured at the statutory rate of 21% and 35% for 2017 and 2016.</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reconciliation of the provision for income taxes, with amounts determined by applying the statutory federal income tax rate to pre-tax income, is as follows for the years ended December 31: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55"/>
        </w:trPr>
        <w:tc>
          <w:tcPr>
            <w:tcW w:w="60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2"/>
                <w:szCs w:val="22"/>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r>
      <w:tr>
        <w:trPr>
          <w:trHeight w:val="27"/>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w w:val="94"/>
              </w:rPr>
              <w:t>77,977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110,493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112,032</w:t>
            </w:r>
          </w:p>
        </w:tc>
      </w:tr>
      <w:tr>
        <w:trPr>
          <w:trHeight w:val="310"/>
        </w:trPr>
        <w:tc>
          <w:tcPr>
            <w:tcW w:w="6040" w:type="dxa"/>
            <w:vAlign w:val="bottom"/>
          </w:tcPr>
          <w:p>
            <w:pPr>
              <w:spacing w:after="0"/>
              <w:rPr>
                <w:sz w:val="20"/>
                <w:szCs w:val="20"/>
                <w:color w:val="auto"/>
              </w:rPr>
            </w:pPr>
            <w:r>
              <w:rPr>
                <w:rFonts w:ascii="Arial" w:cs="Arial" w:eastAsia="Arial" w:hAnsi="Arial"/>
                <w:sz w:val="18"/>
                <w:szCs w:val="18"/>
                <w:color w:val="auto"/>
              </w:rPr>
              <w:t xml:space="preserve">Change in tax rate </w:t>
            </w:r>
            <w:r>
              <w:rPr>
                <w:rFonts w:ascii="Arial" w:cs="Arial" w:eastAsia="Arial" w:hAnsi="Arial"/>
                <w:sz w:val="25"/>
                <w:szCs w:val="25"/>
                <w:color w:val="auto"/>
                <w:vertAlign w:val="superscript"/>
              </w:rPr>
              <w:t>(1)</w:t>
            </w:r>
          </w:p>
        </w:tc>
        <w:tc>
          <w:tcPr>
            <w:tcW w:w="1080" w:type="dxa"/>
            <w:vAlign w:val="bottom"/>
          </w:tcPr>
          <w:p>
            <w:pPr>
              <w:spacing w:after="0"/>
              <w:rPr>
                <w:sz w:val="24"/>
                <w:szCs w:val="24"/>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10,095</w:t>
            </w:r>
          </w:p>
        </w:tc>
        <w:tc>
          <w:tcPr>
            <w:tcW w:w="46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Tax-exempt interest</w:t>
            </w:r>
          </w:p>
        </w:tc>
        <w:tc>
          <w:tcPr>
            <w:tcW w:w="10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w:t>
            </w:r>
          </w:p>
        </w:tc>
        <w:tc>
          <w:tcPr>
            <w:tcW w:w="4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(2,278)</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10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3,088</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Other, net</w:t>
            </w:r>
          </w:p>
        </w:tc>
        <w:tc>
          <w:tcPr>
            <w:tcW w:w="1080" w:type="dxa"/>
            <w:vAlign w:val="bottom"/>
          </w:tcPr>
          <w:p>
            <w:pPr>
              <w:spacing w:after="0"/>
              <w:rPr>
                <w:sz w:val="23"/>
                <w:szCs w:val="23"/>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3,336</w:t>
            </w:r>
          </w:p>
        </w:tc>
        <w:tc>
          <w:tcPr>
            <w:tcW w:w="46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386</w:t>
            </w: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83,096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118,696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109,725</w:t>
            </w:r>
          </w:p>
        </w:tc>
      </w:tr>
      <w:tr>
        <w:trPr>
          <w:trHeight w:val="20"/>
        </w:trPr>
        <w:tc>
          <w:tcPr>
            <w:tcW w:w="6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The change in tax rate represents the tax effect of the re-measurement of deferred tax assets and liabilities due to the enactment of the TCJA.</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statutory rate for the year ended December 31, 2018 is 21% and 35% for the years ended December 31, 2017 and 2016.</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2017, we recorded provisional amounts for certain enactment-date effects of the TCJA based on information available at that time. The Securities and Exchange Commission issued rules that allowed for a measurement period of one year after the enactment date of the TCJA to finalize the recording of the related tax impact. We completed our analysis for the effects of the TCJA and there were no material changes made in 2018 to the provisional amounts and no material impact on the effective tax rate.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Temporary differences and carry-forwards, which give rise to deferred tax assets and liabilities, are as follows for the years ended December 31: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2"/>
                <w:szCs w:val="22"/>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Other employee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12,237</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14,092</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20,124</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22,758</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Allowance for management fee returned on cancelled policies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3,292</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3,524</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Unrealized losses on investments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2,030</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1,246</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26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42,453</w:t>
            </w: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7"/>
        </w:trPr>
        <w:tc>
          <w:tcPr>
            <w:tcW w:w="8400" w:type="dxa"/>
            <w:vAlign w:val="bottom"/>
            <w:vMerge w:val="restart"/>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13,015</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1,376</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Commissions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1,270</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Limited partnerships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2,534</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Unrealized gains on investments</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5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0" w:type="dxa"/>
            <w:vAlign w:val="bottom"/>
          </w:tcPr>
          <w:p>
            <w:pPr>
              <w:ind w:left="26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18,352</w:t>
            </w: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21,296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24,101</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19,390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If we determine that any of our deferred tax assets will not result in future tax benefits, a valuation allowance must be established for the portion of the assets that are not expected to be realized. We had no valuation allowance recorded at December 31, 2018 or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unrecognized tax benefits for the years ended December 31 is as follows:</w:t>
      </w:r>
    </w:p>
    <w:p>
      <w:pPr>
        <w:sectPr>
          <w:pgSz w:w="11900" w:h="16838" w:orient="portrait"/>
          <w:cols w:equalWidth="0" w:num="1">
            <w:col w:w="11420"/>
          </w:cols>
          <w:pgMar w:left="240" w:top="121" w:right="239" w:bottom="1440" w:gutter="0" w:footer="0" w:header="0"/>
        </w:sect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Balance at the beginning of the year</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Additions for current year tax positions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Reductions for current year tax positions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for prior year tax positions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Reductions for prior year tax positions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the end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1300" w:type="dxa"/>
            <w:vAlign w:val="bottom"/>
          </w:tcPr>
          <w:p>
            <w:pPr>
              <w:ind w:left="280"/>
              <w:spacing w:after="0"/>
              <w:rPr>
                <w:sz w:val="20"/>
                <w:szCs w:val="20"/>
                <w:color w:val="auto"/>
              </w:rPr>
            </w:pPr>
            <w:r>
              <w:rPr>
                <w:rFonts w:ascii="Arial" w:cs="Arial" w:eastAsia="Arial" w:hAnsi="Arial"/>
                <w:sz w:val="18"/>
                <w:szCs w:val="18"/>
                <w:color w:val="auto"/>
              </w:rPr>
              <w:t>2016</w:t>
            </w:r>
          </w:p>
        </w:tc>
      </w:tr>
      <w:tr>
        <w:trPr>
          <w:trHeight w:val="27"/>
        </w:trPr>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7,719</w:t>
            </w:r>
          </w:p>
        </w:tc>
        <w:tc>
          <w:tcPr>
            <w:tcW w:w="4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(4,631)</w:t>
            </w:r>
          </w:p>
        </w:tc>
        <w:tc>
          <w:tcPr>
            <w:tcW w:w="4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2,337</w:t>
            </w:r>
          </w:p>
        </w:tc>
        <w:tc>
          <w:tcPr>
            <w:tcW w:w="460" w:type="dxa"/>
            <w:vAlign w:val="bottom"/>
          </w:tcPr>
          <w:p>
            <w:pPr>
              <w:spacing w:after="0"/>
              <w:rPr>
                <w:sz w:val="23"/>
                <w:szCs w:val="23"/>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(2,337)</w:t>
            </w:r>
          </w:p>
        </w:tc>
        <w:tc>
          <w:tcPr>
            <w:tcW w:w="460" w:type="dxa"/>
            <w:vAlign w:val="bottom"/>
          </w:tcPr>
          <w:p>
            <w:pPr>
              <w:spacing w:after="0"/>
              <w:rPr>
                <w:sz w:val="23"/>
                <w:szCs w:val="23"/>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3,088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60" w:space="720"/>
            <w:col w:w="5340"/>
          </w:cols>
          <w:pgMar w:left="240" w:top="121" w:right="239" w:bottom="1440" w:gutter="0" w:footer="0" w:header="0"/>
          <w:type w:val="continuous"/>
        </w:sectPr>
      </w:pP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Included in the balance at December 31, 2018 was $3.1 million of tax expense related to uncertain tax positions for which the ultimate deductibility is certain, but for which there is uncertainty around the timing of deductibility. The amounts recorded in 2018 resulted from the difference in measuring the tax liability at the previous tax rate and the current enacted tax rate. This increased our effective tax rate by 0.8% in 2018. In 2017, we had an uncertain tax position of $2.3 million, for which a current liability was recorded. As a related temporary tax difference was also recognized, there was no impact to our results of operations or financial position. It is not expected that there will be a significant change in the unrecognized tax benefits in the next 12 months. Interest expense related to uncertain tax positions is recognized in income tax expense. Interest expense was $0.8 million and $0.1 million in 2018 and 2017, respectively. There was no interest expense related to uncertain tax positions in 2016.</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Tax years ending December 31, 2017, 2016 and 2015 remain open to IRS examination. We are not currently under IRS audit, nor have we been notified of an upcoming IRS audit.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the attorney-in-fact for the subscribers (policyholders) at the Exchange, a reciprocal insurance exchange. In that capacity, we provide all services and facilities necessary to conduct the Exchange's insurance business. Indemnity and the Exchange together constitute a single insurance business. Consequently, we are not subject to state corporate income or franchise taxes in states where the Exchange conducts its business and the states collect premium tax in lieu of corporate income or franchise tax, as a result of the Exchange's remittance of premium taxes in those states.</w:t>
      </w:r>
    </w:p>
    <w:p>
      <w:pPr>
        <w:sectPr>
          <w:pgSz w:w="11900" w:h="16838" w:orient="portrait"/>
          <w:cols w:equalWidth="0" w:num="1">
            <w:col w:w="11420"/>
          </w:cols>
          <w:pgMar w:left="240" w:top="121" w:right="23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 and B common stock</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There were no shares of Class B common stock converted into Class A common stock in 2018, 2017 or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Board of Directors authorized a stock repurchase program effective January 1, 1999 allowing the repurchase of our outstanding Class A nonvoting common stock. Treasury shares are recorded in the Statements of Financial Position at total cost based upon trade date. There were no shares repurchased under this program during 2018, 2017 or 2016. In 2011, our Board of Directors approved a continuation of the current stock repurchase program for a total of $150 million, with no time limitation. We had approximately $17.8 million of repurchase authority remaining under this program at December 31, 2018, based upon trade date.</w:t>
      </w:r>
    </w:p>
    <w:p>
      <w:pPr>
        <w:spacing w:after="0" w:line="19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2018, we purchased 27,120 shares of our outstanding Class A nonvoting common stock outside of our publicly announced share repurchase program at a total cost of $3.2 million. Of this amount, we purchased 5,830 shares for $0.7 million, or $117.39 per share, for stock-based awards in conjunction with our equity compensation plan. We purchased 9,285 shares for $1.1 million, or $122.19 per share, to fund the rabbi trust for the outside director deferred stock compensation plan. The remaining 12,005 shares were purchased at a total cost of $1.4 million, or $119.28 per share, to fund the rabbi trust for the incentive compensation deferral plan. These shares were delivered in 2018.</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2017, we purchased 60,332 shares of our outstanding Class A nonvoting common stock outside of our publicly announced share repurchase program at a total cost of $7.3 million. Of this amount, we purchased 3,785 shares for $0.4 million, or $111.55 per share, for stock-based awards in conjunction with our equity compensation plan. We purchased 9,663 shares for $1.2 million, or $121.85 per share, to fund the rabbi trust for the outside director deferred stock compensation plan. The remaining 46,884 shares were purchased at a total cost of $5.7 million, or $122.40 per share, for the vesting of stock-based awards in conjunction with our long-term incentive plan. These shares were delivered in 2017.</w:t>
      </w:r>
    </w:p>
    <w:p>
      <w:pPr>
        <w:spacing w:after="0" w:line="17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2016, we purchased 15,093 shares of our outstanding Class A nonvoting common stock outside of our publicly announced share repurchase program at a total cost of $1.5 million. Of this amount, we purchased 7,432 shares for $0.7 million, or $99.23 per share, to fund the rabbi trust for the outside director deferred stock compensation plan. The remaining 7,661 shares were purchased at a total cost of $0.8 million, or $98.20 per share, for the vesting of stock-based awards in conjunction with our long-term incentive plan. These shares were delivered in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(loss) by component, including amounts reclassified to other comprehensive income ("OCI")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 and the related line item in the Statements of Operations where net income is presented, are as follows for the year ended December 31:</w:t>
      </w: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1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9"/>
              </w:rPr>
              <w:t>Before Tax</w:t>
            </w:r>
          </w:p>
        </w:tc>
        <w:tc>
          <w:tcPr>
            <w:tcW w:w="1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w w:val="92"/>
              </w:rPr>
              <w:t xml:space="preserve">Income Tax </w:t>
            </w:r>
            <w:r>
              <w:rPr>
                <w:rFonts w:ascii="Arial" w:cs="Arial" w:eastAsia="Arial" w:hAnsi="Arial"/>
                <w:sz w:val="8"/>
                <w:szCs w:val="8"/>
                <w:color w:val="auto"/>
                <w:w w:val="92"/>
              </w:rPr>
              <w:t>(1)</w:t>
            </w:r>
          </w:p>
        </w:tc>
        <w:tc>
          <w:tcPr>
            <w:tcW w:w="240" w:type="dxa"/>
            <w:vAlign w:val="bottom"/>
          </w:tcPr>
          <w:p>
            <w:pPr>
              <w:spacing w:after="0"/>
              <w:rPr>
                <w:sz w:val="21"/>
                <w:szCs w:val="21"/>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21"/>
                <w:szCs w:val="21"/>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w w:val="96"/>
              </w:rPr>
              <w:t>Before Tax</w:t>
            </w:r>
          </w:p>
        </w:tc>
        <w:tc>
          <w:tcPr>
            <w:tcW w:w="14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w w:val="92"/>
              </w:rPr>
              <w:t xml:space="preserve">Income Tax </w:t>
            </w:r>
            <w:r>
              <w:rPr>
                <w:rFonts w:ascii="Arial" w:cs="Arial" w:eastAsia="Arial" w:hAnsi="Arial"/>
                <w:sz w:val="8"/>
                <w:szCs w:val="8"/>
                <w:color w:val="auto"/>
                <w:w w:val="92"/>
              </w:rPr>
              <w:t>(1)</w:t>
            </w:r>
          </w:p>
        </w:tc>
        <w:tc>
          <w:tcPr>
            <w:tcW w:w="240" w:type="dxa"/>
            <w:vAlign w:val="bottom"/>
          </w:tcPr>
          <w:p>
            <w:pPr>
              <w:spacing w:after="0"/>
              <w:rPr>
                <w:sz w:val="21"/>
                <w:szCs w:val="21"/>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21"/>
                <w:szCs w:val="21"/>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w w:val="96"/>
              </w:rPr>
              <w:t>Before Tax</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xml:space="preserve">Income Tax </w:t>
            </w:r>
            <w:r>
              <w:rPr>
                <w:rFonts w:ascii="Arial" w:cs="Arial" w:eastAsia="Arial" w:hAnsi="Arial"/>
                <w:sz w:val="8"/>
                <w:szCs w:val="8"/>
                <w:color w:val="auto"/>
              </w:rPr>
              <w:t>(1)</w:t>
            </w:r>
          </w:p>
        </w:tc>
        <w:tc>
          <w:tcPr>
            <w:tcW w:w="240" w:type="dxa"/>
            <w:vAlign w:val="bottom"/>
          </w:tcPr>
          <w:p>
            <w:pPr>
              <w:spacing w:after="0"/>
              <w:rPr>
                <w:sz w:val="21"/>
                <w:szCs w:val="21"/>
                <w:color w:val="auto"/>
              </w:rPr>
            </w:pPr>
          </w:p>
        </w:tc>
        <w:tc>
          <w:tcPr>
            <w:tcW w:w="780" w:type="dxa"/>
            <w:vAlign w:val="bottom"/>
          </w:tcPr>
          <w:p>
            <w:pPr>
              <w:jc w:val="right"/>
              <w:ind w:right="38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0"/>
                <w:szCs w:val="20"/>
                <w:color w:val="auto"/>
              </w:rPr>
            </w:pPr>
            <w:r>
              <w:rPr>
                <w:rFonts w:ascii="Arial" w:cs="Arial" w:eastAsia="Arial" w:hAnsi="Arial"/>
                <w:sz w:val="14"/>
                <w:szCs w:val="14"/>
                <w:b w:val="1"/>
                <w:bCs w:val="1"/>
                <w:color w:val="auto"/>
              </w:rPr>
              <w:t>Investment securities:</w:t>
            </w: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4"/>
                <w:szCs w:val="14"/>
                <w:color w:val="auto"/>
              </w:rPr>
              <w:t>AOCI, beginning of year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2,694</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3,954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1,384</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2,570</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3,888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1,361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OCI (loss) before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reclassifications - pre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 xml:space="preserve">TCJA </w:t>
            </w:r>
            <w:r>
              <w:rPr>
                <w:rFonts w:ascii="Arial" w:cs="Arial" w:eastAsia="Arial" w:hAnsi="Arial"/>
                <w:sz w:val="8"/>
                <w:szCs w:val="8"/>
                <w:color w:val="auto"/>
              </w:rPr>
              <w:t>(1)</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(227)</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OCI before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reclassifications - post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 xml:space="preserve">TCJA </w:t>
            </w:r>
            <w:r>
              <w:rPr>
                <w:rFonts w:ascii="Arial" w:cs="Arial" w:eastAsia="Arial" w:hAnsi="Arial"/>
                <w:sz w:val="8"/>
                <w:szCs w:val="8"/>
                <w:color w:val="auto"/>
              </w:rPr>
              <w:t>(1)</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(15,372)</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(3,228)</w:t>
            </w:r>
          </w:p>
        </w:tc>
        <w:tc>
          <w:tcPr>
            <w:tcW w:w="24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(12,144)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1,162</w:t>
            </w:r>
          </w:p>
        </w:tc>
        <w:tc>
          <w:tcPr>
            <w:tcW w:w="1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Realized investment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losses (gains)</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1,297</w:t>
            </w:r>
          </w:p>
        </w:tc>
        <w:tc>
          <w:tcPr>
            <w:tcW w:w="1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2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(1,240)</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4"/>
                <w:szCs w:val="14"/>
                <w:color w:val="auto"/>
              </w:rPr>
              <w:t>Impairment losses</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1,249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26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Cumulative effect of</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 xml:space="preserve">adopting ASU 2016-01 </w:t>
            </w:r>
            <w:r>
              <w:rPr>
                <w:rFonts w:ascii="Arial" w:cs="Arial" w:eastAsia="Arial" w:hAnsi="Arial"/>
                <w:sz w:val="8"/>
                <w:szCs w:val="8"/>
                <w:color w:val="auto"/>
              </w:rPr>
              <w:t>(2)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0"/>
                <w:szCs w:val="20"/>
                <w:color w:val="auto"/>
              </w:rPr>
            </w:pPr>
            <w:r>
              <w:rPr>
                <w:rFonts w:ascii="Arial" w:cs="Arial" w:eastAsia="Arial" w:hAnsi="Arial"/>
                <w:sz w:val="14"/>
                <w:szCs w:val="14"/>
                <w:color w:val="auto"/>
              </w:rPr>
              <w:t>OCI (loss)</w:t>
            </w: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(12,579)</w:t>
            </w: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(2,642)</w:t>
            </w: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(9,937)</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Reclassification</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 xml:space="preserve">adjustment </w:t>
            </w:r>
            <w:r>
              <w:rPr>
                <w:rFonts w:ascii="Arial" w:cs="Arial" w:eastAsia="Arial" w:hAnsi="Arial"/>
                <w:sz w:val="8"/>
                <w:szCs w:val="8"/>
                <w:color w:val="auto"/>
              </w:rPr>
              <w:t>(3)</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(314)</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0"/>
                <w:szCs w:val="20"/>
                <w:color w:val="auto"/>
              </w:rPr>
            </w:pPr>
            <w:r>
              <w:rPr>
                <w:rFonts w:ascii="Arial" w:cs="Arial" w:eastAsia="Arial" w:hAnsi="Arial"/>
                <w:sz w:val="14"/>
                <w:szCs w:val="14"/>
                <w:color w:val="auto"/>
              </w:rPr>
              <w:t>AOCI,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(1,926)</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(7,243)</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3,410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716</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2,694</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3,954</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1,384</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Pension and other postretirement plans: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AOCI (loss), beginning of</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year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(200,954)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(42,201)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(158,753)</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(190,695)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(66,744)</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(123,951)</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(152,910)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(53,519)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(99,391)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OCI (loss) before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reclassifications</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31,401</w:t>
            </w:r>
          </w:p>
        </w:tc>
        <w:tc>
          <w:tcPr>
            <w:tcW w:w="1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6,594</w:t>
            </w:r>
          </w:p>
        </w:tc>
        <w:tc>
          <w:tcPr>
            <w:tcW w:w="2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24,807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(20,314)</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(7,111)</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(46,244)</w:t>
            </w: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(16,185)</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(30,059)</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Amortization of prior</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 xml:space="preserve">service costs </w:t>
            </w:r>
            <w:r>
              <w:rPr>
                <w:rFonts w:ascii="Arial" w:cs="Arial" w:eastAsia="Arial" w:hAnsi="Arial"/>
                <w:sz w:val="8"/>
                <w:szCs w:val="8"/>
                <w:color w:val="auto"/>
              </w:rPr>
              <w:t>(4)</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1,353</w:t>
            </w:r>
          </w:p>
        </w:tc>
        <w:tc>
          <w:tcPr>
            <w:tcW w:w="1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2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871</w:t>
            </w:r>
          </w:p>
        </w:tc>
        <w:tc>
          <w:tcPr>
            <w:tcW w:w="1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306</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695</w:t>
            </w:r>
          </w:p>
        </w:tc>
        <w:tc>
          <w:tcPr>
            <w:tcW w:w="2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Amortization of net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 xml:space="preserve">actuarial loss </w:t>
            </w:r>
            <w:r>
              <w:rPr>
                <w:rFonts w:ascii="Arial" w:cs="Arial" w:eastAsia="Arial" w:hAnsi="Arial"/>
                <w:sz w:val="8"/>
                <w:szCs w:val="8"/>
                <w:color w:val="auto"/>
              </w:rPr>
              <w:t>(4)</w:t>
            </w:r>
          </w:p>
        </w:tc>
        <w:tc>
          <w:tcPr>
            <w:tcW w:w="14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12,451</w:t>
            </w:r>
          </w:p>
        </w:tc>
        <w:tc>
          <w:tcPr>
            <w:tcW w:w="1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2,615</w:t>
            </w:r>
          </w:p>
        </w:tc>
        <w:tc>
          <w:tcPr>
            <w:tcW w:w="24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9,836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8,882</w:t>
            </w:r>
          </w:p>
        </w:tc>
        <w:tc>
          <w:tcPr>
            <w:tcW w:w="14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3,109</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5,773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7,764</w:t>
            </w:r>
          </w:p>
        </w:tc>
        <w:tc>
          <w:tcPr>
            <w:tcW w:w="2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2,717</w:t>
            </w:r>
          </w:p>
        </w:tc>
        <w:tc>
          <w:tcPr>
            <w:tcW w:w="24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5,047</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4"/>
                <w:szCs w:val="14"/>
                <w:color w:val="auto"/>
              </w:rPr>
              <w:t xml:space="preserve">Settlement loss </w:t>
            </w:r>
            <w:r>
              <w:rPr>
                <w:rFonts w:ascii="Arial" w:cs="Arial" w:eastAsia="Arial" w:hAnsi="Arial"/>
                <w:sz w:val="8"/>
                <w:szCs w:val="8"/>
                <w:color w:val="auto"/>
              </w:rPr>
              <w:t>(4)</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Impact of change in tax</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 xml:space="preserve">rate </w:t>
            </w:r>
            <w:r>
              <w:rPr>
                <w:rFonts w:ascii="Arial" w:cs="Arial" w:eastAsia="Arial" w:hAnsi="Arial"/>
                <w:sz w:val="8"/>
                <w:szCs w:val="8"/>
                <w:color w:val="auto"/>
              </w:rPr>
              <w:t>(5)</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1,436</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0"/>
                <w:szCs w:val="20"/>
                <w:color w:val="auto"/>
              </w:rPr>
            </w:pPr>
            <w:r>
              <w:rPr>
                <w:rFonts w:ascii="Arial" w:cs="Arial" w:eastAsia="Arial" w:hAnsi="Arial"/>
                <w:sz w:val="14"/>
                <w:szCs w:val="14"/>
                <w:color w:val="auto"/>
              </w:rPr>
              <w:t>OCI (loss)</w:t>
            </w: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45,205</w:t>
            </w: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9,493</w:t>
            </w: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35,712</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(10,259)</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(2,154)</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(8,105)</w:t>
            </w: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(37,785)</w:t>
            </w: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(13,225)</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(24,560)</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Reclassification</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 xml:space="preserve">adjustment </w:t>
            </w:r>
            <w:r>
              <w:rPr>
                <w:rFonts w:ascii="Arial" w:cs="Arial" w:eastAsia="Arial" w:hAnsi="Arial"/>
                <w:sz w:val="8"/>
                <w:szCs w:val="8"/>
                <w:color w:val="auto"/>
              </w:rPr>
              <w:t>(3)</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26,697</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(26,697)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0"/>
                <w:szCs w:val="20"/>
                <w:color w:val="auto"/>
              </w:rPr>
            </w:pPr>
            <w:r>
              <w:rPr>
                <w:rFonts w:ascii="Arial" w:cs="Arial" w:eastAsia="Arial" w:hAnsi="Arial"/>
                <w:sz w:val="14"/>
                <w:szCs w:val="14"/>
                <w:color w:val="auto"/>
              </w:rPr>
              <w:t>AOCI (loss),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(155,749)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(32,708)</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(123,041)</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(200,954)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(42,201)</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(158,753)</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(190,695)</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(66,744)</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(123,951)</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AOCI (loss), beginning of</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year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(197,544)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(41,485)</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(156,059)</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(186,741)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(65,360)</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(121,381)</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(149,022)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(52,158)</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(96,864)</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(12,579)</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(2,642)</w:t>
            </w: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(9,937)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(544)</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(354)</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260" w:type="dxa"/>
            <w:vAlign w:val="bottom"/>
          </w:tcPr>
          <w:p>
            <w:pPr>
              <w:spacing w:after="0"/>
              <w:rPr>
                <w:sz w:val="23"/>
                <w:szCs w:val="23"/>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Pension and other</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postretirement plans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45,205</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9,493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35,712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(10,259)</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(8,105)</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(37,785)</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(13,225)</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(24,560)</w:t>
            </w:r>
          </w:p>
        </w:tc>
        <w:tc>
          <w:tcPr>
            <w:tcW w:w="0" w:type="dxa"/>
            <w:vAlign w:val="bottom"/>
          </w:tcPr>
          <w:p>
            <w:pPr>
              <w:spacing w:after="0"/>
              <w:rPr>
                <w:sz w:val="1"/>
                <w:szCs w:val="1"/>
                <w:color w:val="auto"/>
              </w:rPr>
            </w:pPr>
          </w:p>
        </w:tc>
      </w:tr>
      <w:tr>
        <w:trPr>
          <w:trHeight w:val="244"/>
        </w:trPr>
        <w:tc>
          <w:tcPr>
            <w:tcW w:w="1700" w:type="dxa"/>
            <w:vAlign w:val="bottom"/>
          </w:tcPr>
          <w:p>
            <w:pPr>
              <w:spacing w:after="0"/>
              <w:rPr>
                <w:sz w:val="20"/>
                <w:szCs w:val="20"/>
                <w:color w:val="auto"/>
              </w:rPr>
            </w:pPr>
            <w:r>
              <w:rPr>
                <w:rFonts w:ascii="Arial" w:cs="Arial" w:eastAsia="Arial" w:hAnsi="Arial"/>
                <w:sz w:val="14"/>
                <w:szCs w:val="14"/>
                <w:color w:val="auto"/>
              </w:rPr>
              <w:t>OCI (loss)</w:t>
            </w:r>
          </w:p>
        </w:tc>
        <w:tc>
          <w:tcPr>
            <w:tcW w:w="14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32,626</w:t>
            </w:r>
          </w:p>
        </w:tc>
        <w:tc>
          <w:tcPr>
            <w:tcW w:w="1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6,851</w:t>
            </w: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25,775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(10,803)</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(2,508)</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(8,295)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(37,719)</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(13,202)</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(24,517)</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20"/>
                <w:szCs w:val="20"/>
                <w:color w:val="auto"/>
              </w:rPr>
            </w:pPr>
            <w:r>
              <w:rPr>
                <w:rFonts w:ascii="Arial" w:cs="Arial" w:eastAsia="Arial" w:hAnsi="Arial"/>
                <w:sz w:val="14"/>
                <w:szCs w:val="14"/>
                <w:color w:val="auto"/>
              </w:rPr>
              <w:t>Reclassification</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Arial" w:cs="Arial" w:eastAsia="Arial" w:hAnsi="Arial"/>
                <w:sz w:val="14"/>
                <w:szCs w:val="14"/>
                <w:color w:val="auto"/>
              </w:rPr>
              <w:t xml:space="preserve">adjustment </w:t>
            </w:r>
            <w:r>
              <w:rPr>
                <w:rFonts w:ascii="Arial" w:cs="Arial" w:eastAsia="Arial" w:hAnsi="Arial"/>
                <w:sz w:val="8"/>
                <w:szCs w:val="8"/>
                <w:color w:val="auto"/>
              </w:rPr>
              <w:t>(3)</w:t>
            </w:r>
          </w:p>
        </w:tc>
        <w:tc>
          <w:tcPr>
            <w:tcW w:w="1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26,383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(26,383)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0"/>
                <w:szCs w:val="20"/>
                <w:color w:val="auto"/>
              </w:rPr>
            </w:pPr>
            <w:r>
              <w:rPr>
                <w:rFonts w:ascii="Arial" w:cs="Arial" w:eastAsia="Arial" w:hAnsi="Arial"/>
                <w:sz w:val="14"/>
                <w:szCs w:val="14"/>
                <w:color w:val="auto"/>
              </w:rPr>
              <w:t>AOCI (loss),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(164,918)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(34,634)</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(130,284)</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(197,544)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(41,485)</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(156,059)</w:t>
            </w:r>
          </w:p>
        </w:tc>
        <w:tc>
          <w:tcPr>
            <w:tcW w:w="2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(186,741)</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(65,360)</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(121,381)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20" w:right="40" w:hanging="323"/>
        <w:spacing w:after="0" w:line="250" w:lineRule="auto"/>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Deferred taxes related to unrealized gains and losses for the period from December 23, 2017 through December 31, 2018 were recognized at the 21% corporate rate following enactment of the TCJA. Prior to enactment, they were recognized at the 35% corporate rate.</w:t>
      </w:r>
    </w:p>
    <w:p>
      <w:pPr>
        <w:ind w:left="520" w:right="600" w:hanging="323"/>
        <w:spacing w:after="0" w:line="241" w:lineRule="auto"/>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A reclassification of unrealized losses of equity securities from AOCI to retained earnings was required at January 1, 2018 due to the implementation of ASU 2016-01. See Note 2, "Significant Accounting Policies".</w:t>
      </w:r>
    </w:p>
    <w:p>
      <w:pPr>
        <w:ind w:left="520" w:right="40" w:hanging="323"/>
        <w:spacing w:after="0" w:line="241" w:lineRule="auto"/>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A one-time adjustment was made in the fourth quarter of 2017 to reclassify stranded tax effects of the components of AOCI resulting from enactment of TCJA from AOCI to retained earnings, resulting in the ending AOCI balances now reflected at the 21% corporate rate, which represents the rate in which the amounts are expected to be settled. See Note 2, "Significant Accounting Policies".</w:t>
      </w:r>
    </w:p>
    <w:p>
      <w:pPr>
        <w:spacing w:after="0" w:line="1" w:lineRule="exact"/>
        <w:rPr>
          <w:rFonts w:ascii="Arial" w:cs="Arial" w:eastAsia="Arial" w:hAnsi="Arial"/>
          <w:sz w:val="14"/>
          <w:szCs w:val="14"/>
          <w:i w:val="1"/>
          <w:iCs w:val="1"/>
          <w:color w:val="auto"/>
        </w:rPr>
      </w:pPr>
    </w:p>
    <w:p>
      <w:pPr>
        <w:ind w:left="520" w:right="300" w:hanging="323"/>
        <w:spacing w:after="0" w:line="241" w:lineRule="auto"/>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These components of accumulated other comprehensive income (loss) are included in the computation of net periodic pension cost. See Note 9, "Postretirement Benefits", for additional information.</w:t>
      </w:r>
    </w:p>
    <w:p>
      <w:pPr>
        <w:ind w:left="520" w:right="20" w:hanging="323"/>
        <w:spacing w:after="0" w:line="255" w:lineRule="auto"/>
        <w:tabs>
          <w:tab w:leader="none" w:pos="52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Deferred taxes related to the December 31, 2017 portion of the pension and other postretirement component recognized in AOCI of $10.3 million were recognized at the 21% corporate rate following the enactment of the TCJA.</w:t>
      </w:r>
    </w:p>
    <w:p>
      <w:pPr>
        <w:sectPr>
          <w:pgSz w:w="11900" w:h="16838" w:orient="portrait"/>
          <w:cols w:equalWidth="0" w:num="1">
            <w:col w:w="11420"/>
          </w:cols>
          <w:pgMar w:left="240" w:top="121"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fee</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 management fee is charged to the Exchange for services we provide under the subscriber's agreement with subscribers at the Exchange. The fee is a percentage of direct and assumed premiums written by the Exchange. This percentage rate is determined at least annually by our Board of Directors but cannot exceed 25%. The effective management fee rate charged the Exchange was 25% in 2018, 2017 and 2016. The Board of Directors elected to maintain the fee at 25% beginning January 1, 2019.</w:t>
      </w:r>
    </w:p>
    <w:p>
      <w:pPr>
        <w:spacing w:after="0" w:line="1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is no provision in the subscriber's agreement for termination of our appointment as attorney-in-fact by the subscribers at the Exchange and the appointment is not affected by a policyholder's disability or incapacity.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holding company system</w:t>
      </w:r>
    </w:p>
    <w:p>
      <w:pPr>
        <w:spacing w:after="0" w:line="23"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and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 leases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lease certain office space from the Exchange including the home office. On April 28, 2017, after securing approval from the Pennsylvania Insurance Department, a new home office lease was executed between the Exchange and Indemnity, which was retroactive to January 1, 2017, when the prior lease expired. Under the new lease, rent is based on rental rates of like property in Erie, Pennsylvania and all operating expenses including utilities, cleaning, repairs, real estate taxes, property insurance and leasehold improvements are the responsibility of the tenant (Indemnity). This lease agreement expires December 31, 2021. Under the previous lease, rents were determined considering returns on invested capital and included building operating and overhead costs. Rent costs and related operating expenses of shared facilities are allocated between Indemnity, Exchange and its subsidiaries based upon usage or square footage occupied. Rent expenses under the new lease totaled $6.2 million in 2018 and $6.3 million in 2017. Rent expense totaled $14.3 million in 2016, under the prior lease agreement, which included all operating expenses. Operating expenses totaled $14.5 million in 2018 and $13.1 million in 2017. The Exchange and its subsidiaries reimburse us for space used to perform administrative services. Reimbursements related to the use of this space totaled $4.7 million in 2018, $4.6 million in 2017 and $4.9 million in 2016. We also had a lease commitment with EFL for a field office until December 31, 2018. Annual rentals paid to EFL under this lease totaled $0.4 million in 2018, 2017 and 2016.</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previously owned three field offices for which rental costs of shared facilities were allocated based upon usage or square footage occupied. On December 31, 2018, we sold the three field offices to the Exchange. See Note 7, "Fixed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EFL</w:t>
      </w:r>
    </w:p>
    <w:p>
      <w:pPr>
        <w:spacing w:after="0" w:line="2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previously held a $25 million surplus note that was issued to us by EFL in 2003 and was payable on demand on or after December 31, 2018. On December 14, 2018, EFL, with the appropriate approval from the Pennsylvania Insurance Commissioner, satisfied its obligation and repaid the surplus note. The note bore an annual interest rate of 6.7% and EFL paid interest to us of $1.6 million in 2018, and $1.7 million in both 2017 and 2016.</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Concentrations of Credit Risk</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Financial instruments could potentially expose us to concentrations of credit risk, including unsecured receivables from the Exchange. A large majority of our revenue and receivables are from the Exchange and its subsidiaries. See also Note 1, "Nature of Operations". Management fee amounts and other reimbursements due from the Exchange and its subsidiaries were $449.9 million and $418.3 million at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contractual commitments to invest up to $12.2 million related to our limited partnership investments at December 31, 2018. These commitments are split between private equity securities of $4.4 million, mezzanine debt securities of $7.5 million, and real estate activities of $0.3 million. These commitments will be funded as required by the limited partnership agreements.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financial condition, results of operations, or cash flows. Legal fees are expensed as incurred. We believe that our accruals for legal proceedings are appropriate and, individually and in the aggregate, are not expected to be material to our financial condition, operations, or cash flows.</w:t>
      </w:r>
    </w:p>
    <w:p>
      <w:pPr>
        <w:spacing w:after="0" w:line="17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Supplementary Data on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net income to net cash provided by operating activities as presented in the Statements of Cash Flows is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7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r>
      <w:tr>
        <w:trPr>
          <w:trHeight w:val="513"/>
        </w:trPr>
        <w:tc>
          <w:tcPr>
            <w:tcW w:w="77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288,224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196,999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210,366</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13,368</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14,831</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15,095</w:t>
            </w: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Deferred income tax (benefit) expense</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(1,358)</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26,912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7740" w:type="dxa"/>
            <w:vAlign w:val="bottom"/>
          </w:tcPr>
          <w:p>
            <w:pPr>
              <w:ind w:left="340"/>
              <w:spacing w:after="0"/>
              <w:rPr>
                <w:sz w:val="20"/>
                <w:szCs w:val="20"/>
                <w:color w:val="auto"/>
              </w:rPr>
            </w:pPr>
            <w:r>
              <w:rPr>
                <w:rFonts w:ascii="Arial" w:cs="Arial" w:eastAsia="Arial" w:hAnsi="Arial"/>
                <w:sz w:val="18"/>
                <w:szCs w:val="18"/>
                <w:color w:val="auto"/>
              </w:rPr>
              <w:t xml:space="preserve">Other income tax expense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10,095</w:t>
            </w:r>
          </w:p>
        </w:tc>
        <w:tc>
          <w:tcPr>
            <w:tcW w:w="28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tcPr>
          <w:p>
            <w:pPr>
              <w:ind w:left="340"/>
              <w:spacing w:after="0"/>
              <w:rPr>
                <w:sz w:val="20"/>
                <w:szCs w:val="20"/>
                <w:color w:val="auto"/>
              </w:rPr>
            </w:pPr>
            <w:r>
              <w:rPr>
                <w:rFonts w:ascii="Arial" w:cs="Arial" w:eastAsia="Arial" w:hAnsi="Arial"/>
                <w:sz w:val="18"/>
                <w:szCs w:val="18"/>
                <w:color w:val="auto"/>
              </w:rPr>
              <w:t>Realized losses (gains) and impairments on investments</w:t>
            </w:r>
          </w:p>
        </w:tc>
        <w:tc>
          <w:tcPr>
            <w:tcW w:w="26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3,591</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(1,152)</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Equity in losses (earnings) of limited partnerships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(7,025)</w:t>
            </w: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(Gain) loss on disposal of fixed assets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(3,047)</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0"/>
        </w:trPr>
        <w:tc>
          <w:tcPr>
            <w:tcW w:w="7740" w:type="dxa"/>
            <w:vAlign w:val="bottom"/>
          </w:tcPr>
          <w:p>
            <w:pPr>
              <w:ind w:left="340"/>
              <w:spacing w:after="0"/>
              <w:rPr>
                <w:sz w:val="20"/>
                <w:szCs w:val="20"/>
                <w:color w:val="auto"/>
              </w:rPr>
            </w:pPr>
            <w:r>
              <w:rPr>
                <w:rFonts w:ascii="Arial" w:cs="Arial" w:eastAsia="Arial" w:hAnsi="Arial"/>
                <w:sz w:val="18"/>
                <w:szCs w:val="18"/>
                <w:color w:val="auto"/>
              </w:rPr>
              <w:t>Net amortization of bond premium</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5,601</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7,038</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7,436</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Decrease in deferred compensation</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(3,886)</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(2,681)</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(4,561)</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Limited partnership distributions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7,173</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5,128</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17,837</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receivables from affiliates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(30,804)</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(39,788)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(30,485)</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Decrease (increase) in accrued investment income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1,590</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Decrease (increase) in federal income taxes recoverable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21,738</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(24,640)</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6,687</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decrease in prepaid pension</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(47,335)</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(27,265)</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10,524</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prepaid expenses and other assets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(7,636)</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(4,674)</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11,039</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17,183</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11,144</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commissions payable</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13,449</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17,565</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15,017</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(Decrease) increase in accrued agent bonuses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(19,066)</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7,756</w:t>
            </w:r>
          </w:p>
        </w:tc>
        <w:tc>
          <w:tcPr>
            <w:tcW w:w="28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8,020</w:t>
            </w: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Increase in contract liability</w:t>
            </w:r>
          </w:p>
        </w:tc>
        <w:tc>
          <w:tcPr>
            <w:tcW w:w="26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3,213</w:t>
            </w:r>
          </w:p>
        </w:tc>
        <w:tc>
          <w:tcPr>
            <w:tcW w:w="3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263,585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197,126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254,336</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line="273" w:lineRule="auto"/>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Other income tax expense for 2017 was impacted by the re-measurement of our deferred tax assets and liabilities due to the enactment of the TCJA on December 22, 2017, which reduced the corporate tax rate from 35% to 21% effective January 1, 2018.</w:t>
      </w: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60"/>
          </w:cols>
          <w:pgMar w:left="240" w:top="121" w:right="39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Results of Operations (unaudited)</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80" w:type="dxa"/>
            <w:vAlign w:val="bottom"/>
            <w:gridSpan w:val="5"/>
          </w:tcPr>
          <w:p>
            <w:pPr>
              <w:jc w:val="center"/>
              <w:ind w:right="170"/>
              <w:spacing w:after="0"/>
              <w:rPr>
                <w:sz w:val="20"/>
                <w:szCs w:val="20"/>
                <w:color w:val="auto"/>
              </w:rPr>
            </w:pPr>
            <w:r>
              <w:rPr>
                <w:rFonts w:ascii="Arial" w:cs="Arial" w:eastAsia="Arial" w:hAnsi="Arial"/>
                <w:sz w:val="18"/>
                <w:szCs w:val="18"/>
                <w:color w:val="auto"/>
                <w:w w:val="88"/>
              </w:rPr>
              <w:t>Year ended December 31, 2018</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First</w:t>
            </w:r>
          </w:p>
        </w:tc>
        <w:tc>
          <w:tcPr>
            <w:tcW w:w="340" w:type="dxa"/>
            <w:vAlign w:val="bottom"/>
          </w:tcPr>
          <w:p>
            <w:pPr>
              <w:spacing w:after="0"/>
              <w:rPr>
                <w:sz w:val="22"/>
                <w:szCs w:val="22"/>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Second</w:t>
            </w:r>
          </w:p>
        </w:tc>
        <w:tc>
          <w:tcPr>
            <w:tcW w:w="340" w:type="dxa"/>
            <w:vAlign w:val="bottom"/>
          </w:tcPr>
          <w:p>
            <w:pPr>
              <w:spacing w:after="0"/>
              <w:rPr>
                <w:sz w:val="22"/>
                <w:szCs w:val="22"/>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color w:val="auto"/>
                <w:w w:val="97"/>
              </w:rPr>
              <w:t>Third</w:t>
            </w:r>
          </w:p>
        </w:tc>
        <w:tc>
          <w:tcPr>
            <w:tcW w:w="340" w:type="dxa"/>
            <w:vAlign w:val="bottom"/>
          </w:tcPr>
          <w:p>
            <w:pPr>
              <w:spacing w:after="0"/>
              <w:rPr>
                <w:sz w:val="22"/>
                <w:szCs w:val="22"/>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Fourth</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quarter</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82"/>
        </w:trPr>
        <w:tc>
          <w:tcPr>
            <w:tcW w:w="4660" w:type="dxa"/>
            <w:vAlign w:val="bottom"/>
          </w:tcPr>
          <w:p>
            <w:pPr>
              <w:spacing w:after="0" w:line="282" w:lineRule="exact"/>
              <w:rPr>
                <w:sz w:val="20"/>
                <w:szCs w:val="20"/>
                <w:color w:val="auto"/>
              </w:rPr>
            </w:pPr>
            <w:r>
              <w:rPr>
                <w:rFonts w:ascii="Arial" w:cs="Arial" w:eastAsia="Arial" w:hAnsi="Arial"/>
                <w:sz w:val="18"/>
                <w:szCs w:val="18"/>
                <w:color w:val="auto"/>
              </w:rPr>
              <w:t xml:space="preserve">Operating revenue </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572,160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621,458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612,126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576,468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2,382,212</w:t>
            </w:r>
          </w:p>
        </w:tc>
        <w:tc>
          <w:tcPr>
            <w:tcW w:w="0" w:type="dxa"/>
            <w:vAlign w:val="bottom"/>
          </w:tcPr>
          <w:p>
            <w:pPr>
              <w:spacing w:after="0"/>
              <w:rPr>
                <w:sz w:val="1"/>
                <w:szCs w:val="1"/>
                <w:color w:val="auto"/>
              </w:rPr>
            </w:pPr>
          </w:p>
        </w:tc>
      </w:tr>
      <w:tr>
        <w:trPr>
          <w:trHeight w:val="270"/>
        </w:trPr>
        <w:tc>
          <w:tcPr>
            <w:tcW w:w="4660" w:type="dxa"/>
            <w:vAlign w:val="bottom"/>
          </w:tcPr>
          <w:p>
            <w:pPr>
              <w:spacing w:after="0" w:line="270"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494,593</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526,135</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515,431</w:t>
            </w:r>
          </w:p>
        </w:tc>
        <w:tc>
          <w:tcPr>
            <w:tcW w:w="34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501,710</w:t>
            </w:r>
          </w:p>
        </w:tc>
        <w:tc>
          <w:tcPr>
            <w:tcW w:w="3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2,037,869</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6,163</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6,207</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8,431</w:t>
            </w:r>
          </w:p>
        </w:tc>
        <w:tc>
          <w:tcPr>
            <w:tcW w:w="34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4,995</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25,796</w:t>
            </w: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0"/>
                <w:szCs w:val="20"/>
                <w:color w:val="auto"/>
              </w:rPr>
            </w:pPr>
            <w:r>
              <w:rPr>
                <w:rFonts w:ascii="Arial" w:cs="Arial" w:eastAsia="Arial" w:hAnsi="Arial"/>
                <w:sz w:val="18"/>
                <w:szCs w:val="18"/>
                <w:color w:val="auto"/>
              </w:rPr>
              <w:t xml:space="preserve">Interest expense and other (income), net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83,221</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100,986</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104,471</w:t>
            </w:r>
          </w:p>
        </w:tc>
        <w:tc>
          <w:tcPr>
            <w:tcW w:w="34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82,642</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371,320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65,758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79,706</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80,446</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62,314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288,224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660" w:type="dxa"/>
            <w:vAlign w:val="bottom"/>
          </w:tcPr>
          <w:p>
            <w:pPr>
              <w:ind w:left="140"/>
              <w:spacing w:after="0"/>
              <w:rPr>
                <w:sz w:val="20"/>
                <w:szCs w:val="20"/>
                <w:color w:val="auto"/>
              </w:rPr>
            </w:pPr>
            <w:r>
              <w:rPr>
                <w:rFonts w:ascii="Arial" w:cs="Arial" w:eastAsia="Arial" w:hAnsi="Arial"/>
                <w:sz w:val="18"/>
                <w:szCs w:val="18"/>
                <w:color w:val="auto"/>
              </w:rPr>
              <w:t>Class A common stock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b w:val="1"/>
                <w:bCs w:val="1"/>
                <w:color w:val="auto"/>
              </w:rPr>
              <w:t>Class A common stock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color w:val="auto"/>
              </w:rPr>
              <w:t>Class B common stock –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60" w:hanging="328"/>
        <w:spacing w:after="0" w:line="247" w:lineRule="auto"/>
        <w:tabs>
          <w:tab w:leader="none" w:pos="66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In accordance with ASC 606, "Revenue from Contracts with Customers", effective January 1, 2018, we allocate our management fee between the two performance obligations we have in the subscriber's agreement, policy issuance and renewal services and administrative services. We also present expenses we incur and the related reimbursements we receive for administrative services gross in our Statement of Operations. See Note 2, "Significant Accounting Policies".</w:t>
      </w:r>
    </w:p>
    <w:p>
      <w:pPr>
        <w:spacing w:after="0" w:line="1" w:lineRule="exact"/>
        <w:rPr>
          <w:rFonts w:ascii="Arial" w:cs="Arial" w:eastAsia="Arial" w:hAnsi="Arial"/>
          <w:sz w:val="14"/>
          <w:szCs w:val="14"/>
          <w:i w:val="1"/>
          <w:iCs w:val="1"/>
          <w:color w:val="auto"/>
        </w:rPr>
      </w:pPr>
    </w:p>
    <w:p>
      <w:pPr>
        <w:ind w:left="660" w:hanging="328"/>
        <w:spacing w:after="0" w:line="241" w:lineRule="auto"/>
        <w:tabs>
          <w:tab w:leader="none" w:pos="66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decrease in interest expense and other (income), net in the fourth quarter is driven by the $3.4 million gain recognized on the sale of the field offices we owned to Exchange. See Note 7, "Fixed Assets".</w:t>
      </w:r>
    </w:p>
    <w:p>
      <w:pPr>
        <w:ind w:left="660" w:right="220" w:hanging="328"/>
        <w:spacing w:after="0" w:line="255" w:lineRule="auto"/>
        <w:tabs>
          <w:tab w:leader="none" w:pos="66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5"/>
          </w:tcPr>
          <w:p>
            <w:pPr>
              <w:jc w:val="center"/>
              <w:ind w:right="130"/>
              <w:spacing w:after="0"/>
              <w:rPr>
                <w:sz w:val="20"/>
                <w:szCs w:val="20"/>
                <w:color w:val="auto"/>
              </w:rPr>
            </w:pPr>
            <w:r>
              <w:rPr>
                <w:rFonts w:ascii="Arial" w:cs="Arial" w:eastAsia="Arial" w:hAnsi="Arial"/>
                <w:sz w:val="18"/>
                <w:szCs w:val="18"/>
                <w:color w:val="auto"/>
                <w:w w:val="88"/>
              </w:rPr>
              <w:t>Year ended December 31, 2017</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First</w:t>
            </w:r>
          </w:p>
        </w:tc>
        <w:tc>
          <w:tcPr>
            <w:tcW w:w="340" w:type="dxa"/>
            <w:vAlign w:val="bottom"/>
          </w:tcPr>
          <w:p>
            <w:pPr>
              <w:spacing w:after="0"/>
              <w:rPr>
                <w:sz w:val="22"/>
                <w:szCs w:val="22"/>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Second</w:t>
            </w:r>
          </w:p>
        </w:tc>
        <w:tc>
          <w:tcPr>
            <w:tcW w:w="360" w:type="dxa"/>
            <w:vAlign w:val="bottom"/>
          </w:tcPr>
          <w:p>
            <w:pPr>
              <w:spacing w:after="0"/>
              <w:rPr>
                <w:sz w:val="22"/>
                <w:szCs w:val="22"/>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7"/>
              </w:rPr>
              <w:t>Third</w:t>
            </w:r>
          </w:p>
        </w:tc>
        <w:tc>
          <w:tcPr>
            <w:tcW w:w="360" w:type="dxa"/>
            <w:vAlign w:val="bottom"/>
          </w:tcPr>
          <w:p>
            <w:pPr>
              <w:spacing w:after="0"/>
              <w:rPr>
                <w:sz w:val="22"/>
                <w:szCs w:val="22"/>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Fourth</w:t>
            </w: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quarter</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quarter</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7"/>
              </w:rPr>
              <w:t>quarter</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quarter</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399,316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448,564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442,492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401,402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1,691,774</w:t>
            </w:r>
          </w:p>
        </w:tc>
        <w:tc>
          <w:tcPr>
            <w:tcW w:w="0" w:type="dxa"/>
            <w:vAlign w:val="bottom"/>
          </w:tcPr>
          <w:p>
            <w:pPr>
              <w:spacing w:after="0"/>
              <w:rPr>
                <w:sz w:val="1"/>
                <w:szCs w:val="1"/>
                <w:color w:val="auto"/>
              </w:rPr>
            </w:pPr>
          </w:p>
        </w:tc>
      </w:tr>
      <w:tr>
        <w:trPr>
          <w:trHeight w:val="310"/>
        </w:trPr>
        <w:tc>
          <w:tcPr>
            <w:tcW w:w="4660" w:type="dxa"/>
            <w:vAlign w:val="bottom"/>
          </w:tcPr>
          <w:p>
            <w:pPr>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332,376</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365,116</w:t>
            </w:r>
          </w:p>
        </w:tc>
        <w:tc>
          <w:tcPr>
            <w:tcW w:w="3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361,253</w:t>
            </w:r>
          </w:p>
        </w:tc>
        <w:tc>
          <w:tcPr>
            <w:tcW w:w="36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342,777</w:t>
            </w:r>
          </w:p>
        </w:tc>
        <w:tc>
          <w:tcPr>
            <w:tcW w:w="3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1,401,522</w:t>
            </w:r>
          </w:p>
        </w:tc>
        <w:tc>
          <w:tcPr>
            <w:tcW w:w="0" w:type="dxa"/>
            <w:vAlign w:val="bottom"/>
          </w:tcPr>
          <w:p>
            <w:pPr>
              <w:spacing w:after="0"/>
              <w:rPr>
                <w:sz w:val="1"/>
                <w:szCs w:val="1"/>
                <w:color w:val="auto"/>
              </w:rPr>
            </w:pPr>
          </w:p>
        </w:tc>
      </w:tr>
      <w:tr>
        <w:trPr>
          <w:trHeight w:val="270"/>
        </w:trPr>
        <w:tc>
          <w:tcPr>
            <w:tcW w:w="4660" w:type="dxa"/>
            <w:vAlign w:val="bottom"/>
          </w:tcPr>
          <w:p>
            <w:pPr>
              <w:spacing w:after="0" w:line="270" w:lineRule="exact"/>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6,589</w:t>
            </w:r>
          </w:p>
        </w:tc>
        <w:tc>
          <w:tcPr>
            <w:tcW w:w="3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6,451</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8,418</w:t>
            </w:r>
          </w:p>
        </w:tc>
        <w:tc>
          <w:tcPr>
            <w:tcW w:w="3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7,134</w:t>
            </w:r>
          </w:p>
        </w:tc>
        <w:tc>
          <w:tcPr>
            <w:tcW w:w="3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28,592</w:t>
            </w:r>
          </w:p>
        </w:tc>
        <w:tc>
          <w:tcPr>
            <w:tcW w:w="0" w:type="dxa"/>
            <w:vAlign w:val="bottom"/>
          </w:tcPr>
          <w:p>
            <w:pPr>
              <w:spacing w:after="0"/>
              <w:rPr>
                <w:sz w:val="1"/>
                <w:szCs w:val="1"/>
                <w:color w:val="auto"/>
              </w:rPr>
            </w:pPr>
          </w:p>
        </w:tc>
      </w:tr>
      <w:tr>
        <w:trPr>
          <w:trHeight w:val="257"/>
        </w:trPr>
        <w:tc>
          <w:tcPr>
            <w:tcW w:w="4660" w:type="dxa"/>
            <w:vAlign w:val="bottom"/>
          </w:tcPr>
          <w:p>
            <w:pPr>
              <w:spacing w:after="0" w:line="257" w:lineRule="exact"/>
              <w:rPr>
                <w:sz w:val="20"/>
                <w:szCs w:val="20"/>
                <w:color w:val="auto"/>
              </w:rPr>
            </w:pPr>
            <w:r>
              <w:rPr>
                <w:rFonts w:ascii="Arial" w:cs="Arial" w:eastAsia="Arial" w:hAnsi="Arial"/>
                <w:sz w:val="18"/>
                <w:szCs w:val="18"/>
                <w:color w:val="auto"/>
              </w:rPr>
              <w:t xml:space="preserve">Interest expense and other, net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1,118</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72,954</w:t>
            </w:r>
          </w:p>
        </w:tc>
        <w:tc>
          <w:tcPr>
            <w:tcW w:w="3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89,235</w:t>
            </w:r>
          </w:p>
        </w:tc>
        <w:tc>
          <w:tcPr>
            <w:tcW w:w="3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88,865</w:t>
            </w:r>
          </w:p>
        </w:tc>
        <w:tc>
          <w:tcPr>
            <w:tcW w:w="3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64,641</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315,695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47,876</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58,527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58,543</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32,053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196,999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660" w:type="dxa"/>
            <w:vAlign w:val="bottom"/>
          </w:tcPr>
          <w:p>
            <w:pPr>
              <w:ind w:left="140"/>
              <w:spacing w:after="0"/>
              <w:rPr>
                <w:sz w:val="20"/>
                <w:szCs w:val="20"/>
                <w:color w:val="auto"/>
              </w:rPr>
            </w:pPr>
            <w:r>
              <w:rPr>
                <w:rFonts w:ascii="Arial" w:cs="Arial" w:eastAsia="Arial" w:hAnsi="Arial"/>
                <w:sz w:val="18"/>
                <w:szCs w:val="18"/>
                <w:color w:val="auto"/>
              </w:rPr>
              <w:t>Class A common stock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0.69</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tcPr>
          <w:p>
            <w:pPr>
              <w:ind w:left="140"/>
              <w:spacing w:after="0" w:line="257" w:lineRule="exact"/>
              <w:rPr>
                <w:sz w:val="20"/>
                <w:szCs w:val="20"/>
                <w:color w:val="auto"/>
              </w:rPr>
            </w:pPr>
            <w:r>
              <w:rPr>
                <w:rFonts w:ascii="Arial" w:cs="Arial" w:eastAsia="Arial" w:hAnsi="Arial"/>
                <w:sz w:val="18"/>
                <w:szCs w:val="18"/>
                <w:b w:val="1"/>
                <w:bCs w:val="1"/>
                <w:color w:val="auto"/>
              </w:rPr>
              <w:t xml:space="preserve">Class A common stock – diluted </w:t>
            </w:r>
            <w:r>
              <w:rPr>
                <w:rFonts w:ascii="Arial" w:cs="Arial" w:eastAsia="Arial" w:hAnsi="Arial"/>
                <w:sz w:val="25"/>
                <w:szCs w:val="25"/>
                <w:b w:val="1"/>
                <w:bCs w:val="1"/>
                <w:color w:val="auto"/>
                <w:vertAlign w:val="superscript"/>
              </w:rPr>
              <w:t>(3)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0.61</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tcPr>
          <w:p>
            <w:pPr>
              <w:ind w:left="140"/>
              <w:spacing w:after="0"/>
              <w:rPr>
                <w:sz w:val="20"/>
                <w:szCs w:val="20"/>
                <w:color w:val="auto"/>
              </w:rPr>
            </w:pPr>
            <w:r>
              <w:rPr>
                <w:rFonts w:ascii="Arial" w:cs="Arial" w:eastAsia="Arial" w:hAnsi="Arial"/>
                <w:sz w:val="18"/>
                <w:szCs w:val="18"/>
                <w:color w:val="auto"/>
              </w:rPr>
              <w:t>Class B common stock – 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60" w:type="dxa"/>
            <w:vAlign w:val="bottom"/>
          </w:tcPr>
          <w:p>
            <w:pPr>
              <w:ind w:left="140"/>
              <w:spacing w:after="0"/>
              <w:rPr>
                <w:sz w:val="20"/>
                <w:szCs w:val="20"/>
                <w:color w:val="auto"/>
              </w:rPr>
            </w:pPr>
            <w:r>
              <w:rPr>
                <w:rFonts w:ascii="Arial" w:cs="Arial" w:eastAsia="Arial" w:hAnsi="Arial"/>
                <w:sz w:val="18"/>
                <w:szCs w:val="18"/>
                <w:color w:val="auto"/>
              </w:rPr>
              <w:t>Class B common stock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60" w:right="240" w:hanging="328"/>
        <w:spacing w:after="0" w:line="250" w:lineRule="auto"/>
        <w:tabs>
          <w:tab w:leader="none" w:pos="66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Amounts presented have been reclassified from previously reported amounts as a result of the adoption of ASU 2017-07, "Compensation-Retirement Benefits". See Note 2, "Significant Accounting Policies".</w:t>
      </w:r>
    </w:p>
    <w:p>
      <w:pPr>
        <w:ind w:left="660" w:right="220" w:hanging="328"/>
        <w:spacing w:after="0" w:line="241" w:lineRule="auto"/>
        <w:tabs>
          <w:tab w:leader="none" w:pos="66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The cumulative sum of quarterly basic and diluted net income per share amounts may not equal total basic and diluted net income per share for the year due to differences in weighted average shares and equivalent shares outstanding for each of the periods presented.</w:t>
      </w:r>
    </w:p>
    <w:p>
      <w:pPr>
        <w:ind w:left="660" w:right="200" w:hanging="328"/>
        <w:spacing w:after="0" w:line="255" w:lineRule="auto"/>
        <w:tabs>
          <w:tab w:leader="none" w:pos="66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Class A diluted earnings per share was reduced by $0.19 for the fourth quarter and total year as a result of increased income tax expense from enactment of the TCJA of $10.1 million. See Note 4, "Earnings Per Share" and Note 11, "Income Taxes".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items were identified in this period subsequent to the financial statement date that required adjustment or additional disclosure.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w:t>
        <w:tab/>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2018. Based upon the foregoing, our Chief Executive Officer and Chief Financial Officer concluded that our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There has been no change in our internal controls over financial reporting during our most recent fiscal quarter that has materially affected, or is reasonably likely to materially affect our internal controls over financial reporting. Upon adoption of the new revenue recognition guidance on January 1, 2018, we implemented changes to our processes related to revenue recognition and the related control activities. There were no significant changes to our internal control over financial reporting due to the adoption of this new standard. Our process for evaluating controls and procedures is continuous and encompasses constant improvement of the design and effectiveness of established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of Erie Indemnity Company, as defined in Rules 13a-15(f) under the Exchange Act.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the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2013 by the Committee of Sponsoring Organizations of the Treadway Commission. Based upon our evaluation under the framework in the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2013, management has concluded that Erie Indemnity Company's internal control over financial reporting was effective as of December 31, 2018.</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/s/ Timothy G. NeCastro</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/s/ Gregory J. Gutting</w:t>
            </w:r>
          </w:p>
        </w:tc>
        <w:tc>
          <w:tcPr>
            <w:tcW w:w="2960" w:type="dxa"/>
            <w:vAlign w:val="bottom"/>
          </w:tcPr>
          <w:p>
            <w:pPr>
              <w:ind w:left="40"/>
              <w:spacing w:after="0"/>
              <w:rPr>
                <w:sz w:val="20"/>
                <w:szCs w:val="20"/>
                <w:color w:val="auto"/>
              </w:rPr>
            </w:pPr>
            <w:r>
              <w:rPr>
                <w:rFonts w:ascii="Arial" w:cs="Arial" w:eastAsia="Arial" w:hAnsi="Arial"/>
                <w:sz w:val="18"/>
                <w:szCs w:val="18"/>
                <w:color w:val="auto"/>
              </w:rPr>
              <w:t>/s/ Julie M. Pelkowski</w:t>
            </w:r>
          </w:p>
        </w:tc>
      </w:tr>
      <w:tr>
        <w:trPr>
          <w:trHeight w:val="27"/>
        </w:trPr>
        <w:tc>
          <w:tcPr>
            <w:tcW w:w="28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Timothy G. NeCastro</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Gregory J. Gutting</w:t>
            </w:r>
          </w:p>
        </w:tc>
        <w:tc>
          <w:tcPr>
            <w:tcW w:w="2960" w:type="dxa"/>
            <w:vAlign w:val="bottom"/>
          </w:tcPr>
          <w:p>
            <w:pPr>
              <w:ind w:left="40"/>
              <w:spacing w:after="0"/>
              <w:rPr>
                <w:sz w:val="20"/>
                <w:szCs w:val="20"/>
                <w:color w:val="auto"/>
              </w:rPr>
            </w:pPr>
            <w:r>
              <w:rPr>
                <w:rFonts w:ascii="Arial" w:cs="Arial" w:eastAsia="Arial" w:hAnsi="Arial"/>
                <w:sz w:val="18"/>
                <w:szCs w:val="18"/>
                <w:color w:val="auto"/>
              </w:rPr>
              <w:t>Julie M. Pelkowski</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President and</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296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Chief Executive Officer</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and Chief Financial Officer</w:t>
            </w:r>
          </w:p>
        </w:tc>
        <w:tc>
          <w:tcPr>
            <w:tcW w:w="2960" w:type="dxa"/>
            <w:vAlign w:val="bottom"/>
          </w:tcPr>
          <w:p>
            <w:pPr>
              <w:ind w:left="40"/>
              <w:spacing w:after="0"/>
              <w:rPr>
                <w:sz w:val="20"/>
                <w:szCs w:val="20"/>
                <w:color w:val="auto"/>
              </w:rPr>
            </w:pPr>
            <w:r>
              <w:rPr>
                <w:rFonts w:ascii="Arial" w:cs="Arial" w:eastAsia="Arial" w:hAnsi="Arial"/>
                <w:sz w:val="18"/>
                <w:szCs w:val="18"/>
                <w:color w:val="auto"/>
              </w:rPr>
              <w:t>and Controller</w:t>
            </w:r>
          </w:p>
        </w:tc>
      </w:tr>
      <w:tr>
        <w:trPr>
          <w:trHeight w:val="270"/>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February 21, 2019</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February 21, 2019</w:t>
            </w:r>
          </w:p>
        </w:tc>
        <w:tc>
          <w:tcPr>
            <w:tcW w:w="2960" w:type="dxa"/>
            <w:vAlign w:val="bottom"/>
          </w:tcPr>
          <w:p>
            <w:pPr>
              <w:ind w:left="40"/>
              <w:spacing w:after="0"/>
              <w:rPr>
                <w:sz w:val="20"/>
                <w:szCs w:val="20"/>
                <w:color w:val="auto"/>
              </w:rPr>
            </w:pPr>
            <w:r>
              <w:rPr>
                <w:rFonts w:ascii="Arial" w:cs="Arial" w:eastAsia="Arial" w:hAnsi="Arial"/>
                <w:sz w:val="18"/>
                <w:szCs w:val="18"/>
                <w:color w:val="auto"/>
              </w:rPr>
              <w:t>February 21, 2019</w:t>
            </w: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independent auditor, Ernst &amp; Young LLP, a registered public accounting firm, has issued an attestation report on our internal control over financial reporting. This report appears on the following page.</w:t>
      </w:r>
    </w:p>
    <w:p>
      <w:pPr>
        <w:spacing w:after="0" w:line="3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was no additional information in the fourth quarter of 2018 that has not already been filed in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21" w:right="25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Erie Indemnity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Erie Indemnity Company's internal control over financial reporting as of December 31, 2018, based on criteria established in Internal Control-Integrated Framework issued by the Committee of Sponsoring Organizations of the Treadway Commission (2013 framework) (the COSO criteria). In our opinion, Erie Indemnity Company (the "Company") maintained, in all material respects, effective internal control over financial reporting as of December 31, 2018, based on the COSO criteria</w:t>
      </w:r>
      <w:r>
        <w:rPr>
          <w:rFonts w:ascii="Arial" w:cs="Arial" w:eastAsia="Arial" w:hAnsi="Arial"/>
          <w:sz w:val="18"/>
          <w:szCs w:val="18"/>
          <w:b w:val="1"/>
          <w:bCs w:val="1"/>
          <w:color w:val="auto"/>
        </w:rPr>
        <w:t>.</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statements of financial position of the Company as of December 31, 2018 and 2017, and the related statements of operations, comprehensive income, shareholders' equity and cash flows for each of the three years in the period ended December 31, 2018, and the related notes (collectively referred to as the "financial statements") of the Company and our report dated February 21, 2019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tab/>
        <w:t>DIRECTORS, EXECUTIVE OFFICERS AND CORPORATE GOVERNANCE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information with respect to our outside directors, audit committee and audit committee financial experts and Section 16(a) beneficial ownership reporting compliance, is incorporated by reference to the information statement on Schedule 14(C) to be filed with the Securities and Exchange Commission no later than 120 days after December 31, 2018.</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adopted a Code of Conduct that applies to all of our outside directors, officers and employees. We have previously filed a copy of the Code of Conduct as Exhibit 14.3 to the Registrant's Form 10-K as filed with the Securities and Exchange Commission on February 25, 2016. In addition to this, we have adopted a Code of Ethics for Senior Financial Officers that also applies to our Chief Executive Officer, Chief Financial Officer, Chief Accounting Officer and any other person performing similar functions. We have previously filed a copy of the Code of Ethics for Senior Financial Officers as Exhibit 14.4 to the Registrant's Form 8-K as filed with the Securities and Exchange Commission on June 1, 2016. Our Code of Conduct and Code of Ethics for Senior Financial Officers are also available on our website at </w:t>
      </w:r>
      <w:r>
        <w:rPr>
          <w:rFonts w:ascii="Arial" w:cs="Arial" w:eastAsia="Arial" w:hAnsi="Arial"/>
          <w:sz w:val="18"/>
          <w:szCs w:val="18"/>
          <w:u w:val="single" w:color="auto"/>
          <w:color w:val="auto"/>
        </w:rPr>
        <w:t>www.erieinsurance.com</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Age as of</w:t>
            </w:r>
          </w:p>
        </w:tc>
        <w:tc>
          <w:tcPr>
            <w:tcW w:w="626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Name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tcPr>
          <w:p>
            <w:pPr>
              <w:spacing w:after="0"/>
              <w:rPr>
                <w:sz w:val="20"/>
                <w:szCs w:val="20"/>
                <w:color w:val="auto"/>
              </w:rPr>
            </w:pPr>
          </w:p>
        </w:tc>
        <w:tc>
          <w:tcPr>
            <w:tcW w:w="6260" w:type="dxa"/>
            <w:vAlign w:val="bottom"/>
          </w:tcPr>
          <w:p>
            <w:pPr>
              <w:ind w:left="1160"/>
              <w:spacing w:after="0"/>
              <w:rPr>
                <w:sz w:val="20"/>
                <w:szCs w:val="20"/>
                <w:color w:val="auto"/>
              </w:rPr>
            </w:pPr>
            <w:r>
              <w:rPr>
                <w:rFonts w:ascii="Arial" w:cs="Arial" w:eastAsia="Arial" w:hAnsi="Arial"/>
                <w:sz w:val="18"/>
                <w:szCs w:val="18"/>
                <w:color w:val="auto"/>
              </w:rPr>
              <w:t>Principal Occupation and Positions for Past Five Years</w:t>
            </w:r>
          </w:p>
        </w:tc>
      </w:tr>
      <w:tr>
        <w:trPr>
          <w:trHeight w:val="27"/>
        </w:trPr>
        <w:tc>
          <w:tcPr>
            <w:tcW w:w="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466"/>
        </w:trPr>
        <w:tc>
          <w:tcPr>
            <w:tcW w:w="40" w:type="dxa"/>
            <w:vAlign w:val="bottom"/>
          </w:tcPr>
          <w:p>
            <w:pPr>
              <w:spacing w:after="0"/>
              <w:rPr>
                <w:sz w:val="24"/>
                <w:szCs w:val="24"/>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President &amp; Chief Executive Officer:</w:t>
            </w:r>
          </w:p>
        </w:tc>
        <w:tc>
          <w:tcPr>
            <w:tcW w:w="10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Timothy G. NeCastro</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President and Chief Executive Officer since January 2017; Chief Executive Officer,</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August 2016 through December 2016; President and Chief Executive Officer</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9"/>
              </w:rPr>
              <w:t>Designate, June 2016 through July 2016; Senior Vice President, West Region,</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6"/>
              </w:rPr>
              <w:t>February 2010 through June 2016; Director, Erie Family Life Insurance Company</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("EFL"), Erie Insurance Company ("EIC"), Flagship City Insurance Company</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9"/>
              </w:rPr>
              <w:t>("Flagship"), Erie Insurance Company of New York ("ENY") and Erie Insurance</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Property &amp; Casualty Company ("EPC").</w:t>
            </w:r>
          </w:p>
        </w:tc>
      </w:tr>
      <w:tr>
        <w:trPr>
          <w:trHeight w:val="230"/>
        </w:trPr>
        <w:tc>
          <w:tcPr>
            <w:tcW w:w="40" w:type="dxa"/>
            <w:vAlign w:val="bottom"/>
          </w:tcPr>
          <w:p>
            <w:pPr>
              <w:spacing w:after="0"/>
              <w:rPr>
                <w:sz w:val="19"/>
                <w:szCs w:val="19"/>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Executive Vice Presidents: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tcPr>
          <w:p>
            <w:pPr>
              <w:spacing w:after="0"/>
              <w:rPr>
                <w:sz w:val="19"/>
                <w:szCs w:val="19"/>
                <w:color w:val="auto"/>
              </w:rPr>
            </w:pPr>
          </w:p>
        </w:tc>
      </w:tr>
      <w:tr>
        <w:trPr>
          <w:trHeight w:val="276"/>
        </w:trPr>
        <w:tc>
          <w:tcPr>
            <w:tcW w:w="40" w:type="dxa"/>
            <w:vAlign w:val="bottom"/>
          </w:tcPr>
          <w:p>
            <w:pPr>
              <w:spacing w:after="0"/>
              <w:rPr>
                <w:sz w:val="24"/>
                <w:szCs w:val="2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Lorianne Feltz</w:t>
            </w:r>
          </w:p>
        </w:tc>
        <w:tc>
          <w:tcPr>
            <w:tcW w:w="1820" w:type="dxa"/>
            <w:vAlign w:val="bottom"/>
            <w:gridSpan w:val="3"/>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Executive Vice President, Claims &amp; Customer Service since November 2016; Senior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Vice President, Customer Service, January 2011 through November 2016.</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Gregory J. Gutting</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8"/>
              </w:rPr>
              <w:t>Executive Vice President and Chief Financial Officer since August 2016; Interim</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7"/>
              </w:rPr>
              <w:t>Executive Vice President and Chief Financial Officer, October 2015 through July</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4"/>
              </w:rPr>
              <w:t>2016; Senior Vice President and Controller, March 2009 through September 2015;</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Director, EFL, EIC, Flagship, 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Robert C. Ingram, III</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3"/>
              </w:rPr>
              <w:t>Executive Vice President and Chief Information Officer since August 2012; Director,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EFL, EIC, Flagship, 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Sean J. McLaughlin *</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3"/>
              </w:rPr>
              <w:t>Executive Vice President and General Counsel since January 2016; Executive Vice</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President, Secretary and General Counsel, August 2013 through December 2015;</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5"/>
              </w:rPr>
              <w:t>Chief Judge, United States District Court for the Western District of Pennsylvania,</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April 2013 through August 2013; United States District Judge for the Western District</w:t>
            </w:r>
          </w:p>
        </w:tc>
      </w:tr>
      <w:tr>
        <w:trPr>
          <w:trHeight w:val="216"/>
        </w:trPr>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7"/>
              </w:rPr>
              <w:t>of Pennsylvania, October 1994 through April 2013; Director, EFL, EIC, Flagship,</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ENY and EPC.</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Douglas E. Smith</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8"/>
              </w:rPr>
              <w:t>Executive Vice President, Sales &amp; Products since November 2016; Senior Vice</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Personal Lines, November 2008 through October 2016.</w:t>
            </w:r>
          </w:p>
        </w:tc>
      </w:tr>
      <w:tr>
        <w:trPr>
          <w:trHeight w:val="526"/>
        </w:trPr>
        <w:tc>
          <w:tcPr>
            <w:tcW w:w="40" w:type="dxa"/>
            <w:vAlign w:val="bottom"/>
          </w:tcPr>
          <w:p>
            <w:pPr>
              <w:spacing w:after="0"/>
              <w:rPr>
                <w:sz w:val="24"/>
                <w:szCs w:val="24"/>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Dionne Wallace Oakley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2"/>
              </w:rPr>
              <w:t>Executive Vice President, Human Resources &amp; Strategy since January 2018; Senior</w:t>
            </w:r>
          </w:p>
        </w:tc>
      </w:tr>
      <w:tr>
        <w:trPr>
          <w:trHeight w:val="230"/>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w w:val="99"/>
              </w:rPr>
              <w:t>Vice President, Human Resources, September 2012 through December 2017.</w:t>
            </w:r>
          </w:p>
        </w:tc>
      </w:tr>
      <w:tr>
        <w:trPr>
          <w:trHeight w:val="243"/>
        </w:trPr>
        <w:tc>
          <w:tcPr>
            <w:tcW w:w="3780" w:type="dxa"/>
            <w:vAlign w:val="bottom"/>
            <w:gridSpan w:val="5"/>
          </w:tcPr>
          <w:p>
            <w:pPr>
              <w:spacing w:after="0"/>
              <w:rPr>
                <w:sz w:val="20"/>
                <w:szCs w:val="20"/>
                <w:color w:val="auto"/>
              </w:rPr>
            </w:pPr>
            <w:r>
              <w:rPr>
                <w:rFonts w:ascii="Arial" w:cs="Arial" w:eastAsia="Arial" w:hAnsi="Arial"/>
                <w:sz w:val="18"/>
                <w:szCs w:val="18"/>
                <w:color w:val="auto"/>
              </w:rPr>
              <w:t>* Retired effective December 31, 2018</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60" w:type="dxa"/>
            <w:vAlign w:val="bottom"/>
          </w:tcPr>
          <w:p>
            <w:pPr>
              <w:spacing w:after="0"/>
              <w:rPr>
                <w:sz w:val="21"/>
                <w:szCs w:val="21"/>
                <w:color w:val="auto"/>
              </w:rPr>
            </w:pPr>
          </w:p>
        </w:tc>
      </w:tr>
      <w:tr>
        <w:trPr>
          <w:trHeight w:val="459"/>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tcPr>
          <w:p>
            <w:pPr>
              <w:ind w:left="460"/>
              <w:spacing w:after="0"/>
              <w:rPr>
                <w:sz w:val="20"/>
                <w:szCs w:val="20"/>
                <w:color w:val="auto"/>
              </w:rPr>
            </w:pPr>
            <w:r>
              <w:rPr>
                <w:rFonts w:ascii="Arial" w:cs="Arial" w:eastAsia="Arial" w:hAnsi="Arial"/>
                <w:sz w:val="18"/>
                <w:szCs w:val="18"/>
                <w:color w:val="auto"/>
              </w:rPr>
              <w:t>86</w:t>
            </w: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11.</w:t>
        <w:tab/>
        <w:t>EXECUTIVE COMPENSATION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with respect to executive compensation is incorporated by reference to the information statement on Schedule 14(C) to be filed with the Securities and Exchange Commission no later than 120 days after December 31, 2018.</w:t>
      </w:r>
    </w:p>
    <w:p>
      <w:pPr>
        <w:spacing w:after="0" w:line="383" w:lineRule="exact"/>
        <w:rPr>
          <w:sz w:val="20"/>
          <w:szCs w:val="20"/>
          <w:color w:val="auto"/>
        </w:rPr>
      </w:pPr>
    </w:p>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u w:val="single" w:color="auto"/>
          <w:color w:val="auto"/>
        </w:rPr>
        <w:t>ITEM 12.</w:t>
        <w:tab/>
        <w:t>SECURITY OWNERSHIP OF CERTAIN BENEFICIAL OWNERS AND MANAGEMENT AND RELATED STOCKHOLDER MATTERS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with respect to security ownership of certain beneficial owners and management and securities authorized for issuance under equity compensation plans, is incorporated by reference to the information statement on Schedule 14(C) to be filed with the Securities and Exchange Commission no later than 120 days after December 31, 2018.</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13.</w:t>
        <w:tab/>
        <w:t>CERTAIN RELATIONSHIPS AND RELATED TRANSACTIONS, AND DIRECTOR INDEPENDENCE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with respect to certain relationships with our outside directors is incorporated by reference to the information statement on Schedule 14(C) to be filed with the Securities and Exchange Commission no later than 120 days after December 31, 2018.</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7"/>
          <w:szCs w:val="17"/>
          <w:b w:val="1"/>
          <w:bCs w:val="1"/>
          <w:u w:val="single" w:color="auto"/>
          <w:color w:val="auto"/>
        </w:rPr>
        <w:t>PRINCIPAL ACCOUNTANT FEES AND SERVICES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statement on Schedule 14(C) to be filed with the Securities and Exchange Commission no later than 120 days after December 31,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ind w:left="5300"/>
        <w:spacing w:after="0"/>
        <w:rPr>
          <w:sz w:val="20"/>
          <w:szCs w:val="20"/>
          <w:color w:val="auto"/>
        </w:rPr>
      </w:pPr>
      <w:r>
        <w:rPr>
          <w:rFonts w:ascii="Arial" w:cs="Arial" w:eastAsia="Arial" w:hAnsi="Arial"/>
          <w:sz w:val="20"/>
          <w:szCs w:val="20"/>
          <w:b w:val="1"/>
          <w:bCs w:val="1"/>
          <w:u w:val="single" w:color="auto"/>
          <w:color w:val="auto"/>
        </w:rPr>
        <w:t>PART IV</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15.</w:t>
        <w:tab/>
        <w:t>EXHIBITS AND FINANCIAL STATEMENT SCHEDULES</w:t>
      </w:r>
    </w:p>
    <w:p>
      <w:pPr>
        <w:spacing w:after="0" w:line="22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Included in Item 8 "Financial Statements and Supplementary Data" contained in this report.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u w:val="single" w:color="auto"/>
          <w:color w:val="auto"/>
        </w:rPr>
        <w:t>Erie Indemnity Company</w:t>
      </w:r>
      <w:r>
        <w:rPr>
          <w:rFonts w:ascii="Arial" w:cs="Arial" w:eastAsia="Arial" w:hAnsi="Arial"/>
          <w:sz w:val="18"/>
          <w:szCs w:val="18"/>
          <w:i w:val="1"/>
          <w:iCs w:val="1"/>
          <w:color w:val="auto"/>
        </w:rPr>
        <w:t>:</w:t>
      </w:r>
    </w:p>
    <w:p>
      <w:pPr>
        <w:spacing w:after="0" w:line="23" w:lineRule="exact"/>
        <w:rPr>
          <w:sz w:val="20"/>
          <w:szCs w:val="20"/>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Effectiveness of Internal Control over Financial Reporting</w:t>
      </w:r>
    </w:p>
    <w:p>
      <w:pPr>
        <w:spacing w:after="0" w:line="129"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on the Financial Statements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Statements of Operations for the three years ended December 31, 2018, 2017 and 2016</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Statements of Comprehensive Income for the three years ended December 31, 2018, 2017 and 2016</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Statements of Financial Position as of December 31, 2018 and 2017</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Statements of Shareholders' Equity for the three years ended December 31, 2018, 2017 and 2016</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Statements of Cash Flows for the three years ended December 31, 2018, 2017 and 2016</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Notes to Financial Statements</w:t>
      </w:r>
    </w:p>
    <w:p>
      <w:pPr>
        <w:spacing w:after="0" w:line="33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All schedules are not required, not applicable, or the information is included in the financial statements or notes thereto.</w:t>
      </w:r>
    </w:p>
    <w:p>
      <w:pPr>
        <w:spacing w:after="0" w:line="370"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580" w:type="dxa"/>
            <w:vAlign w:val="bottom"/>
            <w:gridSpan w:val="3"/>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1160" w:type="dxa"/>
            <w:vAlign w:val="bottom"/>
            <w:gridSpan w:val="2"/>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3. </w:t>
            </w:r>
            <w:hyperlink w:anchor="page89">
              <w:r>
                <w:rPr>
                  <w:rFonts w:ascii="Arial" w:cs="Arial" w:eastAsia="Arial" w:hAnsi="Arial"/>
                  <w:sz w:val="18"/>
                  <w:szCs w:val="18"/>
                  <w:color w:val="0000EE"/>
                  <w:w w:val="92"/>
                </w:rPr>
                <w:t>Exhibit Index</w:t>
              </w:r>
            </w:hyperlink>
          </w:p>
        </w:tc>
        <w:tc>
          <w:tcPr>
            <w:tcW w:w="9240" w:type="dxa"/>
            <w:vAlign w:val="bottom"/>
          </w:tcPr>
          <w:p>
            <w:pPr>
              <w:spacing w:after="0"/>
              <w:rPr>
                <w:sz w:val="21"/>
                <w:szCs w:val="21"/>
                <w:color w:val="auto"/>
              </w:rPr>
            </w:pPr>
          </w:p>
        </w:tc>
        <w:tc>
          <w:tcPr>
            <w:tcW w:w="340" w:type="dxa"/>
            <w:vAlign w:val="bottom"/>
            <w:tcBorders>
              <w:top w:val="single" w:sz="8" w:color="auto"/>
            </w:tcBorders>
            <w:gridSpan w:val="2"/>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240" w:top="122" w:right="55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INDEX</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0" w:type="dxa"/>
            <w:vAlign w:val="bottom"/>
            <w:gridSpan w:val="24"/>
          </w:tcPr>
          <w:p>
            <w:pPr>
              <w:ind w:left="240"/>
              <w:spacing w:after="0"/>
              <w:rPr>
                <w:sz w:val="20"/>
                <w:szCs w:val="20"/>
                <w:color w:val="auto"/>
              </w:rPr>
            </w:pPr>
            <w:r>
              <w:rPr>
                <w:rFonts w:ascii="Arial" w:cs="Arial" w:eastAsia="Arial" w:hAnsi="Arial"/>
                <w:sz w:val="18"/>
                <w:szCs w:val="18"/>
                <w:color w:val="auto"/>
              </w:rPr>
              <w:t>(Pursuant to Item 601 of Regulation S-K)</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Exhibit</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800" w:type="dxa"/>
            <w:vAlign w:val="bottom"/>
          </w:tcPr>
          <w:p>
            <w:pPr>
              <w:spacing w:after="0"/>
              <w:rPr>
                <w:sz w:val="19"/>
                <w:szCs w:val="19"/>
                <w:color w:val="auto"/>
              </w:rPr>
            </w:pPr>
          </w:p>
        </w:tc>
        <w:tc>
          <w:tcPr>
            <w:tcW w:w="9960" w:type="dxa"/>
            <w:vAlign w:val="bottom"/>
            <w:gridSpan w:val="30"/>
          </w:tcPr>
          <w:p>
            <w:pPr>
              <w:spacing w:after="0"/>
              <w:rPr>
                <w:sz w:val="20"/>
                <w:szCs w:val="20"/>
                <w:color w:val="auto"/>
              </w:rPr>
            </w:pPr>
            <w:r>
              <w:rPr>
                <w:rFonts w:ascii="Arial" w:cs="Arial" w:eastAsia="Arial" w:hAnsi="Arial"/>
                <w:sz w:val="18"/>
                <w:szCs w:val="18"/>
                <w:color w:val="auto"/>
              </w:rPr>
              <w:t>Description of Exhibit</w:t>
            </w:r>
          </w:p>
        </w:tc>
      </w:tr>
      <w:tr>
        <w:trPr>
          <w:trHeight w:val="20"/>
        </w:trPr>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80" w:type="dxa"/>
            <w:vAlign w:val="bottom"/>
          </w:tcPr>
          <w:p>
            <w:pPr>
              <w:spacing w:after="0"/>
              <w:rPr>
                <w:sz w:val="20"/>
                <w:szCs w:val="20"/>
                <w:color w:val="auto"/>
              </w:rPr>
            </w:pPr>
            <w:r>
              <w:rPr>
                <w:rFonts w:ascii="Arial" w:cs="Arial" w:eastAsia="Arial" w:hAnsi="Arial"/>
                <w:sz w:val="18"/>
                <w:szCs w:val="18"/>
                <w:color w:val="auto"/>
              </w:rPr>
              <w:t>3.8</w:t>
            </w:r>
          </w:p>
        </w:tc>
        <w:tc>
          <w:tcPr>
            <w:tcW w:w="800" w:type="dxa"/>
            <w:vAlign w:val="bottom"/>
          </w:tcPr>
          <w:p>
            <w:pPr>
              <w:spacing w:after="0"/>
              <w:rPr>
                <w:sz w:val="24"/>
                <w:szCs w:val="24"/>
                <w:color w:val="auto"/>
              </w:rPr>
            </w:pPr>
          </w:p>
        </w:tc>
        <w:tc>
          <w:tcPr>
            <w:tcW w:w="9840" w:type="dxa"/>
            <w:vAlign w:val="bottom"/>
            <w:tcBorders>
              <w:bottom w:val="single" w:sz="8" w:color="0000FF"/>
            </w:tcBorders>
            <w:gridSpan w:val="26"/>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Amended and Restated Articles of Incorporation of Registrant dated April 19, 2011. Such exhibit is incorporated by reference to the like</w:t>
              </w:r>
            </w:hyperlink>
          </w:p>
        </w:tc>
        <w:tc>
          <w:tcPr>
            <w:tcW w:w="120" w:type="dxa"/>
            <w:vAlign w:val="bottom"/>
            <w:gridSpan w:val="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titled exhibit in the Registrant’s Form 10-Q that was filed with the Commission on August 2, 2011.</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3.9</w:t>
            </w:r>
          </w:p>
        </w:tc>
        <w:tc>
          <w:tcPr>
            <w:tcW w:w="800" w:type="dxa"/>
            <w:vAlign w:val="bottom"/>
          </w:tcPr>
          <w:p>
            <w:pPr>
              <w:spacing w:after="0"/>
              <w:rPr>
                <w:sz w:val="24"/>
                <w:szCs w:val="24"/>
                <w:color w:val="auto"/>
              </w:rPr>
            </w:pPr>
          </w:p>
        </w:tc>
        <w:tc>
          <w:tcPr>
            <w:tcW w:w="9680" w:type="dxa"/>
            <w:vAlign w:val="bottom"/>
            <w:tcBorders>
              <w:bottom w:val="single" w:sz="8" w:color="0000FF"/>
            </w:tcBorders>
            <w:gridSpan w:val="21"/>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Erie Indemnity Company Amended and Restated Bylaws effective December 7, 2017. Such exhibit is incorporated by reference to the</w:t>
              </w:r>
            </w:hyperlink>
          </w:p>
        </w:tc>
        <w:tc>
          <w:tcPr>
            <w:tcW w:w="280" w:type="dxa"/>
            <w:vAlign w:val="bottom"/>
            <w:gridSpan w:val="9"/>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like titled exhibit in the Registrant’s Form 10-K that was filed with the Commission on February 22, 2018.</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80" w:type="dxa"/>
            <w:vAlign w:val="bottom"/>
          </w:tcPr>
          <w:p>
            <w:pPr>
              <w:spacing w:after="0"/>
              <w:rPr>
                <w:sz w:val="20"/>
                <w:szCs w:val="20"/>
                <w:color w:val="auto"/>
              </w:rPr>
            </w:pPr>
            <w:r>
              <w:rPr>
                <w:rFonts w:ascii="Arial" w:cs="Arial" w:eastAsia="Arial" w:hAnsi="Arial"/>
                <w:sz w:val="18"/>
                <w:szCs w:val="18"/>
                <w:color w:val="auto"/>
              </w:rPr>
              <w:t>10.12</w:t>
            </w:r>
          </w:p>
        </w:tc>
        <w:tc>
          <w:tcPr>
            <w:tcW w:w="800" w:type="dxa"/>
            <w:vAlign w:val="bottom"/>
          </w:tcPr>
          <w:p>
            <w:pPr>
              <w:spacing w:after="0"/>
              <w:rPr>
                <w:sz w:val="24"/>
                <w:szCs w:val="24"/>
                <w:color w:val="auto"/>
              </w:rPr>
            </w:pPr>
          </w:p>
        </w:tc>
        <w:tc>
          <w:tcPr>
            <w:tcW w:w="9740" w:type="dxa"/>
            <w:vAlign w:val="bottom"/>
            <w:tcBorders>
              <w:bottom w:val="single" w:sz="8" w:color="0000FF"/>
            </w:tcBorders>
            <w:gridSpan w:val="23"/>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Subscriber’s Agreement whereby policyholders of Erie Insurance Exchange appoint Registrant as their Attorney-in-Fact. Such</w:t>
              </w:r>
            </w:hyperlink>
          </w:p>
        </w:tc>
        <w:tc>
          <w:tcPr>
            <w:tcW w:w="220" w:type="dxa"/>
            <w:vAlign w:val="bottom"/>
            <w:gridSpan w:val="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exhibit is incorporated by reference to the like titled but renumbered exhibit in the Registrant’s Form 10-Q that was filed with the</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3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Securities and Exchange Commission on November 6, 2002.</w:t>
              </w:r>
            </w:hyperlink>
          </w:p>
        </w:tc>
        <w:tc>
          <w:tcPr>
            <w:tcW w:w="4920" w:type="dxa"/>
            <w:vAlign w:val="bottom"/>
            <w:tcBorders>
              <w:top w:val="single" w:sz="8" w:color="0000FF"/>
            </w:tcBorders>
            <w:gridSpan w:val="6"/>
          </w:tcPr>
          <w:p>
            <w:pPr>
              <w:spacing w:after="0"/>
              <w:rPr>
                <w:sz w:val="17"/>
                <w:szCs w:val="17"/>
                <w:color w:val="auto"/>
              </w:rPr>
            </w:pPr>
          </w:p>
        </w:tc>
        <w:tc>
          <w:tcPr>
            <w:tcW w:w="660" w:type="dxa"/>
            <w:vAlign w:val="bottom"/>
            <w:gridSpan w:val="16"/>
          </w:tcPr>
          <w:p>
            <w:pPr>
              <w:spacing w:after="0"/>
              <w:rPr>
                <w:sz w:val="17"/>
                <w:szCs w:val="17"/>
                <w:color w:val="auto"/>
              </w:rPr>
            </w:pPr>
          </w:p>
        </w:tc>
      </w:tr>
      <w:tr>
        <w:trPr>
          <w:trHeight w:val="520"/>
        </w:trPr>
        <w:tc>
          <w:tcPr>
            <w:tcW w:w="580" w:type="dxa"/>
            <w:vAlign w:val="bottom"/>
          </w:tcPr>
          <w:p>
            <w:pPr>
              <w:spacing w:after="0"/>
              <w:rPr>
                <w:sz w:val="20"/>
                <w:szCs w:val="20"/>
                <w:color w:val="auto"/>
              </w:rPr>
            </w:pPr>
            <w:r>
              <w:rPr>
                <w:rFonts w:ascii="Arial" w:cs="Arial" w:eastAsia="Arial" w:hAnsi="Arial"/>
                <w:sz w:val="18"/>
                <w:szCs w:val="18"/>
                <w:color w:val="auto"/>
              </w:rPr>
              <w:t>10.104</w:t>
            </w:r>
          </w:p>
        </w:tc>
        <w:tc>
          <w:tcPr>
            <w:tcW w:w="80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Deferred Compensation Plan of Erie Indemnity Company (As Amended and Restated as of January 1, 2009). Such exhibit is incorporated</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by reference to the like titled exhibit in the Registrant’s Form 10-K that was filed with the Commission on February 26, 2009.</w:t>
              </w:r>
            </w:hyperlink>
          </w:p>
        </w:tc>
        <w:tc>
          <w:tcPr>
            <w:tcW w:w="860" w:type="dxa"/>
            <w:vAlign w:val="bottom"/>
            <w:tcBorders>
              <w:top w:val="single" w:sz="8" w:color="0000FF"/>
            </w:tcBorders>
            <w:gridSpan w:val="1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10.145</w:t>
            </w:r>
          </w:p>
        </w:tc>
        <w:tc>
          <w:tcPr>
            <w:tcW w:w="800" w:type="dxa"/>
            <w:vAlign w:val="bottom"/>
          </w:tcPr>
          <w:p>
            <w:pPr>
              <w:spacing w:after="0"/>
              <w:rPr>
                <w:sz w:val="24"/>
                <w:szCs w:val="24"/>
                <w:color w:val="auto"/>
              </w:rPr>
            </w:pPr>
          </w:p>
        </w:tc>
        <w:tc>
          <w:tcPr>
            <w:tcW w:w="9880" w:type="dxa"/>
            <w:vAlign w:val="bottom"/>
            <w:tcBorders>
              <w:bottom w:val="single" w:sz="8" w:color="0000FF"/>
            </w:tcBorders>
            <w:gridSpan w:val="27"/>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Erie Indemnity Company Equity Compensation Plan (incorporated by reference to Appendix A to the Registrant's Information Statement</w:t>
              </w:r>
            </w:hyperlink>
          </w:p>
        </w:tc>
        <w:tc>
          <w:tcPr>
            <w:tcW w:w="80" w:type="dxa"/>
            <w:vAlign w:val="bottom"/>
            <w:gridSpan w:val="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76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for the 2013 Annual Meeting of Shareholders filed with the Commission on March 18, 2013).</w:t>
              </w:r>
            </w:hyperlink>
          </w:p>
        </w:tc>
        <w:tc>
          <w:tcPr>
            <w:tcW w:w="3200" w:type="dxa"/>
            <w:vAlign w:val="bottom"/>
            <w:gridSpan w:val="21"/>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10.152</w:t>
            </w:r>
          </w:p>
        </w:tc>
        <w:tc>
          <w:tcPr>
            <w:tcW w:w="800" w:type="dxa"/>
            <w:vAlign w:val="bottom"/>
          </w:tcPr>
          <w:p>
            <w:pPr>
              <w:spacing w:after="0"/>
              <w:rPr>
                <w:sz w:val="24"/>
                <w:szCs w:val="24"/>
                <w:color w:val="auto"/>
              </w:rPr>
            </w:pPr>
          </w:p>
        </w:tc>
        <w:tc>
          <w:tcPr>
            <w:tcW w:w="9960" w:type="dxa"/>
            <w:vAlign w:val="bottom"/>
            <w:tcBorders>
              <w:bottom w:val="single" w:sz="8" w:color="0000FF"/>
            </w:tcBorders>
            <w:gridSpan w:val="30"/>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Erie Indemnity Company Annual Incentive Plan (As Amended and Restated Effective as of January 1, 2014). Such exhibit is incorporated</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3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by reference to Appendix A to the Registrant's Information Statement for the 2014 Annual Meeting of Shareholders filed with the</w:t>
              </w:r>
            </w:hyperlink>
          </w:p>
        </w:tc>
        <w:tc>
          <w:tcPr>
            <w:tcW w:w="620" w:type="dxa"/>
            <w:vAlign w:val="bottom"/>
            <w:gridSpan w:val="14"/>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Commission on March 14, 2014.</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10.153</w:t>
            </w:r>
          </w:p>
        </w:tc>
        <w:tc>
          <w:tcPr>
            <w:tcW w:w="80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FF"/>
                <w:w w:val="97"/>
              </w:rPr>
            </w:pPr>
            <w:hyperlink r:id="rId28">
              <w:r>
                <w:rPr>
                  <w:rFonts w:ascii="Arial" w:cs="Arial" w:eastAsia="Arial" w:hAnsi="Arial"/>
                  <w:sz w:val="18"/>
                  <w:szCs w:val="18"/>
                  <w:color w:val="0000FF"/>
                  <w:w w:val="97"/>
                </w:rPr>
                <w:t>Erie Indemnity Company Long-Term Incentive Plan (As Amended and Restated Effective as of January 1, 2014). Such exhibit is</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8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incorporated by reference to Appendix B to the Registrant's Information Statement for the 2014 Annual Meeting of Shareholders filed</w:t>
              </w:r>
            </w:hyperlink>
          </w:p>
        </w:tc>
        <w:tc>
          <w:tcPr>
            <w:tcW w:w="320" w:type="dxa"/>
            <w:vAlign w:val="bottom"/>
            <w:gridSpan w:val="10"/>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with the Commission on March 14, 2014.</w:t>
              </w:r>
            </w:hyperlink>
          </w:p>
        </w:tc>
        <w:tc>
          <w:tcPr>
            <w:tcW w:w="6960" w:type="dxa"/>
            <w:vAlign w:val="bottom"/>
            <w:gridSpan w:val="23"/>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10.154</w:t>
            </w:r>
          </w:p>
        </w:tc>
        <w:tc>
          <w:tcPr>
            <w:tcW w:w="800" w:type="dxa"/>
            <w:vAlign w:val="bottom"/>
          </w:tcPr>
          <w:p>
            <w:pPr>
              <w:spacing w:after="0"/>
              <w:rPr>
                <w:sz w:val="24"/>
                <w:szCs w:val="24"/>
                <w:color w:val="auto"/>
              </w:rPr>
            </w:pPr>
          </w:p>
        </w:tc>
        <w:tc>
          <w:tcPr>
            <w:tcW w:w="9820" w:type="dxa"/>
            <w:vAlign w:val="bottom"/>
            <w:tcBorders>
              <w:bottom w:val="single" w:sz="8" w:color="0000FF"/>
            </w:tcBorders>
            <w:gridSpan w:val="25"/>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First Amendment to Erie Indemnity Company Equity Compensation Plan effective January 1, 2014, dated March 10, 2014. Such exhibit</w:t>
              </w:r>
            </w:hyperlink>
          </w:p>
        </w:tc>
        <w:tc>
          <w:tcPr>
            <w:tcW w:w="140" w:type="dxa"/>
            <w:vAlign w:val="bottom"/>
            <w:gridSpan w:val="5"/>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is incorporated by reference to the like titled exhibit in the Registrant’s Form 10-Q that was filed with the Commission on May 1, 2014.</w:t>
              </w:r>
            </w:hyperlink>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10.156</w:t>
            </w:r>
          </w:p>
        </w:tc>
        <w:tc>
          <w:tcPr>
            <w:tcW w:w="800" w:type="dxa"/>
            <w:vAlign w:val="bottom"/>
          </w:tcPr>
          <w:p>
            <w:pPr>
              <w:spacing w:after="0"/>
              <w:rPr>
                <w:sz w:val="24"/>
                <w:szCs w:val="24"/>
                <w:color w:val="auto"/>
              </w:rPr>
            </w:pPr>
          </w:p>
        </w:tc>
        <w:tc>
          <w:tcPr>
            <w:tcW w:w="9760" w:type="dxa"/>
            <w:vAlign w:val="bottom"/>
            <w:tcBorders>
              <w:top w:val="single" w:sz="8" w:color="0000FF"/>
            </w:tcBorders>
            <w:gridSpan w:val="24"/>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Form of Indemnification Agreement by and between Erie Indemnity Company and each of Dionne Wallace Oakley and Salvatore</w:t>
              </w:r>
            </w:hyperlink>
          </w:p>
        </w:tc>
        <w:tc>
          <w:tcPr>
            <w:tcW w:w="200" w:type="dxa"/>
            <w:vAlign w:val="bottom"/>
            <w:gridSpan w:val="6"/>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32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Correnti. Such exhibit is incorporated by reference to the like titled exhibit in the Registrant’s Form 10-K that was filed with the</w:t>
              </w:r>
            </w:hyperlink>
          </w:p>
        </w:tc>
        <w:tc>
          <w:tcPr>
            <w:tcW w:w="640" w:type="dxa"/>
            <w:vAlign w:val="bottom"/>
            <w:gridSpan w:val="15"/>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Commission on February 26, 2009.</w:t>
              </w:r>
            </w:hyperlink>
          </w:p>
        </w:tc>
        <w:tc>
          <w:tcPr>
            <w:tcW w:w="6720" w:type="dxa"/>
            <w:vAlign w:val="bottom"/>
            <w:tcBorders>
              <w:top w:val="single" w:sz="8" w:color="0000FF"/>
            </w:tcBorders>
            <w:gridSpan w:val="7"/>
          </w:tcPr>
          <w:p>
            <w:pPr>
              <w:spacing w:after="0"/>
              <w:rPr>
                <w:sz w:val="17"/>
                <w:szCs w:val="17"/>
                <w:color w:val="auto"/>
              </w:rPr>
            </w:pPr>
          </w:p>
        </w:tc>
        <w:tc>
          <w:tcPr>
            <w:tcW w:w="680" w:type="dxa"/>
            <w:vAlign w:val="bottom"/>
            <w:gridSpan w:val="17"/>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10.157</w:t>
            </w:r>
          </w:p>
        </w:tc>
        <w:tc>
          <w:tcPr>
            <w:tcW w:w="80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First Amendment to Erie Indemnity Company Long-Term Incentive Plan (As Amended and Restated Effective as of January 1, 2014),</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6880" w:type="dxa"/>
            <w:vAlign w:val="bottom"/>
            <w:gridSpan w:val="1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dated March 25, 2015. Such exhibit is incorporated by reference to the like titled exhibit in the Registrant’s Form 10-Q that was filed with</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the Commission on April 30, 2015.</w:t>
              </w:r>
            </w:hyperlink>
          </w:p>
        </w:tc>
        <w:tc>
          <w:tcPr>
            <w:tcW w:w="7420" w:type="dxa"/>
            <w:vAlign w:val="bottom"/>
            <w:gridSpan w:val="25"/>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10.158</w:t>
            </w:r>
          </w:p>
        </w:tc>
        <w:tc>
          <w:tcPr>
            <w:tcW w:w="80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Erie Indemnity Company Deferred Compensation Plan for Outside Directors (As Amended and Restated as of July 29, 2015), dated</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6880" w:type="dxa"/>
            <w:vAlign w:val="bottom"/>
            <w:gridSpan w:val="1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October 20, 2015. Such exhibit is incorporated by reference to the like titled exhibit in the Registrant’s Form 10-K that was filed with the</w:t>
              </w:r>
            </w:hyperlink>
          </w:p>
        </w:tc>
        <w:tc>
          <w:tcPr>
            <w:tcW w:w="8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Commission on February 25, 2016.</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68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10.159</w:t>
            </w:r>
          </w:p>
        </w:tc>
        <w:tc>
          <w:tcPr>
            <w:tcW w:w="80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FF"/>
                <w:w w:val="96"/>
              </w:rPr>
            </w:pPr>
            <w:hyperlink r:id="rId33">
              <w:r>
                <w:rPr>
                  <w:rFonts w:ascii="Arial" w:cs="Arial" w:eastAsia="Arial" w:hAnsi="Arial"/>
                  <w:sz w:val="18"/>
                  <w:szCs w:val="18"/>
                  <w:color w:val="0000FF"/>
                  <w:w w:val="96"/>
                </w:rPr>
                <w:t>Erie Indemnity Company Deferred Stock Plan for Outside Directors (As of July 29, 2015), dated October 20, 2015. Such exhibit is</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6880" w:type="dxa"/>
            <w:vAlign w:val="bottom"/>
            <w:gridSpan w:val="1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incorporated by reference to the like titled exhibit in the Registrant’s Form 10-K that was filed with the Commission on February 25,</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200" w:type="dxa"/>
            <w:vAlign w:val="bottom"/>
            <w:gridSpan w:val="2"/>
          </w:tcPr>
          <w:p>
            <w:pPr>
              <w:ind w:left="800"/>
              <w:spacing w:after="0" w:line="196" w:lineRule="exact"/>
              <w:rPr>
                <w:rFonts w:ascii="Arial" w:cs="Arial" w:eastAsia="Arial" w:hAnsi="Arial"/>
                <w:sz w:val="18"/>
                <w:szCs w:val="18"/>
                <w:color w:val="0000FF"/>
                <w:w w:val="84"/>
              </w:rPr>
            </w:pPr>
            <w:hyperlink r:id="rId33">
              <w:r>
                <w:rPr>
                  <w:rFonts w:ascii="Arial" w:cs="Arial" w:eastAsia="Arial" w:hAnsi="Arial"/>
                  <w:sz w:val="18"/>
                  <w:szCs w:val="18"/>
                  <w:color w:val="0000FF"/>
                  <w:w w:val="84"/>
                </w:rPr>
                <w:t>2016.</w:t>
              </w:r>
            </w:hyperlink>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10.162</w:t>
            </w:r>
          </w:p>
        </w:tc>
        <w:tc>
          <w:tcPr>
            <w:tcW w:w="80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Erie Insurance Group Retirement Plan for Employees (As Amended and Restated Effective December 31, 2014), dated December 18,</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2015. Such exhibit is incorporated by reference to the like titled exhibit in the Registrant’s Form 10-K that was filed with the Commission</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on February 25, 2016.</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10.163</w:t>
            </w:r>
          </w:p>
        </w:tc>
        <w:tc>
          <w:tcPr>
            <w:tcW w:w="800" w:type="dxa"/>
            <w:vAlign w:val="bottom"/>
          </w:tcPr>
          <w:p>
            <w:pPr>
              <w:spacing w:after="0"/>
              <w:rPr>
                <w:sz w:val="24"/>
                <w:szCs w:val="24"/>
                <w:color w:val="auto"/>
              </w:rPr>
            </w:pPr>
          </w:p>
        </w:tc>
        <w:tc>
          <w:tcPr>
            <w:tcW w:w="9960" w:type="dxa"/>
            <w:vAlign w:val="bottom"/>
            <w:gridSpan w:val="30"/>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Erie Insurance Group Employee Savings Plan (As Amended and Restated Effective as of January 1, 2015), dated December 18, 2015.</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7100" w:type="dxa"/>
            <w:vAlign w:val="bottom"/>
            <w:gridSpan w:val="1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72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Such exhibit is incorporated by reference to the like titled exhibit in the Registrant’s Form 10-K that was filed with the Commission on</w:t>
              </w:r>
            </w:hyperlink>
          </w:p>
        </w:tc>
        <w:tc>
          <w:tcPr>
            <w:tcW w:w="240" w:type="dxa"/>
            <w:vAlign w:val="bottom"/>
            <w:gridSpan w:val="8"/>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gridSpan w:val="30"/>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February 25, 2016.</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40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10.166</w:t>
            </w:r>
          </w:p>
        </w:tc>
        <w:tc>
          <w:tcPr>
            <w:tcW w:w="800" w:type="dxa"/>
            <w:vAlign w:val="bottom"/>
          </w:tcPr>
          <w:p>
            <w:pPr>
              <w:spacing w:after="0"/>
              <w:rPr>
                <w:sz w:val="24"/>
                <w:szCs w:val="24"/>
                <w:color w:val="auto"/>
              </w:rPr>
            </w:pPr>
          </w:p>
        </w:tc>
        <w:tc>
          <w:tcPr>
            <w:tcW w:w="9940" w:type="dxa"/>
            <w:vAlign w:val="bottom"/>
            <w:tcBorders>
              <w:bottom w:val="single" w:sz="8" w:color="0000FF"/>
            </w:tcBorders>
            <w:gridSpan w:val="29"/>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First Amendment to Erie Indemnity Company Deferred Stock Plan for Outside Directors (As Amended and Restated as of July 29, 2015),</w:t>
              </w:r>
            </w:hyperlink>
          </w:p>
        </w:tc>
        <w:tc>
          <w:tcPr>
            <w:tcW w:w="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6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dated March 31, 2016. Such exhibit is incorporated by reference to the like titled exhibit in the Registrant’s Form 10-Q that was filed with</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the Commission on April 28, 2016.</w:t>
              </w:r>
            </w:hyperlink>
          </w:p>
        </w:tc>
        <w:tc>
          <w:tcPr>
            <w:tcW w:w="7420" w:type="dxa"/>
            <w:vAlign w:val="bottom"/>
            <w:gridSpan w:val="2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80"/>
          </w:cols>
          <w:pgMar w:left="240" w:top="121" w:right="27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Exhibit</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800" w:type="dxa"/>
            <w:vAlign w:val="bottom"/>
          </w:tcPr>
          <w:p>
            <w:pPr>
              <w:spacing w:after="0"/>
              <w:rPr>
                <w:sz w:val="19"/>
                <w:szCs w:val="19"/>
                <w:color w:val="auto"/>
              </w:rPr>
            </w:pPr>
          </w:p>
        </w:tc>
        <w:tc>
          <w:tcPr>
            <w:tcW w:w="9940" w:type="dxa"/>
            <w:vAlign w:val="bottom"/>
            <w:gridSpan w:val="32"/>
          </w:tcPr>
          <w:p>
            <w:pPr>
              <w:spacing w:after="0"/>
              <w:rPr>
                <w:sz w:val="20"/>
                <w:szCs w:val="20"/>
                <w:color w:val="auto"/>
              </w:rPr>
            </w:pPr>
            <w:r>
              <w:rPr>
                <w:rFonts w:ascii="Arial" w:cs="Arial" w:eastAsia="Arial" w:hAnsi="Arial"/>
                <w:sz w:val="18"/>
                <w:szCs w:val="18"/>
                <w:color w:val="auto"/>
              </w:rPr>
              <w:t>Description of Exhibit</w:t>
            </w:r>
          </w:p>
        </w:tc>
      </w:tr>
      <w:tr>
        <w:trPr>
          <w:trHeight w:val="20"/>
        </w:trPr>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10.168</w:t>
            </w:r>
          </w:p>
        </w:tc>
        <w:tc>
          <w:tcPr>
            <w:tcW w:w="800" w:type="dxa"/>
            <w:vAlign w:val="bottom"/>
          </w:tcPr>
          <w:p>
            <w:pPr>
              <w:spacing w:after="0"/>
              <w:rPr>
                <w:sz w:val="24"/>
                <w:szCs w:val="24"/>
                <w:color w:val="auto"/>
              </w:rPr>
            </w:pPr>
          </w:p>
        </w:tc>
        <w:tc>
          <w:tcPr>
            <w:tcW w:w="9940" w:type="dxa"/>
            <w:vAlign w:val="bottom"/>
            <w:gridSpan w:val="32"/>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Retirement Agreement between Erie Indemnity Company and Terrence W. Cavanaugh dated July 28, 2016. Such exhibit is incorporated</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by reference to the like titled exhibit in the Registrant's Form 8-K that was filed with the Commission on July 28, 2016.</w:t>
              </w:r>
            </w:hyperlink>
          </w:p>
        </w:tc>
        <w:tc>
          <w:tcPr>
            <w:tcW w:w="1200" w:type="dxa"/>
            <w:vAlign w:val="bottom"/>
            <w:tcBorders>
              <w:top w:val="single" w:sz="8" w:color="0000FF"/>
            </w:tcBorders>
            <w:gridSpan w:val="14"/>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10.169</w:t>
            </w:r>
          </w:p>
        </w:tc>
        <w:tc>
          <w:tcPr>
            <w:tcW w:w="80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First Amendment to Erie Insurance Group Retirement Plan for Employees (As Amended and Restated Effective December 31, 2014),</w:t>
              </w:r>
            </w:hyperlink>
          </w:p>
        </w:tc>
        <w:tc>
          <w:tcPr>
            <w:tcW w:w="300" w:type="dxa"/>
            <w:vAlign w:val="bottom"/>
            <w:gridSpan w:val="11"/>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dated September 12, 2016. Such exhibit is incorporated by reference to the like titled exhibit in the Registrant’s Form 10-Q that was filed</w:t>
              </w:r>
            </w:hyperlink>
          </w:p>
        </w:tc>
        <w:tc>
          <w:tcPr>
            <w:tcW w:w="6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with the Commission on October 27, 2016.</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10.170</w:t>
            </w:r>
          </w:p>
        </w:tc>
        <w:tc>
          <w:tcPr>
            <w:tcW w:w="80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Second Amendment to Erie Insurance Group Retirement Plan for Employees (As Amended and Restated Effective December 31, 2014),</w:t>
              </w:r>
            </w:hyperlink>
          </w:p>
        </w:tc>
        <w:tc>
          <w:tcPr>
            <w:tcW w:w="80" w:type="dxa"/>
            <w:vAlign w:val="bottom"/>
            <w:gridSpan w:val="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dated September 12, 2016. Such exhibit is incorporated by reference to the like titled exhibit in the Registrant’s Form 10-Q that was filed</w:t>
              </w:r>
            </w:hyperlink>
          </w:p>
        </w:tc>
        <w:tc>
          <w:tcPr>
            <w:tcW w:w="6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with the Commission on October 27, 2016.</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10.171</w:t>
            </w:r>
          </w:p>
        </w:tc>
        <w:tc>
          <w:tcPr>
            <w:tcW w:w="800" w:type="dxa"/>
            <w:vAlign w:val="bottom"/>
          </w:tcPr>
          <w:p>
            <w:pPr>
              <w:spacing w:after="0"/>
              <w:rPr>
                <w:sz w:val="24"/>
                <w:szCs w:val="24"/>
                <w:color w:val="auto"/>
              </w:rPr>
            </w:pPr>
          </w:p>
        </w:tc>
        <w:tc>
          <w:tcPr>
            <w:tcW w:w="9640" w:type="dxa"/>
            <w:vAlign w:val="bottom"/>
            <w:tcBorders>
              <w:bottom w:val="single" w:sz="8" w:color="0000FF"/>
            </w:tcBorders>
            <w:gridSpan w:val="21"/>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First Amendment to Erie Insurance Group Employee Savings Plan (As Amended and Restated Effective as of January 1, 2015), dated</w:t>
              </w:r>
            </w:hyperlink>
          </w:p>
        </w:tc>
        <w:tc>
          <w:tcPr>
            <w:tcW w:w="300" w:type="dxa"/>
            <w:vAlign w:val="bottom"/>
            <w:gridSpan w:val="11"/>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September 12, 2016. Such exhibit is incorporated by reference to the like titled exhibit in the Registrant’s Form 10-Q that was filed with</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the Commission on October 27, 2016.</w:t>
              </w:r>
            </w:hyperlink>
          </w:p>
        </w:tc>
        <w:tc>
          <w:tcPr>
            <w:tcW w:w="7040" w:type="dxa"/>
            <w:vAlign w:val="bottom"/>
            <w:tcBorders>
              <w:top w:val="single" w:sz="8" w:color="0000FF"/>
            </w:tcBorders>
            <w:gridSpan w:val="20"/>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10.172</w:t>
            </w:r>
          </w:p>
        </w:tc>
        <w:tc>
          <w:tcPr>
            <w:tcW w:w="800" w:type="dxa"/>
            <w:vAlign w:val="bottom"/>
          </w:tcPr>
          <w:p>
            <w:pPr>
              <w:spacing w:after="0"/>
              <w:rPr>
                <w:sz w:val="24"/>
                <w:szCs w:val="24"/>
                <w:color w:val="auto"/>
              </w:rPr>
            </w:pPr>
          </w:p>
        </w:tc>
        <w:tc>
          <w:tcPr>
            <w:tcW w:w="9820" w:type="dxa"/>
            <w:vAlign w:val="bottom"/>
            <w:tcBorders>
              <w:bottom w:val="single" w:sz="8" w:color="0000FF"/>
            </w:tcBorders>
            <w:gridSpan w:val="27"/>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First Amendment to Erie Indemnity Company Annual Incentive Plan (As Amended and Restated Effective as of January 1, 2014), dated</w:t>
              </w:r>
            </w:hyperlink>
          </w:p>
        </w:tc>
        <w:tc>
          <w:tcPr>
            <w:tcW w:w="120" w:type="dxa"/>
            <w:vAlign w:val="bottom"/>
            <w:gridSpan w:val="5"/>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August 1, 2016. Such exhibit is incorporated by reference to the like titled exhibit in the Registrant’s Form 10-Q that was filed with the</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Commission on October 27, 2016.</w:t>
              </w:r>
            </w:hyperlink>
          </w:p>
        </w:tc>
        <w:tc>
          <w:tcPr>
            <w:tcW w:w="7240" w:type="dxa"/>
            <w:vAlign w:val="bottom"/>
            <w:tcBorders>
              <w:top w:val="single" w:sz="8" w:color="0000FF"/>
            </w:tcBorders>
            <w:gridSpan w:val="21"/>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10.173</w:t>
            </w:r>
          </w:p>
        </w:tc>
        <w:tc>
          <w:tcPr>
            <w:tcW w:w="800" w:type="dxa"/>
            <w:vAlign w:val="bottom"/>
          </w:tcPr>
          <w:p>
            <w:pPr>
              <w:spacing w:after="0"/>
              <w:rPr>
                <w:sz w:val="24"/>
                <w:szCs w:val="24"/>
                <w:color w:val="auto"/>
              </w:rPr>
            </w:pPr>
          </w:p>
        </w:tc>
        <w:tc>
          <w:tcPr>
            <w:tcW w:w="9940" w:type="dxa"/>
            <w:vAlign w:val="bottom"/>
            <w:gridSpan w:val="32"/>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Second Amendment to Erie Indemnity Company Long-Term Incentive Plan (As Amended and Restated Effective as of January 1, 2014),</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dated August 1, 2016. Such exhibit is incorporated by reference to the like titled exhibit in the Registrant’s Form 10-Q that was filed with</w:t>
              </w:r>
            </w:hyperlink>
          </w:p>
        </w:tc>
        <w:tc>
          <w:tcPr>
            <w:tcW w:w="4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4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the Commission on October 27, 2016.</w:t>
              </w:r>
            </w:hyperlink>
          </w:p>
        </w:tc>
        <w:tc>
          <w:tcPr>
            <w:tcW w:w="7200" w:type="dxa"/>
            <w:vAlign w:val="bottom"/>
            <w:gridSpan w:val="27"/>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10.174</w:t>
            </w:r>
          </w:p>
        </w:tc>
        <w:tc>
          <w:tcPr>
            <w:tcW w:w="800" w:type="dxa"/>
            <w:vAlign w:val="bottom"/>
          </w:tcPr>
          <w:p>
            <w:pPr>
              <w:spacing w:after="0"/>
              <w:rPr>
                <w:sz w:val="24"/>
                <w:szCs w:val="24"/>
                <w:color w:val="auto"/>
              </w:rPr>
            </w:pPr>
          </w:p>
        </w:tc>
        <w:tc>
          <w:tcPr>
            <w:tcW w:w="9680" w:type="dxa"/>
            <w:vAlign w:val="bottom"/>
            <w:tcBorders>
              <w:bottom w:val="single" w:sz="8" w:color="0000FF"/>
            </w:tcBorders>
            <w:gridSpan w:val="23"/>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Credit Agreement by and among Erie Indemnity Company and PNC Bank, National Association, dated as of November 7, 2016. Such</w:t>
              </w:r>
            </w:hyperlink>
          </w:p>
        </w:tc>
        <w:tc>
          <w:tcPr>
            <w:tcW w:w="260" w:type="dxa"/>
            <w:vAlign w:val="bottom"/>
            <w:gridSpan w:val="9"/>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exhibit is incorporated by reference to the like titled exhibit in the Registrant's Form 8-K that was filed with the Commission on</w:t>
              </w:r>
            </w:hyperlink>
          </w:p>
        </w:tc>
        <w:tc>
          <w:tcPr>
            <w:tcW w:w="740" w:type="dxa"/>
            <w:vAlign w:val="bottom"/>
            <w:gridSpan w:val="18"/>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November 14, 2016.</w:t>
              </w:r>
            </w:hyperlink>
          </w:p>
        </w:tc>
        <w:tc>
          <w:tcPr>
            <w:tcW w:w="8460" w:type="dxa"/>
            <w:vAlign w:val="bottom"/>
            <w:gridSpan w:val="30"/>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10.175</w:t>
            </w:r>
          </w:p>
        </w:tc>
        <w:tc>
          <w:tcPr>
            <w:tcW w:w="800" w:type="dxa"/>
            <w:vAlign w:val="bottom"/>
          </w:tcPr>
          <w:p>
            <w:pPr>
              <w:spacing w:after="0"/>
              <w:rPr>
                <w:sz w:val="24"/>
                <w:szCs w:val="24"/>
                <w:color w:val="auto"/>
              </w:rPr>
            </w:pPr>
          </w:p>
        </w:tc>
        <w:tc>
          <w:tcPr>
            <w:tcW w:w="9940" w:type="dxa"/>
            <w:vAlign w:val="bottom"/>
            <w:gridSpan w:val="32"/>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Pledge Agreement made by Erie Indemnity Company in favor of PNC Bank, National Association, dated as of November 7, 2016. Such</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exhibit is incorporated by reference to the like titled exhibit in the Registrant's Form 8-K that was filed with the Commission on</w:t>
              </w:r>
            </w:hyperlink>
          </w:p>
        </w:tc>
        <w:tc>
          <w:tcPr>
            <w:tcW w:w="600" w:type="dxa"/>
            <w:vAlign w:val="bottom"/>
            <w:tcBorders>
              <w:top w:val="single" w:sz="8" w:color="0000FF"/>
            </w:tcBorders>
            <w:gridSpan w:val="12"/>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November 14, 2016.</w:t>
              </w:r>
            </w:hyperlink>
          </w:p>
        </w:tc>
        <w:tc>
          <w:tcPr>
            <w:tcW w:w="8460" w:type="dxa"/>
            <w:vAlign w:val="bottom"/>
            <w:gridSpan w:val="30"/>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10.177</w:t>
            </w:r>
          </w:p>
        </w:tc>
        <w:tc>
          <w:tcPr>
            <w:tcW w:w="800" w:type="dxa"/>
            <w:vAlign w:val="bottom"/>
          </w:tcPr>
          <w:p>
            <w:pPr>
              <w:spacing w:after="0"/>
              <w:rPr>
                <w:sz w:val="24"/>
                <w:szCs w:val="24"/>
                <w:color w:val="auto"/>
              </w:rPr>
            </w:pPr>
          </w:p>
        </w:tc>
        <w:tc>
          <w:tcPr>
            <w:tcW w:w="9660" w:type="dxa"/>
            <w:vAlign w:val="bottom"/>
            <w:tcBorders>
              <w:bottom w:val="single" w:sz="8" w:color="0000FF"/>
            </w:tcBorders>
            <w:gridSpan w:val="22"/>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Erie Indemnity Company Incentive Compensation Deferral Plan (Effective January 1, 2017), dated December 7, 2016. Such exhibit is</w:t>
              </w:r>
            </w:hyperlink>
          </w:p>
        </w:tc>
        <w:tc>
          <w:tcPr>
            <w:tcW w:w="280" w:type="dxa"/>
            <w:vAlign w:val="bottom"/>
            <w:gridSpan w:val="10"/>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incorporated by reference to the like titled exhibit in the Registrant’s Form 10-K that was filed with the Commission on February 23,</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80" w:type="dxa"/>
            <w:vAlign w:val="bottom"/>
            <w:gridSpan w:val="3"/>
          </w:tcPr>
          <w:p>
            <w:pPr>
              <w:ind w:left="800"/>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2017.</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10.178</w:t>
            </w:r>
          </w:p>
        </w:tc>
        <w:tc>
          <w:tcPr>
            <w:tcW w:w="800" w:type="dxa"/>
            <w:vAlign w:val="bottom"/>
          </w:tcPr>
          <w:p>
            <w:pPr>
              <w:spacing w:after="0"/>
              <w:rPr>
                <w:sz w:val="24"/>
                <w:szCs w:val="24"/>
                <w:color w:val="auto"/>
              </w:rPr>
            </w:pPr>
          </w:p>
        </w:tc>
        <w:tc>
          <w:tcPr>
            <w:tcW w:w="9940" w:type="dxa"/>
            <w:vAlign w:val="bottom"/>
            <w:gridSpan w:val="32"/>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Third Amendment to Erie Insurance Group Retirement Plan for Employees (As Amended and Restated Effective December 31, 2014),</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dated December 22, 2016. Such exhibit is incorporated by reference to the like titled exhibit in the Registrant’s Form 10-K that was filed</w:t>
              </w:r>
            </w:hyperlink>
          </w:p>
        </w:tc>
        <w:tc>
          <w:tcPr>
            <w:tcW w:w="80" w:type="dxa"/>
            <w:vAlign w:val="bottom"/>
            <w:gridSpan w:val="4"/>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with the Commission on February 23, 2017.</w:t>
              </w:r>
            </w:hyperlink>
          </w:p>
        </w:tc>
        <w:tc>
          <w:tcPr>
            <w:tcW w:w="6760" w:type="dxa"/>
            <w:vAlign w:val="bottom"/>
            <w:gridSpan w:val="24"/>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10.179</w:t>
            </w:r>
          </w:p>
        </w:tc>
        <w:tc>
          <w:tcPr>
            <w:tcW w:w="800" w:type="dxa"/>
            <w:vAlign w:val="bottom"/>
          </w:tcPr>
          <w:p>
            <w:pPr>
              <w:spacing w:after="0"/>
              <w:rPr>
                <w:sz w:val="24"/>
                <w:szCs w:val="24"/>
                <w:color w:val="auto"/>
              </w:rPr>
            </w:pPr>
          </w:p>
        </w:tc>
        <w:tc>
          <w:tcPr>
            <w:tcW w:w="9920" w:type="dxa"/>
            <w:vAlign w:val="bottom"/>
            <w:tcBorders>
              <w:bottom w:val="single" w:sz="8" w:color="0000FF"/>
            </w:tcBorders>
            <w:gridSpan w:val="31"/>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Lease Agreement between Erie Insurance Exchange and Erie Indemnity Company effective January 1, 2017. Such exhibit is incorporated</w:t>
              </w:r>
            </w:hyperlink>
          </w:p>
        </w:tc>
        <w:tc>
          <w:tcPr>
            <w:tcW w:w="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by reference to the like titled exhibit in the Registrant’s Form 10-Q that was filed with the Commission on May 1, 2017.</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0" w:type="dxa"/>
            <w:vAlign w:val="bottom"/>
            <w:gridSpan w:val="9"/>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10.180</w:t>
            </w:r>
          </w:p>
        </w:tc>
        <w:tc>
          <w:tcPr>
            <w:tcW w:w="800" w:type="dxa"/>
            <w:vAlign w:val="bottom"/>
          </w:tcPr>
          <w:p>
            <w:pPr>
              <w:spacing w:after="0"/>
              <w:rPr>
                <w:sz w:val="24"/>
                <w:szCs w:val="24"/>
                <w:color w:val="auto"/>
              </w:rPr>
            </w:pPr>
          </w:p>
        </w:tc>
        <w:tc>
          <w:tcPr>
            <w:tcW w:w="9400" w:type="dxa"/>
            <w:vAlign w:val="bottom"/>
            <w:tcBorders>
              <w:bottom w:val="single" w:sz="8" w:color="0000FF"/>
            </w:tcBorders>
            <w:gridSpan w:val="15"/>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AIA Document A133 - 2009, Standard Form of Agreement Between Owner and Construction Manager as Constructor, dated as of</w:t>
              </w:r>
            </w:hyperlink>
          </w:p>
        </w:tc>
        <w:tc>
          <w:tcPr>
            <w:tcW w:w="540" w:type="dxa"/>
            <w:vAlign w:val="bottom"/>
            <w:gridSpan w:val="1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February 27, 2015, between Erie Insurance Exchange and P.J. Dick, Inc. Such exhibit is incorporated by reference to the like titled exhibit</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in the Registrant’s Form 10-Q that was filed with the Commission on July 27, 2017.</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0" w:type="dxa"/>
            <w:vAlign w:val="bottom"/>
            <w:gridSpan w:val="9"/>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10.181</w:t>
            </w:r>
          </w:p>
        </w:tc>
        <w:tc>
          <w:tcPr>
            <w:tcW w:w="800" w:type="dxa"/>
            <w:vAlign w:val="bottom"/>
          </w:tcPr>
          <w:p>
            <w:pPr>
              <w:spacing w:after="0"/>
              <w:rPr>
                <w:sz w:val="24"/>
                <w:szCs w:val="24"/>
                <w:color w:val="auto"/>
              </w:rPr>
            </w:pPr>
          </w:p>
        </w:tc>
        <w:tc>
          <w:tcPr>
            <w:tcW w:w="9940" w:type="dxa"/>
            <w:vAlign w:val="bottom"/>
            <w:gridSpan w:val="32"/>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Assignment Agreement, dated as of January 16, 2017, between Erie Insurance Exchange and Erie Indemnity Company. Such exhibit is</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700" w:type="dxa"/>
            <w:vAlign w:val="bottom"/>
            <w:tcBorders>
              <w:top w:val="single" w:sz="8" w:color="0000FF"/>
            </w:tcBorders>
            <w:gridSpan w:val="24"/>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incorporated by reference to the like titled exhibit in the Registrant’s Form 10-Q that was filed with the Commission on July 27, 2017.</w:t>
              </w:r>
            </w:hyperlink>
          </w:p>
        </w:tc>
        <w:tc>
          <w:tcPr>
            <w:tcW w:w="240" w:type="dxa"/>
            <w:vAlign w:val="bottom"/>
            <w:gridSpan w:val="8"/>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10.182</w:t>
            </w:r>
          </w:p>
        </w:tc>
        <w:tc>
          <w:tcPr>
            <w:tcW w:w="800" w:type="dxa"/>
            <w:vAlign w:val="bottom"/>
          </w:tcPr>
          <w:p>
            <w:pPr>
              <w:spacing w:after="0"/>
              <w:rPr>
                <w:sz w:val="24"/>
                <w:szCs w:val="24"/>
                <w:color w:val="auto"/>
              </w:rPr>
            </w:pPr>
          </w:p>
        </w:tc>
        <w:tc>
          <w:tcPr>
            <w:tcW w:w="960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AIA Document A133 - 2009 Exhibit A, Guaranteed Maximum Price Amendment, dated as of July 10, 2017, between Erie Indemnity</w:t>
              </w:r>
            </w:hyperlink>
          </w:p>
        </w:tc>
        <w:tc>
          <w:tcPr>
            <w:tcW w:w="60" w:type="dxa"/>
            <w:vAlign w:val="bottom"/>
            <w:tcBorders>
              <w:top w:val="single" w:sz="8" w:color="0000FF"/>
            </w:tcBorders>
            <w:gridSpan w:val="3"/>
          </w:tcPr>
          <w:p>
            <w:pPr>
              <w:spacing w:after="0"/>
              <w:rPr>
                <w:sz w:val="24"/>
                <w:szCs w:val="24"/>
                <w:color w:val="auto"/>
              </w:rPr>
            </w:pPr>
          </w:p>
        </w:tc>
        <w:tc>
          <w:tcPr>
            <w:tcW w:w="280" w:type="dxa"/>
            <w:vAlign w:val="bottom"/>
            <w:gridSpan w:val="10"/>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2"/>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Company and P.J. Dick, Inc. Such exhibit is incorporated by reference to the like titled exhibit in the Registrant’s Form 10-Q that was</w:t>
              </w:r>
            </w:hyperlink>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filed with the Commission on July 27, 2017.</w:t>
              </w:r>
            </w:hyperlink>
          </w:p>
        </w:tc>
        <w:tc>
          <w:tcPr>
            <w:tcW w:w="6420" w:type="dxa"/>
            <w:vAlign w:val="bottom"/>
            <w:tcBorders>
              <w:top w:val="single" w:sz="8" w:color="0000FF"/>
            </w:tcBorders>
            <w:gridSpan w:val="11"/>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10.183</w:t>
            </w:r>
          </w:p>
        </w:tc>
        <w:tc>
          <w:tcPr>
            <w:tcW w:w="800" w:type="dxa"/>
            <w:vAlign w:val="bottom"/>
          </w:tcPr>
          <w:p>
            <w:pPr>
              <w:spacing w:after="0"/>
              <w:rPr>
                <w:sz w:val="24"/>
                <w:szCs w:val="24"/>
                <w:color w:val="auto"/>
              </w:rPr>
            </w:pPr>
          </w:p>
        </w:tc>
        <w:tc>
          <w:tcPr>
            <w:tcW w:w="9940" w:type="dxa"/>
            <w:vAlign w:val="bottom"/>
            <w:gridSpan w:val="32"/>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Second Amendment to Erie Insurance Group Employee Savings Plan (As Amended and Restated Effective January 1, 2015), dated</w:t>
              </w:r>
            </w:hyperlink>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10"/>
            <w:shd w:val="clear" w:color="auto" w:fill="0000FF"/>
          </w:tcPr>
          <w:p>
            <w:pPr>
              <w:spacing w:after="0" w:line="20" w:lineRule="exact"/>
              <w:rPr>
                <w:sz w:val="1"/>
                <w:szCs w:val="1"/>
                <w:color w:val="auto"/>
              </w:rPr>
            </w:pPr>
          </w:p>
        </w:tc>
        <w:tc>
          <w:tcPr>
            <w:tcW w:w="5320" w:type="dxa"/>
            <w:vAlign w:val="bottom"/>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October 17, 2017. Such exhibit is incorporated by reference to the like titled exhibit in the Registrant’s Form 10-Q that was filed with the</w:t>
              </w:r>
            </w:hyperlink>
          </w:p>
        </w:tc>
        <w:tc>
          <w:tcPr>
            <w:tcW w:w="6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Commission on October 26, 2017.</w:t>
              </w:r>
            </w:hyperlink>
          </w:p>
        </w:tc>
        <w:tc>
          <w:tcPr>
            <w:tcW w:w="7460" w:type="dxa"/>
            <w:vAlign w:val="bottom"/>
            <w:gridSpan w:val="28"/>
          </w:tcPr>
          <w:p>
            <w:pPr>
              <w:spacing w:after="0"/>
              <w:rPr>
                <w:sz w:val="17"/>
                <w:szCs w:val="17"/>
                <w:color w:val="auto"/>
              </w:rPr>
            </w:pPr>
          </w:p>
        </w:tc>
      </w:tr>
      <w:tr>
        <w:trPr>
          <w:trHeight w:val="372"/>
        </w:trPr>
        <w:tc>
          <w:tcPr>
            <w:tcW w:w="580" w:type="dxa"/>
            <w:vAlign w:val="bottom"/>
          </w:tcPr>
          <w:p>
            <w:pPr>
              <w:spacing w:after="0"/>
              <w:rPr>
                <w:sz w:val="20"/>
                <w:szCs w:val="20"/>
                <w:color w:val="auto"/>
              </w:rPr>
            </w:pPr>
            <w:r>
              <w:rPr>
                <w:rFonts w:ascii="Arial" w:cs="Arial" w:eastAsia="Arial" w:hAnsi="Arial"/>
                <w:sz w:val="18"/>
                <w:szCs w:val="18"/>
                <w:color w:val="auto"/>
              </w:rPr>
              <w:t>10.184</w:t>
            </w:r>
          </w:p>
        </w:tc>
        <w:tc>
          <w:tcPr>
            <w:tcW w:w="800" w:type="dxa"/>
            <w:vAlign w:val="bottom"/>
          </w:tcPr>
          <w:p>
            <w:pPr>
              <w:spacing w:after="0"/>
              <w:rPr>
                <w:sz w:val="24"/>
                <w:szCs w:val="24"/>
                <w:color w:val="auto"/>
              </w:rPr>
            </w:pPr>
          </w:p>
        </w:tc>
        <w:tc>
          <w:tcPr>
            <w:tcW w:w="9580" w:type="dxa"/>
            <w:vAlign w:val="bottom"/>
            <w:tcBorders>
              <w:bottom w:val="single" w:sz="8" w:color="0000FF"/>
            </w:tcBorders>
            <w:gridSpan w:val="18"/>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Amended Appendix A (Building List) to Lease Agreement between Erie Insurance Exchange and Erie Indemnity Company effective</w:t>
              </w:r>
            </w:hyperlink>
          </w:p>
        </w:tc>
        <w:tc>
          <w:tcPr>
            <w:tcW w:w="360" w:type="dxa"/>
            <w:vAlign w:val="bottom"/>
            <w:gridSpan w:val="14"/>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0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January 1, 2017, dated October 25, 2017. Such exhibit is incorporated by reference to the like titled exhibit in the Registrant’s Form 10-Q</w:t>
              </w:r>
            </w:hyperlink>
          </w:p>
        </w:tc>
        <w:tc>
          <w:tcPr>
            <w:tcW w:w="4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1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that was filed with the Commission on October 26, 2017.</w:t>
              </w:r>
            </w:hyperlink>
          </w:p>
        </w:tc>
        <w:tc>
          <w:tcPr>
            <w:tcW w:w="5820" w:type="dxa"/>
            <w:vAlign w:val="bottom"/>
            <w:gridSpan w:val="2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60"/>
          </w:cols>
          <w:pgMar w:left="240" w:top="121" w:right="29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940" w:type="dxa"/>
            <w:vAlign w:val="bottom"/>
            <w:gridSpan w:val="31"/>
          </w:tcPr>
          <w:p>
            <w:pPr>
              <w:spacing w:after="0"/>
              <w:rPr>
                <w:sz w:val="20"/>
                <w:szCs w:val="20"/>
                <w:color w:val="auto"/>
              </w:rPr>
            </w:pPr>
            <w:r>
              <w:rPr>
                <w:rFonts w:ascii="Arial" w:cs="Arial" w:eastAsia="Arial" w:hAnsi="Arial"/>
                <w:sz w:val="18"/>
                <w:szCs w:val="18"/>
                <w:color w:val="auto"/>
              </w:rPr>
              <w:t>Description of Exhibit</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10.185</w:t>
            </w:r>
          </w:p>
        </w:tc>
        <w:tc>
          <w:tcPr>
            <w:tcW w:w="800" w:type="dxa"/>
            <w:vAlign w:val="bottom"/>
          </w:tcPr>
          <w:p>
            <w:pPr>
              <w:spacing w:after="0"/>
              <w:rPr>
                <w:sz w:val="24"/>
                <w:szCs w:val="24"/>
                <w:color w:val="auto"/>
              </w:rPr>
            </w:pPr>
          </w:p>
        </w:tc>
        <w:tc>
          <w:tcPr>
            <w:tcW w:w="9320" w:type="dxa"/>
            <w:vAlign w:val="bottom"/>
            <w:tcBorders>
              <w:bottom w:val="single" w:sz="8" w:color="0000FF"/>
            </w:tcBorders>
            <w:gridSpan w:val="17"/>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Third Amendment to Erie Insurance Group Employee Savings Plan (As Amended and Restated Effective January 1, 2015), dated</w:t>
              </w:r>
            </w:hyperlink>
          </w:p>
        </w:tc>
        <w:tc>
          <w:tcPr>
            <w:tcW w:w="62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December 20, 2017. Such exhibit is incorporated by reference to the like titled exhibit in the Registrant’s Form 10-K that was filed with</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76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the Commission on February 22, 2018.</w:t>
              </w:r>
            </w:hyperlink>
          </w:p>
        </w:tc>
        <w:tc>
          <w:tcPr>
            <w:tcW w:w="180" w:type="dxa"/>
            <w:vAlign w:val="bottom"/>
            <w:gridSpan w:val="6"/>
          </w:tcPr>
          <w:p>
            <w:pPr>
              <w:spacing w:after="0"/>
              <w:rPr>
                <w:sz w:val="17"/>
                <w:szCs w:val="17"/>
                <w:color w:val="auto"/>
              </w:rPr>
            </w:pPr>
          </w:p>
        </w:tc>
      </w:tr>
      <w:tr>
        <w:trPr>
          <w:trHeight w:val="20"/>
        </w:trPr>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10.186</w:t>
            </w:r>
          </w:p>
        </w:tc>
        <w:tc>
          <w:tcPr>
            <w:tcW w:w="80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Fourth Amendment to Erie Insurance Group Retirement Plan for Employees (As Amended and Restated Effective December 31, 2014),</w:t>
              </w:r>
            </w:hyperlink>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4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dated December 20, 2017. Such exhibit is incorporated by reference to the like titled exhibit in the Registrant’s Form 10-K that was filed</w:t>
              </w:r>
            </w:hyperlink>
          </w:p>
        </w:tc>
        <w:tc>
          <w:tcPr>
            <w:tcW w:w="10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with the Commission on February 22, 2018.</w:t>
              </w:r>
            </w:hyperlink>
          </w:p>
        </w:tc>
        <w:tc>
          <w:tcPr>
            <w:tcW w:w="6760" w:type="dxa"/>
            <w:vAlign w:val="bottom"/>
            <w:gridSpan w:val="22"/>
          </w:tcPr>
          <w:p>
            <w:pPr>
              <w:spacing w:after="0"/>
              <w:rPr>
                <w:sz w:val="17"/>
                <w:szCs w:val="17"/>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10.187</w:t>
            </w:r>
          </w:p>
        </w:tc>
        <w:tc>
          <w:tcPr>
            <w:tcW w:w="800" w:type="dxa"/>
            <w:vAlign w:val="bottom"/>
          </w:tcPr>
          <w:p>
            <w:pPr>
              <w:spacing w:after="0"/>
              <w:rPr>
                <w:sz w:val="24"/>
                <w:szCs w:val="24"/>
                <w:color w:val="auto"/>
              </w:rPr>
            </w:pPr>
          </w:p>
        </w:tc>
        <w:tc>
          <w:tcPr>
            <w:tcW w:w="9440" w:type="dxa"/>
            <w:vAlign w:val="bottom"/>
            <w:tcBorders>
              <w:bottom w:val="single" w:sz="8" w:color="0000FF"/>
            </w:tcBorders>
            <w:gridSpan w:val="18"/>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First Amendment to Credit Agreement by and between Erie Indemnity Company and PNC Bank, National Association, dated as of</w:t>
              </w:r>
            </w:hyperlink>
          </w:p>
        </w:tc>
        <w:tc>
          <w:tcPr>
            <w:tcW w:w="50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December 13, 2016. Such exhibit is incorporated by reference to the like titled exhibit in the Registrant's Form 8-K that was filed with the</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Commission on January 24, 2018.</w:t>
              </w:r>
            </w:hyperlink>
          </w:p>
        </w:tc>
        <w:tc>
          <w:tcPr>
            <w:tcW w:w="7460" w:type="dxa"/>
            <w:vAlign w:val="bottom"/>
            <w:tcBorders>
              <w:top w:val="single" w:sz="8" w:color="0000FF"/>
            </w:tcBorders>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10.188</w:t>
            </w:r>
          </w:p>
        </w:tc>
        <w:tc>
          <w:tcPr>
            <w:tcW w:w="800" w:type="dxa"/>
            <w:vAlign w:val="bottom"/>
          </w:tcPr>
          <w:p>
            <w:pPr>
              <w:spacing w:after="0"/>
              <w:rPr>
                <w:sz w:val="24"/>
                <w:szCs w:val="24"/>
                <w:color w:val="auto"/>
              </w:rPr>
            </w:pPr>
          </w:p>
        </w:tc>
        <w:tc>
          <w:tcPr>
            <w:tcW w:w="9640" w:type="dxa"/>
            <w:vAlign w:val="bottom"/>
            <w:tcBorders>
              <w:bottom w:val="single" w:sz="8" w:color="0000FF"/>
            </w:tcBorders>
            <w:gridSpan w:val="22"/>
          </w:tcPr>
          <w:p>
            <w:pP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Second Amendment to Credit Agreement by and between Erie Indemnity Company and PNC Bank, National Association, dated as of</w:t>
              </w:r>
            </w:hyperlink>
          </w:p>
        </w:tc>
        <w:tc>
          <w:tcPr>
            <w:tcW w:w="300" w:type="dxa"/>
            <w:vAlign w:val="bottom"/>
            <w:gridSpan w:val="9"/>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January 22, 2018. Such exhibit is incorporated by reference to the like titled exhibit in the Registrant's Form 8-K that was filed with the</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6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Commission on January 24, 2018.</w:t>
              </w:r>
            </w:hyperlink>
          </w:p>
        </w:tc>
        <w:tc>
          <w:tcPr>
            <w:tcW w:w="7280" w:type="dxa"/>
            <w:vAlign w:val="bottom"/>
            <w:tcBorders>
              <w:top w:val="single" w:sz="8" w:color="0000FF"/>
            </w:tcBorders>
            <w:gridSpan w:val="19"/>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10.190</w:t>
            </w:r>
          </w:p>
        </w:tc>
        <w:tc>
          <w:tcPr>
            <w:tcW w:w="800" w:type="dxa"/>
            <w:vAlign w:val="bottom"/>
          </w:tcPr>
          <w:p>
            <w:pPr>
              <w:spacing w:after="0"/>
              <w:rPr>
                <w:sz w:val="24"/>
                <w:szCs w:val="24"/>
                <w:color w:val="auto"/>
              </w:rPr>
            </w:pPr>
          </w:p>
        </w:tc>
        <w:tc>
          <w:tcPr>
            <w:tcW w:w="9940" w:type="dxa"/>
            <w:vAlign w:val="bottom"/>
            <w:tcBorders>
              <w:bottom w:val="single" w:sz="8" w:color="0000FF"/>
            </w:tcBorders>
            <w:gridSpan w:val="31"/>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Fourth Amendment to Erie Insurance Group Employee Savings Plan (As Amended and Restated Effective January 1, 2015), dated May 2,</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2018. Such exhibit is incorporated by reference to the like titled exhibit in the Registrant’s Form 10-Q that was filed with the Commission</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on July 26, 2018.</w:t>
              </w:r>
            </w:hyperlink>
          </w:p>
        </w:tc>
        <w:tc>
          <w:tcPr>
            <w:tcW w:w="8700" w:type="dxa"/>
            <w:vAlign w:val="bottom"/>
            <w:gridSpan w:val="29"/>
          </w:tcPr>
          <w:p>
            <w:pPr>
              <w:spacing w:after="0"/>
              <w:rPr>
                <w:sz w:val="17"/>
                <w:szCs w:val="17"/>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10.191</w:t>
            </w:r>
          </w:p>
        </w:tc>
        <w:tc>
          <w:tcPr>
            <w:tcW w:w="800" w:type="dxa"/>
            <w:vAlign w:val="bottom"/>
          </w:tcPr>
          <w:p>
            <w:pPr>
              <w:spacing w:after="0"/>
              <w:rPr>
                <w:sz w:val="24"/>
                <w:szCs w:val="24"/>
                <w:color w:val="auto"/>
              </w:rPr>
            </w:pPr>
          </w:p>
        </w:tc>
        <w:tc>
          <w:tcPr>
            <w:tcW w:w="9040" w:type="dxa"/>
            <w:vAlign w:val="bottom"/>
            <w:tcBorders>
              <w:bottom w:val="single" w:sz="8" w:color="0000FF"/>
            </w:tcBorders>
            <w:gridSpan w:val="16"/>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Retirement Agreement between Erie Indemnity Company and Sean J. McLaughlin dated September 26, 2018. Such exhibit is</w:t>
              </w:r>
            </w:hyperlink>
          </w:p>
        </w:tc>
        <w:tc>
          <w:tcPr>
            <w:tcW w:w="90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incorporated by reference to the like titled exhibit in the Registrant's Form 8-K that was filed with the Commission on September 28,</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58">
              <w:r>
                <w:rPr>
                  <w:rFonts w:ascii="Arial" w:cs="Arial" w:eastAsia="Arial" w:hAnsi="Arial"/>
                  <w:sz w:val="18"/>
                  <w:szCs w:val="18"/>
                  <w:color w:val="0000FF"/>
                  <w:w w:val="84"/>
                </w:rPr>
                <w:t>2018.</w:t>
              </w:r>
            </w:hyperlink>
          </w:p>
        </w:tc>
        <w:tc>
          <w:tcPr>
            <w:tcW w:w="8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10.192</w:t>
            </w:r>
          </w:p>
        </w:tc>
        <w:tc>
          <w:tcPr>
            <w:tcW w:w="800" w:type="dxa"/>
            <w:vAlign w:val="bottom"/>
          </w:tcPr>
          <w:p>
            <w:pPr>
              <w:spacing w:after="0"/>
              <w:rPr>
                <w:sz w:val="24"/>
                <w:szCs w:val="24"/>
                <w:color w:val="auto"/>
              </w:rPr>
            </w:pPr>
          </w:p>
        </w:tc>
        <w:tc>
          <w:tcPr>
            <w:tcW w:w="9580" w:type="dxa"/>
            <w:vAlign w:val="bottom"/>
            <w:tcBorders>
              <w:bottom w:val="single" w:sz="8" w:color="0000FF"/>
            </w:tcBorders>
            <w:gridSpan w:val="20"/>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Second Amended and Restated Credit Agreement among JPMorgan Chase Bank, National Association, as Administrative Agent; the</w:t>
              </w:r>
            </w:hyperlink>
          </w:p>
        </w:tc>
        <w:tc>
          <w:tcPr>
            <w:tcW w:w="360" w:type="dxa"/>
            <w:vAlign w:val="bottom"/>
            <w:gridSpan w:val="11"/>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8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Lenders named therein; and Erie Indemnity Company, dated October 30, 2018. Such exhibit is incorporated by reference to the like titled</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exhibit in the Registrant's Form 8-K that was filed with the Commission on November 2, 2018.</w:t>
              </w:r>
            </w:hyperlink>
          </w:p>
        </w:tc>
      </w:tr>
      <w:tr>
        <w:trPr>
          <w:trHeight w:val="20"/>
        </w:trPr>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10.193</w:t>
            </w:r>
          </w:p>
        </w:tc>
        <w:tc>
          <w:tcPr>
            <w:tcW w:w="80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color w:val="0000FF"/>
                <w:w w:val="95"/>
              </w:rPr>
            </w:pPr>
            <w:hyperlink r:id="rId60">
              <w:r>
                <w:rPr>
                  <w:rFonts w:ascii="Arial" w:cs="Arial" w:eastAsia="Arial" w:hAnsi="Arial"/>
                  <w:sz w:val="18"/>
                  <w:szCs w:val="18"/>
                  <w:color w:val="0000FF"/>
                  <w:w w:val="95"/>
                </w:rPr>
                <w:t>Third Amendment to Credit Agreement by and between Erie Indemnity Company and PNC Bank, National Association, dated as of</w:t>
              </w:r>
            </w:hyperlink>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November 13, 2018. Such exhibit is incorporated by reference to the like titled exhibit in the Registrant's Form 8-K that was filed with the</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6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Commission on November 14, 2018.</w:t>
              </w:r>
            </w:hyperlink>
          </w:p>
        </w:tc>
        <w:tc>
          <w:tcPr>
            <w:tcW w:w="7280" w:type="dxa"/>
            <w:vAlign w:val="bottom"/>
            <w:gridSpan w:val="24"/>
          </w:tcPr>
          <w:p>
            <w:pPr>
              <w:spacing w:after="0"/>
              <w:rPr>
                <w:sz w:val="17"/>
                <w:szCs w:val="17"/>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w w:val="90"/>
              </w:rPr>
              <w:t>10.194*</w:t>
            </w:r>
          </w:p>
        </w:tc>
        <w:tc>
          <w:tcPr>
            <w:tcW w:w="800" w:type="dxa"/>
            <w:vAlign w:val="bottom"/>
          </w:tcPr>
          <w:p>
            <w:pPr>
              <w:spacing w:after="0"/>
              <w:rPr>
                <w:sz w:val="24"/>
                <w:szCs w:val="24"/>
                <w:color w:val="auto"/>
              </w:rPr>
            </w:pPr>
          </w:p>
        </w:tc>
        <w:tc>
          <w:tcPr>
            <w:tcW w:w="966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Fifth Amendment to Erie Insurance Group Retirement Plan for Employees (As Amended and Restated Effective December 31, 2014),</w:t>
              </w:r>
            </w:hyperlink>
          </w:p>
        </w:tc>
        <w:tc>
          <w:tcPr>
            <w:tcW w:w="28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dated December 20, 2018.</w:t>
              </w:r>
            </w:hyperlink>
          </w:p>
        </w:tc>
      </w:tr>
      <w:tr>
        <w:trPr>
          <w:trHeight w:val="20"/>
        </w:trPr>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6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14.3</w:t>
            </w:r>
          </w:p>
        </w:tc>
        <w:tc>
          <w:tcPr>
            <w:tcW w:w="800" w:type="dxa"/>
            <w:vAlign w:val="bottom"/>
          </w:tcPr>
          <w:p>
            <w:pPr>
              <w:spacing w:after="0"/>
              <w:rPr>
                <w:sz w:val="24"/>
                <w:szCs w:val="24"/>
                <w:color w:val="auto"/>
              </w:rPr>
            </w:pPr>
          </w:p>
        </w:tc>
        <w:tc>
          <w:tcPr>
            <w:tcW w:w="9860" w:type="dxa"/>
            <w:vAlign w:val="bottom"/>
            <w:tcBorders>
              <w:bottom w:val="single" w:sz="8" w:color="0000FF"/>
            </w:tcBorders>
            <w:gridSpan w:val="28"/>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Code of Conduct. Such exhibit is incorporated by reference to the like titled exhibit in the Registrant’s Form 10-K that was filed with the</w:t>
              </w:r>
            </w:hyperlink>
          </w:p>
        </w:tc>
        <w:tc>
          <w:tcPr>
            <w:tcW w:w="8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940" w:type="dxa"/>
            <w:vAlign w:val="bottom"/>
            <w:gridSpan w:val="31"/>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Commission on February 25, 2016.</w:t>
              </w:r>
            </w:hyperlink>
          </w:p>
        </w:tc>
      </w:tr>
      <w:tr>
        <w:trPr>
          <w:trHeight w:val="20"/>
        </w:trPr>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gridSpan w:val="16"/>
          </w:tcPr>
          <w:p>
            <w:pPr>
              <w:spacing w:after="0" w:line="20" w:lineRule="exact"/>
              <w:rPr>
                <w:sz w:val="1"/>
                <w:szCs w:val="1"/>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14.4</w:t>
            </w:r>
          </w:p>
        </w:tc>
        <w:tc>
          <w:tcPr>
            <w:tcW w:w="800" w:type="dxa"/>
            <w:vAlign w:val="bottom"/>
          </w:tcPr>
          <w:p>
            <w:pPr>
              <w:spacing w:after="0"/>
              <w:rPr>
                <w:sz w:val="24"/>
                <w:szCs w:val="24"/>
                <w:color w:val="auto"/>
              </w:rPr>
            </w:pPr>
          </w:p>
        </w:tc>
        <w:tc>
          <w:tcPr>
            <w:tcW w:w="9940" w:type="dxa"/>
            <w:vAlign w:val="bottom"/>
            <w:tcBorders>
              <w:bottom w:val="single" w:sz="8" w:color="0000FF"/>
            </w:tcBorders>
            <w:gridSpan w:val="31"/>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Code of Ethics for Senior Financial Officers. Such exhibit is incorporated by reference to the like titled exhibit in the Registrant’s Form 8-</w:t>
              </w:r>
            </w:hyperlink>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K that was filed with the Commission on June 1, 2016.</w:t>
              </w:r>
            </w:hyperlink>
          </w:p>
        </w:tc>
        <w:tc>
          <w:tcPr>
            <w:tcW w:w="5980" w:type="dxa"/>
            <w:vAlign w:val="bottom"/>
            <w:gridSpan w:val="21"/>
          </w:tcPr>
          <w:p>
            <w:pPr>
              <w:spacing w:after="0"/>
              <w:rPr>
                <w:sz w:val="17"/>
                <w:szCs w:val="17"/>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24"/>
                <w:szCs w:val="24"/>
                <w:color w:val="auto"/>
              </w:rPr>
            </w:pPr>
          </w:p>
        </w:tc>
        <w:tc>
          <w:tcPr>
            <w:tcW w:w="43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Consent of Independent Registered Public Accounting Firm.</w:t>
              </w:r>
            </w:hyperlink>
          </w:p>
        </w:tc>
        <w:tc>
          <w:tcPr>
            <w:tcW w:w="5580" w:type="dxa"/>
            <w:vAlign w:val="bottom"/>
            <w:gridSpan w:val="20"/>
          </w:tcPr>
          <w:p>
            <w:pPr>
              <w:spacing w:after="0"/>
              <w:rPr>
                <w:sz w:val="24"/>
                <w:szCs w:val="24"/>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80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Certification of Chief Executive Officer pursuant to Section 302 of the Sarbanes-Oxley Act of 2002.</w:t>
              </w:r>
            </w:hyperlink>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24"/>
                <w:szCs w:val="24"/>
                <w:color w:val="auto"/>
              </w:rPr>
            </w:pPr>
          </w:p>
        </w:tc>
        <w:tc>
          <w:tcPr>
            <w:tcW w:w="718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2"/>
              </w:rPr>
            </w:pPr>
            <w:hyperlink w:anchor="page97">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720" w:type="dxa"/>
            <w:vAlign w:val="bottom"/>
            <w:gridSpan w:val="17"/>
          </w:tcPr>
          <w:p>
            <w:pPr>
              <w:spacing w:after="0"/>
              <w:rPr>
                <w:sz w:val="24"/>
                <w:szCs w:val="24"/>
                <w:color w:val="auto"/>
              </w:rPr>
            </w:pPr>
          </w:p>
        </w:tc>
      </w:tr>
      <w:tr>
        <w:trPr>
          <w:trHeight w:val="372"/>
        </w:trPr>
        <w:tc>
          <w:tcPr>
            <w:tcW w:w="60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9940" w:type="dxa"/>
            <w:vAlign w:val="bottom"/>
            <w:gridSpan w:val="31"/>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Certification pursuant to 18 U.S.C. Section 1350, as adopted pursuant to Section 906 of the Sarbanes-Oxley Act of 2002.</w:t>
              </w:r>
            </w:hyperlink>
          </w:p>
        </w:tc>
      </w:tr>
      <w:tr>
        <w:trPr>
          <w:trHeight w:val="412"/>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7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XBRL Instance Document.</w:t>
            </w:r>
          </w:p>
        </w:tc>
        <w:tc>
          <w:tcPr>
            <w:tcW w:w="1240" w:type="dxa"/>
            <w:vAlign w:val="bottom"/>
            <w:gridSpan w:val="16"/>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31"/>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3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3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3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3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0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60"/>
          </w:cols>
          <w:pgMar w:left="240" w:top="121" w:right="29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u w:val="single" w:color="auto"/>
          <w:color w:val="auto"/>
        </w:rPr>
        <w:t>SIGNATURES</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February 21, 2019</w:t>
            </w:r>
          </w:p>
        </w:tc>
        <w:tc>
          <w:tcPr>
            <w:tcW w:w="6040" w:type="dxa"/>
            <w:vAlign w:val="bottom"/>
          </w:tcPr>
          <w:p>
            <w:pPr>
              <w:jc w:val="center"/>
              <w:spacing w:after="0"/>
              <w:rPr>
                <w:sz w:val="20"/>
                <w:szCs w:val="20"/>
                <w:color w:val="auto"/>
              </w:rPr>
            </w:pPr>
            <w:r>
              <w:rPr>
                <w:rFonts w:ascii="Arial" w:cs="Arial" w:eastAsia="Arial" w:hAnsi="Arial"/>
                <w:sz w:val="18"/>
                <w:szCs w:val="18"/>
                <w:color w:val="auto"/>
                <w:w w:val="99"/>
              </w:rPr>
              <w:t>ERIE INDEMNITY COMPANY</w:t>
            </w:r>
          </w:p>
        </w:tc>
      </w:tr>
      <w:tr>
        <w:trPr>
          <w:trHeight w:val="270"/>
        </w:trPr>
        <w:tc>
          <w:tcPr>
            <w:tcW w:w="2380" w:type="dxa"/>
            <w:vAlign w:val="bottom"/>
          </w:tcPr>
          <w:p>
            <w:pPr>
              <w:spacing w:after="0"/>
              <w:rPr>
                <w:sz w:val="23"/>
                <w:szCs w:val="23"/>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540"/>
        </w:trPr>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6040" w:type="dxa"/>
            <w:vAlign w:val="bottom"/>
          </w:tcPr>
          <w:p>
            <w:pPr>
              <w:jc w:val="center"/>
              <w:spacing w:after="0"/>
              <w:rPr>
                <w:sz w:val="20"/>
                <w:szCs w:val="20"/>
                <w:color w:val="auto"/>
              </w:rPr>
            </w:pPr>
            <w:r>
              <w:rPr>
                <w:rFonts w:ascii="Arial" w:cs="Arial" w:eastAsia="Arial" w:hAnsi="Arial"/>
                <w:sz w:val="18"/>
                <w:szCs w:val="18"/>
                <w:color w:val="auto"/>
                <w:w w:val="91"/>
              </w:rPr>
              <w:t>/s/ Timothy G. NeCastro</w:t>
            </w:r>
          </w:p>
        </w:tc>
      </w:tr>
      <w:tr>
        <w:trPr>
          <w:trHeight w:val="27"/>
        </w:trPr>
        <w:tc>
          <w:tcPr>
            <w:tcW w:w="238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70"/>
        </w:trPr>
        <w:tc>
          <w:tcPr>
            <w:tcW w:w="2380" w:type="dxa"/>
            <w:vAlign w:val="bottom"/>
          </w:tcPr>
          <w:p>
            <w:pPr>
              <w:spacing w:after="0"/>
              <w:rPr>
                <w:sz w:val="23"/>
                <w:szCs w:val="23"/>
                <w:color w:val="auto"/>
              </w:rPr>
            </w:pPr>
          </w:p>
        </w:tc>
        <w:tc>
          <w:tcPr>
            <w:tcW w:w="60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February 21, 2019</w:t>
            </w: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/s/ Timothy G. NeCastro</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Timothy G. NeCastro, President and CEO</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40"/>
        </w:trPr>
        <w:tc>
          <w:tcPr>
            <w:tcW w:w="23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/s/ Gregory J. Gutting</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0"/>
              </w:rPr>
              <w:t>Gregory J. Gutting, Executive Vice President and CFO</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540"/>
        </w:trPr>
        <w:tc>
          <w:tcPr>
            <w:tcW w:w="23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3"/>
              </w:rPr>
              <w:t>/s/ Julie M. Pelkowski</w:t>
            </w:r>
          </w:p>
        </w:tc>
      </w:tr>
      <w:tr>
        <w:trPr>
          <w:trHeight w:val="27"/>
        </w:trPr>
        <w:tc>
          <w:tcPr>
            <w:tcW w:w="23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2"/>
              </w:rPr>
              <w:t>Julie M. Pelkowski, Senior Vice President and Controller</w:t>
            </w:r>
          </w:p>
        </w:tc>
      </w:tr>
      <w:tr>
        <w:trPr>
          <w:trHeight w:val="270"/>
        </w:trPr>
        <w:tc>
          <w:tcPr>
            <w:tcW w:w="2380" w:type="dxa"/>
            <w:vAlign w:val="bottom"/>
          </w:tcPr>
          <w:p>
            <w:pPr>
              <w:spacing w:after="0"/>
              <w:rPr>
                <w:sz w:val="23"/>
                <w:szCs w:val="23"/>
                <w:color w:val="auto"/>
              </w:rPr>
            </w:pPr>
          </w:p>
        </w:tc>
        <w:tc>
          <w:tcPr>
            <w:tcW w:w="602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bl>
    <w:p>
      <w:pPr>
        <w:spacing w:after="0" w:line="200" w:lineRule="exact"/>
        <w:rPr>
          <w:sz w:val="20"/>
          <w:szCs w:val="20"/>
          <w:color w:val="auto"/>
        </w:rPr>
      </w:pP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Ralph Borneman,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 Ralph Borneman, Jr.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Eugene C. 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Eugene C. Connell</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Salvatore Correnti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Salvatore Correnti</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LuAnn Datesh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LuAnn Datesh</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Jonathan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Jonathan Hirt Hagen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B.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Thomas B. Hagen, Chairman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 Scott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 Scott Hartz</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38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Brian A. Hudson,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Brian A. Hudson, Sr.</w:t>
      </w:r>
    </w:p>
    <w:p>
      <w:pPr>
        <w:spacing w:after="0" w:line="34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Claude C. Lilly,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31750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Claude C. Lilly, III</w:t>
      </w:r>
    </w:p>
    <w:p>
      <w:pPr>
        <w:spacing w:after="0" w:line="33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George R. Lucore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31750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George R. Lucore</w:t>
      </w:r>
    </w:p>
    <w:p>
      <w:pPr>
        <w:spacing w:after="0" w:line="33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31750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3100"/>
        <w:spacing w:after="0"/>
        <w:rPr>
          <w:sz w:val="20"/>
          <w:szCs w:val="20"/>
          <w:color w:val="auto"/>
        </w:rPr>
      </w:pPr>
      <w:r>
        <w:rPr>
          <w:rFonts w:ascii="Arial" w:cs="Arial" w:eastAsia="Arial" w:hAnsi="Arial"/>
          <w:sz w:val="17"/>
          <w:szCs w:val="17"/>
          <w:color w:val="auto"/>
        </w:rPr>
        <w:t>Thomas W. Palmer</w:t>
      </w:r>
    </w:p>
    <w:p>
      <w:pPr>
        <w:spacing w:after="0" w:line="34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Martin P. Sheffield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Martin P. Sheffield</w:t>
      </w:r>
    </w:p>
    <w:p>
      <w:pPr>
        <w:spacing w:after="0" w:line="33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 Elizabeth Hirt Vorsheck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736600</wp:posOffset>
            </wp:positionH>
            <wp:positionV relativeFrom="paragraph">
              <wp:posOffset>31750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Elizabeth Hirt Vorsheck</w:t>
      </w:r>
    </w:p>
    <w:p>
      <w:pPr>
        <w:spacing w:after="0" w:line="1023" w:lineRule="exact"/>
        <w:rPr>
          <w:sz w:val="20"/>
          <w:szCs w:val="20"/>
          <w:color w:val="auto"/>
        </w:rPr>
      </w:pPr>
    </w:p>
    <w:p>
      <w:pPr>
        <w:sectPr>
          <w:pgSz w:w="11900" w:h="16838" w:orient="portrait"/>
          <w:cols w:equalWidth="0" w:num="2">
            <w:col w:w="4300" w:space="720"/>
            <w:col w:w="6220"/>
          </w:cols>
          <w:pgMar w:left="240" w:top="122" w:right="419" w:bottom="1440" w:gutter="0" w:footer="0" w:header="0"/>
          <w:type w:val="continuous"/>
        </w:sectPr>
      </w:pP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40"/>
          </w:cols>
          <w:pgMar w:left="240" w:top="122" w:right="41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10.194</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FIFTH AMENDMENT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ERIE INSURANCE GROUP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RETIREMENT PLAN FOR EMPLOYEES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December 31, 2014)</w:t>
      </w:r>
    </w:p>
    <w:p>
      <w:pPr>
        <w:spacing w:after="0" w:line="200" w:lineRule="exact"/>
        <w:rPr>
          <w:sz w:val="20"/>
          <w:szCs w:val="20"/>
          <w:color w:val="auto"/>
        </w:rPr>
      </w:pPr>
    </w:p>
    <w:p>
      <w:pPr>
        <w:spacing w:after="0" w:line="299" w:lineRule="exact"/>
        <w:rPr>
          <w:sz w:val="20"/>
          <w:szCs w:val="20"/>
          <w:color w:val="auto"/>
        </w:rPr>
      </w:pPr>
    </w:p>
    <w:p>
      <w:pPr>
        <w:ind w:right="980" w:firstLine="648"/>
        <w:spacing w:after="0" w:line="287" w:lineRule="auto"/>
        <w:rPr>
          <w:sz w:val="20"/>
          <w:szCs w:val="20"/>
          <w:color w:val="auto"/>
        </w:rPr>
      </w:pPr>
      <w:r>
        <w:rPr>
          <w:rFonts w:ascii="Arial" w:cs="Arial" w:eastAsia="Arial" w:hAnsi="Arial"/>
          <w:sz w:val="21"/>
          <w:szCs w:val="21"/>
          <w:color w:val="auto"/>
        </w:rPr>
        <w:t>WHEREAS, Erie Indemnity Company (the “Company”) maintains the Erie Insurance Group Retirement Plan for Employees (the “Plan”) under an amendment and restatement effective December 31, 2014;</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Plan provides that the Company may amend the Plan; and</w:t>
      </w:r>
    </w:p>
    <w:p>
      <w:pPr>
        <w:spacing w:after="0" w:line="26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WHEREAS, the Company wishes to amend the Plan effective December 31, 2017 to clarify the determination of Total and Permanent Disability under the Plan.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Company hereby amends the Plan as follows:</w:t>
      </w:r>
    </w:p>
    <w:p>
      <w:pPr>
        <w:spacing w:after="0" w:line="26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Section 2.36 of the Plan is amended and restated in its entirety to read as follows, effective December 31, 2017:</w:t>
      </w:r>
    </w:p>
    <w:p>
      <w:pPr>
        <w:spacing w:after="0" w:line="325" w:lineRule="exact"/>
        <w:rPr>
          <w:rFonts w:ascii="Arial" w:cs="Arial" w:eastAsia="Arial" w:hAnsi="Arial"/>
          <w:sz w:val="21"/>
          <w:szCs w:val="21"/>
          <w:color w:val="auto"/>
        </w:rPr>
      </w:pPr>
    </w:p>
    <w:p>
      <w:pPr>
        <w:ind w:left="1300" w:right="20" w:hanging="648"/>
        <w:spacing w:after="0" w:line="476" w:lineRule="auto"/>
        <w:rPr>
          <w:rFonts w:ascii="Arial" w:cs="Arial" w:eastAsia="Arial" w:hAnsi="Arial"/>
          <w:sz w:val="21"/>
          <w:szCs w:val="21"/>
          <w:color w:val="auto"/>
        </w:rPr>
      </w:pPr>
      <w:r>
        <w:rPr>
          <w:rFonts w:ascii="Arial" w:cs="Arial" w:eastAsia="Arial" w:hAnsi="Arial"/>
          <w:sz w:val="19"/>
          <w:szCs w:val="19"/>
          <w:color w:val="auto"/>
        </w:rPr>
        <w:t>2.36 “Total and Permanent Disability” shall mean such condition of disability which results in a Covered Employee being eligible for disability benefits under the Erie Insurance Group Long Term Disability Income Benefits Program.</w:t>
      </w:r>
    </w:p>
    <w:p>
      <w:pPr>
        <w:spacing w:after="0" w:line="92" w:lineRule="exact"/>
        <w:rPr>
          <w:rFonts w:ascii="Arial" w:cs="Arial" w:eastAsia="Arial" w:hAnsi="Arial"/>
          <w:sz w:val="21"/>
          <w:szCs w:val="21"/>
          <w:color w:val="auto"/>
        </w:rPr>
      </w:pPr>
    </w:p>
    <w:p>
      <w:pPr>
        <w:ind w:left="660" w:right="1220" w:hanging="652"/>
        <w:spacing w:after="0" w:line="507"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Section 5.3 of the Plan is amended and restated in its entirety to read as follows, effective December 31, 2017: 5.3 </w:t>
      </w:r>
      <w:r>
        <w:rPr>
          <w:rFonts w:ascii="Arial" w:cs="Arial" w:eastAsia="Arial" w:hAnsi="Arial"/>
          <w:sz w:val="22"/>
          <w:szCs w:val="22"/>
          <w:u w:val="single" w:color="auto"/>
          <w:color w:val="auto"/>
        </w:rPr>
        <w:t>Disability Retirement</w:t>
      </w:r>
    </w:p>
    <w:p>
      <w:pPr>
        <w:spacing w:after="0" w:line="25" w:lineRule="exact"/>
        <w:rPr>
          <w:sz w:val="20"/>
          <w:szCs w:val="20"/>
          <w:color w:val="auto"/>
        </w:rPr>
      </w:pPr>
    </w:p>
    <w:p>
      <w:pPr>
        <w:ind w:left="1300" w:right="80"/>
        <w:spacing w:after="0" w:line="382" w:lineRule="auto"/>
        <w:rPr>
          <w:sz w:val="20"/>
          <w:szCs w:val="20"/>
          <w:color w:val="auto"/>
        </w:rPr>
      </w:pPr>
      <w:r>
        <w:rPr>
          <w:rFonts w:ascii="Arial" w:cs="Arial" w:eastAsia="Arial" w:hAnsi="Arial"/>
          <w:sz w:val="21"/>
          <w:szCs w:val="21"/>
          <w:color w:val="auto"/>
        </w:rPr>
        <w:t>A Participant whose status as a Covered Employee is terminated due to his Total and Permanent Disability after 15 or more years of Credited Service, and who is receiving disability benefits under the Erie Insurance Group Long Term Disability Income Benefits Program, shall be eligible for a disability retirement pension in an amount as provided in Section 6.3 hereof beginning at his Normal Retirement Date or later disability retirement date providing he remains subject to a Total and Permanent Disability and receives said disability income benefits continuously through his Normal Retirement Age or later disability retirement date.</w:t>
      </w:r>
    </w:p>
    <w:p>
      <w:pPr>
        <w:spacing w:after="0" w:line="34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 * * * * * *</w:t>
      </w:r>
    </w:p>
    <w:p>
      <w:pPr>
        <w:sectPr>
          <w:pgSz w:w="11900" w:h="16838" w:orient="portrait"/>
          <w:cols w:equalWidth="0" w:num="1">
            <w:col w:w="11420"/>
          </w:cols>
          <w:pgMar w:left="240" w:top="382"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has caused this Amendment to be executed this 20th day of December, 2018.</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3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080" w:type="dxa"/>
            <w:vAlign w:val="bottom"/>
          </w:tcPr>
          <w:p>
            <w:pPr>
              <w:ind w:left="40"/>
              <w:spacing w:after="0"/>
              <w:rPr>
                <w:sz w:val="20"/>
                <w:szCs w:val="20"/>
                <w:color w:val="auto"/>
              </w:rPr>
            </w:pPr>
            <w:r>
              <w:rPr>
                <w:rFonts w:ascii="Arial" w:cs="Arial" w:eastAsia="Arial" w:hAnsi="Arial"/>
                <w:sz w:val="22"/>
                <w:szCs w:val="22"/>
                <w:color w:val="auto"/>
              </w:rPr>
              <w:t>ERIE INDEMNITY COMPANY</w:t>
            </w:r>
          </w:p>
        </w:tc>
      </w:tr>
      <w:tr>
        <w:trPr>
          <w:trHeight w:val="459"/>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ATTEST:</w:t>
            </w:r>
          </w:p>
        </w:tc>
        <w:tc>
          <w:tcPr>
            <w:tcW w:w="4080" w:type="dxa"/>
            <w:vAlign w:val="bottom"/>
          </w:tcPr>
          <w:p>
            <w:pPr>
              <w:spacing w:after="0"/>
              <w:rPr>
                <w:sz w:val="24"/>
                <w:szCs w:val="24"/>
                <w:color w:val="auto"/>
              </w:rPr>
            </w:pPr>
          </w:p>
        </w:tc>
      </w:tr>
      <w:tr>
        <w:trPr>
          <w:trHeight w:val="537"/>
        </w:trPr>
        <w:tc>
          <w:tcPr>
            <w:tcW w:w="6660" w:type="dxa"/>
            <w:vAlign w:val="bottom"/>
            <w:gridSpan w:val="2"/>
          </w:tcPr>
          <w:p>
            <w:pPr>
              <w:ind w:left="40"/>
              <w:spacing w:after="0"/>
              <w:rPr>
                <w:sz w:val="20"/>
                <w:szCs w:val="20"/>
                <w:color w:val="auto"/>
              </w:rPr>
            </w:pPr>
            <w:r>
              <w:rPr>
                <w:rFonts w:ascii="Arial" w:cs="Arial" w:eastAsia="Arial" w:hAnsi="Arial"/>
                <w:sz w:val="22"/>
                <w:szCs w:val="22"/>
                <w:color w:val="auto"/>
              </w:rPr>
              <w:t>/s/ William D. Gheres</w:t>
            </w:r>
          </w:p>
        </w:tc>
        <w:tc>
          <w:tcPr>
            <w:tcW w:w="4080" w:type="dxa"/>
            <w:vAlign w:val="bottom"/>
          </w:tcPr>
          <w:p>
            <w:pPr>
              <w:ind w:left="40"/>
              <w:spacing w:after="0"/>
              <w:rPr>
                <w:sz w:val="20"/>
                <w:szCs w:val="20"/>
                <w:color w:val="auto"/>
              </w:rPr>
            </w:pPr>
            <w:r>
              <w:rPr>
                <w:rFonts w:ascii="Arial" w:cs="Arial" w:eastAsia="Arial" w:hAnsi="Arial"/>
                <w:sz w:val="22"/>
                <w:szCs w:val="22"/>
                <w:color w:val="auto"/>
              </w:rPr>
              <w:t>By: /s/ Gregory Gutting</w:t>
            </w:r>
          </w:p>
        </w:tc>
      </w:tr>
      <w:tr>
        <w:trPr>
          <w:trHeight w:val="280"/>
        </w:trPr>
        <w:tc>
          <w:tcPr>
            <w:tcW w:w="334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4080" w:type="dxa"/>
            <w:vAlign w:val="bottom"/>
            <w:tcBorders>
              <w:top w:val="single" w:sz="8" w:color="auto"/>
            </w:tcBorders>
          </w:tcPr>
          <w:p>
            <w:pPr>
              <w:ind w:left="620"/>
              <w:spacing w:after="0"/>
              <w:rPr>
                <w:sz w:val="20"/>
                <w:szCs w:val="20"/>
                <w:color w:val="auto"/>
              </w:rPr>
            </w:pPr>
            <w:r>
              <w:rPr>
                <w:rFonts w:ascii="Arial" w:cs="Arial" w:eastAsia="Arial" w:hAnsi="Arial"/>
                <w:sz w:val="22"/>
                <w:szCs w:val="22"/>
                <w:color w:val="auto"/>
              </w:rPr>
              <w:t>Gregory Gutting</w:t>
            </w:r>
          </w:p>
        </w:tc>
      </w:tr>
      <w:tr>
        <w:trPr>
          <w:trHeight w:val="783"/>
        </w:trPr>
        <w:tc>
          <w:tcPr>
            <w:tcW w:w="3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80" w:type="dxa"/>
            <w:vAlign w:val="bottom"/>
          </w:tcPr>
          <w:p>
            <w:pPr>
              <w:ind w:left="40"/>
              <w:spacing w:after="0"/>
              <w:rPr>
                <w:sz w:val="20"/>
                <w:szCs w:val="20"/>
                <w:color w:val="auto"/>
              </w:rPr>
            </w:pPr>
            <w:r>
              <w:rPr>
                <w:rFonts w:ascii="Arial" w:cs="Arial" w:eastAsia="Arial" w:hAnsi="Arial"/>
                <w:sz w:val="22"/>
                <w:szCs w:val="22"/>
                <w:color w:val="auto"/>
              </w:rPr>
              <w:t>Title: Executive Vice President &amp;</w:t>
            </w:r>
          </w:p>
        </w:tc>
      </w:tr>
      <w:tr>
        <w:trPr>
          <w:trHeight w:val="297"/>
        </w:trPr>
        <w:tc>
          <w:tcPr>
            <w:tcW w:w="3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80" w:type="dxa"/>
            <w:vAlign w:val="bottom"/>
          </w:tcPr>
          <w:p>
            <w:pPr>
              <w:ind w:left="52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00"/>
          </w:cols>
          <w:pgMar w:left="240" w:top="1003" w:right="559" w:bottom="1440" w:gutter="0" w:footer="0" w:header="0"/>
        </w:sectPr>
      </w:pPr>
    </w:p>
    <w:bookmarkStart w:id="94" w:name="page95"/>
    <w:bookmarkEnd w:id="94"/>
    <w:p>
      <w:pPr>
        <w:jc w:val="center"/>
        <w:ind w:right="-419"/>
        <w:spacing w:after="0"/>
        <w:rPr>
          <w:sz w:val="20"/>
          <w:szCs w:val="20"/>
          <w:color w:val="auto"/>
        </w:rPr>
      </w:pPr>
      <w:r>
        <w:rPr>
          <w:rFonts w:ascii="Arial" w:cs="Arial" w:eastAsia="Arial" w:hAnsi="Arial"/>
          <w:sz w:val="20"/>
          <w:szCs w:val="20"/>
          <w:b w:val="1"/>
          <w:bCs w:val="1"/>
          <w:color w:val="auto"/>
        </w:rPr>
        <w:t>Exhibit 23</w:t>
      </w:r>
    </w:p>
    <w:p>
      <w:pPr>
        <w:spacing w:after="0" w:line="22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580" w:hanging="329"/>
        <w:spacing w:after="0"/>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 (Form S-8 No. 333-218739) pertaining to the Erie Indemnity Company Incentive Compensation Deferral Plan,</w:t>
      </w:r>
    </w:p>
    <w:p>
      <w:pPr>
        <w:spacing w:after="0" w:line="34" w:lineRule="exact"/>
        <w:rPr>
          <w:rFonts w:ascii="Arial" w:cs="Arial" w:eastAsia="Arial" w:hAnsi="Arial"/>
          <w:sz w:val="17"/>
          <w:szCs w:val="17"/>
          <w:color w:val="auto"/>
        </w:rPr>
      </w:pPr>
    </w:p>
    <w:p>
      <w:pPr>
        <w:ind w:left="580" w:hanging="32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333-188244) pertaining to the Erie Indemnity Company Equity Compensation Plan,</w:t>
      </w:r>
    </w:p>
    <w:p>
      <w:pPr>
        <w:spacing w:after="0" w:line="9" w:lineRule="exact"/>
        <w:rPr>
          <w:rFonts w:ascii="Arial" w:cs="Arial" w:eastAsia="Arial" w:hAnsi="Arial"/>
          <w:sz w:val="18"/>
          <w:szCs w:val="18"/>
          <w:color w:val="auto"/>
        </w:rPr>
      </w:pPr>
    </w:p>
    <w:p>
      <w:pPr>
        <w:ind w:left="580" w:right="100" w:hanging="329"/>
        <w:spacing w:after="0" w:line="265"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 (Form S-8 No. 333-148705) pertaining to the Erie Indemnity Company 2004 Long-Term Incentive Plan, Erie Indemnity Company 1997 Long-Term Incentive Plan, and Erie Indemnity Company Deferred Compensation Plan for Outside Directors,</w:t>
      </w:r>
    </w:p>
    <w:p>
      <w:pPr>
        <w:ind w:left="580" w:hanging="32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333-82062) pertaining to the Erie Indemnity Company Long-Term Incentive Plan,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333-53318) pertaining to the Erie Indemnity Company Long-Term Incentive Plan</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our reports dated February 21, 2019, with respect to the financial statements of Erie Indemnity Company and the effectiveness of internal control over financial reporting of Erie Indemnity Company included in this Annual Report (Form 10-K) of Erie Indemnity Company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ectPr>
          <w:pgSz w:w="11900" w:h="16838" w:orient="portrait"/>
          <w:cols w:equalWidth="0" w:num="1">
            <w:col w:w="11020"/>
          </w:cols>
          <w:pgMar w:left="240" w:top="576" w:right="639" w:bottom="1440" w:gutter="0" w:footer="0" w:header="0"/>
        </w:sectPr>
      </w:pPr>
    </w:p>
    <w:bookmarkStart w:id="95" w:name="page96"/>
    <w:bookmarkEnd w:id="95"/>
    <w:p>
      <w:pPr>
        <w:jc w:val="center"/>
        <w:ind w:right="-99"/>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Timothy G. NeCastro,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2" w:lineRule="exact"/>
        <w:rPr>
          <w:rFonts w:ascii="Arial" w:cs="Arial" w:eastAsia="Arial" w:hAnsi="Arial"/>
          <w:sz w:val="16"/>
          <w:szCs w:val="16"/>
          <w:color w:val="auto"/>
        </w:rPr>
      </w:pPr>
    </w:p>
    <w:p>
      <w:pPr>
        <w:ind w:left="660" w:right="240"/>
        <w:spacing w:after="0" w:line="277" w:lineRule="auto"/>
        <w:rPr>
          <w:rFonts w:ascii="Arial" w:cs="Arial" w:eastAsia="Arial" w:hAnsi="Arial"/>
          <w:sz w:val="16"/>
          <w:szCs w:val="16"/>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60" w:right="180" w:hanging="328"/>
        <w:spacing w:after="0" w:line="357"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660" w:right="200"/>
        <w:spacing w:after="0" w:line="277"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300" w:hanging="320"/>
        <w:spacing w:after="0"/>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300" w:hanging="320"/>
        <w:spacing w:after="0"/>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jc w:val="both"/>
        <w:ind w:left="1300" w:right="300" w:hanging="320"/>
        <w:spacing w:after="0" w:line="395" w:lineRule="auto"/>
        <w:tabs>
          <w:tab w:leader="none" w:pos="129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w:t>
      </w:r>
    </w:p>
    <w:p>
      <w:pPr>
        <w:spacing w:after="0" w:line="72"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660" w:right="120" w:hanging="328"/>
        <w:spacing w:after="0" w:line="32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300" w:right="560" w:hanging="320"/>
        <w:spacing w:after="0" w:line="395" w:lineRule="auto"/>
        <w:tabs>
          <w:tab w:leader="none" w:pos="129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60" w:hanging="320"/>
        <w:spacing w:after="0" w:line="324" w:lineRule="auto"/>
        <w:tabs>
          <w:tab w:leader="none" w:pos="128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21, 2019</w:t>
      </w:r>
    </w:p>
    <w:p>
      <w:pPr>
        <w:spacing w:after="0" w:line="33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590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Timothy G. NeCastro</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340"/>
          </w:cols>
          <w:pgMar w:left="240" w:top="580" w:right="319"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Gregory J. Gutting,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Erie Indemnity Company;</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2" w:lineRule="exact"/>
        <w:rPr>
          <w:rFonts w:ascii="Arial" w:cs="Arial" w:eastAsia="Arial" w:hAnsi="Arial"/>
          <w:sz w:val="16"/>
          <w:szCs w:val="16"/>
          <w:color w:val="auto"/>
        </w:rPr>
      </w:pPr>
    </w:p>
    <w:p>
      <w:pPr>
        <w:ind w:left="660" w:right="240"/>
        <w:spacing w:after="0" w:line="277" w:lineRule="auto"/>
        <w:rPr>
          <w:rFonts w:ascii="Arial" w:cs="Arial" w:eastAsia="Arial" w:hAnsi="Arial"/>
          <w:sz w:val="16"/>
          <w:szCs w:val="16"/>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rFonts w:ascii="Arial" w:cs="Arial" w:eastAsia="Arial" w:hAnsi="Arial"/>
          <w:sz w:val="16"/>
          <w:szCs w:val="16"/>
          <w:color w:val="auto"/>
        </w:rPr>
      </w:pPr>
    </w:p>
    <w:p>
      <w:pPr>
        <w:ind w:left="660" w:right="180" w:hanging="328"/>
        <w:spacing w:after="0" w:line="357"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rFonts w:ascii="Arial" w:cs="Arial" w:eastAsia="Arial" w:hAnsi="Arial"/>
          <w:sz w:val="17"/>
          <w:szCs w:val="17"/>
          <w:color w:val="auto"/>
        </w:rPr>
      </w:pPr>
    </w:p>
    <w:p>
      <w:pPr>
        <w:ind w:left="660" w:right="200"/>
        <w:spacing w:after="0" w:line="277" w:lineRule="auto"/>
        <w:rPr>
          <w:rFonts w:ascii="Arial" w:cs="Arial" w:eastAsia="Arial" w:hAnsi="Arial"/>
          <w:sz w:val="17"/>
          <w:szCs w:val="17"/>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300" w:hanging="320"/>
        <w:spacing w:after="0"/>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1300" w:hanging="320"/>
        <w:spacing w:after="0"/>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2" w:lineRule="exact"/>
        <w:rPr>
          <w:rFonts w:ascii="Arial" w:cs="Arial" w:eastAsia="Arial" w:hAnsi="Arial"/>
          <w:sz w:val="16"/>
          <w:szCs w:val="16"/>
          <w:color w:val="auto"/>
        </w:rPr>
      </w:pPr>
    </w:p>
    <w:p>
      <w:pPr>
        <w:ind w:left="1300" w:right="140"/>
        <w:spacing w:after="0" w:line="277"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jc w:val="both"/>
        <w:ind w:left="1300" w:right="300" w:hanging="320"/>
        <w:spacing w:after="0" w:line="395"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hanging="320"/>
        <w:spacing w:after="0"/>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w:t>
      </w:r>
    </w:p>
    <w:p>
      <w:pPr>
        <w:spacing w:after="0" w:line="72" w:lineRule="exact"/>
        <w:rPr>
          <w:rFonts w:ascii="Arial" w:cs="Arial" w:eastAsia="Arial" w:hAnsi="Arial"/>
          <w:sz w:val="16"/>
          <w:szCs w:val="16"/>
          <w:color w:val="auto"/>
        </w:rPr>
      </w:pPr>
    </w:p>
    <w:p>
      <w:pPr>
        <w:ind w:left="1300"/>
        <w:spacing w:after="0" w:line="277" w:lineRule="auto"/>
        <w:rPr>
          <w:rFonts w:ascii="Arial" w:cs="Arial" w:eastAsia="Arial" w:hAnsi="Arial"/>
          <w:sz w:val="16"/>
          <w:szCs w:val="16"/>
          <w:color w:val="auto"/>
        </w:rPr>
      </w:pPr>
      <w:r>
        <w:rPr>
          <w:rFonts w:ascii="Arial" w:cs="Arial" w:eastAsia="Arial" w:hAnsi="Arial"/>
          <w:sz w:val="18"/>
          <w:szCs w:val="18"/>
          <w:color w:val="auto"/>
        </w:rPr>
        <w:t>fiscal quarter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660" w:right="120" w:hanging="328"/>
        <w:spacing w:after="0" w:line="32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29" w:lineRule="exact"/>
        <w:rPr>
          <w:rFonts w:ascii="Arial" w:cs="Arial" w:eastAsia="Arial" w:hAnsi="Arial"/>
          <w:sz w:val="18"/>
          <w:szCs w:val="18"/>
          <w:color w:val="auto"/>
        </w:rPr>
      </w:pPr>
    </w:p>
    <w:p>
      <w:pPr>
        <w:ind w:left="1300" w:right="560" w:hanging="320"/>
        <w:spacing w:after="0" w:line="395" w:lineRule="auto"/>
        <w:tabs>
          <w:tab w:leader="none" w:pos="129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60" w:hanging="320"/>
        <w:spacing w:after="0" w:line="324" w:lineRule="auto"/>
        <w:tabs>
          <w:tab w:leader="none" w:pos="128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21, 2019</w:t>
      </w: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2907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Gregory J. Gutting</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&amp; CFO</w:t>
      </w:r>
    </w:p>
    <w:p>
      <w:pPr>
        <w:sectPr>
          <w:pgSz w:w="11900" w:h="16838" w:orient="portrait"/>
          <w:cols w:equalWidth="0" w:num="1">
            <w:col w:w="11340"/>
          </w:cols>
          <w:pgMar w:left="240" w:top="580" w:right="3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Timothy G. NeCastro, Chief Executive Officer of the Erie Indemnity Company (the "Company"), and Gregory J. Gutting, Chief Financial Officer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 906 of the Sarbanes-Oxley Act of 2002, 18 U.S.C. § 1350, that:</w:t>
      </w:r>
    </w:p>
    <w:p>
      <w:pPr>
        <w:spacing w:after="0" w:line="211" w:lineRule="exact"/>
        <w:rPr>
          <w:sz w:val="20"/>
          <w:szCs w:val="20"/>
          <w:color w:val="auto"/>
        </w:rPr>
      </w:pPr>
    </w:p>
    <w:p>
      <w:pPr>
        <w:ind w:left="500" w:hanging="330"/>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2018 (the "Report") fully complies with the requirements of Section 13(a) or 15(d) of the Securities Exchange Act of 1934 (15 U.S.C. 78m);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Timothy G. NeCastro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CEO</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Gregory J. Gutting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J. Gutting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&amp; CFO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lvl w:ilvl="1">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lowerLetter"/>
      <w:start w:val="1"/>
    </w:lvl>
    <w:lvl w:ilvl="1">
      <w:lvlJc w:val="left"/>
      <w:lvlText w:val="%2."/>
      <w:numFmt w:val="decimal"/>
      <w:start w:val="1"/>
    </w:lvl>
  </w:abstractNum>
  <w:abstractNum w:abstractNumId="41">
    <w:nsid w:val="2CD89A32"/>
    <w:multiLevelType w:val="hybridMultilevel"/>
    <w:lvl w:ilvl="0">
      <w:lvlJc w:val="left"/>
      <w:lvlText w:val="%1."/>
      <w:numFmt w:val="decimal"/>
      <w:start w:val="1"/>
    </w:lvl>
    <w:lvl w:ilvl="1">
      <w:lvlJc w:val="left"/>
      <w:lvlText w:val="•"/>
      <w:numFmt w:val="bullet"/>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63" Type="http://schemas.openxmlformats.org/officeDocument/2006/relationships/image" Target="media/image16.png"/><Relationship Id="rId64" Type="http://schemas.openxmlformats.org/officeDocument/2006/relationships/image" Target="media/image17.png"/><Relationship Id="rId65" Type="http://schemas.openxmlformats.org/officeDocument/2006/relationships/image" Target="media/image18.png"/><Relationship Id="rId66" Type="http://schemas.openxmlformats.org/officeDocument/2006/relationships/image" Target="media/image19.png"/><Relationship Id="rId67" Type="http://schemas.openxmlformats.org/officeDocument/2006/relationships/image" Target="media/image20.png"/><Relationship Id="rId68" Type="http://schemas.openxmlformats.org/officeDocument/2006/relationships/image" Target="media/image21.png"/><Relationship Id="rId69" Type="http://schemas.openxmlformats.org/officeDocument/2006/relationships/image" Target="media/image22.png"/><Relationship Id="rId70" Type="http://schemas.openxmlformats.org/officeDocument/2006/relationships/image" Target="media/image23.png"/><Relationship Id="rId71" Type="http://schemas.openxmlformats.org/officeDocument/2006/relationships/image" Target="media/image24.png"/><Relationship Id="rId72" Type="http://schemas.openxmlformats.org/officeDocument/2006/relationships/image" Target="media/image25.png"/><Relationship Id="rId73" Type="http://schemas.openxmlformats.org/officeDocument/2006/relationships/image" Target="media/image26.png"/><Relationship Id="rId74" Type="http://schemas.openxmlformats.org/officeDocument/2006/relationships/image" Target="media/image27.png"/><Relationship Id="rId75" Type="http://schemas.openxmlformats.org/officeDocument/2006/relationships/image" Target="media/image28.png"/><Relationship Id="rId76" Type="http://schemas.openxmlformats.org/officeDocument/2006/relationships/image" Target="media/image29.png"/><Relationship Id="rId77" Type="http://schemas.openxmlformats.org/officeDocument/2006/relationships/image" Target="media/image30.png"/><Relationship Id="rId78" Type="http://schemas.openxmlformats.org/officeDocument/2006/relationships/image" Target="media/image31.png"/><Relationship Id="rId79" Type="http://schemas.openxmlformats.org/officeDocument/2006/relationships/image" Target="media/image32.png"/><Relationship Id="rId23" Type="http://schemas.openxmlformats.org/officeDocument/2006/relationships/hyperlink" Target="http://www.sec.gov/Archives/edgar/data/922621/000110465911042663/a11-13827_1ex3d1.htm" TargetMode="External"/><Relationship Id="rId24" Type="http://schemas.openxmlformats.org/officeDocument/2006/relationships/hyperlink" Target="http://www.sec.gov/Archives/edgar/data/922621/000092262118000016/ex-3912312017.htm" TargetMode="External"/><Relationship Id="rId25" Type="http://schemas.openxmlformats.org/officeDocument/2006/relationships/hyperlink" Target="http://www.sec.gov/Archives/edgar/data/922621/000095012802000748/j9708001exv10w12.txt" TargetMode="External"/><Relationship Id="rId26" Type="http://schemas.openxmlformats.org/officeDocument/2006/relationships/hyperlink" Target="http://www.sec.gov/Archives/edgar/data/922621/000095015209001857/l35096aexv10w104.htm" TargetMode="External"/><Relationship Id="rId27" Type="http://schemas.openxmlformats.org/officeDocument/2006/relationships/hyperlink" Target="http://www.sec.gov/Archives/edgar/data/922621/000119312513111326/d479418ddef14c.htm" TargetMode="External"/><Relationship Id="rId28" Type="http://schemas.openxmlformats.org/officeDocument/2006/relationships/hyperlink" Target="http://www.sec.gov/Archives/edgar/data/922621/000119312514098841/d660375ddef14c.htm" TargetMode="External"/><Relationship Id="rId29" Type="http://schemas.openxmlformats.org/officeDocument/2006/relationships/hyperlink" Target="http://www.sec.gov/Archives/edgar/data/922621/000092262114000019/ex-10103312014.htm" TargetMode="External"/><Relationship Id="rId30" Type="http://schemas.openxmlformats.org/officeDocument/2006/relationships/hyperlink" Target="http://www.sec.gov/Archives/edgar/data/922621/000095015209001857/l35096aexv10w108.htm" TargetMode="External"/><Relationship Id="rId31" Type="http://schemas.openxmlformats.org/officeDocument/2006/relationships/hyperlink" Target="http://www.sec.gov/Archives/edgar/data/922621/000092262115000019/ex-10103312015.htm" TargetMode="External"/><Relationship Id="rId32" Type="http://schemas.openxmlformats.org/officeDocument/2006/relationships/hyperlink" Target="http://www.sec.gov/Archives/edgar/data/922621/000092262116000067/ex-1015812312015.htm" TargetMode="External"/><Relationship Id="rId33" Type="http://schemas.openxmlformats.org/officeDocument/2006/relationships/hyperlink" Target="http://www.sec.gov/Archives/edgar/data/922621/000092262116000067/ex-1015912312015.htm" TargetMode="External"/><Relationship Id="rId34" Type="http://schemas.openxmlformats.org/officeDocument/2006/relationships/hyperlink" Target="http://www.sec.gov/Archives/edgar/data/922621/000092262116000067/ex-1016212312015.htm" TargetMode="External"/><Relationship Id="rId35" Type="http://schemas.openxmlformats.org/officeDocument/2006/relationships/hyperlink" Target="http://www.sec.gov/Archives/edgar/data/922621/000092262116000067/ex-1016312312015.htm" TargetMode="External"/><Relationship Id="rId36" Type="http://schemas.openxmlformats.org/officeDocument/2006/relationships/hyperlink" Target="http://www.sec.gov/Archives/edgar/data/922621/000092262116000077/ex-10203312016.htm" TargetMode="External"/><Relationship Id="rId37" Type="http://schemas.openxmlformats.org/officeDocument/2006/relationships/hyperlink" Target="http://www.sec.gov/Archives/edgar/data/922621/000092262116000100/ex-10106302016.htm" TargetMode="External"/><Relationship Id="rId38" Type="http://schemas.openxmlformats.org/officeDocument/2006/relationships/hyperlink" Target="http://www.sec.gov/Archives/edgar/data/922621/000092262116000113/ex-10409302016.htm" TargetMode="External"/><Relationship Id="rId39" Type="http://schemas.openxmlformats.org/officeDocument/2006/relationships/hyperlink" Target="http://www.sec.gov/Archives/edgar/data/922621/000092262116000113/ex-10509302016.htm" TargetMode="External"/><Relationship Id="rId40" Type="http://schemas.openxmlformats.org/officeDocument/2006/relationships/hyperlink" Target="http://www.sec.gov/Archives/edgar/data/922621/000092262116000113/ex-10609302016.htm" TargetMode="External"/><Relationship Id="rId41" Type="http://schemas.openxmlformats.org/officeDocument/2006/relationships/hyperlink" Target="http://www.sec.gov/Archives/edgar/data/922621/000092262116000113/ex-10709302016.htm" TargetMode="External"/><Relationship Id="rId42" Type="http://schemas.openxmlformats.org/officeDocument/2006/relationships/hyperlink" Target="http://www.sec.gov/Archives/edgar/data/922621/000092262116000113/ex-10809302016.htm" TargetMode="External"/><Relationship Id="rId43" Type="http://schemas.openxmlformats.org/officeDocument/2006/relationships/hyperlink" Target="http://www.sec.gov/Archives/edgar/data/922621/000092262116000117/ex-10111072016.htm" TargetMode="External"/><Relationship Id="rId44" Type="http://schemas.openxmlformats.org/officeDocument/2006/relationships/hyperlink" Target="http://www.sec.gov/Archives/edgar/data/922621/000092262116000117/ex-10211072016.htm" TargetMode="External"/><Relationship Id="rId45" Type="http://schemas.openxmlformats.org/officeDocument/2006/relationships/hyperlink" Target="http://www.sec.gov/Archives/edgar/data/922621/000092262117000008/ex-1017712312016.htm" TargetMode="External"/><Relationship Id="rId46" Type="http://schemas.openxmlformats.org/officeDocument/2006/relationships/hyperlink" Target="http://www.sec.gov/Archives/edgar/data/922621/000092262117000008/ex-1017812312016.htm" TargetMode="External"/><Relationship Id="rId47" Type="http://schemas.openxmlformats.org/officeDocument/2006/relationships/hyperlink" Target="http://www.sec.gov/Archives/edgar/data/922621/000092262117000020/ex-10103312017.htm" TargetMode="External"/><Relationship Id="rId48" Type="http://schemas.openxmlformats.org/officeDocument/2006/relationships/hyperlink" Target="http://www.sec.gov/Archives/edgar/data/922621/000092262117000033/d421162dex102.htm" TargetMode="External"/><Relationship Id="rId49" Type="http://schemas.openxmlformats.org/officeDocument/2006/relationships/hyperlink" Target="http://www.sec.gov/Archives/edgar/data/922621/000092262117000033/ex-10306302017.htm" TargetMode="External"/><Relationship Id="rId50" Type="http://schemas.openxmlformats.org/officeDocument/2006/relationships/hyperlink" Target="http://www.sec.gov/Archives/edgar/data/922621/000092262117000033/d421162dex104.htm" TargetMode="External"/><Relationship Id="rId51" Type="http://schemas.openxmlformats.org/officeDocument/2006/relationships/hyperlink" Target="http://www.sec.gov/Archives/edgar/data/922621/000092262117000043/ex-10109302017.htm" TargetMode="External"/><Relationship Id="rId52" Type="http://schemas.openxmlformats.org/officeDocument/2006/relationships/hyperlink" Target="http://www.sec.gov/Archives/edgar/data/922621/000092262117000043/ex-10209302017.htm" TargetMode="External"/><Relationship Id="rId53" Type="http://schemas.openxmlformats.org/officeDocument/2006/relationships/hyperlink" Target="http://www.sec.gov/Archives/edgar/data/922621/000092262118000016/ex-1018512312017.htm" TargetMode="External"/><Relationship Id="rId54" Type="http://schemas.openxmlformats.org/officeDocument/2006/relationships/hyperlink" Target="http://www.sec.gov/Archives/edgar/data/922621/000092262118000016/ex-1018612312017.htm" TargetMode="External"/><Relationship Id="rId55" Type="http://schemas.openxmlformats.org/officeDocument/2006/relationships/hyperlink" Target="http://www.sec.gov/Archives/edgar/data/922621/000092262118000008/ex-10101222018.htm" TargetMode="External"/><Relationship Id="rId56" Type="http://schemas.openxmlformats.org/officeDocument/2006/relationships/hyperlink" Target="http://www.sec.gov/Archives/edgar/data/922621/000092262118000008/ex-10201222018.htm" TargetMode="External"/><Relationship Id="rId57" Type="http://schemas.openxmlformats.org/officeDocument/2006/relationships/hyperlink" Target="http://www.sec.gov/Archives/edgar/data/922621/000092262118000033/ex-10106302018.htm" TargetMode="External"/><Relationship Id="rId58" Type="http://schemas.openxmlformats.org/officeDocument/2006/relationships/hyperlink" Target="http://www.sec.gov/Archives/edgar/data/922621/000092262118000040/ex-10109282018.htm" TargetMode="External"/><Relationship Id="rId59" Type="http://schemas.openxmlformats.org/officeDocument/2006/relationships/hyperlink" Target="http://www.sec.gov/Archives/edgar/data/922621/000092262118000051/ex10110302018.htm" TargetMode="External"/><Relationship Id="rId60" Type="http://schemas.openxmlformats.org/officeDocument/2006/relationships/hyperlink" Target="http://www.sec.gov/Archives/edgar/data/922621/000092262118000053/ex-10111132018.htm" TargetMode="External"/><Relationship Id="rId61" Type="http://schemas.openxmlformats.org/officeDocument/2006/relationships/hyperlink" Target="http://www.sec.gov/Archives/edgar/data/922621/000092262116000067/ex14312312015.htm" TargetMode="External"/><Relationship Id="rId62" Type="http://schemas.openxmlformats.org/officeDocument/2006/relationships/hyperlink" Target="http://www.sec.gov/Archives/edgar/data/922621/000092262116000082/ex-14406012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2019-12-28T16:29:04Z</dcterms:created>
  <dcterms:modified xsi:type="dcterms:W3CDTF">2019-12-28T16:29:04Z</dcterms:modified>
</cp:coreProperties>
</file>