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93" w:lineRule="exact"/>
        <w:rPr>
          <w:sz w:val="24"/>
          <w:szCs w:val="24"/>
          <w:color w:val="auto"/>
        </w:rPr>
      </w:pPr>
    </w:p>
    <w:p>
      <w:pPr>
        <w:ind w:left="1020"/>
        <w:spacing w:after="0"/>
        <w:tabs>
          <w:tab w:leader="none" w:pos="792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June 7, 2025</w:t>
      </w:r>
    </w:p>
    <w:p>
      <w:pPr>
        <w:spacing w:after="0" w:line="36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22225</wp:posOffset>
            </wp:positionV>
            <wp:extent cx="3634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87"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74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Pennsylvania</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0-24000</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25-0466020</w:t>
            </w:r>
          </w:p>
        </w:tc>
        <w:tc>
          <w:tcPr>
            <w:tcW w:w="520" w:type="dxa"/>
            <w:vAlign w:val="bottom"/>
          </w:tcPr>
          <w:p>
            <w:pPr>
              <w:spacing w:after="0"/>
              <w:rPr>
                <w:sz w:val="20"/>
                <w:szCs w:val="20"/>
                <w:color w:val="auto"/>
              </w:rPr>
            </w:pPr>
          </w:p>
        </w:tc>
      </w:tr>
      <w:tr>
        <w:trPr>
          <w:trHeight w:val="218"/>
        </w:trPr>
        <w:tc>
          <w:tcPr>
            <w:tcW w:w="540" w:type="dxa"/>
            <w:vAlign w:val="bottom"/>
          </w:tcPr>
          <w:p>
            <w:pPr>
              <w:spacing w:after="0"/>
              <w:rPr>
                <w:sz w:val="18"/>
                <w:szCs w:val="18"/>
                <w:color w:val="auto"/>
              </w:rPr>
            </w:pPr>
          </w:p>
        </w:tc>
        <w:tc>
          <w:tcPr>
            <w:tcW w:w="3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(Commission</w:t>
            </w:r>
          </w:p>
        </w:tc>
        <w:tc>
          <w:tcPr>
            <w:tcW w:w="1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c>
          <w:tcPr>
            <w:tcW w:w="52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274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520" w:type="dxa"/>
            <w:vAlign w:val="bottom"/>
          </w:tcPr>
          <w:p>
            <w:pPr>
              <w:spacing w:after="0"/>
              <w:rPr>
                <w:sz w:val="20"/>
                <w:szCs w:val="20"/>
                <w:color w:val="auto"/>
              </w:rPr>
            </w:pPr>
          </w:p>
        </w:tc>
      </w:tr>
      <w:tr>
        <w:trPr>
          <w:trHeight w:val="594"/>
        </w:trPr>
        <w:tc>
          <w:tcPr>
            <w:tcW w:w="24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100 Erie Insurance Place,</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Erie,</w:t>
            </w: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16530</w:t>
            </w:r>
          </w:p>
        </w:tc>
        <w:tc>
          <w:tcPr>
            <w:tcW w:w="520" w:type="dxa"/>
            <w:vAlign w:val="bottom"/>
            <w:tcBorders>
              <w:bottom w:val="single" w:sz="8" w:color="auto"/>
            </w:tcBorders>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40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(Zip Code)</w:t>
            </w:r>
          </w:p>
        </w:tc>
        <w:tc>
          <w:tcPr>
            <w:tcW w:w="520" w:type="dxa"/>
            <w:vAlign w:val="bottom"/>
          </w:tcPr>
          <w:p>
            <w:pPr>
              <w:spacing w:after="0"/>
              <w:rPr>
                <w:sz w:val="19"/>
                <w:szCs w:val="19"/>
                <w:color w:val="auto"/>
              </w:rPr>
            </w:pPr>
          </w:p>
        </w:tc>
      </w:tr>
      <w:tr>
        <w:trPr>
          <w:trHeight w:val="576"/>
        </w:trPr>
        <w:tc>
          <w:tcPr>
            <w:tcW w:w="540" w:type="dxa"/>
            <w:vAlign w:val="bottom"/>
          </w:tcPr>
          <w:p>
            <w:pPr>
              <w:spacing w:after="0"/>
              <w:rPr>
                <w:sz w:val="24"/>
                <w:szCs w:val="24"/>
                <w:color w:val="auto"/>
              </w:rPr>
            </w:pPr>
          </w:p>
        </w:tc>
        <w:tc>
          <w:tcPr>
            <w:tcW w:w="5500" w:type="dxa"/>
            <w:vAlign w:val="bottom"/>
            <w:gridSpan w:val="8"/>
          </w:tcPr>
          <w:p>
            <w:pPr>
              <w:ind w:left="7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86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814 870-2000</w:t>
            </w:r>
          </w:p>
        </w:tc>
        <w:tc>
          <w:tcPr>
            <w:tcW w:w="520" w:type="dxa"/>
            <w:vAlign w:val="bottom"/>
          </w:tcPr>
          <w:p>
            <w:pPr>
              <w:spacing w:after="0"/>
              <w:rPr>
                <w:sz w:val="24"/>
                <w:szCs w:val="24"/>
                <w:color w:val="auto"/>
              </w:rPr>
            </w:pPr>
          </w:p>
        </w:tc>
      </w:tr>
    </w:tbl>
    <w:p>
      <w:pPr>
        <w:spacing w:after="0" w:line="36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1205230</wp:posOffset>
            </wp:positionH>
            <wp:positionV relativeFrom="paragraph">
              <wp:posOffset>17145</wp:posOffset>
            </wp:positionV>
            <wp:extent cx="4826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 common stock, stated value $0.0292 per share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ERIE</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28"/>
        </w:trPr>
        <w:tc>
          <w:tcPr>
            <w:tcW w:w="5020" w:type="dxa"/>
            <w:vAlign w:val="bottom"/>
            <w:tcBorders>
              <w:top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(Title of each class)</w:t>
            </w:r>
          </w:p>
        </w:tc>
        <w:tc>
          <w:tcPr>
            <w:tcW w:w="10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bl>
    <w:p>
      <w:pPr>
        <w:spacing w:after="0" w:line="314"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of and Response to Information Security Event</w:t>
      </w:r>
    </w:p>
    <w:p>
      <w:pPr>
        <w:spacing w:after="0" w:line="23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On June 7, 2025, Erie Indemnity Company (the "Company") identified unusual network activity, which the Company determined to be the result of an information security event. Upon learning of this activity, the Company activated its incident response protocols and took immediate action to respond to the situation to safeguard our systems. The Company also notified and is working with law enforcement.</w:t>
      </w:r>
    </w:p>
    <w:p>
      <w:pPr>
        <w:spacing w:after="0" w:line="2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continues to take protective measures, and is conducting forensic analysis with the assistance of leading third-party cybersecurity experts to gain a full understanding of this event.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Given the recency of the event, the Company's investigation and response are ongoing, and the full scope, nature, and ultimate impact on the Company are not yet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 has made statements in this filing that are forward-looking and therefore subject to risks and uncertainties, including those described below. All statements, other than statements of historical fact, included in this document are, or could be "forward-looking statements" within the meaning of the Private Securities Litigation Reform Act of 1995 and the applicable rules and regulations of the Securities and Exchange Commission (the "SEC") and are made in reliance on the safe harbor protections provided thereunder. These forward-looking statements relate to, among other things, the impact from the information security event, the scope of the investigation and the Company's plans, objectives, projections and expectations relating to the Company's operations or financial condition, and assumptions related thereto. These forward-looking statements are based on management's current beliefs and assumptions and on information currently available to management. We caution that these statements are subject to risks and uncertainties, many of which are outside of our control and could cause future events or results to be materially different from those stated or implied in this filing, including, among others, the Company's ongoing assessment of the impacts of the information security event; the Company's expectations regarding its ability to contain and remediate the information security event; the impact of the information security event on the Company's relationships with customers, employees and regulators; legal, reputational and financial risks resulting from the information security event; and that any future, or still undetected, event, whether an attack, disruption, intrusion, denial of service, theft or other breach could result in unauthorized access to, or disclosure of, data, resulting in claims, costs and reputational harm that could negatively affect our actual results of operations or financial condition; and risks that are described in the Company's Annual Report and its Quarterly Reports on Form 10-Q, including the sections titled "Risk Factors" and "Management's Discussion and Analysis of Financial Condition and Results of Operations" contained in those reports, and in our other filings with the SEC. Any forward-looking statement made in this filing speaks only as of the date on which it is made. The Company undertakes no obligation to publicly update or revise any forward-looking statement,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Erie Indemnity Company</w:t>
      </w:r>
    </w:p>
    <w:p>
      <w:pPr>
        <w:spacing w:after="0" w:line="250" w:lineRule="exact"/>
        <w:rPr>
          <w:sz w:val="20"/>
          <w:szCs w:val="20"/>
          <w:color w:val="auto"/>
        </w:rPr>
      </w:pPr>
    </w:p>
    <w:p>
      <w:pPr>
        <w:ind w:left="20"/>
        <w:spacing w:after="0"/>
        <w:tabs>
          <w:tab w:leader="none" w:pos="5780" w:val="left"/>
          <w:tab w:leader="none" w:pos="6620" w:val="left"/>
        </w:tabs>
        <w:rPr>
          <w:sz w:val="20"/>
          <w:szCs w:val="20"/>
          <w:color w:val="auto"/>
        </w:rPr>
      </w:pPr>
      <w:r>
        <w:rPr>
          <w:rFonts w:ascii="Times New Roman" w:cs="Times New Roman" w:eastAsia="Times New Roman" w:hAnsi="Times New Roman"/>
          <w:sz w:val="18"/>
          <w:szCs w:val="18"/>
          <w:i w:val="1"/>
          <w:iCs w:val="1"/>
          <w:color w:val="auto"/>
        </w:rPr>
        <w:t>June 11, 2025</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Brian W. Bolash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18415</wp:posOffset>
            </wp:positionV>
            <wp:extent cx="2914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i w:val="1"/>
          <w:iCs w:val="1"/>
          <w:color w:val="auto"/>
        </w:rPr>
        <w:t>Name: Brian W. Bolash</w:t>
      </w:r>
    </w:p>
    <w:p>
      <w:pPr>
        <w:spacing w:after="0" w:line="2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i w:val="1"/>
          <w:iCs w:val="1"/>
          <w:color w:val="auto"/>
        </w:rPr>
        <w:t>Title: EVP, Secretary &amp; General Counsel</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2025-06-11T15:28:27Z</dcterms:created>
  <dcterms:modified xsi:type="dcterms:W3CDTF">2025-06-11T15:28:27Z</dcterms:modified>
</cp:coreProperties>
</file>