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5914a3302f84620a2ac2b971cb22def_1">
        <w:r>
          <w:rPr>
            <w:rStyle w:val="InternetLink"/>
            <w:rFonts w:ascii="Times New Roman;serif" w:hAnsi="Times New Roman;serif"/>
            <w:b w:val="false"/>
            <w:color w:val="0000FF"/>
            <w:sz w:val="16"/>
            <w:u w:val="single"/>
          </w:rPr>
          <w:t>Top of the Form</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tbl>
      <w:tblPr>
        <w:tblW w:w="5354" w:type="dxa"/>
        <w:jc w:val="left"/>
        <w:tblInd w:w="0" w:type="dxa"/>
        <w:tblLayout w:type="fixed"/>
        <w:tblCellMar>
          <w:top w:w="28" w:type="dxa"/>
          <w:left w:w="28" w:type="dxa"/>
          <w:bottom w:w="28" w:type="dxa"/>
          <w:right w:w="28" w:type="dxa"/>
        </w:tblCellMar>
      </w:tblPr>
      <w:tblGrid>
        <w:gridCol w:w="1481"/>
        <w:gridCol w:w="1302"/>
        <w:gridCol w:w="1312"/>
        <w:gridCol w:w="368"/>
        <w:gridCol w:w="368"/>
        <w:gridCol w:w="523"/>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spacing w:before="0" w:after="0"/>
        <w:jc w:val="center"/>
        <w:rPr/>
      </w:pPr>
      <w:r>
        <w:rPr/>
      </w:r>
    </w:p>
    <w:tbl>
      <w:tblPr>
        <w:tblW w:w="4943" w:type="dxa"/>
        <w:jc w:val="center"/>
        <w:tblInd w:w="0" w:type="dxa"/>
        <w:tblLayout w:type="fixed"/>
        <w:tblCellMar>
          <w:top w:w="28" w:type="dxa"/>
          <w:left w:w="28" w:type="dxa"/>
          <w:bottom w:w="28" w:type="dxa"/>
          <w:right w:w="28" w:type="dxa"/>
        </w:tblCellMar>
      </w:tblPr>
      <w:tblGrid>
        <w:gridCol w:w="124"/>
        <w:gridCol w:w="109"/>
        <w:gridCol w:w="109"/>
        <w:gridCol w:w="1409"/>
        <w:gridCol w:w="1409"/>
        <w:gridCol w:w="14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ERIE INDEMNITY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392" w:type="dxa"/>
        <w:jc w:val="center"/>
        <w:tblInd w:w="0" w:type="dxa"/>
        <w:tblLayout w:type="fixed"/>
        <w:tblCellMar>
          <w:top w:w="28" w:type="dxa"/>
          <w:left w:w="28" w:type="dxa"/>
          <w:bottom w:w="28" w:type="dxa"/>
          <w:right w:w="28" w:type="dxa"/>
        </w:tblCellMar>
      </w:tblPr>
      <w:tblGrid>
        <w:gridCol w:w="124"/>
        <w:gridCol w:w="109"/>
        <w:gridCol w:w="109"/>
        <w:gridCol w:w="744"/>
        <w:gridCol w:w="744"/>
        <w:gridCol w:w="746"/>
        <w:gridCol w:w="109"/>
        <w:gridCol w:w="109"/>
        <w:gridCol w:w="109"/>
        <w:gridCol w:w="394"/>
        <w:gridCol w:w="394"/>
        <w:gridCol w:w="398"/>
        <w:gridCol w:w="109"/>
        <w:gridCol w:w="109"/>
        <w:gridCol w:w="109"/>
        <w:gridCol w:w="534"/>
        <w:gridCol w:w="534"/>
        <w:gridCol w:w="5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25-0466020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854" w:type="dxa"/>
        <w:jc w:val="center"/>
        <w:tblInd w:w="0" w:type="dxa"/>
        <w:tblLayout w:type="fixed"/>
        <w:tblCellMar>
          <w:top w:w="28" w:type="dxa"/>
          <w:left w:w="28" w:type="dxa"/>
          <w:bottom w:w="28" w:type="dxa"/>
          <w:right w:w="28" w:type="dxa"/>
        </w:tblCellMar>
      </w:tblPr>
      <w:tblGrid>
        <w:gridCol w:w="124"/>
        <w:gridCol w:w="109"/>
        <w:gridCol w:w="109"/>
        <w:gridCol w:w="714"/>
        <w:gridCol w:w="714"/>
        <w:gridCol w:w="716"/>
        <w:gridCol w:w="159"/>
        <w:gridCol w:w="159"/>
        <w:gridCol w:w="161"/>
        <w:gridCol w:w="400"/>
        <w:gridCol w:w="400"/>
        <w:gridCol w:w="401"/>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Erie Insurance Place,</w:t>
            </w:r>
          </w:p>
        </w:tc>
        <w:tc>
          <w:tcPr>
            <w:tcW w:w="4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Erie,</w:t>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383"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40"/>
        <w:gridCol w:w="140"/>
        <w:gridCol w:w="141"/>
        <w:gridCol w:w="299"/>
        <w:gridCol w:w="299"/>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870-2000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559" w:type="dxa"/>
        <w:jc w:val="center"/>
        <w:tblInd w:w="0" w:type="dxa"/>
        <w:tblLayout w:type="fixed"/>
        <w:tblCellMar>
          <w:top w:w="28" w:type="dxa"/>
          <w:left w:w="28" w:type="dxa"/>
          <w:bottom w:w="28" w:type="dxa"/>
          <w:right w:w="28" w:type="dxa"/>
        </w:tblCellMar>
      </w:tblPr>
      <w:tblGrid>
        <w:gridCol w:w="124"/>
        <w:gridCol w:w="109"/>
        <w:gridCol w:w="109"/>
        <w:gridCol w:w="1614"/>
        <w:gridCol w:w="1614"/>
        <w:gridCol w:w="16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97"/>
        <w:gridCol w:w="614"/>
        <w:gridCol w:w="616"/>
        <w:gridCol w:w="832"/>
        <w:gridCol w:w="832"/>
        <w:gridCol w:w="835"/>
        <w:gridCol w:w="109"/>
        <w:gridCol w:w="109"/>
        <w:gridCol w:w="109"/>
        <w:gridCol w:w="495"/>
        <w:gridCol w:w="495"/>
        <w:gridCol w:w="503"/>
        <w:gridCol w:w="109"/>
        <w:gridCol w:w="109"/>
        <w:gridCol w:w="109"/>
        <w:gridCol w:w="1060"/>
        <w:gridCol w:w="1059"/>
        <w:gridCol w:w="1513"/>
      </w:tblGrid>
      <w:tr>
        <w:trPr/>
        <w:tc>
          <w:tcPr>
            <w:tcW w:w="6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2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stated value $0.0292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442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or Rule 12b-2 of the Securities Exchange Act of 1934. </w:t>
      </w:r>
    </w:p>
    <w:p>
      <w:pPr>
        <w:pStyle w:val="TextBody"/>
        <w:bidi w:val="0"/>
        <w:spacing w:lineRule="auto" w:line="288" w:before="0" w:after="0"/>
        <w:jc w:val="righ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5914a3302f84620a2ac2b971cb22def_1">
        <w:r>
          <w:rPr>
            <w:rStyle w:val="InternetLink"/>
            <w:rFonts w:ascii="Times New Roman;serif" w:hAnsi="Times New Roman;serif"/>
            <w:b w:val="false"/>
            <w:color w:val="0000FF"/>
            <w:sz w:val="16"/>
            <w:u w:val="single"/>
          </w:rPr>
          <w:t>Top of the Form</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30, 2026, Erie Indemnity Company (the “Company”) issued a press release announcing financial results for the quarter and six months ended June 30, 2026. Copies of the press release and financial information are attached hereto and are incorporated herein by reference as Exhibit 99.1 and Exhibit 99.2,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31, 2026 at 10:00 a.m. the Company will provide a pre-recorded Webcast that is complementary to the press release announcing financial results for the quarter and six months ended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its meeting on July 28, 2026, the Company's Board of Directors approved the following quarterly dividend on shares of Erie Indemnity Company Class A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 Number: 385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Rate Per Share: $1.4625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Declaration Date: July 28,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Ex-Dividend Date: October 5,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Record Date: October 5,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Payable Date: October 20,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 Press Release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99.2 Financial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104 Cover Page Interactive Data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5914a3302f84620a2ac2b971cb22def_1">
        <w:r>
          <w:rPr>
            <w:rStyle w:val="InternetLink"/>
            <w:rFonts w:ascii="Times New Roman;serif" w:hAnsi="Times New Roman;serif"/>
            <w:b w:val="false"/>
            <w:color w:val="0000FF"/>
            <w:sz w:val="16"/>
            <w:u w:val="single"/>
          </w:rPr>
          <w:t>Top of the Form</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Exhibit Index</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6"/>
        <w:gridCol w:w="1926"/>
        <w:gridCol w:w="274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06302026.htm">
              <w:r>
                <w:rPr>
                  <w:rStyle w:val="InternetLink"/>
                  <w:rFonts w:ascii="Times New Roman;serif" w:hAnsi="Times New Roman;serif"/>
                  <w:b w:val="false"/>
                  <w:color w:val="0000FF"/>
                  <w:sz w:val="20"/>
                  <w:u w:val="single"/>
                </w:rPr>
                <w:t>Press Release</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06302026.htm">
              <w:r>
                <w:rPr>
                  <w:rStyle w:val="InternetLink"/>
                  <w:rFonts w:ascii="Times New Roman;serif" w:hAnsi="Times New Roman;serif"/>
                  <w:b w:val="false"/>
                  <w:color w:val="0000FF"/>
                  <w:sz w:val="20"/>
                  <w:u w:val="single"/>
                </w:rPr>
                <w:t>Financial Information</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5914a3302f84620a2ac2b971cb22def_1">
        <w:r>
          <w:rPr>
            <w:rStyle w:val="InternetLink"/>
            <w:rFonts w:ascii="Times New Roman;serif" w:hAnsi="Times New Roman;serif"/>
            <w:b w:val="false"/>
            <w:color w:val="0000FF"/>
            <w:sz w:val="16"/>
            <w:u w:val="single"/>
          </w:rPr>
          <w:t>Top of the Form</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45"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234"/>
        <w:gridCol w:w="234"/>
        <w:gridCol w:w="234"/>
        <w:gridCol w:w="234"/>
        <w:gridCol w:w="234"/>
        <w:gridCol w:w="234"/>
        <w:gridCol w:w="958"/>
        <w:gridCol w:w="958"/>
        <w:gridCol w:w="1369"/>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Erie Indemnity Company</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Julie M. Pelkowski</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 Julie M. Pelkowski</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Title: Executive Vice President &amp; CFO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1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5886450" cy="9906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886450" cy="9906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8"/>
        </w:rPr>
      </w:pPr>
      <w:r>
        <w:rPr>
          <w:rFonts w:ascii="Times New Roman;serif" w:hAnsi="Times New Roman;serif"/>
          <w:b/>
          <w:color w:val="000000"/>
          <w:sz w:val="28"/>
        </w:rPr>
        <w:t>Erie Indemnity Reports Second Quarter 2026 Results</w:t>
      </w:r>
    </w:p>
    <w:p>
      <w:pPr>
        <w:pStyle w:val="TextBody"/>
        <w:bidi w:val="0"/>
        <w:spacing w:lineRule="auto" w:line="417" w:before="0" w:after="0"/>
        <w:jc w:val="center"/>
        <w:rPr>
          <w:rFonts w:ascii="Times New Roman;serif" w:hAnsi="Times New Roman;serif"/>
          <w:b w:val="false"/>
          <w:i/>
          <w:color w:val="000000"/>
          <w:sz w:val="23"/>
        </w:rPr>
      </w:pPr>
      <w:r>
        <w:rPr>
          <w:rFonts w:ascii="Times New Roman;serif" w:hAnsi="Times New Roman;serif"/>
          <w:b w:val="false"/>
          <w:i/>
          <w:color w:val="000000"/>
          <w:sz w:val="23"/>
        </w:rPr>
        <w:t>Net Income per Diluted Share was $3.45 for the Quarter and $6.32 for the Six Months of 2026</w:t>
      </w:r>
    </w:p>
    <w:p>
      <w:pPr>
        <w:pStyle w:val="TextBody"/>
        <w:bidi w:val="0"/>
        <w:spacing w:before="0" w:after="0"/>
        <w:jc w:val="center"/>
        <w:rPr/>
      </w:pPr>
      <w:r>
        <w:rPr/>
      </w:r>
    </w:p>
    <w:p>
      <w:pPr>
        <w:pStyle w:val="TextBody"/>
        <w:bidi w:val="0"/>
        <w:spacing w:lineRule="auto" w:line="417" w:before="0" w:after="0"/>
        <w:jc w:val="left"/>
        <w:rPr/>
      </w:pPr>
      <w:r>
        <w:rPr>
          <w:rFonts w:ascii="Times New Roman;serif" w:hAnsi="Times New Roman;serif"/>
          <w:b/>
          <w:color w:val="000000"/>
          <w:sz w:val="20"/>
        </w:rPr>
        <w:t>Erie, Pa., July 30, 2026</w:t>
      </w:r>
      <w:r>
        <w:rPr>
          <w:color w:val="000000"/>
        </w:rPr>
        <w:t xml:space="preserve"> </w:t>
      </w:r>
      <w:r>
        <w:rPr>
          <w:rFonts w:ascii="Times New Roman;serif" w:hAnsi="Times New Roman;serif"/>
          <w:b w:val="false"/>
          <w:color w:val="000000"/>
          <w:sz w:val="20"/>
        </w:rPr>
        <w:t>- Erie Indemnity Company (NASDAQ: ERIE) today announced financial results for the quarter and six months ending June 30, 2026. Net income was $180.3 million, or $3.45 per diluted share, in the second quarter of 2026, compared to $174.7 million, or $3.34 per diluted share, in the second quarter of 2025. Net income was $330.8 million, or $6.32 per diluted share, in the first six months of 2026, compared to $313.1 million, or $5.99 per diluted share, in the first six months of 2025.</w:t>
      </w:r>
    </w:p>
    <w:p>
      <w:pPr>
        <w:pStyle w:val="TextBody"/>
        <w:bidi w:val="0"/>
        <w:spacing w:before="0" w:after="0"/>
        <w:jc w:val="left"/>
        <w:rPr/>
      </w:pPr>
      <w:r>
        <w:rPr/>
      </w:r>
    </w:p>
    <w:tbl>
      <w:tblPr>
        <w:tblW w:w="7123" w:type="dxa"/>
        <w:jc w:val="left"/>
        <w:tblInd w:w="0" w:type="dxa"/>
        <w:tblLayout w:type="fixed"/>
        <w:tblCellMar>
          <w:top w:w="28" w:type="dxa"/>
          <w:left w:w="28" w:type="dxa"/>
          <w:bottom w:w="28" w:type="dxa"/>
          <w:right w:w="28" w:type="dxa"/>
        </w:tblCellMar>
      </w:tblPr>
      <w:tblGrid>
        <w:gridCol w:w="864"/>
        <w:gridCol w:w="759"/>
        <w:gridCol w:w="762"/>
        <w:gridCol w:w="211"/>
        <w:gridCol w:w="826"/>
        <w:gridCol w:w="109"/>
        <w:gridCol w:w="211"/>
        <w:gridCol w:w="826"/>
        <w:gridCol w:w="109"/>
        <w:gridCol w:w="211"/>
        <w:gridCol w:w="826"/>
        <w:gridCol w:w="109"/>
        <w:gridCol w:w="211"/>
        <w:gridCol w:w="826"/>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4738" w:type="dxa"/>
            <w:gridSpan w:val="13"/>
            <w:tcBorders/>
          </w:tcPr>
          <w:p>
            <w:pPr>
              <w:pStyle w:val="TableContents"/>
              <w:bidi w:val="0"/>
              <w:spacing w:before="0" w:after="283"/>
              <w:jc w:val="left"/>
              <w:rPr>
                <w:sz w:val="4"/>
                <w:szCs w:val="4"/>
              </w:rPr>
            </w:pPr>
            <w:r>
              <w:rPr>
                <w:sz w:val="4"/>
                <w:szCs w:val="4"/>
              </w:rPr>
            </w:r>
          </w:p>
        </w:tc>
      </w:tr>
      <w:tr>
        <w:trPr/>
        <w:tc>
          <w:tcPr>
            <w:tcW w:w="6969"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 and First Half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2Q'26</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2Q'25</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1H'26</w:t>
            </w:r>
          </w:p>
        </w:tc>
        <w:tc>
          <w:tcPr>
            <w:tcW w:w="1146"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1H'25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350,549 </w:t>
            </w:r>
          </w:p>
        </w:tc>
        <w:tc>
          <w:tcPr>
            <w:tcW w:w="10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395,493 </w:t>
            </w:r>
          </w:p>
        </w:tc>
        <w:tc>
          <w:tcPr>
            <w:tcW w:w="10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82,391 </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313,102 </w:t>
            </w:r>
          </w:p>
        </w:tc>
        <w:tc>
          <w:tcPr>
            <w:tcW w:w="10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2Q 2026 Highlights</w:t>
            </w:r>
          </w:p>
        </w:tc>
      </w:tr>
    </w:tbl>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before taxes increased $5.0 million, or 2.5 percent, in the second quarter of 2026 compared to the second quarter of 2025.</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Management fee revenue - policy issuance and renewal services increased $39.0 million, or 4.7 percent, in the second quarter of 2026 compared to the second quarter of 2025.</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Management fee revenue - administrative services increased $1.3 million, or 7.2 percent, in the second quarter of 2026 compared to the second quarter of 2025.</w:t>
      </w:r>
    </w:p>
    <w:p>
      <w:pPr>
        <w:pStyle w:val="TextBody"/>
        <w:bidi w:val="0"/>
        <w:spacing w:lineRule="auto" w:line="417" w:before="0" w:after="0"/>
        <w:ind w:left="0" w:right="0" w:hanging="360"/>
        <w:jc w:val="left"/>
        <w:rPr/>
      </w:pPr>
      <w:r>
        <w:rPr>
          <w:color w:val="000000"/>
        </w:rPr>
        <w:t>•</w:t>
      </w:r>
      <w:r>
        <w:rPr>
          <w:rFonts w:ascii="Times New Roman;serif" w:hAnsi="Times New Roman;serif"/>
          <w:b w:val="false"/>
          <w:i/>
          <w:color w:val="000000"/>
          <w:sz w:val="20"/>
        </w:rPr>
        <w:t>Cost of operations - policy issuance and renewal services</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Commissions increased $44.7 million in the second quarter of 2026, compared to the same period in 2025, primarily driven by an increase in agent incentive compensation and the growth in direct and affiliated assumed written premium.</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 xml:space="preserve">Non-commission expense decreased $8.8 million in the second quarter of 2026 compared to the second quarter of 2025. Personnel costs increased $3.0 million, primarily due to increased incentive compensation driven by stronger performance metrics and a smaller decrease in company stock price. This increase was partially offset by bonuses awarded to all employees in 2025 in recognition of our 100th anniversary. Sales and advertising decreased $1.7 million primarily due to a decrease in agent-related and advertising costs. Acquisition and underwriting support costs decreased $3.9 million primarily due to lower underwriting report and postage costs. </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Professional fees decreased $5.0 million primarily due to reduced use of third-party services related to technology initiatives. Administrative and other costs decreased $2.1 million primarily due to lower credit card processing fees and charitable contributions related to the transition of charitable giving through the Erie Insurance Foundation.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investments before taxes totaled $22.6 million in the second quarter of 2026 compared to $19.6 million in the second quarter of 2025. Net investment income was $22.6 million in the second quarter of 2026 compared to $20.0 million in the second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2026 Highlights</w:t>
            </w:r>
          </w:p>
        </w:tc>
      </w:tr>
    </w:tbl>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before taxes increased $20.4 million, or 5.8 percent, in the first six months of 2026 compared to the first six months of 2025.</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Management fee revenue - policy issuance and renewal services increased $70.4 million, or 4.5 percent, in the first six months of 2026 compared to the first six months of 2025.</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Management fee revenue - administrative services increased $3.2 million, or 8.8 percent, in the first six months of 2026 compared to the first six months of 2025.</w:t>
      </w:r>
    </w:p>
    <w:p>
      <w:pPr>
        <w:pStyle w:val="TextBody"/>
        <w:bidi w:val="0"/>
        <w:spacing w:lineRule="auto" w:line="417" w:before="0" w:after="0"/>
        <w:ind w:left="0" w:right="0" w:hanging="360"/>
        <w:jc w:val="left"/>
        <w:rPr/>
      </w:pPr>
      <w:r>
        <w:rPr>
          <w:color w:val="000000"/>
        </w:rPr>
        <w:t>•</w:t>
      </w:r>
      <w:r>
        <w:rPr>
          <w:rFonts w:ascii="Times New Roman;serif" w:hAnsi="Times New Roman;serif"/>
          <w:b w:val="false"/>
          <w:i/>
          <w:color w:val="000000"/>
          <w:sz w:val="20"/>
        </w:rPr>
        <w:t>Cost of operations - policy issuance and renewal services</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Commissions increased $72.7 million in the first six months of 2026 compared to the first six months of 2025, primarily driven by an increase in agent incentive compensation and the growth in direct and affiliated assumed written premium.</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Non-commission expense decreased $19.5 million for the six months ended June 30, 2026 compared to the same period in 2025. Personnel costs increased $5.1 million, primarily due to increased incentive compensation driven by stronger performance metrics, and higher base compensation. The increase is partially offset by bonuses awarded to all employees in 2025 in recognition of our 100th anniversary. Sales and advertising decreased $3.7 million primarily due to a decrease in agent-related and advertising costs. Acquisition and underwriting support costs decreased $5.7 million primarily due to lower underwriting report costs. Professional fees decreased $12.0 million primarily due to reduced use of third-party services related to technology initiatives. Administrative and other costs decreased $3.7 million primarily due to lower charitable contributions related to the transition of charitable giving through the Erie Insurance Foundation and a decrease in credit card processing fees.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investments before taxes totaled $44.7 million in the first six months of 2026 compared to $39.1 million in the first six months of 2025. Net investment income was $46.1 million in the first six months of 2026 compared to $40.0 million in the first six months of 2025. Net realized and unrealized losses were $0.2 million in the first six months of 2026 compared to gains of $1.0 million in the first six months of 2025. Net impairment losses recognized in earnings were $1.3 million in the first six months of 2026 compared to $1.8 million in the first six months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Webcast Information</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Indemnity has scheduled a pre-recorded audio broadcast on the Web for 10:00 AM ET on July 31, 2026.  Investors may access the pre-recorded audio broadcast by logging on to www.erieinsurance.com.</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Erie Insurance Group</w:t>
      </w:r>
    </w:p>
    <w:p>
      <w:pPr>
        <w:pStyle w:val="TextBody"/>
        <w:bidi w:val="0"/>
        <w:spacing w:lineRule="auto" w:line="417" w:before="0" w:after="0"/>
        <w:jc w:val="left"/>
        <w:rPr/>
      </w:pPr>
      <w:r>
        <w:rPr>
          <w:rFonts w:ascii="Times New Roman;serif" w:hAnsi="Times New Roman;serif"/>
          <w:b w:val="false"/>
          <w:color w:val="000000"/>
          <w:sz w:val="20"/>
        </w:rPr>
        <w:t>Erie Insurance Group, based in Erie, Pennsylvania, is the 10</w:t>
      </w:r>
      <w:r>
        <w:rPr>
          <w:rFonts w:ascii="Times New Roman;serif" w:hAnsi="Times New Roman;serif"/>
          <w:b w:val="false"/>
          <w:color w:val="000000"/>
          <w:sz w:val="13"/>
        </w:rPr>
        <w:t>th</w:t>
      </w:r>
      <w:r>
        <w:rPr>
          <w:color w:val="000000"/>
        </w:rPr>
        <w:t> </w:t>
      </w:r>
      <w:r>
        <w:rPr>
          <w:rFonts w:ascii="Times New Roman;serif" w:hAnsi="Times New Roman;serif"/>
          <w:b w:val="false"/>
          <w:color w:val="000000"/>
          <w:sz w:val="20"/>
        </w:rPr>
        <w:t>largest homeowners insurer, 11</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largest automobile insurer, and 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largest commercial lines insurer in the United States based on direct premiums written, according to AM Best Company.  Founded in 1925, Erie Insurance is a Fortune 500 company and the 16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largest property/casualty insurer in the United States based on net premiums written. Rated A (Excellent) by AM Best, ERIE has nearly seven million policies in force and operates in 12 states and the District of Columbia.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News releases and more information are available on ERIE's website at www.erieinsurance.com.</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"Safe Harbor" Statement under the Private Securities Litigation Reform Act of 1995: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dependence upon our relationship with the Erie Insurance Exchange ("Exchange") and the management fee under the agreement with the subscribers at the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dependence upon our relationship with the Exchange and the growth of the Exchange,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general business and economic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factors impacting the timing of premium rates charged for policies;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factors affecting insurance industry competition, including technological innovations;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dependence upon the independent agency system;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ability to maintain our brand, including our reputation for customer service;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dependence upon our relationship with the Exchange and the financial condition of the Exchange,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Exchange's ability to maintain acceptable financial strength ratings;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factors affecting the quality and liquidity of the Exchange's investment portfolio;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changes in government regulation of the insurance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litigation and regulatory 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emergence of significant unexpected events, including pandemics, economic or social inflation, and changes in tariff policies;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emerging claims and coverage issues in the industry;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severe weather conditions or other catastrophic losses, including terrorism;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costs of providing policy issuance and renewal services to the subscribers at the Exchange under the subscriber's agreement;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ability to attract, develop, retain, and protect talented management and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ability to ensure system availability and effectively manage technology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difficulties with technology, data or network security breaches, including cyber attacks;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ability to maintain uninterrupted business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compliance with complex and evolving laws and regulations and outcome of pending and potential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factors affecting the quality and liquidity of our investment portfolio;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ability to meet liquidity needs and access capital.</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Erie Indemnity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thousands, except per share data)</w:t>
      </w:r>
    </w:p>
    <w:tbl>
      <w:tblPr>
        <w:tblW w:w="10205" w:type="dxa"/>
        <w:jc w:val="center"/>
        <w:tblInd w:w="0" w:type="dxa"/>
        <w:tblLayout w:type="fixed"/>
        <w:tblCellMar>
          <w:top w:w="28" w:type="dxa"/>
          <w:left w:w="28" w:type="dxa"/>
          <w:bottom w:w="28" w:type="dxa"/>
          <w:right w:w="28" w:type="dxa"/>
        </w:tblCellMar>
      </w:tblPr>
      <w:tblGrid>
        <w:gridCol w:w="1498"/>
        <w:gridCol w:w="1186"/>
        <w:gridCol w:w="1195"/>
        <w:gridCol w:w="109"/>
        <w:gridCol w:w="109"/>
        <w:gridCol w:w="109"/>
        <w:gridCol w:w="216"/>
        <w:gridCol w:w="865"/>
        <w:gridCol w:w="109"/>
        <w:gridCol w:w="109"/>
        <w:gridCol w:w="109"/>
        <w:gridCol w:w="109"/>
        <w:gridCol w:w="216"/>
        <w:gridCol w:w="865"/>
        <w:gridCol w:w="109"/>
        <w:gridCol w:w="109"/>
        <w:gridCol w:w="109"/>
        <w:gridCol w:w="109"/>
        <w:gridCol w:w="211"/>
        <w:gridCol w:w="976"/>
        <w:gridCol w:w="109"/>
        <w:gridCol w:w="109"/>
        <w:gridCol w:w="109"/>
        <w:gridCol w:w="109"/>
        <w:gridCol w:w="211"/>
        <w:gridCol w:w="976"/>
        <w:gridCol w:w="155"/>
      </w:tblGrid>
      <w:tr>
        <w:trPr/>
        <w:tc>
          <w:tcPr>
            <w:tcW w:w="149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policy issuance and renewal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 - administrative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reimbursement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agreement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2,049,496 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 policy issuance and renewal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1,276,030 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 administrative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1,730,797 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1,698,947 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impairment 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395,493 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180,294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174,685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330,768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313,102</w:t>
            </w:r>
            <w:r>
              <w:rPr>
                <w:color w:val="000000"/>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common stock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w:t>
            </w: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w:t>
            </w: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6.32</w:t>
            </w: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w:t>
            </w:r>
            <w:r>
              <w:rPr>
                <w:color w:val="000000"/>
              </w:rPr>
              <w:t>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46,188,942 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46,188,984 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52,298,697 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52,304,407 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52,299,440 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52,304,397 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219.375 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409.50 </w:t>
            </w:r>
          </w:p>
        </w:tc>
        <w:tc>
          <w:tcPr>
            <w:tcW w:w="15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Erie Indemnity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Financial Position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429"/>
        <w:gridCol w:w="2059"/>
        <w:gridCol w:w="2078"/>
        <w:gridCol w:w="109"/>
        <w:gridCol w:w="109"/>
        <w:gridCol w:w="109"/>
        <w:gridCol w:w="211"/>
        <w:gridCol w:w="991"/>
        <w:gridCol w:w="109"/>
        <w:gridCol w:w="109"/>
        <w:gridCol w:w="109"/>
        <w:gridCol w:w="109"/>
        <w:gridCol w:w="259"/>
        <w:gridCol w:w="1222"/>
        <w:gridCol w:w="193"/>
      </w:tblGrid>
      <w:tr>
        <w:trPr/>
        <w:tc>
          <w:tcPr>
            <w:tcW w:w="242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(includes restricted cash of $39,608 and $30,189,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345,874 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Erie Insurance Exchange and affiliates,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735,589 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1,199,173 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1,286,566 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and equity securities 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61,063 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571,476 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93,953 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3,557,016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3,355,481</w:t>
            </w:r>
            <w:r>
              <w:rPr>
                <w:color w:val="000000"/>
              </w:rPr>
              <w:t>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425,320 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lending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61,936 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945,587 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1,072,107 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2,467,106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2,283,374</w:t>
            </w: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3,557,016</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3,355,481</w:t>
            </w:r>
            <w:r>
              <w:rPr>
                <w:color w:val="000000"/>
              </w:rPr>
              <w:t>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2560</Words>
  <Characters>14641</Characters>
  <CharactersWithSpaces>16976</CharactersWithSpaces>
  <Paragraphs>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