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PERSUANT TO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0-24000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ERIE INDEMNITY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31115</wp:posOffset>
            </wp:positionV>
            <wp:extent cx="5068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6100" w:type="dxa"/>
            <w:vAlign w:val="bottom"/>
            <w:gridSpan w:val="3"/>
          </w:tcPr>
          <w:p>
            <w:pPr>
              <w:jc w:val="center"/>
              <w:ind w:right="4100"/>
              <w:spacing w:after="0"/>
              <w:rPr>
                <w:sz w:val="20"/>
                <w:szCs w:val="20"/>
                <w:color w:val="auto"/>
              </w:rPr>
            </w:pPr>
            <w:r>
              <w:rPr>
                <w:rFonts w:ascii="Arial" w:cs="Arial" w:eastAsia="Arial" w:hAnsi="Arial"/>
                <w:sz w:val="18"/>
                <w:szCs w:val="18"/>
                <w:color w:val="auto"/>
                <w:w w:val="98"/>
              </w:rPr>
              <w:t>PENNSYLVANIA</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25-0466020</w:t>
            </w:r>
          </w:p>
        </w:tc>
        <w:tc>
          <w:tcPr>
            <w:tcW w:w="1720" w:type="dxa"/>
            <w:vAlign w:val="bottom"/>
          </w:tcPr>
          <w:p>
            <w:pPr>
              <w:spacing w:after="0"/>
              <w:rPr>
                <w:sz w:val="20"/>
                <w:szCs w:val="20"/>
                <w:color w:val="auto"/>
              </w:rPr>
            </w:pPr>
          </w:p>
        </w:tc>
      </w:tr>
      <w:tr>
        <w:trPr>
          <w:trHeight w:val="209"/>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gridSpan w:val="2"/>
          </w:tcPr>
          <w:p>
            <w:pPr>
              <w:jc w:val="center"/>
              <w:ind w:right="1820"/>
              <w:spacing w:after="0"/>
              <w:rPr>
                <w:sz w:val="20"/>
                <w:szCs w:val="20"/>
                <w:color w:val="auto"/>
              </w:rPr>
            </w:pPr>
            <w:r>
              <w:rPr>
                <w:rFonts w:ascii="Arial" w:cs="Arial" w:eastAsia="Arial" w:hAnsi="Arial"/>
                <w:sz w:val="18"/>
                <w:szCs w:val="18"/>
                <w:color w:val="auto"/>
                <w:w w:val="92"/>
              </w:rPr>
              <w:t>(I.R.S. Employer</w:t>
            </w:r>
          </w:p>
        </w:tc>
      </w:tr>
      <w:tr>
        <w:trPr>
          <w:trHeight w:val="230"/>
        </w:trPr>
        <w:tc>
          <w:tcPr>
            <w:tcW w:w="7820" w:type="dxa"/>
            <w:vAlign w:val="bottom"/>
            <w:gridSpan w:val="4"/>
          </w:tcPr>
          <w:p>
            <w:pPr>
              <w:jc w:val="center"/>
              <w:ind w:right="2380"/>
              <w:spacing w:after="0"/>
              <w:rPr>
                <w:sz w:val="20"/>
                <w:szCs w:val="20"/>
                <w:color w:val="auto"/>
              </w:rPr>
            </w:pPr>
            <w:r>
              <w:rPr>
                <w:rFonts w:ascii="Arial" w:cs="Arial" w:eastAsia="Arial" w:hAnsi="Arial"/>
                <w:sz w:val="18"/>
                <w:szCs w:val="18"/>
                <w:color w:val="auto"/>
                <w:w w:val="92"/>
              </w:rPr>
              <w:t>incorporation or organization)</w:t>
            </w:r>
          </w:p>
        </w:tc>
        <w:tc>
          <w:tcPr>
            <w:tcW w:w="3600" w:type="dxa"/>
            <w:vAlign w:val="bottom"/>
            <w:gridSpan w:val="2"/>
          </w:tcPr>
          <w:p>
            <w:pPr>
              <w:jc w:val="center"/>
              <w:ind w:right="182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820" w:type="dxa"/>
            <w:vAlign w:val="bottom"/>
            <w:gridSpan w:val="4"/>
          </w:tcPr>
          <w:p>
            <w:pPr>
              <w:jc w:val="center"/>
              <w:ind w:right="2380"/>
              <w:spacing w:after="0"/>
              <w:rPr>
                <w:sz w:val="20"/>
                <w:szCs w:val="20"/>
                <w:color w:val="auto"/>
              </w:rPr>
            </w:pPr>
            <w:r>
              <w:rPr>
                <w:rFonts w:ascii="Arial" w:cs="Arial" w:eastAsia="Arial" w:hAnsi="Arial"/>
                <w:sz w:val="18"/>
                <w:szCs w:val="18"/>
                <w:color w:val="auto"/>
                <w:w w:val="89"/>
              </w:rPr>
              <w:t>100 Erie Insurance Place, Erie, Pennsylvania</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16530</w:t>
            </w:r>
          </w:p>
        </w:tc>
        <w:tc>
          <w:tcPr>
            <w:tcW w:w="1720" w:type="dxa"/>
            <w:vAlign w:val="bottom"/>
          </w:tcPr>
          <w:p>
            <w:pPr>
              <w:spacing w:after="0"/>
              <w:rPr>
                <w:sz w:val="24"/>
                <w:szCs w:val="24"/>
                <w:color w:val="auto"/>
              </w:rPr>
            </w:pP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gridSpan w:val="2"/>
          </w:tcPr>
          <w:p>
            <w:pPr>
              <w:jc w:val="center"/>
              <w:ind w:right="1840"/>
              <w:spacing w:after="0"/>
              <w:rPr>
                <w:sz w:val="20"/>
                <w:szCs w:val="20"/>
                <w:color w:val="auto"/>
              </w:rPr>
            </w:pPr>
            <w:r>
              <w:rPr>
                <w:rFonts w:ascii="Arial" w:cs="Arial" w:eastAsia="Arial" w:hAnsi="Arial"/>
                <w:sz w:val="18"/>
                <w:szCs w:val="18"/>
                <w:color w:val="auto"/>
                <w:w w:val="94"/>
              </w:rPr>
              <w:t>(Zip Code)</w:t>
            </w:r>
          </w:p>
        </w:tc>
      </w:tr>
      <w:tr>
        <w:trPr>
          <w:trHeight w:val="431"/>
        </w:trPr>
        <w:tc>
          <w:tcPr>
            <w:tcW w:w="7820" w:type="dxa"/>
            <w:vAlign w:val="bottom"/>
            <w:gridSpan w:val="4"/>
          </w:tcPr>
          <w:p>
            <w:pPr>
              <w:jc w:val="right"/>
              <w:ind w:right="1540"/>
              <w:spacing w:after="0"/>
              <w:rPr>
                <w:sz w:val="20"/>
                <w:szCs w:val="20"/>
                <w:color w:val="auto"/>
              </w:rPr>
            </w:pPr>
            <w:r>
              <w:rPr>
                <w:rFonts w:ascii="Arial" w:cs="Arial" w:eastAsia="Arial" w:hAnsi="Arial"/>
                <w:sz w:val="18"/>
                <w:szCs w:val="18"/>
                <w:color w:val="auto"/>
              </w:rPr>
              <w:t>(814) 870-2000</w:t>
            </w:r>
          </w:p>
        </w:tc>
        <w:tc>
          <w:tcPr>
            <w:tcW w:w="18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4"/>
        </w:trPr>
        <w:tc>
          <w:tcPr>
            <w:tcW w:w="1720" w:type="dxa"/>
            <w:vAlign w:val="bottom"/>
          </w:tcPr>
          <w:p>
            <w:pPr>
              <w:spacing w:after="0"/>
              <w:rPr>
                <w:sz w:val="19"/>
                <w:szCs w:val="19"/>
                <w:color w:val="auto"/>
              </w:rPr>
            </w:pPr>
          </w:p>
        </w:tc>
        <w:tc>
          <w:tcPr>
            <w:tcW w:w="6100" w:type="dxa"/>
            <w:vAlign w:val="bottom"/>
            <w:tcBorders>
              <w:top w:val="single" w:sz="8" w:color="auto"/>
            </w:tcBorders>
            <w:gridSpan w:val="3"/>
          </w:tcPr>
          <w:p>
            <w:pPr>
              <w:jc w:val="center"/>
              <w:ind w:left="1790"/>
              <w:spacing w:after="0"/>
              <w:rPr>
                <w:sz w:val="20"/>
                <w:szCs w:val="20"/>
                <w:color w:val="auto"/>
              </w:rPr>
            </w:pPr>
            <w:r>
              <w:rPr>
                <w:rFonts w:ascii="Arial" w:cs="Arial" w:eastAsia="Arial" w:hAnsi="Arial"/>
                <w:sz w:val="18"/>
                <w:szCs w:val="18"/>
                <w:color w:val="auto"/>
                <w:w w:val="90"/>
              </w:rPr>
              <w:t>(Registrant’s telephone number, including area code)</w:t>
            </w:r>
          </w:p>
        </w:tc>
        <w:tc>
          <w:tcPr>
            <w:tcW w:w="1880" w:type="dxa"/>
            <w:vAlign w:val="bottom"/>
            <w:tcBorders>
              <w:top w:val="single" w:sz="8" w:color="auto"/>
            </w:tcBorders>
          </w:tcPr>
          <w:p>
            <w:pPr>
              <w:spacing w:after="0"/>
              <w:rPr>
                <w:sz w:val="19"/>
                <w:szCs w:val="19"/>
                <w:color w:val="auto"/>
              </w:rPr>
            </w:pPr>
          </w:p>
        </w:tc>
        <w:tc>
          <w:tcPr>
            <w:tcW w:w="1720" w:type="dxa"/>
            <w:vAlign w:val="bottom"/>
          </w:tcPr>
          <w:p>
            <w:pPr>
              <w:spacing w:after="0"/>
              <w:rPr>
                <w:sz w:val="19"/>
                <w:szCs w:val="19"/>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68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1" w:lineRule="exact"/>
        <w:rPr>
          <w:sz w:val="20"/>
          <w:szCs w:val="20"/>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0"/>
          <w:szCs w:val="20"/>
          <w:color w:val="auto"/>
        </w:rPr>
      </w:pPr>
    </w:p>
    <w:p>
      <w:pPr>
        <w:ind w:left="2400"/>
        <w:spacing w:after="0" w:line="207" w:lineRule="exact"/>
        <w:tabs>
          <w:tab w:leader="none" w:pos="5100" w:val="left"/>
          <w:tab w:leader="none" w:pos="73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0"/>
          <w:szCs w:val="20"/>
          <w:color w:val="auto"/>
        </w:rPr>
      </w:pPr>
    </w:p>
    <w:p>
      <w:pPr>
        <w:ind w:left="5180"/>
        <w:spacing w:after="0" w:line="207" w:lineRule="exact"/>
        <w:tabs>
          <w:tab w:leader="none" w:pos="58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outstanding of Class A Common Stock with no par value and a stated value of $.0292 per share were 53,659,895 at October 24, 2007.</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outstanding of Class B Common Stock with no par value and a stated value of $70 per share were 2,551 at October 24, 2007.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the only class of stock the Registrant is presently authorized to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color w:val="auto"/>
        </w:rPr>
        <w:t>INDEX</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ERIE INDEMNITY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460" w:type="dxa"/>
            <w:vAlign w:val="bottom"/>
            <w:gridSpan w:val="8"/>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80" w:type="dxa"/>
            <w:vAlign w:val="bottom"/>
            <w:gridSpan w:val="3"/>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Financial Position—September 30, 2007 and December 31, 2006</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Operations—Three months and nine months ended September 30, 2007 and 2006</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Comprehensive Income—Three months and nine months ended September 30, 2007 and 2006</w:t>
              </w:r>
            </w:hyperlink>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Flows—Nine months ended September 30, 2007 and 2006</w:t>
              </w:r>
            </w:hyperlink>
          </w:p>
        </w:tc>
        <w:tc>
          <w:tcPr>
            <w:tcW w:w="264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Statements—September 30, 2007</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480" w:type="dxa"/>
            <w:vAlign w:val="bottom"/>
            <w:gridSpan w:val="3"/>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3.</w:t>
              </w:r>
            </w:hyperlink>
          </w:p>
        </w:tc>
        <w:tc>
          <w:tcPr>
            <w:tcW w:w="480" w:type="dxa"/>
            <w:vAlign w:val="bottom"/>
            <w:gridSpan w:val="3"/>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5000" w:type="dxa"/>
            <w:vAlign w:val="bottom"/>
            <w:tcBorders>
              <w:left w:val="single" w:sz="8" w:color="0000EE"/>
            </w:tcBorders>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4.</w:t>
              </w:r>
            </w:hyperlink>
          </w:p>
        </w:tc>
        <w:tc>
          <w:tcPr>
            <w:tcW w:w="480" w:type="dxa"/>
            <w:vAlign w:val="bottom"/>
            <w:gridSpan w:val="3"/>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1036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1000" w:type="dxa"/>
            <w:vAlign w:val="bottom"/>
            <w:tcBorders>
              <w:top w:val="single" w:sz="8" w:color="0000EE"/>
            </w:tcBorders>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1580" w:type="dxa"/>
            <w:vAlign w:val="bottom"/>
            <w:tcBorders>
              <w:top w:val="single" w:sz="8" w:color="0000EE"/>
            </w:tcBorders>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778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760" w:type="dxa"/>
            <w:vAlign w:val="bottom"/>
            <w:gridSpan w:val="6"/>
            <w:shd w:val="clear" w:color="auto" w:fill="0000EE"/>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6.</w:t>
              </w:r>
            </w:hyperlink>
          </w:p>
        </w:tc>
        <w:tc>
          <w:tcPr>
            <w:tcW w:w="480" w:type="dxa"/>
            <w:vAlign w:val="bottom"/>
            <w:gridSpan w:val="3"/>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76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1036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Exhibit 31.1</w:t>
            </w: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62"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80" w:type="dxa"/>
            <w:vAlign w:val="bottom"/>
            <w:gridSpan w:val="2"/>
          </w:tcPr>
          <w:p>
            <w:pPr>
              <w:jc w:val="right"/>
              <w:ind w:right="11"/>
              <w:spacing w:after="0" w:line="142" w:lineRule="exact"/>
              <w:rPr>
                <w:sz w:val="20"/>
                <w:szCs w:val="20"/>
                <w:color w:val="auto"/>
              </w:rPr>
            </w:pPr>
            <w:r>
              <w:rPr>
                <w:rFonts w:ascii="Arial" w:cs="Arial" w:eastAsia="Arial" w:hAnsi="Arial"/>
                <w:sz w:val="14"/>
                <w:szCs w:val="14"/>
                <w:color w:val="auto"/>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maturities at fair value (amortized cost of $702,625 and $830,061, respectively)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703,444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Equity securities at fair value (cost of $205,655, and $223,210, respectively)</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224,539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partnerships (cost of $221,161 and $200,166, respectively)</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275,224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Real estate mortgage loans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1,207,807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1,323,057</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32,157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Premiums receivable from policyholders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260,720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taxes recoverable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Reinsurance recoverable from Erie Insurance Exchange on unpaid losses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822,558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Ceded unearned premiums to Erie Insurance Exchange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118,822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Note receivable from Erie Family Life Insurance</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due from Erie Insurance Exchange and affiliates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209,633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Reinsurance recoverable from non-affiliates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Equity in Erie Family Life Insurance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59,116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collateral</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29,121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Pension plan asset</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15,539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65,275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2,875,228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3,039,361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FINANCIAL POSITION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September 30,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color w:val="auto"/>
                <w:w w:val="92"/>
              </w:rPr>
              <w:t>(Unaudited)</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Unpaid losses and loss adjustment expenses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$ 1,015,083</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$ 1,073,570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Unearned premiums</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444,175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Commissions payable and accrued</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131,016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Agent bonuses</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68,439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lending collateral</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29,121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46,969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executive compensation</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24,857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Federal income taxes payable</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2,020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21,617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benefit obligations</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33,772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1,828,987</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1,877,513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Capital stock:</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5"/>
              </w:rPr>
              <w:t>Class A common, stated value $.0292 per share; authorized shares; 68,277,600 and 68,224,800 shares issued,</w:t>
            </w: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respectively; 53,659,895 and 57,776,329 shares outstanding, respectively</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400"/>
              <w:spacing w:after="0" w:line="201" w:lineRule="exact"/>
              <w:rPr>
                <w:sz w:val="20"/>
                <w:szCs w:val="20"/>
                <w:color w:val="auto"/>
              </w:rPr>
            </w:pPr>
            <w:r>
              <w:rPr>
                <w:rFonts w:ascii="Arial" w:cs="Arial" w:eastAsia="Arial" w:hAnsi="Arial"/>
                <w:sz w:val="18"/>
                <w:szCs w:val="18"/>
                <w:color w:val="auto"/>
                <w:w w:val="99"/>
              </w:rPr>
              <w:t>Class B common, convertible at a rate of 2,400 Class A shares for one Class B share, stated value $70 per</w:t>
            </w: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600"/>
              <w:spacing w:after="0"/>
              <w:rPr>
                <w:sz w:val="20"/>
                <w:szCs w:val="20"/>
                <w:color w:val="auto"/>
              </w:rPr>
            </w:pPr>
            <w:r>
              <w:rPr>
                <w:rFonts w:ascii="Arial" w:cs="Arial" w:eastAsia="Arial" w:hAnsi="Arial"/>
                <w:sz w:val="18"/>
                <w:szCs w:val="18"/>
                <w:color w:val="auto"/>
              </w:rPr>
              <w:t>share; 2,551 and 2,573 shares authorized, issued and outstanding, respectively</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179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7,830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(2,912)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1,731,210</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1,618,656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contributed capital and retained earnings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1,738,298</w:t>
            </w:r>
          </w:p>
        </w:tc>
        <w:tc>
          <w:tcPr>
            <w:tcW w:w="6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14,617,705 and 10,448,471 shares, respectively</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(692,057)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1,046,241</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$ 2,875,228</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$ 3,039,361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98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6"/>
          </w:tcPr>
          <w:p>
            <w:pPr>
              <w:jc w:val="right"/>
              <w:ind w:right="1140"/>
              <w:spacing w:after="0" w:line="149" w:lineRule="exact"/>
              <w:rPr>
                <w:sz w:val="20"/>
                <w:szCs w:val="20"/>
                <w:color w:val="auto"/>
              </w:rPr>
            </w:pPr>
            <w:r>
              <w:rPr>
                <w:rFonts w:ascii="Arial" w:cs="Arial" w:eastAsia="Arial" w:hAnsi="Arial"/>
                <w:sz w:val="14"/>
                <w:szCs w:val="14"/>
                <w:color w:val="auto"/>
              </w:rPr>
              <w:t>September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5"/>
          </w:tcPr>
          <w:p>
            <w:pPr>
              <w:jc w:val="right"/>
              <w:ind w:right="92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Management fee revenue, net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232,089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231,388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690,432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Service agreement revenue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7,470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22,186</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operating revenue</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291,451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291,815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868,606</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management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189,536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576,768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Losses and loss adjustment expenses incurred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30,766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32,573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92,789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Policy acquisition and other underwriting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36,779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Pr>
          <w:p>
            <w:pPr>
              <w:ind w:left="40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244,769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234,434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706,336</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702,795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 — UNAFFILIATED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Investment income, net of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12,233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12,215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40,350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gains (losses) on investments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Equity in earnings of limited partnerships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14,169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46,867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investment income — unaffiliated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29,840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94,767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70,146</w:t>
            </w:r>
          </w:p>
        </w:tc>
        <w:tc>
          <w:tcPr>
            <w:tcW w:w="0" w:type="dxa"/>
            <w:vAlign w:val="bottom"/>
          </w:tcPr>
          <w:p>
            <w:pPr>
              <w:spacing w:after="0"/>
              <w:rPr>
                <w:sz w:val="1"/>
                <w:szCs w:val="1"/>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color w:val="auto"/>
                <w:w w:val="97"/>
              </w:rPr>
              <w:t>Income before income taxes and equity in earnings of Erie Family Life</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76,522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79,572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257,037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23,669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79,767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Equity in earnings of Erie Family Life Insurance, net of tax</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income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53,496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52,785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180,344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Class A common stock — basic</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40" w:type="dxa"/>
            <w:vAlign w:val="bottom"/>
          </w:tcPr>
          <w:p>
            <w:pPr>
              <w:ind w:left="600"/>
              <w:spacing w:after="0"/>
              <w:rPr>
                <w:sz w:val="20"/>
                <w:szCs w:val="20"/>
                <w:color w:val="auto"/>
              </w:rPr>
            </w:pPr>
            <w:r>
              <w:rPr>
                <w:rFonts w:ascii="Arial" w:cs="Arial" w:eastAsia="Arial" w:hAnsi="Arial"/>
                <w:sz w:val="18"/>
                <w:szCs w:val="18"/>
                <w:b w:val="1"/>
                <w:bCs w:val="1"/>
                <w:color w:val="auto"/>
              </w:rPr>
              <w:t>Class A common stock — diluted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0.87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0.82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2.87</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Class B common stock — basic and diluted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482.27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404.46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Class A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55,183,547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57,873,922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56,727,315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59,179,328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60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61,370,219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64,129,350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62,935,587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65,717,956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 per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Class A common stock</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60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5"/>
          </w:tcPr>
          <w:p>
            <w:pPr>
              <w:jc w:val="center"/>
              <w:ind w:right="82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right"/>
              <w:ind w:right="5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left="375"/>
              <w:spacing w:after="0" w:line="149" w:lineRule="exact"/>
              <w:rPr>
                <w:sz w:val="20"/>
                <w:szCs w:val="20"/>
                <w:color w:val="auto"/>
              </w:rPr>
            </w:pPr>
            <w:r>
              <w:rPr>
                <w:rFonts w:ascii="Arial" w:cs="Arial" w:eastAsia="Arial" w:hAnsi="Arial"/>
                <w:sz w:val="14"/>
                <w:szCs w:val="14"/>
                <w:color w:val="auto"/>
                <w:w w:val="89"/>
              </w:rPr>
              <w:t>September 30,</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80" w:type="dxa"/>
            <w:vAlign w:val="bottom"/>
            <w:gridSpan w:val="5"/>
          </w:tcPr>
          <w:p>
            <w:pPr>
              <w:jc w:val="right"/>
              <w:ind w:right="74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4"/>
              </w:rPr>
              <w:t>53,496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52,785</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4"/>
              </w:rPr>
              <w:t>$ 180,344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$ 158,506</w:t>
            </w:r>
          </w:p>
        </w:tc>
        <w:tc>
          <w:tcPr>
            <w:tcW w:w="0" w:type="dxa"/>
            <w:vAlign w:val="bottom"/>
          </w:tcPr>
          <w:p>
            <w:pPr>
              <w:spacing w:after="0"/>
              <w:rPr>
                <w:sz w:val="1"/>
                <w:szCs w:val="1"/>
                <w:color w:val="auto"/>
              </w:rPr>
            </w:pPr>
          </w:p>
        </w:tc>
      </w:tr>
      <w:tr>
        <w:trPr>
          <w:trHeight w:val="224"/>
        </w:trPr>
        <w:tc>
          <w:tcPr>
            <w:tcW w:w="5520" w:type="dxa"/>
            <w:vAlign w:val="bottom"/>
            <w:gridSpan w:val="2"/>
          </w:tcPr>
          <w:p>
            <w:pPr>
              <w:spacing w:after="0"/>
              <w:rPr>
                <w:sz w:val="20"/>
                <w:szCs w:val="20"/>
                <w:color w:val="auto"/>
              </w:rPr>
            </w:pPr>
            <w:r>
              <w:rPr>
                <w:rFonts w:ascii="Arial" w:cs="Arial" w:eastAsia="Arial" w:hAnsi="Arial"/>
                <w:sz w:val="18"/>
                <w:szCs w:val="18"/>
                <w:color w:val="auto"/>
              </w:rPr>
              <w:t>Gross unrealized gains (losses) arising during period</w:t>
            </w:r>
          </w:p>
        </w:tc>
        <w:tc>
          <w:tcPr>
            <w:tcW w:w="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28,445</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2"/>
              </w:rPr>
              <w:t>Reclassification adjustment for gross (gains) losses included in net income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(7,550)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color w:val="auto"/>
                <w:w w:val="94"/>
              </w:rPr>
              <w:t>Unrealized holding (losses) gains excluding realized (gains) losses, gross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29,317</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(12,822)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related to unrealized (losses) gains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(10,263)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color w:val="auto"/>
              </w:rPr>
              <w:t>Change in other comprehensive income, net of tax</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19,054</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(8,334)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Comprehensive income</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4"/>
              </w:rPr>
              <w:t>51,943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71,839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4"/>
              </w:rPr>
              <w:t>$ 172,010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$ 159,756</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80" w:type="dxa"/>
            <w:vAlign w:val="bottom"/>
          </w:tcPr>
          <w:p>
            <w:pPr>
              <w:jc w:val="right"/>
              <w:ind w:right="65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7"/>
          </w:tcPr>
          <w:p>
            <w:pPr>
              <w:jc w:val="right"/>
              <w:ind w:right="200"/>
              <w:spacing w:after="0"/>
              <w:rPr>
                <w:sz w:val="20"/>
                <w:szCs w:val="20"/>
                <w:color w:val="auto"/>
              </w:rPr>
            </w:pPr>
            <w:r>
              <w:rPr>
                <w:rFonts w:ascii="Arial" w:cs="Arial" w:eastAsia="Arial" w:hAnsi="Arial"/>
                <w:sz w:val="14"/>
                <w:szCs w:val="14"/>
                <w:color w:val="auto"/>
                <w:w w:val="91"/>
              </w:rPr>
              <w:t>Nine months ended September 30,</w:t>
            </w:r>
          </w:p>
        </w:tc>
      </w:tr>
      <w:tr>
        <w:trPr>
          <w:trHeight w:val="167"/>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Management fee received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682,700</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664,869</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agreement fee received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22,686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19,808</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Premiums collected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157,214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161,851</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 of commutation received from Exchange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Net investment income received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40,811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47,209</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 partnership distributions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66,149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31,180</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Dividends received from Erie Family Life Insurance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Salaries and wages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(80,986)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(71,483)</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Pension contribution and employee benefits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(37,136)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(14,604)</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Commissions paid to agents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(349,970)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(348,497)</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Agent bonuses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(91,758)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(73,651)</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operating expenses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(71,697)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(80,693)</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Losses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(91,324)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(92,095)</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adjustment expenses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(10,413)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(9,045)</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Other underwriting and acquisition costs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(4,720)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(8,140)</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(61,552)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(64,723)</w:t>
            </w:r>
          </w:p>
        </w:tc>
      </w:tr>
      <w:tr>
        <w:trPr>
          <w:trHeight w:val="223"/>
        </w:trPr>
        <w:tc>
          <w:tcPr>
            <w:tcW w:w="9120" w:type="dxa"/>
            <w:vAlign w:val="bottom"/>
          </w:tcPr>
          <w:p>
            <w:pPr>
              <w:ind w:left="620"/>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176,786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164,595</w:t>
            </w:r>
          </w:p>
        </w:tc>
        <w:tc>
          <w:tcPr>
            <w:tcW w:w="100" w:type="dxa"/>
            <w:vAlign w:val="bottom"/>
          </w:tcPr>
          <w:p>
            <w:pPr>
              <w:spacing w:after="0"/>
              <w:rPr>
                <w:sz w:val="19"/>
                <w:szCs w:val="19"/>
                <w:color w:val="auto"/>
              </w:rPr>
            </w:pPr>
          </w:p>
        </w:tc>
      </w:tr>
      <w:tr>
        <w:trPr>
          <w:trHeight w:val="223"/>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Purchase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(125,710)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(122,915)</w:t>
            </w:r>
          </w:p>
        </w:tc>
      </w:tr>
      <w:tr>
        <w:trPr>
          <w:trHeight w:val="216"/>
        </w:trPr>
        <w:tc>
          <w:tcPr>
            <w:tcW w:w="9120" w:type="dxa"/>
            <w:vAlign w:val="bottom"/>
          </w:tcPr>
          <w:p>
            <w:pPr>
              <w:ind w:left="4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(106,990)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(78,494)</w:t>
            </w:r>
          </w:p>
        </w:tc>
      </w:tr>
      <w:tr>
        <w:trPr>
          <w:trHeight w:val="216"/>
        </w:trPr>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Limited partnerships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(68,319)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(82,370)</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Sales/maturities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maturity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177,363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227,654</w:t>
            </w:r>
          </w:p>
        </w:tc>
      </w:tr>
      <w:tr>
        <w:trPr>
          <w:trHeight w:val="216"/>
        </w:trPr>
        <w:tc>
          <w:tcPr>
            <w:tcW w:w="9120" w:type="dxa"/>
            <w:vAlign w:val="bottom"/>
          </w:tcPr>
          <w:p>
            <w:pPr>
              <w:ind w:left="420"/>
              <w:spacing w:after="0"/>
              <w:rPr>
                <w:sz w:val="20"/>
                <w:szCs w:val="20"/>
                <w:color w:val="auto"/>
              </w:rPr>
            </w:pPr>
            <w:r>
              <w:rPr>
                <w:rFonts w:ascii="Arial" w:cs="Arial" w:eastAsia="Arial" w:hAnsi="Arial"/>
                <w:sz w:val="18"/>
                <w:szCs w:val="18"/>
                <w:color w:val="auto"/>
              </w:rPr>
              <w:t>Fixed maturity calls/maturities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71,427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70,285</w:t>
            </w:r>
          </w:p>
        </w:tc>
      </w:tr>
      <w:tr>
        <w:trPr>
          <w:trHeight w:val="216"/>
        </w:trPr>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134,444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105,828</w:t>
            </w:r>
          </w:p>
        </w:tc>
      </w:tr>
      <w:tr>
        <w:trPr>
          <w:trHeight w:val="216"/>
        </w:trPr>
        <w:tc>
          <w:tcPr>
            <w:tcW w:w="9120" w:type="dxa"/>
            <w:vAlign w:val="bottom"/>
          </w:tcPr>
          <w:p>
            <w:pPr>
              <w:ind w:left="420"/>
              <w:spacing w:after="0"/>
              <w:rPr>
                <w:sz w:val="20"/>
                <w:szCs w:val="20"/>
                <w:color w:val="auto"/>
              </w:rPr>
            </w:pPr>
            <w:r>
              <w:rPr>
                <w:rFonts w:ascii="Arial" w:cs="Arial" w:eastAsia="Arial" w:hAnsi="Arial"/>
                <w:sz w:val="18"/>
                <w:szCs w:val="18"/>
                <w:color w:val="auto"/>
              </w:rPr>
              <w:t>Return on limited partnerships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7,723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8,404</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Disposal (purchase)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(4,148)</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Net distributions on agent loans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(5,643)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(1,267)</w:t>
            </w:r>
          </w:p>
        </w:tc>
      </w:tr>
      <w:tr>
        <w:trPr>
          <w:trHeight w:val="216"/>
        </w:trPr>
        <w:tc>
          <w:tcPr>
            <w:tcW w:w="912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Net cash provided by investing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122,977</w:t>
            </w:r>
          </w:p>
        </w:tc>
        <w:tc>
          <w:tcPr>
            <w:tcW w:w="100" w:type="dxa"/>
            <w:vAlign w:val="bottom"/>
            <w:shd w:val="clear" w:color="auto" w:fill="CCEEFF"/>
          </w:tcPr>
          <w:p>
            <w:pPr>
              <w:spacing w:after="0"/>
              <w:rPr>
                <w:sz w:val="18"/>
                <w:szCs w:val="18"/>
                <w:color w:val="auto"/>
              </w:rPr>
            </w:pPr>
          </w:p>
        </w:tc>
      </w:tr>
      <w:tr>
        <w:trPr>
          <w:trHeight w:val="439"/>
        </w:trPr>
        <w:tc>
          <w:tcPr>
            <w:tcW w:w="9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(219,827)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(216,450)</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Dividends paid to shareholders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(69,438)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(65,144)</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collateral from securities lending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(6,896)</w:t>
            </w: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(Acquisition) redemption of securities lending collateral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(6,336)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6,896</w:t>
            </w:r>
          </w:p>
        </w:tc>
      </w:tr>
      <w:tr>
        <w:trPr>
          <w:trHeight w:val="27"/>
        </w:trPr>
        <w:tc>
          <w:tcPr>
            <w:tcW w:w="9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12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0"/>
              </w:rPr>
              <w:t>(289,265)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(281,594)</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(28,084)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31,666</w:t>
            </w:r>
          </w:p>
        </w:tc>
      </w:tr>
      <w:tr>
        <w:trPr>
          <w:trHeight w:val="223"/>
        </w:trPr>
        <w:tc>
          <w:tcPr>
            <w:tcW w:w="9120" w:type="dxa"/>
            <w:vAlign w:val="bottom"/>
          </w:tcPr>
          <w:p>
            <w:pPr>
              <w:ind w:left="620"/>
              <w:spacing w:after="0"/>
              <w:rPr>
                <w:sz w:val="20"/>
                <w:szCs w:val="20"/>
                <w:color w:val="auto"/>
              </w:rPr>
            </w:pPr>
            <w:r>
              <w:rPr>
                <w:rFonts w:ascii="Arial" w:cs="Arial" w:eastAsia="Arial" w:hAnsi="Arial"/>
                <w:sz w:val="18"/>
                <w:szCs w:val="18"/>
                <w:b w:val="1"/>
                <w:bCs w:val="1"/>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37,644</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ERIE INDEMNITY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accompanying unaudited consolidated financial statements, which include the accounts of Erie Indemnity Company and our wholly owned property/casualty insurance subsidiaries, Erie Insurance Company (EIC), Erie Insurance Company of New York (EINY) and Erie Insurance Property &amp; Casualty Company (EIPC), have been prepared in accordance with accounting principles generally accepted in the United States of America for interim financial information and the instructions to Form 10-Q and Article 10 of Regulation S-X. Accordingly, they do not include all of the information and footnotes required by generally accepted accounting principles (GAAP) for complete financial statements. In the opinion of management, all adjustments (consisting of normal recurring accruals) considered necessary for a fair presentation have been included. Operating results for the nine-month period ended September 30, 2007 are not necessarily indicative of the results that may be expected for the year ending December 31, 2007. For further information, refer to the consolidated financial statements and footnotes thereto included in our Form 10-K for the year ended December 31, 2006 as filed with the Securities and Exchange Commission on February 26,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2 — RECENT ACCOUNTING PRONOUNCEMENTS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February 2007, the Financial Accounting Standards Board (FASB) issued Financial Accounting Standard (FAS) 159, “The Fair Value Option for Financial Assets and Financial Liabilities.” FAS 159 allows us the option to report selected financial assets and liabilities at fair value at our discretion. FAS 159 also establishes presentation and disclosure requirements designed to facilitate comparisons between companies that choose different measurement attributes for similar types of assets and liabilities. We are currently evaluating certain assets for the election of fair value measurement as of January 1,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3 — RECLASSIFICATIONS</w:t>
      </w:r>
    </w:p>
    <w:p>
      <w:pPr>
        <w:spacing w:after="0" w:line="11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Certain amounts previously reported in the 2006 financial statements have been reclassified to conform to the current period’s presentation. Such reclassifications did not impact earnings or total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EARNINGS PER SHARE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Earnings per share are calculated under the two-class method, which allocates earnings to each class of stock based on its dividend rights. Class B shares are convertible into Class A shares at a conversion ratio of 2,400 to 1. Class A diluted earnings per share are calculated under the if-converted method which reflects the conversion of Class B shares and the effect of potentially dilutive outstanding employee stock-based awards under the long-term incentive plan and awards not yet vested related to the outside directors’ stock compensation plan.</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third quarter of 2007, we repurchased 1,903,201 shares of our Class A nonvoting common stock (which included the conversion of 20 shares of Class B voting common stock to 48,000 shares of Class A nonvoting common stock) for $99.0 million from the F. William Hirt Estate. F. William Hirt, former chairman of the Company, passed away in July 2007. This purchase was authorized by our Board of Directors separate from our authorized stock repurchase program.</w:t>
      </w:r>
    </w:p>
    <w:p>
      <w:pPr>
        <w:spacing w:after="0" w:line="7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During the third quarter we also repurchased 1,670,384 shares under our authorized stock repurchase program. On September 18, 2007, our Board of Directors approved an additional $100 million in repurchase authority as part of our stock repurchase program through December 31, 2008.</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4 — EARNINGS PER SHARE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numerators and denominators used in the basic and diluted per-share computations is presented below for each class of common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restart"/>
          </w:tcPr>
          <w:p>
            <w:pPr>
              <w:jc w:val="right"/>
              <w:ind w:right="298"/>
              <w:spacing w:after="0"/>
              <w:rPr>
                <w:sz w:val="20"/>
                <w:szCs w:val="20"/>
                <w:color w:val="auto"/>
              </w:rPr>
            </w:pPr>
            <w:r>
              <w:rPr>
                <w:rFonts w:ascii="Arial" w:cs="Arial" w:eastAsia="Arial" w:hAnsi="Arial"/>
                <w:sz w:val="14"/>
                <w:szCs w:val="14"/>
                <w:color w:val="auto"/>
              </w:rPr>
              <w:t>2007</w:t>
            </w:r>
          </w:p>
        </w:tc>
        <w:tc>
          <w:tcPr>
            <w:tcW w:w="280" w:type="dxa"/>
            <w:vAlign w:val="bottom"/>
          </w:tcPr>
          <w:p>
            <w:pPr>
              <w:spacing w:after="0"/>
              <w:rPr>
                <w:sz w:val="15"/>
                <w:szCs w:val="15"/>
                <w:color w:val="auto"/>
              </w:rPr>
            </w:pPr>
          </w:p>
        </w:tc>
        <w:tc>
          <w:tcPr>
            <w:tcW w:w="3000" w:type="dxa"/>
            <w:vAlign w:val="bottom"/>
            <w:gridSpan w:val="8"/>
          </w:tcPr>
          <w:p>
            <w:pPr>
              <w:jc w:val="center"/>
              <w:ind w:right="400"/>
              <w:spacing w:after="0"/>
              <w:rPr>
                <w:sz w:val="20"/>
                <w:szCs w:val="20"/>
                <w:color w:val="auto"/>
              </w:rPr>
            </w:pPr>
            <w:r>
              <w:rPr>
                <w:rFonts w:ascii="Arial" w:cs="Arial" w:eastAsia="Arial" w:hAnsi="Arial"/>
                <w:sz w:val="14"/>
                <w:szCs w:val="14"/>
                <w:color w:val="auto"/>
                <w:w w:val="91"/>
              </w:rPr>
              <w:t>Three Months Ended September 30,</w:t>
            </w:r>
          </w:p>
        </w:tc>
        <w:tc>
          <w:tcPr>
            <w:tcW w:w="900" w:type="dxa"/>
            <w:vAlign w:val="bottom"/>
            <w:vMerge w:val="restart"/>
          </w:tcPr>
          <w:p>
            <w:pPr>
              <w:jc w:val="right"/>
              <w:ind w:right="278"/>
              <w:spacing w:after="0"/>
              <w:rPr>
                <w:sz w:val="20"/>
                <w:szCs w:val="20"/>
                <w:color w:val="auto"/>
              </w:rPr>
            </w:pPr>
            <w:r>
              <w:rPr>
                <w:rFonts w:ascii="Arial" w:cs="Arial" w:eastAsia="Arial" w:hAnsi="Arial"/>
                <w:sz w:val="14"/>
                <w:szCs w:val="14"/>
                <w:color w:val="auto"/>
              </w:rPr>
              <w:t>2006</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80" w:type="dxa"/>
            <w:vAlign w:val="bottom"/>
            <w:gridSpan w:val="3"/>
          </w:tcPr>
          <w:p>
            <w:pPr>
              <w:spacing w:after="0" w:line="123" w:lineRule="exact"/>
              <w:rPr>
                <w:sz w:val="20"/>
                <w:szCs w:val="20"/>
                <w:color w:val="auto"/>
              </w:rPr>
            </w:pPr>
            <w:r>
              <w:rPr>
                <w:rFonts w:ascii="Arial" w:cs="Arial" w:eastAsia="Arial" w:hAnsi="Arial"/>
                <w:sz w:val="14"/>
                <w:szCs w:val="14"/>
                <w:color w:val="auto"/>
              </w:rPr>
              <w:t>Allocated Net</w:t>
            </w:r>
          </w:p>
        </w:tc>
        <w:tc>
          <w:tcPr>
            <w:tcW w:w="120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4"/>
              </w:rPr>
              <w:t>Weighted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3"/>
          </w:tcPr>
          <w:p>
            <w:pPr>
              <w:spacing w:after="0" w:line="123" w:lineRule="exact"/>
              <w:rPr>
                <w:sz w:val="20"/>
                <w:szCs w:val="20"/>
                <w:color w:val="auto"/>
              </w:rPr>
            </w:pPr>
            <w:r>
              <w:rPr>
                <w:rFonts w:ascii="Arial" w:cs="Arial" w:eastAsia="Arial" w:hAnsi="Arial"/>
                <w:sz w:val="14"/>
                <w:szCs w:val="14"/>
                <w:color w:val="auto"/>
              </w:rPr>
              <w:t>Allocated Net</w:t>
            </w:r>
          </w:p>
        </w:tc>
        <w:tc>
          <w:tcPr>
            <w:tcW w:w="1220" w:type="dxa"/>
            <w:vAlign w:val="bottom"/>
            <w:gridSpan w:val="2"/>
          </w:tcPr>
          <w:p>
            <w:pPr>
              <w:jc w:val="center"/>
              <w:ind w:right="320"/>
              <w:spacing w:after="0" w:line="123" w:lineRule="exact"/>
              <w:rPr>
                <w:sz w:val="20"/>
                <w:szCs w:val="20"/>
                <w:color w:val="auto"/>
              </w:rPr>
            </w:pPr>
            <w:r>
              <w:rPr>
                <w:rFonts w:ascii="Arial" w:cs="Arial" w:eastAsia="Arial" w:hAnsi="Arial"/>
                <w:sz w:val="14"/>
                <w:szCs w:val="14"/>
                <w:color w:val="auto"/>
                <w:w w:val="91"/>
              </w:rPr>
              <w:t>Weighted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5"/>
              </w:rPr>
              <w:t>Income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Shares</w:t>
            </w:r>
          </w:p>
        </w:tc>
        <w:tc>
          <w:tcPr>
            <w:tcW w:w="32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7"/>
              </w:rPr>
              <w:t>Per-Share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Income</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Shares</w:t>
            </w: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Per-Share</w:t>
            </w:r>
          </w:p>
        </w:tc>
        <w:tc>
          <w:tcPr>
            <w:tcW w:w="0" w:type="dxa"/>
            <w:vAlign w:val="bottom"/>
          </w:tcPr>
          <w:p>
            <w:pPr>
              <w:spacing w:after="0"/>
              <w:rPr>
                <w:sz w:val="1"/>
                <w:szCs w:val="1"/>
                <w:color w:val="auto"/>
              </w:rPr>
            </w:pPr>
          </w:p>
        </w:tc>
      </w:tr>
      <w:tr>
        <w:trPr>
          <w:trHeight w:val="167"/>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color w:val="auto"/>
                <w:w w:val="95"/>
              </w:rPr>
              <w:t>(Numerator)</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(Denominator)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4"/>
                <w:szCs w:val="14"/>
                <w:color w:val="auto"/>
              </w:rPr>
            </w:pPr>
          </w:p>
        </w:tc>
        <w:tc>
          <w:tcPr>
            <w:tcW w:w="1420" w:type="dxa"/>
            <w:vAlign w:val="bottom"/>
            <w:gridSpan w:val="3"/>
          </w:tcPr>
          <w:p>
            <w:pPr>
              <w:jc w:val="center"/>
              <w:ind w:right="580"/>
              <w:spacing w:after="0"/>
              <w:rPr>
                <w:sz w:val="20"/>
                <w:szCs w:val="20"/>
                <w:color w:val="auto"/>
              </w:rPr>
            </w:pPr>
            <w:r>
              <w:rPr>
                <w:rFonts w:ascii="Arial" w:cs="Arial" w:eastAsia="Arial" w:hAnsi="Arial"/>
                <w:sz w:val="14"/>
                <w:szCs w:val="14"/>
                <w:color w:val="auto"/>
                <w:w w:val="95"/>
              </w:rPr>
              <w:t>(Numerator)</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(Denominator)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A — Basic EPS:</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available to Class A stockholders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53,123</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55,183,547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0.97</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52,427</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57,873,922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awards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80,228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Assumed conversion of Class B shares</w:t>
            </w:r>
          </w:p>
        </w:tc>
        <w:tc>
          <w:tcPr>
            <w:tcW w:w="14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373</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6,141,600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358</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6,175,200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A — Diluted EPS: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Income available to Class A stockholders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on Class A equivalent shares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53,496</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61,370,219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87</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52,785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64,129,350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B — Basic and Diluted EPS: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available to Class B stockholders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373</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2,559</w:t>
            </w:r>
          </w:p>
        </w:tc>
        <w:tc>
          <w:tcPr>
            <w:tcW w:w="1280" w:type="dxa"/>
            <w:vAlign w:val="bottom"/>
            <w:gridSpan w:val="4"/>
          </w:tcPr>
          <w:p>
            <w:pPr>
              <w:jc w:val="right"/>
              <w:ind w:right="280"/>
              <w:spacing w:after="0"/>
              <w:rPr>
                <w:sz w:val="20"/>
                <w:szCs w:val="20"/>
                <w:color w:val="auto"/>
              </w:rPr>
            </w:pPr>
            <w:r>
              <w:rPr>
                <w:rFonts w:ascii="Arial" w:cs="Arial" w:eastAsia="Arial" w:hAnsi="Arial"/>
                <w:sz w:val="18"/>
                <w:szCs w:val="18"/>
                <w:color w:val="auto"/>
              </w:rPr>
              <w:t>$ 145.92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358</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2,573</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$ 139.34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vMerge w:val="restart"/>
          </w:tcPr>
          <w:p>
            <w:pPr>
              <w:jc w:val="right"/>
              <w:ind w:right="298"/>
              <w:spacing w:after="0"/>
              <w:rPr>
                <w:sz w:val="20"/>
                <w:szCs w:val="20"/>
                <w:color w:val="auto"/>
              </w:rPr>
            </w:pPr>
            <w:r>
              <w:rPr>
                <w:rFonts w:ascii="Arial" w:cs="Arial" w:eastAsia="Arial" w:hAnsi="Arial"/>
                <w:sz w:val="14"/>
                <w:szCs w:val="14"/>
                <w:color w:val="auto"/>
              </w:rPr>
              <w:t>2007</w:t>
            </w:r>
          </w:p>
        </w:tc>
        <w:tc>
          <w:tcPr>
            <w:tcW w:w="280" w:type="dxa"/>
            <w:vAlign w:val="bottom"/>
          </w:tcPr>
          <w:p>
            <w:pPr>
              <w:spacing w:after="0"/>
              <w:rPr>
                <w:sz w:val="24"/>
                <w:szCs w:val="24"/>
                <w:color w:val="auto"/>
              </w:rPr>
            </w:pPr>
          </w:p>
        </w:tc>
        <w:tc>
          <w:tcPr>
            <w:tcW w:w="3000" w:type="dxa"/>
            <w:vAlign w:val="bottom"/>
            <w:gridSpan w:val="8"/>
          </w:tcPr>
          <w:p>
            <w:pPr>
              <w:jc w:val="center"/>
              <w:ind w:right="400"/>
              <w:spacing w:after="0"/>
              <w:rPr>
                <w:sz w:val="20"/>
                <w:szCs w:val="20"/>
                <w:color w:val="auto"/>
              </w:rPr>
            </w:pPr>
            <w:r>
              <w:rPr>
                <w:rFonts w:ascii="Arial" w:cs="Arial" w:eastAsia="Arial" w:hAnsi="Arial"/>
                <w:sz w:val="14"/>
                <w:szCs w:val="14"/>
                <w:color w:val="auto"/>
                <w:w w:val="93"/>
              </w:rPr>
              <w:t>Nine Months Ended September 30,</w:t>
            </w:r>
          </w:p>
        </w:tc>
        <w:tc>
          <w:tcPr>
            <w:tcW w:w="900" w:type="dxa"/>
            <w:vAlign w:val="bottom"/>
            <w:vMerge w:val="restart"/>
          </w:tcPr>
          <w:p>
            <w:pPr>
              <w:jc w:val="right"/>
              <w:ind w:right="278"/>
              <w:spacing w:after="0"/>
              <w:rPr>
                <w:sz w:val="20"/>
                <w:szCs w:val="20"/>
                <w:color w:val="auto"/>
              </w:rPr>
            </w:pPr>
            <w:r>
              <w:rPr>
                <w:rFonts w:ascii="Arial" w:cs="Arial" w:eastAsia="Arial" w:hAnsi="Arial"/>
                <w:sz w:val="14"/>
                <w:szCs w:val="14"/>
                <w:color w:val="auto"/>
              </w:rPr>
              <w:t>2006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80" w:type="dxa"/>
            <w:vAlign w:val="bottom"/>
            <w:gridSpan w:val="3"/>
          </w:tcPr>
          <w:p>
            <w:pPr>
              <w:spacing w:after="0" w:line="123" w:lineRule="exact"/>
              <w:rPr>
                <w:sz w:val="20"/>
                <w:szCs w:val="20"/>
                <w:color w:val="auto"/>
              </w:rPr>
            </w:pPr>
            <w:r>
              <w:rPr>
                <w:rFonts w:ascii="Arial" w:cs="Arial" w:eastAsia="Arial" w:hAnsi="Arial"/>
                <w:sz w:val="14"/>
                <w:szCs w:val="14"/>
                <w:color w:val="auto"/>
              </w:rPr>
              <w:t>Allocated Net</w:t>
            </w:r>
          </w:p>
        </w:tc>
        <w:tc>
          <w:tcPr>
            <w:tcW w:w="120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4"/>
              </w:rPr>
              <w:t>Weighted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3"/>
          </w:tcPr>
          <w:p>
            <w:pPr>
              <w:spacing w:after="0" w:line="123" w:lineRule="exact"/>
              <w:rPr>
                <w:sz w:val="20"/>
                <w:szCs w:val="20"/>
                <w:color w:val="auto"/>
              </w:rPr>
            </w:pPr>
            <w:r>
              <w:rPr>
                <w:rFonts w:ascii="Arial" w:cs="Arial" w:eastAsia="Arial" w:hAnsi="Arial"/>
                <w:sz w:val="14"/>
                <w:szCs w:val="14"/>
                <w:color w:val="auto"/>
              </w:rPr>
              <w:t>Allocated Net</w:t>
            </w:r>
          </w:p>
        </w:tc>
        <w:tc>
          <w:tcPr>
            <w:tcW w:w="1220" w:type="dxa"/>
            <w:vAlign w:val="bottom"/>
            <w:gridSpan w:val="2"/>
          </w:tcPr>
          <w:p>
            <w:pPr>
              <w:jc w:val="center"/>
              <w:ind w:right="320"/>
              <w:spacing w:after="0" w:line="123" w:lineRule="exact"/>
              <w:rPr>
                <w:sz w:val="20"/>
                <w:szCs w:val="20"/>
                <w:color w:val="auto"/>
              </w:rPr>
            </w:pPr>
            <w:r>
              <w:rPr>
                <w:rFonts w:ascii="Arial" w:cs="Arial" w:eastAsia="Arial" w:hAnsi="Arial"/>
                <w:sz w:val="14"/>
                <w:szCs w:val="14"/>
                <w:color w:val="auto"/>
                <w:w w:val="91"/>
              </w:rPr>
              <w:t>Weighted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5"/>
              </w:rPr>
              <w:t>Income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Shares</w:t>
            </w:r>
          </w:p>
        </w:tc>
        <w:tc>
          <w:tcPr>
            <w:tcW w:w="32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7"/>
              </w:rPr>
              <w:t>Per-Share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Income</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Shares</w:t>
            </w: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Per-Share</w:t>
            </w:r>
          </w:p>
        </w:tc>
        <w:tc>
          <w:tcPr>
            <w:tcW w:w="0" w:type="dxa"/>
            <w:vAlign w:val="bottom"/>
          </w:tcPr>
          <w:p>
            <w:pPr>
              <w:spacing w:after="0"/>
              <w:rPr>
                <w:sz w:val="1"/>
                <w:szCs w:val="1"/>
                <w:color w:val="auto"/>
              </w:rPr>
            </w:pPr>
          </w:p>
        </w:tc>
      </w:tr>
      <w:tr>
        <w:trPr>
          <w:trHeight w:val="167"/>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color w:val="auto"/>
                <w:w w:val="95"/>
              </w:rPr>
              <w:t>(Numerator)</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(Denominator)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4"/>
                <w:szCs w:val="14"/>
                <w:color w:val="auto"/>
              </w:rPr>
            </w:pPr>
          </w:p>
        </w:tc>
        <w:tc>
          <w:tcPr>
            <w:tcW w:w="1420" w:type="dxa"/>
            <w:vAlign w:val="bottom"/>
            <w:gridSpan w:val="3"/>
          </w:tcPr>
          <w:p>
            <w:pPr>
              <w:jc w:val="center"/>
              <w:ind w:right="580"/>
              <w:spacing w:after="0"/>
              <w:rPr>
                <w:sz w:val="20"/>
                <w:szCs w:val="20"/>
                <w:color w:val="auto"/>
              </w:rPr>
            </w:pPr>
            <w:r>
              <w:rPr>
                <w:rFonts w:ascii="Arial" w:cs="Arial" w:eastAsia="Arial" w:hAnsi="Arial"/>
                <w:sz w:val="14"/>
                <w:szCs w:val="14"/>
                <w:color w:val="auto"/>
                <w:w w:val="95"/>
              </w:rPr>
              <w:t>(Numerator)</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(Denominator)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A — Basic EPS:</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available to Class A stockholders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179,106</w:t>
            </w:r>
          </w:p>
        </w:tc>
        <w:tc>
          <w:tcPr>
            <w:tcW w:w="5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56,727,315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157,424</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59,179,328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awards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80,228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Assumed conversion of Class B shares</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1,238</w:t>
            </w:r>
          </w:p>
        </w:tc>
        <w:tc>
          <w:tcPr>
            <w:tcW w:w="58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6,163,200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1,082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6,458,400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A — Diluted EPS: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Income available to Class A stockholders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on Class A equivalent shares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180,344</w:t>
            </w:r>
          </w:p>
        </w:tc>
        <w:tc>
          <w:tcPr>
            <w:tcW w:w="5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62,935,587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87</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158,506</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65,717,956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B — Basic and Diluted EPS: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available to Class B stockholders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1,238</w:t>
            </w:r>
          </w:p>
        </w:tc>
        <w:tc>
          <w:tcPr>
            <w:tcW w:w="5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2,568</w:t>
            </w:r>
          </w:p>
        </w:tc>
        <w:tc>
          <w:tcPr>
            <w:tcW w:w="1280" w:type="dxa"/>
            <w:vAlign w:val="bottom"/>
            <w:gridSpan w:val="4"/>
          </w:tcPr>
          <w:p>
            <w:pPr>
              <w:jc w:val="right"/>
              <w:ind w:right="280"/>
              <w:spacing w:after="0"/>
              <w:rPr>
                <w:sz w:val="20"/>
                <w:szCs w:val="20"/>
                <w:color w:val="auto"/>
              </w:rPr>
            </w:pPr>
            <w:r>
              <w:rPr>
                <w:rFonts w:ascii="Arial" w:cs="Arial" w:eastAsia="Arial" w:hAnsi="Arial"/>
                <w:sz w:val="18"/>
                <w:szCs w:val="18"/>
                <w:color w:val="auto"/>
              </w:rPr>
              <w:t>$ 482.27</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1,082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2,691</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$ 404.46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Included in the restricted stock awards not yet vested are awards of 37,716 and 73,471 for the third quarter of 2007 and 2006, respectively, related to our pre-2004 long-term incentive plan for executive and senior management. Awards not yet vested related to the outside directors’ stock compensation plan were 7,356 and 6,757 for the third quarters of 2007 and 2006,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5 —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Fixed maturities and equity securities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Fixed maturities consist of bonds, notes and redeemable preferred stock. Equity securities include common and nonredeemable preferred stock. Fixed maturities and equity securities are classified as available-for-sale. Available-for-sale securities are stated at fair value, with the unrealized gains and losses, net of deferred tax, reflected in shareholders’ equity in accumulated other comprehensive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cost and market value of available-for-sale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color w:val="auto"/>
                <w:w w:val="91"/>
              </w:rPr>
              <w:t>September 30, 2007</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60" w:type="dxa"/>
            <w:vAlign w:val="bottom"/>
            <w:gridSpan w:val="3"/>
          </w:tcPr>
          <w:p>
            <w:pPr>
              <w:jc w:val="center"/>
              <w:ind w:right="660"/>
              <w:spacing w:after="0" w:line="142" w:lineRule="exact"/>
              <w:rPr>
                <w:sz w:val="20"/>
                <w:szCs w:val="20"/>
                <w:color w:val="auto"/>
              </w:rPr>
            </w:pPr>
            <w:r>
              <w:rPr>
                <w:rFonts w:ascii="Arial" w:cs="Arial" w:eastAsia="Arial" w:hAnsi="Arial"/>
                <w:sz w:val="14"/>
                <w:szCs w:val="14"/>
                <w:color w:val="auto"/>
                <w:w w:val="98"/>
              </w:rPr>
              <w:t>Amortized</w:t>
            </w: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ind w:left="293"/>
              <w:spacing w:after="0" w:line="142" w:lineRule="exact"/>
              <w:rPr>
                <w:sz w:val="20"/>
                <w:szCs w:val="20"/>
                <w:color w:val="auto"/>
              </w:rPr>
            </w:pPr>
            <w:r>
              <w:rPr>
                <w:rFonts w:ascii="Arial" w:cs="Arial" w:eastAsia="Arial" w:hAnsi="Arial"/>
                <w:sz w:val="14"/>
                <w:szCs w:val="14"/>
                <w:color w:val="auto"/>
                <w:w w:val="90"/>
              </w:rPr>
              <w:t>Gross unrealized</w:t>
            </w: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99"/>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80"/>
              <w:spacing w:after="0" w:line="142" w:lineRule="exact"/>
              <w:rPr>
                <w:sz w:val="20"/>
                <w:szCs w:val="20"/>
                <w:color w:val="auto"/>
              </w:rPr>
            </w:pPr>
            <w:r>
              <w:rPr>
                <w:rFonts w:ascii="Arial" w:cs="Arial" w:eastAsia="Arial" w:hAnsi="Arial"/>
                <w:sz w:val="14"/>
                <w:szCs w:val="14"/>
                <w:color w:val="auto"/>
                <w:w w:val="93"/>
              </w:rPr>
              <w:t>cost</w:t>
            </w:r>
          </w:p>
        </w:tc>
        <w:tc>
          <w:tcPr>
            <w:tcW w:w="140" w:type="dxa"/>
            <w:vAlign w:val="bottom"/>
          </w:tcPr>
          <w:p>
            <w:pPr>
              <w:spacing w:after="0"/>
              <w:rPr>
                <w:sz w:val="12"/>
                <w:szCs w:val="12"/>
                <w:color w:val="auto"/>
              </w:rPr>
            </w:pPr>
          </w:p>
        </w:tc>
        <w:tc>
          <w:tcPr>
            <w:tcW w:w="1220" w:type="dxa"/>
            <w:vAlign w:val="bottom"/>
            <w:gridSpan w:val="2"/>
          </w:tcPr>
          <w:p>
            <w:pPr>
              <w:jc w:val="right"/>
              <w:ind w:right="860"/>
              <w:spacing w:after="0" w:line="142" w:lineRule="exact"/>
              <w:rPr>
                <w:sz w:val="20"/>
                <w:szCs w:val="20"/>
                <w:color w:val="auto"/>
              </w:rPr>
            </w:pPr>
            <w:r>
              <w:rPr>
                <w:rFonts w:ascii="Arial" w:cs="Arial" w:eastAsia="Arial" w:hAnsi="Arial"/>
                <w:sz w:val="14"/>
                <w:szCs w:val="14"/>
                <w:color w:val="auto"/>
              </w:rPr>
              <w:t>gains</w:t>
            </w:r>
          </w:p>
        </w:tc>
        <w:tc>
          <w:tcPr>
            <w:tcW w:w="16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color w:val="auto"/>
                <w:w w:val="80"/>
              </w:rPr>
              <w:t>losses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maturities</w:t>
            </w:r>
          </w:p>
        </w:tc>
        <w:tc>
          <w:tcPr>
            <w:tcW w:w="2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U.S. treasuries and government agencies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4,400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240,714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240,684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government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330,876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4,062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330,330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corporate debt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81,003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81,880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bonds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687,401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7,475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7,164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687,712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15,224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fixed maturities</w:t>
            </w:r>
          </w:p>
        </w:tc>
        <w:tc>
          <w:tcPr>
            <w:tcW w:w="36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$ 702,625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8,158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7,339</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$ 703,444</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U.S. common stock</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15,411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common stock</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30,703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5,588</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998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35,293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U.S. nonredeemable preferred stock</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97,815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97,913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nonredeemable preferred stock</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 securities</w:t>
            </w:r>
          </w:p>
        </w:tc>
        <w:tc>
          <w:tcPr>
            <w:tcW w:w="36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$ 205,655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24,171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5,287</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$ 224,539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color w:val="auto"/>
                <w:w w:val="91"/>
              </w:rPr>
              <w:t>December 31, 2006</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60" w:type="dxa"/>
            <w:vAlign w:val="bottom"/>
            <w:gridSpan w:val="3"/>
          </w:tcPr>
          <w:p>
            <w:pPr>
              <w:jc w:val="center"/>
              <w:ind w:right="660"/>
              <w:spacing w:after="0" w:line="142" w:lineRule="exact"/>
              <w:rPr>
                <w:sz w:val="20"/>
                <w:szCs w:val="20"/>
                <w:color w:val="auto"/>
              </w:rPr>
            </w:pPr>
            <w:r>
              <w:rPr>
                <w:rFonts w:ascii="Arial" w:cs="Arial" w:eastAsia="Arial" w:hAnsi="Arial"/>
                <w:sz w:val="14"/>
                <w:szCs w:val="14"/>
                <w:color w:val="auto"/>
                <w:w w:val="98"/>
              </w:rPr>
              <w:t>Amortized</w:t>
            </w: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ind w:left="293"/>
              <w:spacing w:after="0" w:line="142" w:lineRule="exact"/>
              <w:rPr>
                <w:sz w:val="20"/>
                <w:szCs w:val="20"/>
                <w:color w:val="auto"/>
              </w:rPr>
            </w:pPr>
            <w:r>
              <w:rPr>
                <w:rFonts w:ascii="Arial" w:cs="Arial" w:eastAsia="Arial" w:hAnsi="Arial"/>
                <w:sz w:val="14"/>
                <w:szCs w:val="14"/>
                <w:color w:val="auto"/>
                <w:w w:val="90"/>
              </w:rPr>
              <w:t>Gross unrealized</w:t>
            </w: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99"/>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60"/>
              <w:spacing w:after="0" w:line="142" w:lineRule="exact"/>
              <w:rPr>
                <w:sz w:val="20"/>
                <w:szCs w:val="20"/>
                <w:color w:val="auto"/>
              </w:rPr>
            </w:pPr>
            <w:r>
              <w:rPr>
                <w:rFonts w:ascii="Arial" w:cs="Arial" w:eastAsia="Arial" w:hAnsi="Arial"/>
                <w:sz w:val="14"/>
                <w:szCs w:val="14"/>
                <w:color w:val="auto"/>
                <w:w w:val="90"/>
              </w:rPr>
              <w:t>Cost</w:t>
            </w:r>
          </w:p>
        </w:tc>
        <w:tc>
          <w:tcPr>
            <w:tcW w:w="140" w:type="dxa"/>
            <w:vAlign w:val="bottom"/>
          </w:tcPr>
          <w:p>
            <w:pPr>
              <w:spacing w:after="0"/>
              <w:rPr>
                <w:sz w:val="12"/>
                <w:szCs w:val="12"/>
                <w:color w:val="auto"/>
              </w:rPr>
            </w:pPr>
          </w:p>
        </w:tc>
        <w:tc>
          <w:tcPr>
            <w:tcW w:w="1220" w:type="dxa"/>
            <w:vAlign w:val="bottom"/>
            <w:gridSpan w:val="2"/>
          </w:tcPr>
          <w:p>
            <w:pPr>
              <w:jc w:val="right"/>
              <w:ind w:right="860"/>
              <w:spacing w:after="0" w:line="142" w:lineRule="exact"/>
              <w:rPr>
                <w:sz w:val="20"/>
                <w:szCs w:val="20"/>
                <w:color w:val="auto"/>
              </w:rPr>
            </w:pPr>
            <w:r>
              <w:rPr>
                <w:rFonts w:ascii="Arial" w:cs="Arial" w:eastAsia="Arial" w:hAnsi="Arial"/>
                <w:sz w:val="14"/>
                <w:szCs w:val="14"/>
                <w:color w:val="auto"/>
              </w:rPr>
              <w:t>gains</w:t>
            </w:r>
          </w:p>
        </w:tc>
        <w:tc>
          <w:tcPr>
            <w:tcW w:w="16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color w:val="auto"/>
                <w:w w:val="80"/>
              </w:rPr>
              <w:t>losses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maturities</w:t>
            </w:r>
          </w:p>
        </w:tc>
        <w:tc>
          <w:tcPr>
            <w:tcW w:w="2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U.S. treasuries and government agencies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330,239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2,935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331,613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government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357,177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5,754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359,735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corporate debt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82,929</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2,166</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84,532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18,117</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bonds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808,838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11,465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814,579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21,223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22,159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fixed maturities</w:t>
            </w:r>
          </w:p>
        </w:tc>
        <w:tc>
          <w:tcPr>
            <w:tcW w:w="36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$ 830,061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12,501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5,824</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$ 836,738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U.S. common stock</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71,932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17,156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common stock</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23,106</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5,897</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28,943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U.S. nonredeemable preferred stock</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123,042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5,378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127,855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nonredeemable preferred stock</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 securities</w:t>
            </w:r>
          </w:p>
        </w:tc>
        <w:tc>
          <w:tcPr>
            <w:tcW w:w="36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$ 223,210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28,847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1,410</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$ 250,647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60" w:type="dxa"/>
            <w:vAlign w:val="bottom"/>
            <w:vMerge w:val="restart"/>
          </w:tcPr>
          <w:p>
            <w:pPr>
              <w:jc w:val="right"/>
              <w:ind w:right="65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5 — INVESTMENTS (Continued)</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When a decline in the value of an investment is considered to be other-than-temporary by management, the investment is written down to net estimated realizable value. Investment impairments are evaluated on an individual security basis. Adjustments to the carrying value of marketable equity securities and fixed maturities that are considered impaired are recorded as realized losses in the Consolidated Statements of Operations.</w:t>
      </w:r>
    </w:p>
    <w:p>
      <w:pPr>
        <w:spacing w:after="0" w:line="5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components of net realized gains on investments as reported in the Consolidated Statements of Operations are included below. Impairment charges for the three months ended September 30, 2007 include securities primarily in the finance and real estate industries. In the third quarter of 2006 impairment charges on securities were primarily in the technology industry.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40" w:type="dxa"/>
            <w:vAlign w:val="bottom"/>
            <w:gridSpan w:val="7"/>
          </w:tcPr>
          <w:p>
            <w:pPr>
              <w:spacing w:after="0"/>
              <w:rPr>
                <w:sz w:val="20"/>
                <w:szCs w:val="20"/>
                <w:color w:val="auto"/>
              </w:rPr>
            </w:pPr>
            <w:r>
              <w:rPr>
                <w:rFonts w:ascii="Arial" w:cs="Arial" w:eastAsia="Arial" w:hAnsi="Arial"/>
                <w:sz w:val="14"/>
                <w:szCs w:val="14"/>
                <w:color w:val="auto"/>
              </w:rPr>
              <w:t>Three months ended September 30,</w:t>
            </w:r>
          </w:p>
        </w:tc>
        <w:tc>
          <w:tcPr>
            <w:tcW w:w="2140" w:type="dxa"/>
            <w:vAlign w:val="bottom"/>
            <w:gridSpan w:val="7"/>
          </w:tcPr>
          <w:p>
            <w:pPr>
              <w:ind w:left="20"/>
              <w:spacing w:after="0"/>
              <w:rPr>
                <w:sz w:val="20"/>
                <w:szCs w:val="20"/>
                <w:color w:val="auto"/>
              </w:rPr>
            </w:pPr>
            <w:r>
              <w:rPr>
                <w:rFonts w:ascii="Arial" w:cs="Arial" w:eastAsia="Arial" w:hAnsi="Arial"/>
                <w:sz w:val="14"/>
                <w:szCs w:val="14"/>
                <w:color w:val="auto"/>
                <w:w w:val="96"/>
              </w:rPr>
              <w:t>Nine months ended September 30,</w:t>
            </w:r>
          </w:p>
        </w:tc>
      </w:tr>
      <w:tr>
        <w:trPr>
          <w:trHeight w:val="188"/>
        </w:trPr>
        <w:tc>
          <w:tcPr>
            <w:tcW w:w="4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2007</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Gross realized gains</w:t>
            </w:r>
          </w:p>
        </w:tc>
        <w:tc>
          <w:tcPr>
            <w:tcW w:w="18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1,890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2,305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3,675</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(3,248)</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Impairment charges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gains (losses)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r>
      <w:tr>
        <w:trPr>
          <w:trHeight w:val="439"/>
        </w:trPr>
        <w:tc>
          <w:tcPr>
            <w:tcW w:w="48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1,950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15,787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9,579</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Gross realized losses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(5,710)</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(4,075)</w:t>
            </w:r>
          </w:p>
        </w:tc>
      </w:tr>
      <w:tr>
        <w:trPr>
          <w:trHeight w:val="230"/>
        </w:trPr>
        <w:tc>
          <w:tcPr>
            <w:tcW w:w="2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Net realized gains (losses)</w:t>
            </w:r>
          </w:p>
        </w:tc>
        <w:tc>
          <w:tcPr>
            <w:tcW w:w="1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gains (losses) on investments</w:t>
            </w:r>
          </w:p>
        </w:tc>
        <w:tc>
          <w:tcPr>
            <w:tcW w:w="18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7,550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Limited partnerships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limited partnerships are classified into three primary categories based upon the unique investment characteristic of each: real estate, private equity and mezzanine debt. Nearly all of our limited partnerships are valued using a source other than quoted prices in active markets. The fair value amounts are based on the financial statements of the general partners, who use various methods to estimate fair value. The general partners use various cash flow valuation techniques to estimate fair values of equity securities in our private equity limited partnerships. For the limited partnerships with investments in mezzanine debt, fair value is based on various valuation techniques applied by the general partners if the mezzanine loans have an equity component. If the mezzanine loans have an equity component, the general partners value investments in mezzanine debt limited partnerships at cost, which approximates fair value. If information becomes available that would impair the cost of these partnerships then the general partner would adjust to the net realizable value. Investments in real estate limited partnerships are either recorded by the general partners at fair value based on an independent appraisal or are carried at cost, which approximates fair value. We perform various procedures in review of the general partners’ valuations, and while we generally rely on the general partners’ financial statements as the best available information to record our share of the partnership unrealized gains and losses resulting from valuation changes, we would adjust our financial statements where we through it was appropriate. As there is no ready market for these investments, they have the greatest potential for variability. Unrealized gains and losses for these investments are reflected in the equity in earnings on limited partnerships in our Consolidated Statements of Operations as is appropriate under the equity method accounting.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5 — INVESTMENTS (Continued)</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For the nine months ended September 30, 2007 our equity in earnings from these partnerships as reported on the Consolidated Statements of Operations totaled 18.2% of our pre-tax income. While we do not exert significant influence over any of these partnerships, because we account for them under the equity method of accounting, we are providing summarized financial information in the following table as of September 30, 2007 and December 31, 2006. Amounts provided in the “recorded by partnerships” section of the table are presented using the latest available financial statements received from the partnerships.</w:t>
      </w:r>
    </w:p>
    <w:p>
      <w:pPr>
        <w:spacing w:after="0" w:line="183" w:lineRule="exact"/>
        <w:rPr>
          <w:sz w:val="20"/>
          <w:szCs w:val="20"/>
          <w:color w:val="auto"/>
        </w:rPr>
      </w:pPr>
    </w:p>
    <w:p>
      <w:pPr>
        <w:jc w:val="center"/>
        <w:ind w:right="1000"/>
        <w:spacing w:after="0"/>
        <w:rPr>
          <w:sz w:val="20"/>
          <w:szCs w:val="20"/>
          <w:color w:val="auto"/>
        </w:rPr>
      </w:pPr>
      <w:r>
        <w:rPr>
          <w:rFonts w:ascii="Arial" w:cs="Arial" w:eastAsia="Arial" w:hAnsi="Arial"/>
          <w:sz w:val="14"/>
          <w:szCs w:val="14"/>
          <w:color w:val="auto"/>
        </w:rPr>
        <w:t>Equity Recorded by Erie Indemnity Company</w:t>
      </w:r>
    </w:p>
    <w:p>
      <w:pPr>
        <w:jc w:val="center"/>
        <w:ind w:right="1000"/>
        <w:spacing w:after="0" w:line="231" w:lineRule="auto"/>
        <w:rPr>
          <w:sz w:val="20"/>
          <w:szCs w:val="20"/>
          <w:color w:val="auto"/>
        </w:rPr>
      </w:pPr>
      <w:r>
        <w:rPr>
          <w:rFonts w:ascii="Arial" w:cs="Arial" w:eastAsia="Arial" w:hAnsi="Arial"/>
          <w:sz w:val="14"/>
          <w:szCs w:val="14"/>
          <w:color w:val="auto"/>
        </w:rPr>
        <w:t>as of September 30, 2007</w:t>
      </w:r>
    </w:p>
    <w:tbl>
      <w:tblPr>
        <w:tblLayout w:type="fixed"/>
        <w:tblInd w:w="0" w:type="dxa"/>
        <w:tblCellMar>
          <w:top w:w="0" w:type="dxa"/>
          <w:left w:w="0" w:type="dxa"/>
          <w:bottom w:w="0" w:type="dxa"/>
          <w:right w:w="0" w:type="dxa"/>
        </w:tblCellMar>
      </w:tblPr>
      <w:tr>
        <w:trPr>
          <w:trHeight w:val="142"/>
        </w:trPr>
        <w:tc>
          <w:tcPr>
            <w:tcW w:w="1980" w:type="dxa"/>
            <w:vAlign w:val="bottom"/>
            <w:gridSpan w:val="2"/>
          </w:tcPr>
          <w:p>
            <w:pPr>
              <w:spacing w:after="0" w:line="142" w:lineRule="exact"/>
              <w:rPr>
                <w:sz w:val="20"/>
                <w:szCs w:val="20"/>
                <w:color w:val="auto"/>
              </w:rPr>
            </w:pPr>
            <w:r>
              <w:rPr>
                <w:rFonts w:ascii="Arial" w:cs="Arial" w:eastAsia="Arial" w:hAnsi="Arial"/>
                <w:sz w:val="14"/>
                <w:szCs w:val="14"/>
                <w:color w:val="auto"/>
              </w:rPr>
              <w:t>Erie Indemnity</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1"/>
              </w:rPr>
              <w:t>Year to date</w:t>
            </w:r>
          </w:p>
        </w:tc>
        <w:tc>
          <w:tcPr>
            <w:tcW w:w="3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tcPr>
          <w:p>
            <w:pPr>
              <w:ind w:left="140"/>
              <w:spacing w:after="0" w:line="142" w:lineRule="exact"/>
              <w:rPr>
                <w:sz w:val="20"/>
                <w:szCs w:val="20"/>
                <w:color w:val="auto"/>
              </w:rPr>
            </w:pPr>
            <w:r>
              <w:rPr>
                <w:rFonts w:ascii="Arial" w:cs="Arial" w:eastAsia="Arial" w:hAnsi="Arial"/>
                <w:sz w:val="14"/>
                <w:szCs w:val="14"/>
                <w:color w:val="auto"/>
              </w:rPr>
              <w:t>Recorded by Partnerships</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980" w:type="dxa"/>
            <w:vAlign w:val="bottom"/>
            <w:gridSpan w:val="2"/>
          </w:tcPr>
          <w:p>
            <w:pPr>
              <w:spacing w:after="0" w:line="123" w:lineRule="exact"/>
              <w:rPr>
                <w:sz w:val="20"/>
                <w:szCs w:val="20"/>
                <w:color w:val="auto"/>
              </w:rPr>
            </w:pPr>
            <w:r>
              <w:rPr>
                <w:rFonts w:ascii="Arial" w:cs="Arial" w:eastAsia="Arial" w:hAnsi="Arial"/>
                <w:sz w:val="14"/>
                <w:szCs w:val="14"/>
                <w:color w:val="auto"/>
              </w:rPr>
              <w:t>Company ownership</w:t>
            </w:r>
          </w:p>
        </w:tc>
        <w:tc>
          <w:tcPr>
            <w:tcW w:w="260" w:type="dxa"/>
            <w:vAlign w:val="bottom"/>
          </w:tcPr>
          <w:p>
            <w:pPr>
              <w:spacing w:after="0"/>
              <w:rPr>
                <w:sz w:val="10"/>
                <w:szCs w:val="10"/>
                <w:color w:val="auto"/>
              </w:rPr>
            </w:pPr>
          </w:p>
        </w:tc>
        <w:tc>
          <w:tcPr>
            <w:tcW w:w="110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7"/>
              </w:rPr>
              <w:t>Number of</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gridSpan w:val="3"/>
          </w:tcPr>
          <w:p>
            <w:pPr>
              <w:spacing w:after="0" w:line="123" w:lineRule="exact"/>
              <w:rPr>
                <w:sz w:val="20"/>
                <w:szCs w:val="20"/>
                <w:color w:val="auto"/>
              </w:rPr>
            </w:pPr>
            <w:r>
              <w:rPr>
                <w:rFonts w:ascii="Arial" w:cs="Arial" w:eastAsia="Arial" w:hAnsi="Arial"/>
                <w:sz w:val="14"/>
                <w:szCs w:val="14"/>
                <w:color w:val="auto"/>
              </w:rPr>
              <w:t>Change in valuation</w:t>
            </w:r>
          </w:p>
        </w:tc>
        <w:tc>
          <w:tcPr>
            <w:tcW w:w="150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net income (loss)</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gridSpan w:val="4"/>
          </w:tcPr>
          <w:p>
            <w:pPr>
              <w:ind w:left="240"/>
              <w:spacing w:after="0" w:line="123" w:lineRule="exact"/>
              <w:rPr>
                <w:sz w:val="20"/>
                <w:szCs w:val="20"/>
                <w:color w:val="auto"/>
              </w:rPr>
            </w:pPr>
            <w:r>
              <w:rPr>
                <w:rFonts w:ascii="Arial" w:cs="Arial" w:eastAsia="Arial" w:hAnsi="Arial"/>
                <w:sz w:val="14"/>
                <w:szCs w:val="14"/>
                <w:color w:val="auto"/>
              </w:rPr>
              <w:t>Change in Valuation</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2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partnerships</w:t>
            </w:r>
          </w:p>
        </w:tc>
        <w:tc>
          <w:tcPr>
            <w:tcW w:w="1220" w:type="dxa"/>
            <w:vAlign w:val="bottom"/>
            <w:gridSpan w:val="3"/>
          </w:tcPr>
          <w:p>
            <w:pPr>
              <w:spacing w:after="0"/>
              <w:rPr>
                <w:sz w:val="20"/>
                <w:szCs w:val="20"/>
                <w:color w:val="auto"/>
              </w:rPr>
            </w:pPr>
            <w:r>
              <w:rPr>
                <w:rFonts w:ascii="Arial" w:cs="Arial" w:eastAsia="Arial" w:hAnsi="Arial"/>
                <w:sz w:val="14"/>
                <w:szCs w:val="14"/>
                <w:color w:val="auto"/>
              </w:rPr>
              <w:t>Asset recorded</w:t>
            </w:r>
          </w:p>
        </w:tc>
        <w:tc>
          <w:tcPr>
            <w:tcW w:w="1400" w:type="dxa"/>
            <w:vAlign w:val="bottom"/>
            <w:gridSpan w:val="3"/>
          </w:tcPr>
          <w:p>
            <w:pPr>
              <w:spacing w:after="0"/>
              <w:rPr>
                <w:sz w:val="20"/>
                <w:szCs w:val="20"/>
                <w:color w:val="auto"/>
              </w:rPr>
            </w:pPr>
            <w:r>
              <w:rPr>
                <w:rFonts w:ascii="Arial" w:cs="Arial" w:eastAsia="Arial" w:hAnsi="Arial"/>
                <w:sz w:val="14"/>
                <w:szCs w:val="14"/>
                <w:color w:val="auto"/>
              </w:rPr>
              <w:t>adjustment recorded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color w:val="auto"/>
              </w:rPr>
              <w:t>recorded</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color w:val="auto"/>
              </w:rPr>
              <w:t>adjustments</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Net income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360" w:type="dxa"/>
            <w:vAlign w:val="bottom"/>
            <w:gridSpan w:val="3"/>
          </w:tcPr>
          <w:p>
            <w:pPr>
              <w:jc w:val="right"/>
              <w:ind w:right="40"/>
              <w:spacing w:after="0" w:line="142" w:lineRule="exact"/>
              <w:rPr>
                <w:sz w:val="20"/>
                <w:szCs w:val="20"/>
                <w:color w:val="auto"/>
              </w:rPr>
            </w:pPr>
            <w:r>
              <w:rPr>
                <w:rFonts w:ascii="Arial" w:cs="Arial" w:eastAsia="Arial" w:hAnsi="Arial"/>
                <w:sz w:val="14"/>
                <w:szCs w:val="14"/>
                <w:i w:val="1"/>
                <w:iCs w:val="1"/>
                <w:color w:val="auto"/>
                <w:w w:val="97"/>
              </w:rPr>
              <w:t>(dollars in thousands)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Less than 10%</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86,070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8,466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7,352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$22,475,043</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208,110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1,940,419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10% but less than 50%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10,204</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443,570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36,847</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22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3,927</w:t>
            </w:r>
          </w:p>
        </w:tc>
        <w:tc>
          <w:tcPr>
            <w:tcW w:w="3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10,350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Total private equity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100,201</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8,579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22,928,963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244,957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1,930,730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Mezzanine debt:</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Less than 10%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28,773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3,905,902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33,838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w w:val="94"/>
              </w:rPr>
              <w:t>10% but less than 50%</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9,220</w:t>
            </w:r>
          </w:p>
        </w:tc>
        <w:tc>
          <w:tcPr>
            <w:tcW w:w="3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2,663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409,911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(25,678)</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65,192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4,237</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42,568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1,560</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980" w:type="dxa"/>
            <w:vAlign w:val="bottom"/>
            <w:gridSpan w:val="2"/>
          </w:tcPr>
          <w:p>
            <w:pPr>
              <w:spacing w:after="0"/>
              <w:rPr>
                <w:sz w:val="20"/>
                <w:szCs w:val="20"/>
                <w:color w:val="auto"/>
              </w:rPr>
            </w:pPr>
            <w:r>
              <w:rPr>
                <w:rFonts w:ascii="Arial" w:cs="Arial" w:eastAsia="Arial" w:hAnsi="Arial"/>
                <w:sz w:val="18"/>
                <w:szCs w:val="18"/>
                <w:color w:val="auto"/>
              </w:rPr>
              <w:t>Total mezzanine debt</w:t>
            </w:r>
          </w:p>
        </w:tc>
        <w:tc>
          <w:tcPr>
            <w:tcW w:w="2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42,230</w:t>
            </w:r>
          </w:p>
        </w:tc>
        <w:tc>
          <w:tcPr>
            <w:tcW w:w="3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3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4,358,381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9,720</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Less than 10%</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84,566</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9,220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11,307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22,418,711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557,831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10% but less than 50%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28,654</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1,059,866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5,963</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22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19,573</w:t>
            </w:r>
          </w:p>
        </w:tc>
        <w:tc>
          <w:tcPr>
            <w:tcW w:w="3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858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(364)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248,241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3,682</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Total real estate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132,793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12,237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23,726,818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567,476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980" w:type="dxa"/>
            <w:vAlign w:val="bottom"/>
            <w:gridSpan w:val="2"/>
          </w:tcPr>
          <w:p>
            <w:pPr>
              <w:spacing w:after="0"/>
              <w:rPr>
                <w:sz w:val="20"/>
                <w:szCs w:val="20"/>
                <w:color w:val="auto"/>
              </w:rPr>
            </w:pPr>
            <w:r>
              <w:rPr>
                <w:rFonts w:ascii="Arial" w:cs="Arial" w:eastAsia="Arial" w:hAnsi="Arial"/>
                <w:sz w:val="18"/>
                <w:szCs w:val="18"/>
                <w:color w:val="auto"/>
                <w:w w:val="97"/>
              </w:rPr>
              <w:t>Total limited partnerships</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275,224</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20,899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25,968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51,014,162</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822,153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2,794,411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5 — INVESTMENTS (Continued)</w:t>
      </w:r>
    </w:p>
    <w:p>
      <w:pPr>
        <w:spacing w:after="0" w:line="220" w:lineRule="exact"/>
        <w:rPr>
          <w:sz w:val="20"/>
          <w:szCs w:val="20"/>
          <w:color w:val="auto"/>
        </w:rPr>
      </w:pPr>
    </w:p>
    <w:p>
      <w:pPr>
        <w:jc w:val="center"/>
        <w:ind w:right="900"/>
        <w:spacing w:after="0"/>
        <w:rPr>
          <w:sz w:val="20"/>
          <w:szCs w:val="20"/>
          <w:color w:val="auto"/>
        </w:rPr>
      </w:pPr>
      <w:r>
        <w:rPr>
          <w:rFonts w:ascii="Arial" w:cs="Arial" w:eastAsia="Arial" w:hAnsi="Arial"/>
          <w:sz w:val="14"/>
          <w:szCs w:val="14"/>
          <w:color w:val="auto"/>
        </w:rPr>
        <w:t>Equity Recorded by Erie Indemnity Company</w:t>
      </w:r>
    </w:p>
    <w:p>
      <w:pPr>
        <w:jc w:val="center"/>
        <w:ind w:right="900"/>
        <w:spacing w:after="0" w:line="231" w:lineRule="auto"/>
        <w:rPr>
          <w:sz w:val="20"/>
          <w:szCs w:val="20"/>
          <w:color w:val="auto"/>
        </w:rPr>
      </w:pPr>
      <w:r>
        <w:rPr>
          <w:rFonts w:ascii="Arial" w:cs="Arial" w:eastAsia="Arial" w:hAnsi="Arial"/>
          <w:sz w:val="14"/>
          <w:szCs w:val="14"/>
          <w:color w:val="auto"/>
        </w:rPr>
        <w:t>as of December 31, 2006</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1"/>
              </w:rPr>
              <w:t>Year to date</w:t>
            </w:r>
          </w:p>
        </w:tc>
        <w:tc>
          <w:tcPr>
            <w:tcW w:w="3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color w:val="auto"/>
                <w:w w:val="97"/>
              </w:rPr>
              <w:t>Recorded by Partnerships</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60" w:type="dxa"/>
            <w:vAlign w:val="bottom"/>
            <w:gridSpan w:val="2"/>
          </w:tcPr>
          <w:p>
            <w:pPr>
              <w:spacing w:after="0" w:line="123" w:lineRule="exact"/>
              <w:rPr>
                <w:sz w:val="20"/>
                <w:szCs w:val="20"/>
                <w:color w:val="auto"/>
              </w:rPr>
            </w:pPr>
            <w:r>
              <w:rPr>
                <w:rFonts w:ascii="Arial" w:cs="Arial" w:eastAsia="Arial" w:hAnsi="Arial"/>
                <w:sz w:val="14"/>
                <w:szCs w:val="14"/>
                <w:color w:val="auto"/>
              </w:rPr>
              <w:t>Erie Indemnity Company</w:t>
            </w:r>
          </w:p>
        </w:tc>
        <w:tc>
          <w:tcPr>
            <w:tcW w:w="280" w:type="dxa"/>
            <w:vAlign w:val="bottom"/>
          </w:tcPr>
          <w:p>
            <w:pPr>
              <w:spacing w:after="0"/>
              <w:rPr>
                <w:sz w:val="10"/>
                <w:szCs w:val="10"/>
                <w:color w:val="auto"/>
              </w:rPr>
            </w:pPr>
          </w:p>
        </w:tc>
        <w:tc>
          <w:tcPr>
            <w:tcW w:w="88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7"/>
              </w:rPr>
              <w:t>Number of</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3"/>
          </w:tcPr>
          <w:p>
            <w:pPr>
              <w:spacing w:after="0" w:line="123" w:lineRule="exact"/>
              <w:rPr>
                <w:sz w:val="20"/>
                <w:szCs w:val="20"/>
                <w:color w:val="auto"/>
              </w:rPr>
            </w:pPr>
            <w:r>
              <w:rPr>
                <w:rFonts w:ascii="Arial" w:cs="Arial" w:eastAsia="Arial" w:hAnsi="Arial"/>
                <w:sz w:val="14"/>
                <w:szCs w:val="14"/>
                <w:color w:val="auto"/>
              </w:rPr>
              <w:t>Change in valuation</w:t>
            </w:r>
          </w:p>
        </w:tc>
        <w:tc>
          <w:tcPr>
            <w:tcW w:w="1500" w:type="dxa"/>
            <w:vAlign w:val="bottom"/>
            <w:gridSpan w:val="4"/>
          </w:tcPr>
          <w:p>
            <w:pPr>
              <w:ind w:left="160"/>
              <w:spacing w:after="0" w:line="123" w:lineRule="exact"/>
              <w:rPr>
                <w:sz w:val="20"/>
                <w:szCs w:val="20"/>
                <w:color w:val="auto"/>
              </w:rPr>
            </w:pPr>
            <w:r>
              <w:rPr>
                <w:rFonts w:ascii="Arial" w:cs="Arial" w:eastAsia="Arial" w:hAnsi="Arial"/>
                <w:sz w:val="14"/>
                <w:szCs w:val="14"/>
                <w:color w:val="auto"/>
              </w:rPr>
              <w:t>net income (loss)</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3"/>
          </w:tcPr>
          <w:p>
            <w:pPr>
              <w:spacing w:after="0" w:line="123" w:lineRule="exact"/>
              <w:rPr>
                <w:sz w:val="20"/>
                <w:szCs w:val="20"/>
                <w:color w:val="auto"/>
              </w:rPr>
            </w:pPr>
            <w:r>
              <w:rPr>
                <w:rFonts w:ascii="Arial" w:cs="Arial" w:eastAsia="Arial" w:hAnsi="Arial"/>
                <w:sz w:val="14"/>
                <w:szCs w:val="14"/>
                <w:color w:val="auto"/>
              </w:rPr>
              <w:t>Change in Valuation</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ownership interest</w:t>
            </w:r>
          </w:p>
        </w:tc>
        <w:tc>
          <w:tcPr>
            <w:tcW w:w="2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partnerships</w:t>
            </w:r>
          </w:p>
        </w:tc>
        <w:tc>
          <w:tcPr>
            <w:tcW w:w="1400" w:type="dxa"/>
            <w:vAlign w:val="bottom"/>
            <w:gridSpan w:val="4"/>
          </w:tcPr>
          <w:p>
            <w:pPr>
              <w:ind w:left="180"/>
              <w:spacing w:after="0"/>
              <w:rPr>
                <w:sz w:val="20"/>
                <w:szCs w:val="20"/>
                <w:color w:val="auto"/>
              </w:rPr>
            </w:pPr>
            <w:r>
              <w:rPr>
                <w:rFonts w:ascii="Arial" w:cs="Arial" w:eastAsia="Arial" w:hAnsi="Arial"/>
                <w:sz w:val="14"/>
                <w:szCs w:val="14"/>
                <w:color w:val="auto"/>
              </w:rPr>
              <w:t>Asset recorded</w:t>
            </w:r>
          </w:p>
        </w:tc>
        <w:tc>
          <w:tcPr>
            <w:tcW w:w="1360" w:type="dxa"/>
            <w:vAlign w:val="bottom"/>
            <w:gridSpan w:val="3"/>
          </w:tcPr>
          <w:p>
            <w:pPr>
              <w:spacing w:after="0"/>
              <w:rPr>
                <w:sz w:val="20"/>
                <w:szCs w:val="20"/>
                <w:color w:val="auto"/>
              </w:rPr>
            </w:pPr>
            <w:r>
              <w:rPr>
                <w:rFonts w:ascii="Arial" w:cs="Arial" w:eastAsia="Arial" w:hAnsi="Arial"/>
                <w:sz w:val="14"/>
                <w:szCs w:val="14"/>
                <w:color w:val="auto"/>
              </w:rPr>
              <w:t>adjustment recorded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recorded</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color w:val="auto"/>
                <w:w w:val="97"/>
              </w:rPr>
              <w:t>adjustments</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Net income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340" w:type="dxa"/>
            <w:vAlign w:val="bottom"/>
            <w:gridSpan w:val="3"/>
          </w:tcPr>
          <w:p>
            <w:pPr>
              <w:jc w:val="right"/>
              <w:ind w:right="20"/>
              <w:spacing w:after="0" w:line="142" w:lineRule="exact"/>
              <w:rPr>
                <w:sz w:val="20"/>
                <w:szCs w:val="20"/>
                <w:color w:val="auto"/>
              </w:rPr>
            </w:pPr>
            <w:r>
              <w:rPr>
                <w:rFonts w:ascii="Arial" w:cs="Arial" w:eastAsia="Arial" w:hAnsi="Arial"/>
                <w:sz w:val="14"/>
                <w:szCs w:val="14"/>
                <w:i w:val="1"/>
                <w:iCs w:val="1"/>
                <w:color w:val="auto"/>
                <w:w w:val="97"/>
              </w:rPr>
              <w:t>(dollars in thousands)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Less than 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71,216</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8,386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9,237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$17,976,053</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1,655,077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1,976,202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10% but less than 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8,453</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351,278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26,755</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2,795</w:t>
            </w:r>
          </w:p>
        </w:tc>
        <w:tc>
          <w:tcPr>
            <w:tcW w:w="3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5,992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Total private equity</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82,464</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10,428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18,333,323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1,681,832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1,983,896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Mezzanine debt:</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Less than 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26,250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3,988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3,239,894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49,383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ind w:left="200"/>
              <w:spacing w:after="0"/>
              <w:rPr>
                <w:sz w:val="20"/>
                <w:szCs w:val="20"/>
                <w:color w:val="auto"/>
              </w:rPr>
            </w:pPr>
            <w:r>
              <w:rPr>
                <w:rFonts w:ascii="Arial" w:cs="Arial" w:eastAsia="Arial" w:hAnsi="Arial"/>
                <w:sz w:val="18"/>
                <w:szCs w:val="18"/>
                <w:color w:val="auto"/>
                <w:w w:val="98"/>
              </w:rPr>
              <w:t>10% but less than 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7,799</w:t>
            </w:r>
          </w:p>
        </w:tc>
        <w:tc>
          <w:tcPr>
            <w:tcW w:w="3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357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336,363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17,496</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5,722</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41,958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60" w:type="dxa"/>
            <w:vAlign w:val="bottom"/>
            <w:gridSpan w:val="2"/>
          </w:tcPr>
          <w:p>
            <w:pPr>
              <w:spacing w:after="0"/>
              <w:rPr>
                <w:sz w:val="20"/>
                <w:szCs w:val="20"/>
                <w:color w:val="auto"/>
              </w:rPr>
            </w:pPr>
            <w:r>
              <w:rPr>
                <w:rFonts w:ascii="Arial" w:cs="Arial" w:eastAsia="Arial" w:hAnsi="Arial"/>
                <w:sz w:val="18"/>
                <w:szCs w:val="18"/>
                <w:color w:val="auto"/>
              </w:rPr>
              <w:t>Total mezzanine debt</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39,771</w:t>
            </w:r>
          </w:p>
        </w:tc>
        <w:tc>
          <w:tcPr>
            <w:tcW w:w="3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3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3,618,215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66,522</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Less than 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67,840</w:t>
            </w:r>
          </w:p>
        </w:tc>
        <w:tc>
          <w:tcPr>
            <w:tcW w:w="3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5,882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9,284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16,832,702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299,053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10% but less than 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36,590</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1,053,175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4,281</w:t>
            </w:r>
          </w:p>
        </w:tc>
        <w:tc>
          <w:tcPr>
            <w:tcW w:w="3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244,242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Total real estate</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108,711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10,625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18,130,119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294,754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60" w:type="dxa"/>
            <w:vAlign w:val="bottom"/>
            <w:gridSpan w:val="2"/>
          </w:tcPr>
          <w:p>
            <w:pPr>
              <w:spacing w:after="0"/>
              <w:rPr>
                <w:sz w:val="20"/>
                <w:szCs w:val="20"/>
                <w:color w:val="auto"/>
              </w:rPr>
            </w:pPr>
            <w:r>
              <w:rPr>
                <w:rFonts w:ascii="Arial" w:cs="Arial" w:eastAsia="Arial" w:hAnsi="Arial"/>
                <w:sz w:val="18"/>
                <w:szCs w:val="18"/>
                <w:color w:val="auto"/>
              </w:rPr>
              <w:t>Total limited partnerships</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230,946</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15,844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25,922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40,081,657</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2,043,108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2,435,072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Lending Program</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loaned securities, included as part of our invested assets, with a market value of $28.2 million and $22.1 million at September 30, 2007 and December 31, 2006, respectively. We receive marketable securities as collateral for the loaned securities. We recognize the receipt of the collateral held by the third party custodian and the obligation to return the collateral on our Consolidated Statements of Financial Position. The proceeds from the collateral are invested in cash and short-term investments. We share a portion of the interest earned on lent securities with the third party custodian and the borrowing institution.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6 — SUMMARIZED FINANCIAL STATEMENT INFORMATION OF AFFILIATE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Erie Family Life Insurance Company (EFL) is an affiliated Pennsylvania-domiciled life insurance company operating in 10 states and the District of Columbia. We own 21.6% of EFL’s outstanding common shares and account for this investment using the equity method of accounting. The remaining 78.4% of EFL is owned by the Erie Insurance Exchange.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unaudited condensed financial statement information for EFL on a GAAP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920" w:type="dxa"/>
            <w:vAlign w:val="bottom"/>
            <w:gridSpan w:val="3"/>
          </w:tcPr>
          <w:p>
            <w:pPr>
              <w:jc w:val="right"/>
              <w:ind w:right="440"/>
              <w:spacing w:after="0"/>
              <w:rPr>
                <w:sz w:val="20"/>
                <w:szCs w:val="20"/>
                <w:color w:val="auto"/>
              </w:rPr>
            </w:pPr>
            <w:r>
              <w:rPr>
                <w:rFonts w:ascii="Arial" w:cs="Arial" w:eastAsia="Arial" w:hAnsi="Arial"/>
                <w:sz w:val="14"/>
                <w:szCs w:val="14"/>
                <w:color w:val="auto"/>
              </w:rPr>
              <w:t>Three months ended September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468"/>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81"/>
        </w:trPr>
        <w:tc>
          <w:tcPr>
            <w:tcW w:w="50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jc w:val="right"/>
              <w:ind w:right="354"/>
              <w:spacing w:after="0"/>
              <w:rPr>
                <w:sz w:val="20"/>
                <w:szCs w:val="20"/>
                <w:color w:val="auto"/>
              </w:rPr>
            </w:pPr>
            <w:r>
              <w:rPr>
                <w:rFonts w:ascii="Arial" w:cs="Arial" w:eastAsia="Arial" w:hAnsi="Arial"/>
                <w:sz w:val="14"/>
                <w:szCs w:val="14"/>
                <w:color w:val="auto"/>
              </w:rPr>
              <w:t>2007</w:t>
            </w:r>
          </w:p>
        </w:tc>
        <w:tc>
          <w:tcPr>
            <w:tcW w:w="1740" w:type="dxa"/>
            <w:vAlign w:val="bottom"/>
            <w:gridSpan w:val="2"/>
          </w:tcPr>
          <w:p>
            <w:pPr>
              <w:jc w:val="right"/>
              <w:ind w:right="440"/>
              <w:spacing w:after="0"/>
              <w:rPr>
                <w:sz w:val="20"/>
                <w:szCs w:val="20"/>
                <w:color w:val="auto"/>
              </w:rPr>
            </w:pPr>
            <w:r>
              <w:rPr>
                <w:rFonts w:ascii="Arial" w:cs="Arial" w:eastAsia="Arial" w:hAnsi="Arial"/>
                <w:sz w:val="14"/>
                <w:szCs w:val="14"/>
                <w:color w:val="auto"/>
              </w:rPr>
              <w:t>2006</w:t>
            </w:r>
          </w:p>
        </w:tc>
        <w:tc>
          <w:tcPr>
            <w:tcW w:w="1640" w:type="dxa"/>
            <w:vAlign w:val="bottom"/>
            <w:gridSpan w:val="3"/>
          </w:tcPr>
          <w:p>
            <w:pPr>
              <w:jc w:val="right"/>
              <w:ind w:right="368"/>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5"/>
                <w:szCs w:val="15"/>
                <w:color w:val="auto"/>
              </w:rPr>
            </w:pPr>
          </w:p>
        </w:tc>
        <w:tc>
          <w:tcPr>
            <w:tcW w:w="1800" w:type="dxa"/>
            <w:vAlign w:val="bottom"/>
            <w:gridSpan w:val="3"/>
          </w:tcPr>
          <w:p>
            <w:pPr>
              <w:jc w:val="right"/>
              <w:ind w:right="408"/>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$36,819</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$35,846</w:t>
            </w:r>
          </w:p>
        </w:tc>
        <w:tc>
          <w:tcPr>
            <w:tcW w:w="16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$118,155</w:t>
            </w:r>
          </w:p>
        </w:tc>
        <w:tc>
          <w:tcPr>
            <w:tcW w:w="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$112,868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Benefits and expenses</w:t>
            </w: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31,824</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28,997</w:t>
            </w:r>
          </w:p>
        </w:tc>
        <w:tc>
          <w:tcPr>
            <w:tcW w:w="1640" w:type="dxa"/>
            <w:vAlign w:val="bottom"/>
            <w:gridSpan w:val="3"/>
          </w:tcPr>
          <w:p>
            <w:pPr>
              <w:jc w:val="right"/>
              <w:ind w:right="208"/>
              <w:spacing w:after="0"/>
              <w:rPr>
                <w:sz w:val="20"/>
                <w:szCs w:val="20"/>
                <w:color w:val="auto"/>
              </w:rPr>
            </w:pPr>
            <w:r>
              <w:rPr>
                <w:rFonts w:ascii="Arial" w:cs="Arial" w:eastAsia="Arial" w:hAnsi="Arial"/>
                <w:sz w:val="18"/>
                <w:szCs w:val="18"/>
                <w:color w:val="auto"/>
              </w:rPr>
              <w:t>96,038</w:t>
            </w:r>
          </w:p>
        </w:tc>
        <w:tc>
          <w:tcPr>
            <w:tcW w:w="60" w:type="dxa"/>
            <w:vAlign w:val="bottom"/>
          </w:tcPr>
          <w:p>
            <w:pPr>
              <w:spacing w:after="0"/>
              <w:rPr>
                <w:sz w:val="18"/>
                <w:szCs w:val="18"/>
                <w:color w:val="auto"/>
              </w:rPr>
            </w:pPr>
          </w:p>
        </w:tc>
        <w:tc>
          <w:tcPr>
            <w:tcW w:w="1800" w:type="dxa"/>
            <w:vAlign w:val="bottom"/>
            <w:gridSpan w:val="3"/>
          </w:tcPr>
          <w:p>
            <w:pPr>
              <w:jc w:val="right"/>
              <w:ind w:right="268"/>
              <w:spacing w:after="0"/>
              <w:rPr>
                <w:sz w:val="20"/>
                <w:szCs w:val="20"/>
                <w:color w:val="auto"/>
              </w:rPr>
            </w:pPr>
            <w:r>
              <w:rPr>
                <w:rFonts w:ascii="Arial" w:cs="Arial" w:eastAsia="Arial" w:hAnsi="Arial"/>
                <w:sz w:val="18"/>
                <w:szCs w:val="18"/>
                <w:color w:val="auto"/>
              </w:rPr>
              <w:t>91,224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4,995</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6,849</w:t>
            </w:r>
          </w:p>
        </w:tc>
        <w:tc>
          <w:tcPr>
            <w:tcW w:w="16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22,117</w:t>
            </w:r>
          </w:p>
        </w:tc>
        <w:tc>
          <w:tcPr>
            <w:tcW w:w="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21,644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3,198</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3,152</w:t>
            </w:r>
          </w:p>
        </w:tc>
        <w:tc>
          <w:tcPr>
            <w:tcW w:w="1640" w:type="dxa"/>
            <w:vAlign w:val="bottom"/>
            <w:gridSpan w:val="3"/>
          </w:tcPr>
          <w:p>
            <w:pPr>
              <w:jc w:val="right"/>
              <w:ind w:right="208"/>
              <w:spacing w:after="0"/>
              <w:rPr>
                <w:sz w:val="20"/>
                <w:szCs w:val="20"/>
                <w:color w:val="auto"/>
              </w:rPr>
            </w:pPr>
            <w:r>
              <w:rPr>
                <w:rFonts w:ascii="Arial" w:cs="Arial" w:eastAsia="Arial" w:hAnsi="Arial"/>
                <w:sz w:val="18"/>
                <w:szCs w:val="18"/>
                <w:color w:val="auto"/>
              </w:rPr>
              <w:t>15,278</w:t>
            </w:r>
          </w:p>
        </w:tc>
        <w:tc>
          <w:tcPr>
            <w:tcW w:w="60" w:type="dxa"/>
            <w:vAlign w:val="bottom"/>
          </w:tcPr>
          <w:p>
            <w:pPr>
              <w:spacing w:after="0"/>
              <w:rPr>
                <w:sz w:val="18"/>
                <w:szCs w:val="18"/>
                <w:color w:val="auto"/>
              </w:rPr>
            </w:pPr>
          </w:p>
        </w:tc>
        <w:tc>
          <w:tcPr>
            <w:tcW w:w="1800" w:type="dxa"/>
            <w:vAlign w:val="bottom"/>
            <w:gridSpan w:val="3"/>
          </w:tcPr>
          <w:p>
            <w:pPr>
              <w:jc w:val="right"/>
              <w:ind w:right="268"/>
              <w:spacing w:after="0"/>
              <w:rPr>
                <w:sz w:val="20"/>
                <w:szCs w:val="20"/>
                <w:color w:val="auto"/>
              </w:rPr>
            </w:pPr>
            <w:r>
              <w:rPr>
                <w:rFonts w:ascii="Arial" w:cs="Arial" w:eastAsia="Arial" w:hAnsi="Arial"/>
                <w:sz w:val="18"/>
                <w:szCs w:val="18"/>
                <w:color w:val="auto"/>
              </w:rPr>
              <w:t>13,043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6,156</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23,203</w:t>
            </w:r>
          </w:p>
        </w:tc>
        <w:tc>
          <w:tcPr>
            <w:tcW w:w="16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9,062</w:t>
            </w:r>
          </w:p>
        </w:tc>
        <w:tc>
          <w:tcPr>
            <w:tcW w:w="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640" w:type="dxa"/>
            <w:vAlign w:val="bottom"/>
            <w:gridSpan w:val="3"/>
          </w:tcPr>
          <w:p>
            <w:pPr>
              <w:jc w:val="right"/>
              <w:ind w:right="208"/>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1800" w:type="dxa"/>
            <w:vAlign w:val="bottom"/>
            <w:gridSpan w:val="3"/>
          </w:tcPr>
          <w:p>
            <w:pPr>
              <w:jc w:val="right"/>
              <w:ind w:right="268"/>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368"/>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ind w:left="100"/>
              <w:spacing w:after="0" w:line="123" w:lineRule="exact"/>
              <w:rPr>
                <w:sz w:val="20"/>
                <w:szCs w:val="20"/>
                <w:color w:val="auto"/>
              </w:rPr>
            </w:pPr>
            <w:r>
              <w:rPr>
                <w:rFonts w:ascii="Arial" w:cs="Arial" w:eastAsia="Arial" w:hAnsi="Arial"/>
                <w:sz w:val="14"/>
                <w:szCs w:val="14"/>
                <w:color w:val="auto"/>
              </w:rPr>
              <w:t>September 30,</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right"/>
              <w:ind w:right="208"/>
              <w:spacing w:after="0" w:line="12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50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gridSpan w:val="3"/>
          </w:tcPr>
          <w:p>
            <w:pPr>
              <w:jc w:val="right"/>
              <w:ind w:right="468"/>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4"/>
                <w:szCs w:val="14"/>
                <w:color w:val="auto"/>
              </w:rPr>
            </w:pPr>
          </w:p>
        </w:tc>
        <w:tc>
          <w:tcPr>
            <w:tcW w:w="1800" w:type="dxa"/>
            <w:vAlign w:val="bottom"/>
            <w:gridSpan w:val="3"/>
          </w:tcPr>
          <w:p>
            <w:pPr>
              <w:jc w:val="right"/>
              <w:ind w:right="468"/>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$1,499,736</w:t>
            </w:r>
          </w:p>
        </w:tc>
        <w:tc>
          <w:tcPr>
            <w:tcW w:w="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$1,488,846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gridSpan w:val="3"/>
          </w:tcPr>
          <w:p>
            <w:pPr>
              <w:jc w:val="right"/>
              <w:ind w:right="248"/>
              <w:spacing w:after="0"/>
              <w:rPr>
                <w:sz w:val="20"/>
                <w:szCs w:val="20"/>
                <w:color w:val="auto"/>
              </w:rPr>
            </w:pPr>
            <w:r>
              <w:rPr>
                <w:rFonts w:ascii="Arial" w:cs="Arial" w:eastAsia="Arial" w:hAnsi="Arial"/>
                <w:sz w:val="18"/>
                <w:szCs w:val="18"/>
                <w:color w:val="auto"/>
              </w:rPr>
              <w:t>1,751,565</w:t>
            </w:r>
          </w:p>
        </w:tc>
        <w:tc>
          <w:tcPr>
            <w:tcW w:w="60" w:type="dxa"/>
            <w:vAlign w:val="bottom"/>
          </w:tcPr>
          <w:p>
            <w:pPr>
              <w:spacing w:after="0"/>
              <w:rPr>
                <w:sz w:val="18"/>
                <w:szCs w:val="18"/>
                <w:color w:val="auto"/>
              </w:rPr>
            </w:pPr>
          </w:p>
        </w:tc>
        <w:tc>
          <w:tcPr>
            <w:tcW w:w="1800" w:type="dxa"/>
            <w:vAlign w:val="bottom"/>
            <w:gridSpan w:val="3"/>
          </w:tcPr>
          <w:p>
            <w:pPr>
              <w:jc w:val="right"/>
              <w:ind w:right="248"/>
              <w:spacing w:after="0"/>
              <w:rPr>
                <w:sz w:val="20"/>
                <w:szCs w:val="20"/>
                <w:color w:val="auto"/>
              </w:rPr>
            </w:pPr>
            <w:r>
              <w:rPr>
                <w:rFonts w:ascii="Arial" w:cs="Arial" w:eastAsia="Arial" w:hAnsi="Arial"/>
                <w:sz w:val="18"/>
                <w:szCs w:val="18"/>
                <w:color w:val="auto"/>
              </w:rPr>
              <w:t>1,737,353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1,478,244</w:t>
            </w:r>
          </w:p>
        </w:tc>
        <w:tc>
          <w:tcPr>
            <w:tcW w:w="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1,473,094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gridSpan w:val="3"/>
          </w:tcPr>
          <w:p>
            <w:pPr>
              <w:jc w:val="right"/>
              <w:ind w:right="188"/>
              <w:spacing w:after="0"/>
              <w:rPr>
                <w:sz w:val="20"/>
                <w:szCs w:val="20"/>
                <w:color w:val="auto"/>
              </w:rPr>
            </w:pPr>
            <w:r>
              <w:rPr>
                <w:rFonts w:ascii="Arial" w:cs="Arial" w:eastAsia="Arial" w:hAnsi="Arial"/>
                <w:sz w:val="18"/>
                <w:szCs w:val="18"/>
                <w:color w:val="auto"/>
              </w:rPr>
              <w:t>(1,933)</w:t>
            </w:r>
          </w:p>
        </w:tc>
        <w:tc>
          <w:tcPr>
            <w:tcW w:w="60" w:type="dxa"/>
            <w:vAlign w:val="bottom"/>
          </w:tcPr>
          <w:p>
            <w:pPr>
              <w:spacing w:after="0"/>
              <w:rPr>
                <w:sz w:val="18"/>
                <w:szCs w:val="18"/>
                <w:color w:val="auto"/>
              </w:rPr>
            </w:pPr>
          </w:p>
        </w:tc>
        <w:tc>
          <w:tcPr>
            <w:tcW w:w="1800" w:type="dxa"/>
            <w:vAlign w:val="bottom"/>
            <w:gridSpan w:val="3"/>
          </w:tcPr>
          <w:p>
            <w:pPr>
              <w:jc w:val="right"/>
              <w:ind w:right="248"/>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273,321</w:t>
            </w:r>
          </w:p>
        </w:tc>
        <w:tc>
          <w:tcPr>
            <w:tcW w:w="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264,259</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7 — POSTRETIREMENT BENEFITS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liabilities for the plans described in this note are presented in total for all employees of the Group. The gross asset and liability for the pension and retiree health benefit plans is presented in the Consolidated Statements of Financial Position as pension plan asset and employee benefit obligations. Amounts due from affiliates for obligations under unfunded plans are included in other assets until payments are made to participants in the plan. A portion of annual expenses related to the pension and retiree health benefit plans are allocated to related entities within the Group.</w:t>
      </w:r>
    </w:p>
    <w:p>
      <w:pPr>
        <w:spacing w:after="0" w:line="6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pension plans consist of: 1) a noncontributory defined benefit pension plan covering substantially all employees, 2) an unfunded supplemental employee retirement plan (SERP) for executive and senior management and 3) an unfunded pension plan (discontinued in 1997) for certain outside directors.</w:t>
      </w:r>
    </w:p>
    <w:p>
      <w:pPr>
        <w:spacing w:after="0" w:line="1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Effective May 1, 2006, our retiree health benefit plan, which previously provided retiree health benefits in the form of medical and pharmacy health plans, was curtailed by an amendment that restricted eligibility to those who attain age 60 and 15 years of service on or before July 1, 2010. A one-time curtailment benefit of $1.4 million, after reimbursements from affiliates, was recognized in the second quarter of 2006 as a result of this amendment.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Components of Net Periodic Benefit Cost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7"/>
          </w:tcPr>
          <w:p>
            <w:pPr>
              <w:jc w:val="center"/>
              <w:ind w:right="620"/>
              <w:spacing w:after="0"/>
              <w:rPr>
                <w:sz w:val="20"/>
                <w:szCs w:val="20"/>
                <w:color w:val="auto"/>
              </w:rPr>
            </w:pPr>
            <w:r>
              <w:rPr>
                <w:rFonts w:ascii="Arial" w:cs="Arial" w:eastAsia="Arial" w:hAnsi="Arial"/>
                <w:sz w:val="14"/>
                <w:szCs w:val="14"/>
                <w:color w:val="auto"/>
                <w:w w:val="93"/>
              </w:rPr>
              <w:t>Pension Benefits</w:t>
            </w:r>
          </w:p>
        </w:tc>
        <w:tc>
          <w:tcPr>
            <w:tcW w:w="16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color w:val="auto"/>
                <w:w w:val="94"/>
              </w:rPr>
              <w:t>Retiree Health Benefits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560"/>
              <w:spacing w:after="0"/>
              <w:rPr>
                <w:sz w:val="20"/>
                <w:szCs w:val="20"/>
                <w:color w:val="auto"/>
              </w:rPr>
            </w:pPr>
            <w:r>
              <w:rPr>
                <w:rFonts w:ascii="Arial" w:cs="Arial" w:eastAsia="Arial" w:hAnsi="Arial"/>
                <w:sz w:val="14"/>
                <w:szCs w:val="14"/>
                <w:color w:val="auto"/>
                <w:w w:val="93"/>
              </w:rPr>
              <w:t>Pension Benefits</w:t>
            </w:r>
          </w:p>
        </w:tc>
        <w:tc>
          <w:tcPr>
            <w:tcW w:w="140" w:type="dxa"/>
            <w:vAlign w:val="bottom"/>
          </w:tcPr>
          <w:p>
            <w:pPr>
              <w:spacing w:after="0"/>
              <w:rPr>
                <w:sz w:val="14"/>
                <w:szCs w:val="14"/>
                <w:color w:val="auto"/>
              </w:rPr>
            </w:pPr>
          </w:p>
        </w:tc>
        <w:tc>
          <w:tcPr>
            <w:tcW w:w="1760" w:type="dxa"/>
            <w:vAlign w:val="bottom"/>
            <w:gridSpan w:val="6"/>
          </w:tcPr>
          <w:p>
            <w:pPr>
              <w:jc w:val="center"/>
              <w:ind w:right="260"/>
              <w:spacing w:after="0"/>
              <w:rPr>
                <w:sz w:val="20"/>
                <w:szCs w:val="20"/>
                <w:color w:val="auto"/>
              </w:rPr>
            </w:pPr>
            <w:r>
              <w:rPr>
                <w:rFonts w:ascii="Arial" w:cs="Arial" w:eastAsia="Arial" w:hAnsi="Arial"/>
                <w:sz w:val="14"/>
                <w:szCs w:val="14"/>
                <w:color w:val="auto"/>
                <w:w w:val="93"/>
              </w:rPr>
              <w:t>Retiree Health Benefits</w:t>
            </w:r>
          </w:p>
        </w:tc>
      </w:tr>
      <w:tr>
        <w:trPr>
          <w:trHeight w:val="123"/>
        </w:trPr>
        <w:tc>
          <w:tcPr>
            <w:tcW w:w="2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6"/>
          </w:tcPr>
          <w:p>
            <w:pPr>
              <w:jc w:val="center"/>
              <w:ind w:right="73"/>
              <w:spacing w:after="0" w:line="123" w:lineRule="exact"/>
              <w:rPr>
                <w:sz w:val="20"/>
                <w:szCs w:val="20"/>
                <w:color w:val="auto"/>
              </w:rPr>
            </w:pPr>
            <w:r>
              <w:rPr>
                <w:rFonts w:ascii="Arial" w:cs="Arial" w:eastAsia="Arial" w:hAnsi="Arial"/>
                <w:sz w:val="14"/>
                <w:szCs w:val="14"/>
                <w:color w:val="auto"/>
                <w:w w:val="91"/>
              </w:rPr>
              <w:t>Three months ended</w:t>
            </w: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4"/>
          </w:tcPr>
          <w:p>
            <w:pPr>
              <w:jc w:val="center"/>
              <w:ind w:right="73"/>
              <w:spacing w:after="0" w:line="123" w:lineRule="exact"/>
              <w:rPr>
                <w:sz w:val="20"/>
                <w:szCs w:val="20"/>
                <w:color w:val="auto"/>
              </w:rPr>
            </w:pPr>
            <w:r>
              <w:rPr>
                <w:rFonts w:ascii="Arial" w:cs="Arial" w:eastAsia="Arial" w:hAnsi="Arial"/>
                <w:sz w:val="14"/>
                <w:szCs w:val="14"/>
                <w:color w:val="auto"/>
                <w:w w:val="91"/>
              </w:rPr>
              <w:t>Three months ended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4"/>
          </w:tcPr>
          <w:p>
            <w:pPr>
              <w:jc w:val="center"/>
              <w:ind w:right="13"/>
              <w:spacing w:after="0" w:line="123" w:lineRule="exact"/>
              <w:rPr>
                <w:sz w:val="20"/>
                <w:szCs w:val="20"/>
                <w:color w:val="auto"/>
              </w:rPr>
            </w:pPr>
            <w:r>
              <w:rPr>
                <w:rFonts w:ascii="Arial" w:cs="Arial" w:eastAsia="Arial" w:hAnsi="Arial"/>
                <w:sz w:val="14"/>
                <w:szCs w:val="14"/>
                <w:color w:val="auto"/>
                <w:w w:val="92"/>
              </w:rPr>
              <w:t>Nine months ended</w:t>
            </w: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5"/>
          </w:tcPr>
          <w:p>
            <w:pPr>
              <w:jc w:val="center"/>
              <w:ind w:right="53"/>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r>
      <w:tr>
        <w:trPr>
          <w:trHeight w:val="149"/>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5"/>
          </w:tcPr>
          <w:p>
            <w:pPr>
              <w:jc w:val="center"/>
              <w:ind w:left="277"/>
              <w:spacing w:after="0" w:line="149" w:lineRule="exact"/>
              <w:rPr>
                <w:sz w:val="20"/>
                <w:szCs w:val="20"/>
                <w:color w:val="auto"/>
              </w:rPr>
            </w:pPr>
            <w:r>
              <w:rPr>
                <w:rFonts w:ascii="Arial" w:cs="Arial" w:eastAsia="Arial" w:hAnsi="Arial"/>
                <w:sz w:val="14"/>
                <w:szCs w:val="14"/>
                <w:color w:val="auto"/>
                <w:w w:val="89"/>
              </w:rPr>
              <w:t>September 30,</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left="257"/>
              <w:spacing w:after="0" w:line="149" w:lineRule="exact"/>
              <w:rPr>
                <w:sz w:val="20"/>
                <w:szCs w:val="20"/>
                <w:color w:val="auto"/>
              </w:rPr>
            </w:pPr>
            <w:r>
              <w:rPr>
                <w:rFonts w:ascii="Arial" w:cs="Arial" w:eastAsia="Arial" w:hAnsi="Arial"/>
                <w:sz w:val="14"/>
                <w:szCs w:val="14"/>
                <w:color w:val="auto"/>
                <w:w w:val="91"/>
              </w:rPr>
              <w:t>September 30,</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tcPr>
          <w:p>
            <w:pPr>
              <w:jc w:val="center"/>
              <w:ind w:right="560"/>
              <w:spacing w:after="0" w:line="149" w:lineRule="exact"/>
              <w:rPr>
                <w:sz w:val="20"/>
                <w:szCs w:val="20"/>
                <w:color w:val="auto"/>
              </w:rPr>
            </w:pPr>
            <w:r>
              <w:rPr>
                <w:rFonts w:ascii="Arial" w:cs="Arial" w:eastAsia="Arial" w:hAnsi="Arial"/>
                <w:sz w:val="14"/>
                <w:szCs w:val="14"/>
                <w:color w:val="auto"/>
                <w:w w:val="89"/>
              </w:rPr>
              <w:t>September 30,</w:t>
            </w:r>
          </w:p>
        </w:tc>
        <w:tc>
          <w:tcPr>
            <w:tcW w:w="140" w:type="dxa"/>
            <w:vAlign w:val="bottom"/>
          </w:tcPr>
          <w:p>
            <w:pPr>
              <w:spacing w:after="0"/>
              <w:rPr>
                <w:sz w:val="12"/>
                <w:szCs w:val="12"/>
                <w:color w:val="auto"/>
              </w:rPr>
            </w:pPr>
          </w:p>
        </w:tc>
        <w:tc>
          <w:tcPr>
            <w:tcW w:w="1760" w:type="dxa"/>
            <w:vAlign w:val="bottom"/>
            <w:gridSpan w:val="6"/>
          </w:tcPr>
          <w:p>
            <w:pPr>
              <w:jc w:val="center"/>
              <w:ind w:right="26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26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w w:val="89"/>
              </w:rPr>
              <w:t>2006</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2007</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89"/>
              </w:rPr>
              <w:t>2006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2007</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3,531</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10,591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4,093</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12,574</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12,296</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(4,629)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(15,771)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(13,885)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Amortization of prior service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60" w:type="dxa"/>
            <w:vAlign w:val="bottom"/>
          </w:tcPr>
          <w:p>
            <w:pPr>
              <w:ind w:left="22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3,559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4,839</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14,586</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One-time curtailment benefit not included here.</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decrease in the net periodic benefit cost of the pension plans is due to a change in discount rate to 6.25% for 2007 compared to 5.75% in 2006. The decrease in the net periodic benefit cost of the retiree health benefit plan for the first nine months of 2007 reflects the curtailment of the plan in the second quarter of 2006 which is being phased out through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NOTE RECEIVABLE FROM ERIE FAMILY LIFE INSURANCE COMPANY</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are due $25 million from EFL in the form of a surplus note. The note may be repaid only out of unassigned surplus of EFL and repayment is subject to prior approval by the Pennsylvania Insurance Commissioner. The note bears an annual interest rate of 6.70% and is payable on demand on or after December 31, 2018. EFL accrued interest, payable semi-annually to us, of $0.4 million in each of the third quarters ended September 30, 2007 and 2006.</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9 — STATUTORY INFORMATION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securities with carrying values of $6.0 million and $5.7 million were deposited by our property and casualty insurance subsidiaries with regulatory authorities under statutory requirements at September 30, 2007 and December 31, 2006,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10 — SUPPLEMENTARY DATA ON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net income to net cash provided by operating activities as presented in the Consolidated Statements of Cash Flows is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5"/>
          </w:tcPr>
          <w:p>
            <w:pPr>
              <w:jc w:val="right"/>
              <w:ind w:right="160"/>
              <w:spacing w:after="0"/>
              <w:rPr>
                <w:sz w:val="20"/>
                <w:szCs w:val="20"/>
                <w:color w:val="auto"/>
              </w:rPr>
            </w:pPr>
            <w:r>
              <w:rPr>
                <w:rFonts w:ascii="Arial" w:cs="Arial" w:eastAsia="Arial" w:hAnsi="Arial"/>
                <w:sz w:val="14"/>
                <w:szCs w:val="14"/>
                <w:color w:val="auto"/>
                <w:w w:val="92"/>
              </w:rPr>
              <w:t>Nine months ended September 30,</w:t>
            </w:r>
          </w:p>
        </w:tc>
        <w:tc>
          <w:tcPr>
            <w:tcW w:w="0" w:type="dxa"/>
            <w:vAlign w:val="bottom"/>
          </w:tcPr>
          <w:p>
            <w:pPr>
              <w:spacing w:after="0"/>
              <w:rPr>
                <w:sz w:val="1"/>
                <w:szCs w:val="1"/>
                <w:color w:val="auto"/>
              </w:rPr>
            </w:pPr>
          </w:p>
        </w:tc>
      </w:tr>
      <w:tr>
        <w:trPr>
          <w:trHeight w:val="167"/>
        </w:trPr>
        <w:tc>
          <w:tcPr>
            <w:tcW w:w="9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jc w:val="right"/>
              <w:ind w:right="132"/>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4"/>
              </w:rPr>
              <w:t>$ 180,344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$ 158,506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22,399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income tax benefit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7,334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(gain) loss on investments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(7,550)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Equity in earnings of limited partnerships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(46,867)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amortization of bond premium</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Undistributed earnings of Erie Family Life Insurance</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(3,305)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executive compensation</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(8,224)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Limited partnership distributions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66,149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receivables and reinsurance recoverable from the Exchange and affiliates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31,437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Increase in prepaid expenses and other assets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(28,297)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(28,673)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 and accrued expenses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22,534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Decrease in accrued agent bonuses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(22,117)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loss reserves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(58,487)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Increase (decrease) in unearned premiums</w:t>
            </w:r>
          </w:p>
        </w:tc>
        <w:tc>
          <w:tcPr>
            <w:tcW w:w="700" w:type="dxa"/>
            <w:vAlign w:val="bottom"/>
          </w:tcPr>
          <w:p>
            <w:pPr>
              <w:jc w:val="right"/>
              <w:spacing w:after="0"/>
              <w:rPr>
                <w:sz w:val="20"/>
                <w:szCs w:val="20"/>
                <w:color w:val="auto"/>
              </w:rPr>
            </w:pPr>
            <w:r>
              <w:rPr>
                <w:rFonts w:ascii="Arial" w:cs="Arial" w:eastAsia="Arial" w:hAnsi="Arial"/>
                <w:sz w:val="18"/>
                <w:szCs w:val="18"/>
                <w:color w:val="auto"/>
              </w:rPr>
              <w:t>19,893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$ 176,786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$ 164,595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11 — COMMITMENTS AND CONTINGENCIES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contractual commitments to invest up to $165.2 million additional funds in limited partnership investments at September 30, 2007. These commitments will be funded as required by the partnerships’ agreements through 2012. At September 30, 2007, the total commitment to fund limited partnerships that invest in private equity securities is $66.8 million, real estate activities is $63.6 million and mezzanine debt securities is $34.8 million. We expect to have sufficient cash flows not only from operations but also from cash inflows (distributions) from existing limited partnership investments to meet these partnership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-307975</wp:posOffset>
            </wp:positionV>
            <wp:extent cx="285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occasionally involved in litigation incidental to our business. In the opinion of management, the effects, if any, of such litigation are not expected to be material individually or in aggregate to our consolidated financial condition, results of operations or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12 — VARIABLE INTEREST ENTITY</w:t>
      </w:r>
    </w:p>
    <w:p>
      <w:pPr>
        <w:spacing w:after="0" w:line="117"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The Exchange is a reciprocal insurance company, domiciled in Pennsylvania, for which we serve as attorney-in-fact. We hold a variable interest in the Exchange, however, we are not the primary beneficiary as defined under Financial Accounting Standards Interpretation 46, “Consolidation of Variable Interest Entities.” We have a significant interest in the financial condition of the Exchange because net management fee revenues are based on the direct written premiums of the Exchange and the other members of the Property and Casualty Group.</w:t>
      </w:r>
    </w:p>
    <w:p>
      <w:pPr>
        <w:spacing w:after="0" w:line="6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The selected financial data below is derived from the Exchange’s financial statements prepared in accordance with Statutory Accounting Principles (SAP) required by the National Association of Insurance Commissioners’ (NAIC) </w:t>
      </w:r>
      <w:r>
        <w:rPr>
          <w:rFonts w:ascii="Arial" w:cs="Arial" w:eastAsia="Arial" w:hAnsi="Arial"/>
          <w:sz w:val="17"/>
          <w:szCs w:val="17"/>
          <w:i w:val="1"/>
          <w:iCs w:val="1"/>
          <w:color w:val="auto"/>
        </w:rPr>
        <w:t>Accounting Practices and Procedures Manual</w:t>
      </w:r>
      <w:r>
        <w:rPr>
          <w:rFonts w:ascii="Arial" w:cs="Arial" w:eastAsia="Arial" w:hAnsi="Arial"/>
          <w:sz w:val="17"/>
          <w:szCs w:val="17"/>
          <w:color w:val="auto"/>
        </w:rPr>
        <w:t>, as modified to include prescribed practices of the Insurance Department of the Commonwealth of Pennsylvania. In the opinion of management, all adjustments, consisting only of normal recurring accruals, considered necessary for a fair presentation, have been included. The condensed financial data set forth below represents the Exchange’s share of underwriting results after accounting for intercompany pooling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Statutory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80" w:type="dxa"/>
            <w:vAlign w:val="bottom"/>
            <w:gridSpan w:val="4"/>
          </w:tcPr>
          <w:p>
            <w:pPr>
              <w:jc w:val="right"/>
              <w:ind w:right="320"/>
              <w:spacing w:after="0"/>
              <w:rPr>
                <w:sz w:val="20"/>
                <w:szCs w:val="20"/>
                <w:color w:val="auto"/>
              </w:rPr>
            </w:pPr>
            <w:r>
              <w:rPr>
                <w:rFonts w:ascii="Arial" w:cs="Arial" w:eastAsia="Arial" w:hAnsi="Arial"/>
                <w:sz w:val="14"/>
                <w:szCs w:val="14"/>
                <w:color w:val="auto"/>
                <w:w w:val="90"/>
              </w:rPr>
              <w:t>Three months ended September 30,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ind w:left="8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67"/>
        </w:trPr>
        <w:tc>
          <w:tcPr>
            <w:tcW w:w="5580" w:type="dxa"/>
            <w:vAlign w:val="bottom"/>
            <w:gridSpan w:val="4"/>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$ 899,455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$ 916,761</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$ 2,702,322</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$ 2,785,195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Losses, loss adjustment expenses and other underwriting expenses*</w:t>
            </w:r>
          </w:p>
        </w:tc>
        <w:tc>
          <w:tcPr>
            <w:tcW w:w="6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786,908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813,045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2,347,799</w:t>
            </w:r>
          </w:p>
        </w:tc>
        <w:tc>
          <w:tcPr>
            <w:tcW w:w="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2,526,851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underwriting gain</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112,547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103,716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354,523</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Total investment income</w:t>
            </w:r>
          </w:p>
        </w:tc>
        <w:tc>
          <w:tcPr>
            <w:tcW w:w="6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109,933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75,585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459,514</w:t>
            </w:r>
          </w:p>
        </w:tc>
        <w:tc>
          <w:tcPr>
            <w:tcW w:w="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278,754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before federal income tax</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222,480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179,301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814,037</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Federal income tax expense</w:t>
            </w:r>
          </w:p>
        </w:tc>
        <w:tc>
          <w:tcPr>
            <w:tcW w:w="6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101,778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49,825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284,297</w:t>
            </w:r>
          </w:p>
        </w:tc>
        <w:tc>
          <w:tcPr>
            <w:tcW w:w="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170,450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84"/>
              </w:rPr>
              <w:t>$ 120,702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4"/>
              </w:rPr>
              <w:t>$ 129,476</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529,740</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366,648</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20" w:type="dxa"/>
            <w:vAlign w:val="bottom"/>
            <w:gridSpan w:val="2"/>
          </w:tcPr>
          <w:p>
            <w:pPr>
              <w:ind w:left="300"/>
              <w:spacing w:after="0"/>
              <w:rPr>
                <w:sz w:val="20"/>
                <w:szCs w:val="20"/>
                <w:color w:val="auto"/>
              </w:rPr>
            </w:pPr>
            <w:r>
              <w:rPr>
                <w:rFonts w:ascii="Arial" w:cs="Arial" w:eastAsia="Arial" w:hAnsi="Arial"/>
                <w:sz w:val="18"/>
                <w:szCs w:val="18"/>
                <w:color w:val="auto"/>
                <w:w w:val="88"/>
              </w:rPr>
              <w:t>Includes management fees paid or accrued as payable to the Company.</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580" w:type="dxa"/>
            <w:vAlign w:val="bottom"/>
            <w:gridSpan w:val="4"/>
          </w:tcPr>
          <w:p>
            <w:pPr>
              <w:spacing w:after="0"/>
              <w:rPr>
                <w:sz w:val="20"/>
                <w:szCs w:val="20"/>
                <w:color w:val="auto"/>
              </w:rPr>
            </w:pPr>
            <w:r>
              <w:rPr>
                <w:rFonts w:ascii="Arial" w:cs="Arial" w:eastAsia="Arial" w:hAnsi="Arial"/>
                <w:sz w:val="18"/>
                <w:szCs w:val="18"/>
                <w:b w:val="1"/>
                <w:bCs w:val="1"/>
                <w:color w:val="auto"/>
              </w:rPr>
              <w:t>Erie Insurance Exchange</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80" w:type="dxa"/>
            <w:vAlign w:val="bottom"/>
            <w:gridSpan w:val="4"/>
          </w:tcPr>
          <w:p>
            <w:pPr>
              <w:spacing w:after="0"/>
              <w:rPr>
                <w:sz w:val="20"/>
                <w:szCs w:val="20"/>
                <w:color w:val="auto"/>
              </w:rPr>
            </w:pPr>
            <w:r>
              <w:rPr>
                <w:rFonts w:ascii="Arial" w:cs="Arial" w:eastAsia="Arial" w:hAnsi="Arial"/>
                <w:sz w:val="18"/>
                <w:szCs w:val="18"/>
                <w:b w:val="1"/>
                <w:bCs w:val="1"/>
                <w:color w:val="auto"/>
              </w:rPr>
              <w:t>Condensed Statutory Statements of Financial Position</w:t>
            </w: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5580" w:type="dxa"/>
            <w:vAlign w:val="bottom"/>
            <w:gridSpan w:val="4"/>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4,495,029</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$ 4,376,322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3,084,058</w:t>
            </w:r>
          </w:p>
        </w:tc>
        <w:tc>
          <w:tcPr>
            <w:tcW w:w="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2,855,044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Limited partnerships and other invested assets</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1,466,226</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1,263,289</w:t>
            </w:r>
          </w:p>
        </w:tc>
        <w:tc>
          <w:tcPr>
            <w:tcW w:w="0" w:type="dxa"/>
            <w:vAlign w:val="bottom"/>
          </w:tcPr>
          <w:p>
            <w:pPr>
              <w:spacing w:after="0"/>
              <w:rPr>
                <w:sz w:val="1"/>
                <w:szCs w:val="1"/>
                <w:color w:val="auto"/>
              </w:rPr>
            </w:pPr>
          </w:p>
        </w:tc>
      </w:tr>
      <w:tr>
        <w:trPr>
          <w:trHeight w:val="223"/>
        </w:trPr>
        <w:tc>
          <w:tcPr>
            <w:tcW w:w="5580" w:type="dxa"/>
            <w:vAlign w:val="bottom"/>
            <w:gridSpan w:val="4"/>
          </w:tcPr>
          <w:p>
            <w:pPr>
              <w:spacing w:after="0"/>
              <w:rPr>
                <w:sz w:val="20"/>
                <w:szCs w:val="20"/>
                <w:color w:val="auto"/>
              </w:rPr>
            </w:pPr>
            <w:r>
              <w:rPr>
                <w:rFonts w:ascii="Arial" w:cs="Arial" w:eastAsia="Arial" w:hAnsi="Arial"/>
                <w:sz w:val="18"/>
                <w:szCs w:val="18"/>
                <w:color w:val="auto"/>
              </w:rPr>
              <w:t>Total invested assets</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9,045,313</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8,494,655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1,110,488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1,021,489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10,155,801</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$ 9,516,144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and loss adjustment expense reserves</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3,432,437</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Unearned premium reserves</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1,502,324</w:t>
            </w:r>
          </w:p>
        </w:tc>
        <w:tc>
          <w:tcPr>
            <w:tcW w:w="6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1,430,683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469,988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435,683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20" w:type="dxa"/>
            <w:vAlign w:val="bottom"/>
            <w:gridSpan w:val="2"/>
          </w:tcPr>
          <w:p>
            <w:pPr>
              <w:ind w:left="60"/>
              <w:spacing w:after="0"/>
              <w:rPr>
                <w:sz w:val="20"/>
                <w:szCs w:val="20"/>
                <w:color w:val="auto"/>
              </w:rPr>
            </w:pPr>
            <w:r>
              <w:rPr>
                <w:rFonts w:ascii="Arial" w:cs="Arial" w:eastAsia="Arial" w:hAnsi="Arial"/>
                <w:sz w:val="18"/>
                <w:szCs w:val="18"/>
                <w:color w:val="auto"/>
              </w:rPr>
              <w:t>Total liabilities</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5,404,749</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policyholders’ surplus</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4,751,052</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4,087,096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liabilities and policyholders’ surplus</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10,155,801</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$ 9,516,144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17</w:t>
            </w: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12 — VARIABLE INTEREST ENTITY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Statutory Statements of Cash Flows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Premiums collected net of reinsurance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2,713,105</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2,768,935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Losses and loss adjustment expenses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(1,475,428)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(1,492,420)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Management fee and expenses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(1,000,567)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(1,018,460)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received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Federal income taxes and other expenses paid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(322,920)</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289,780</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(269,794)</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(359,937)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(38,445)</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85,784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b w:val="1"/>
                <w:bCs w:val="1"/>
                <w:color w:val="auto"/>
              </w:rPr>
              <w:t>Cash and cash equivalents-end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108,575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operate our business as three reportable segments — management operations, insurance underwriting operations and investment operations. Accounting policies for segments are the same as those described in the summary of significant accounting policies Note 3 of our Annual Report on Form 10-K for the year ended December 31, 2006 as filed with the Securities and Exchange Commission on February 26, 2007, with the exception of the management fee revenues received from the property/casualty insurance subsidiaries. These revenues are not eliminated in the segment detail that follows as management bases its decisions on the segment presentation. Summarized financial information for our operating segments is presented as follows: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60" w:type="dxa"/>
            <w:vAlign w:val="bottom"/>
            <w:gridSpan w:val="6"/>
          </w:tcPr>
          <w:p>
            <w:pPr>
              <w:ind w:left="20"/>
              <w:spacing w:after="0"/>
              <w:rPr>
                <w:sz w:val="20"/>
                <w:szCs w:val="20"/>
                <w:color w:val="auto"/>
              </w:rPr>
            </w:pPr>
            <w:r>
              <w:rPr>
                <w:rFonts w:ascii="Arial" w:cs="Arial" w:eastAsia="Arial" w:hAnsi="Arial"/>
                <w:sz w:val="14"/>
                <w:szCs w:val="14"/>
                <w:color w:val="auto"/>
              </w:rPr>
              <w:t>Three months ended September 30,</w:t>
            </w:r>
          </w:p>
        </w:tc>
        <w:tc>
          <w:tcPr>
            <w:tcW w:w="2180" w:type="dxa"/>
            <w:vAlign w:val="bottom"/>
            <w:gridSpan w:val="7"/>
          </w:tcPr>
          <w:p>
            <w:pPr>
              <w:jc w:val="right"/>
              <w:ind w:right="160"/>
              <w:spacing w:after="0"/>
              <w:rPr>
                <w:sz w:val="20"/>
                <w:szCs w:val="20"/>
                <w:color w:val="auto"/>
              </w:rPr>
            </w:pPr>
            <w:r>
              <w:rPr>
                <w:rFonts w:ascii="Arial" w:cs="Arial" w:eastAsia="Arial" w:hAnsi="Arial"/>
                <w:sz w:val="14"/>
                <w:szCs w:val="14"/>
                <w:color w:val="auto"/>
                <w:w w:val="92"/>
              </w:rPr>
              <w:t>Nine months ended September 30,</w:t>
            </w:r>
          </w:p>
        </w:tc>
        <w:tc>
          <w:tcPr>
            <w:tcW w:w="0" w:type="dxa"/>
            <w:vAlign w:val="bottom"/>
          </w:tcPr>
          <w:p>
            <w:pPr>
              <w:spacing w:after="0"/>
              <w:rPr>
                <w:sz w:val="1"/>
                <w:szCs w:val="1"/>
                <w:color w:val="auto"/>
              </w:rPr>
            </w:pPr>
          </w:p>
        </w:tc>
      </w:tr>
      <w:tr>
        <w:trPr>
          <w:trHeight w:val="167"/>
        </w:trPr>
        <w:tc>
          <w:tcPr>
            <w:tcW w:w="5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Management Operations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Operating revenue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fee revenue</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245,585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244,739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730,691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728,778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Service agreement revenue</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revenue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253,055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252,149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752,877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750,286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Cost of management operations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212,601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200,498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610,377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595,351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40,454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51,651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142,500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154,935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tcPr>
          <w:p>
            <w:pPr>
              <w:ind w:left="200"/>
              <w:spacing w:after="0"/>
              <w:rPr>
                <w:sz w:val="20"/>
                <w:szCs w:val="20"/>
                <w:color w:val="auto"/>
              </w:rPr>
            </w:pPr>
            <w:r>
              <w:rPr>
                <w:rFonts w:ascii="Arial" w:cs="Arial" w:eastAsia="Arial" w:hAnsi="Arial"/>
                <w:sz w:val="18"/>
                <w:szCs w:val="18"/>
                <w:color w:val="auto"/>
              </w:rPr>
              <w:t>Net income from management operations**</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27,144</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33,852</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Insurance Underwriting Operations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Operating revenue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Personal lines</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36,740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37,406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108,740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lines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15,266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15,844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Reinsurance — nonaffiliates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premiums earned</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51,892</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53,017</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155,988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Losses and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Personal lines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32,501</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34,230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95,141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lines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12,687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12,514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40,354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Reinsurance — nonaffiliates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Reinsurance — affiliates*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600"/>
              <w:spacing w:after="0"/>
              <w:rPr>
                <w:sz w:val="20"/>
                <w:szCs w:val="20"/>
                <w:color w:val="auto"/>
              </w:rPr>
            </w:pPr>
            <w:r>
              <w:rPr>
                <w:rFonts w:ascii="Arial" w:cs="Arial" w:eastAsia="Arial" w:hAnsi="Arial"/>
                <w:sz w:val="18"/>
                <w:szCs w:val="18"/>
                <w:color w:val="auto"/>
              </w:rPr>
              <w:t>Total losses and expenses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45,664</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47,287</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136,218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147,499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income from insurance underwriting operations**</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Operations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Investment income, net of expenses</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12,233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12,215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40,350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earnings of limited partnerships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14,169</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income-unaffiliated</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29,840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94,767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70,146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income from investment operations**</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14,544</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EFL, net of tax</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31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excess-of-loss reinsurance agreement was not renewed for the 2006 or 2007 accident years and as a result, there were no premiums paid by the Erie Insurance Company or Erie Insurance Company of New York to the Exchange. No recovery of charges or reversals of recoveries were recorded in the first nine months of 2007 due to the absence of triggering events for the years 2002 to 2005, which remain open under the agreement.</w:t>
      </w:r>
    </w:p>
    <w:p>
      <w:pPr>
        <w:spacing w:after="0" w:line="1" w:lineRule="exact"/>
        <w:rPr>
          <w:sz w:val="20"/>
          <w:szCs w:val="20"/>
          <w:color w:val="auto"/>
        </w:rPr>
      </w:pPr>
    </w:p>
    <w:p>
      <w:pPr>
        <w:ind w:left="460" w:right="20" w:hanging="452"/>
        <w:spacing w:after="0" w:line="27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estimated 2007 annual effective tax rate of 32.9% was used to calculate the net income for each operating segment. The effective tax rate being reflected on the Consolidated Statement of Operations through September 30, 2007, is lower than our estimated annual effective tax rate. This is due to 1) estimated IRS audit adjustments that reduced taxes by $0.9 million, 2) a $2.1 million reduction for an adjustment to taxes on salvage and subrogation recoverable, 3) a $1.6 million reduction to adjust our estimated provision to the actual tax return and 4) estimated interest on our uncertain income tax positions that increased our taxes by $0.3 million in accordance with FIN No. 48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reportable segment revenues and operating expenses to the Consolidated Statements of Operations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5"/>
          </w:tcPr>
          <w:p>
            <w:pPr>
              <w:jc w:val="right"/>
              <w:ind w:right="700"/>
              <w:spacing w:after="0"/>
              <w:rPr>
                <w:sz w:val="20"/>
                <w:szCs w:val="20"/>
                <w:color w:val="auto"/>
              </w:rPr>
            </w:pPr>
            <w:r>
              <w:rPr>
                <w:rFonts w:ascii="Arial" w:cs="Arial" w:eastAsia="Arial" w:hAnsi="Arial"/>
                <w:sz w:val="14"/>
                <w:szCs w:val="14"/>
                <w:color w:val="auto"/>
                <w:w w:val="89"/>
              </w:rPr>
              <w:t>Three months ended September 30,</w:t>
            </w:r>
          </w:p>
        </w:tc>
        <w:tc>
          <w:tcPr>
            <w:tcW w:w="2180" w:type="dxa"/>
            <w:vAlign w:val="bottom"/>
            <w:gridSpan w:val="5"/>
          </w:tcPr>
          <w:p>
            <w:pPr>
              <w:jc w:val="right"/>
              <w:ind w:right="160"/>
              <w:spacing w:after="0"/>
              <w:rPr>
                <w:sz w:val="20"/>
                <w:szCs w:val="20"/>
                <w:color w:val="auto"/>
              </w:rPr>
            </w:pPr>
            <w:r>
              <w:rPr>
                <w:rFonts w:ascii="Arial" w:cs="Arial" w:eastAsia="Arial" w:hAnsi="Arial"/>
                <w:sz w:val="14"/>
                <w:szCs w:val="14"/>
                <w:color w:val="auto"/>
                <w:w w:val="92"/>
              </w:rPr>
              <w:t>Nine months ended September 30,</w:t>
            </w:r>
          </w:p>
        </w:tc>
        <w:tc>
          <w:tcPr>
            <w:tcW w:w="0" w:type="dxa"/>
            <w:vAlign w:val="bottom"/>
          </w:tcPr>
          <w:p>
            <w:pPr>
              <w:spacing w:after="0"/>
              <w:rPr>
                <w:sz w:val="1"/>
                <w:szCs w:val="1"/>
                <w:color w:val="auto"/>
              </w:rPr>
            </w:pPr>
          </w:p>
        </w:tc>
      </w:tr>
      <w:tr>
        <w:trPr>
          <w:trHeight w:val="167"/>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gridSpan w:val="2"/>
          </w:tcPr>
          <w:p>
            <w:pPr>
              <w:jc w:val="right"/>
              <w:ind w:right="116"/>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 excluding investment operations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$ 304,947</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$ 305,166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$ 908,865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Elimination of intersegment management fee revenues</w:t>
            </w:r>
          </w:p>
        </w:tc>
        <w:tc>
          <w:tcPr>
            <w:tcW w:w="2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(13,496)</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(13,351)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(40,259)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(40,055)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revenues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$ 291,451</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$ 291,815</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$ 868,606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$ 871,099</w:t>
            </w: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$ 258,265</w:t>
            </w:r>
          </w:p>
        </w:tc>
        <w:tc>
          <w:tcPr>
            <w:tcW w:w="66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4"/>
              </w:rPr>
              <w:t>$ 247,785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$ 746,595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$ 742,850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intersegment management fee revenue</w:t>
            </w: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(13,496)</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(13,351)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(40,259)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$ 244,769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$ 234,434</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$ 706,336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$ 702,795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intersegment revenues and expenses that are eliminated in the Consolidated Statements of Operations relate to our property/casualty insurance subsidiaries 5.5% share of the intersegment management fees paid to 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 (Continued)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growth rate of policies in force, policy retention (the percentage of policyholders eligible for renewals who have renewed their policies measured on a 12-month rolling basis) and average premium per policy trends directly impact our management operations and insurance underwriting operating segments. Below is a summary of each major line of business for the Property and Casualty Group.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Growth rates of policies in force for Property and Casualty Group insurance operations</w:t>
      </w:r>
      <w:r>
        <w:rPr>
          <w:rFonts w:ascii="Arial" w:cs="Arial" w:eastAsia="Arial" w:hAnsi="Arial"/>
          <w:sz w:val="18"/>
          <w:szCs w:val="18"/>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Private</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12-mth.</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12-mth.</w:t>
            </w: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All Other</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12-mth.</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12-mth.</w:t>
            </w: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3"/>
              </w:rPr>
              <w:t>Passenger</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growth</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growth</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6"/>
              </w:rPr>
              <w:t>Personal</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growth</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0"/>
              </w:rPr>
              <w:t>Personal</w:t>
            </w:r>
          </w:p>
        </w:tc>
        <w:tc>
          <w:tcPr>
            <w:tcW w:w="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growth</w:t>
            </w:r>
          </w:p>
        </w:tc>
      </w:tr>
      <w:tr>
        <w:trPr>
          <w:trHeight w:val="167"/>
        </w:trPr>
        <w:tc>
          <w:tcPr>
            <w:tcW w:w="20" w:type="dxa"/>
            <w:vAlign w:val="bottom"/>
          </w:tcPr>
          <w:p>
            <w:pPr>
              <w:spacing w:after="0"/>
              <w:rPr>
                <w:sz w:val="14"/>
                <w:szCs w:val="14"/>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Auto</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240" w:type="dxa"/>
            <w:vAlign w:val="bottom"/>
          </w:tcPr>
          <w:p>
            <w:pPr>
              <w:spacing w:after="0"/>
              <w:rPr>
                <w:sz w:val="14"/>
                <w:szCs w:val="14"/>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Homeowners</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2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06/30/2006</w:t>
            </w:r>
          </w:p>
        </w:tc>
        <w:tc>
          <w:tcPr>
            <w:tcW w:w="1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1,637,472</w:t>
            </w:r>
          </w:p>
        </w:tc>
        <w:tc>
          <w:tcPr>
            <w:tcW w:w="11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w:t>
            </w:r>
          </w:p>
        </w:tc>
        <w:tc>
          <w:tcPr>
            <w:tcW w:w="1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1,366,633</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294,409</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4.2%</w:t>
            </w:r>
          </w:p>
        </w:tc>
        <w:tc>
          <w:tcPr>
            <w:tcW w:w="1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3,298,514</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1120" w:type="dxa"/>
            <w:vAlign w:val="bottom"/>
          </w:tcPr>
          <w:p>
            <w:pPr>
              <w:jc w:val="right"/>
              <w:ind w:right="233"/>
              <w:spacing w:after="0"/>
              <w:rPr>
                <w:sz w:val="20"/>
                <w:szCs w:val="20"/>
                <w:color w:val="auto"/>
              </w:rPr>
            </w:pPr>
            <w:r>
              <w:rPr>
                <w:rFonts w:ascii="Arial" w:cs="Arial" w:eastAsia="Arial" w:hAnsi="Arial"/>
                <w:sz w:val="18"/>
                <w:szCs w:val="18"/>
                <w:color w:val="auto"/>
                <w:w w:val="86"/>
              </w:rPr>
              <w:t>09/30/2006</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1,636,947</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color w:val="auto"/>
              </w:rPr>
              <w:t>(0.9)</w:t>
            </w:r>
          </w:p>
        </w:tc>
        <w:tc>
          <w:tcPr>
            <w:tcW w:w="1500" w:type="dxa"/>
            <w:vAlign w:val="bottom"/>
            <w:gridSpan w:val="2"/>
          </w:tcPr>
          <w:p>
            <w:pPr>
              <w:ind w:left="480"/>
              <w:spacing w:after="0"/>
              <w:rPr>
                <w:sz w:val="20"/>
                <w:szCs w:val="20"/>
                <w:color w:val="auto"/>
              </w:rPr>
            </w:pPr>
            <w:r>
              <w:rPr>
                <w:rFonts w:ascii="Arial" w:cs="Arial" w:eastAsia="Arial" w:hAnsi="Arial"/>
                <w:sz w:val="18"/>
                <w:szCs w:val="18"/>
                <w:color w:val="auto"/>
              </w:rPr>
              <w:t>1,373,763</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298,361</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4.6</w:t>
            </w:r>
          </w:p>
        </w:tc>
        <w:tc>
          <w:tcPr>
            <w:tcW w:w="1500" w:type="dxa"/>
            <w:vAlign w:val="bottom"/>
            <w:gridSpan w:val="2"/>
          </w:tcPr>
          <w:p>
            <w:pPr>
              <w:jc w:val="right"/>
              <w:ind w:right="228"/>
              <w:spacing w:after="0"/>
              <w:rPr>
                <w:sz w:val="20"/>
                <w:szCs w:val="20"/>
                <w:color w:val="auto"/>
              </w:rPr>
            </w:pPr>
            <w:r>
              <w:rPr>
                <w:rFonts w:ascii="Arial" w:cs="Arial" w:eastAsia="Arial" w:hAnsi="Arial"/>
                <w:sz w:val="18"/>
                <w:szCs w:val="18"/>
                <w:color w:val="auto"/>
              </w:rPr>
              <w:t>3,309,071</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12/31/2006</w:t>
            </w:r>
          </w:p>
        </w:tc>
        <w:tc>
          <w:tcPr>
            <w:tcW w:w="1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1,633,882</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(0.4)</w:t>
            </w:r>
          </w:p>
        </w:tc>
        <w:tc>
          <w:tcPr>
            <w:tcW w:w="1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1,377,965</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1.8</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301,497</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5.2</w:t>
            </w:r>
          </w:p>
        </w:tc>
        <w:tc>
          <w:tcPr>
            <w:tcW w:w="1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3,313,344</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1120" w:type="dxa"/>
            <w:vAlign w:val="bottom"/>
          </w:tcPr>
          <w:p>
            <w:pPr>
              <w:jc w:val="right"/>
              <w:ind w:right="233"/>
              <w:spacing w:after="0"/>
              <w:rPr>
                <w:sz w:val="20"/>
                <w:szCs w:val="20"/>
                <w:color w:val="auto"/>
              </w:rPr>
            </w:pPr>
            <w:r>
              <w:rPr>
                <w:rFonts w:ascii="Arial" w:cs="Arial" w:eastAsia="Arial" w:hAnsi="Arial"/>
                <w:sz w:val="18"/>
                <w:szCs w:val="18"/>
                <w:color w:val="auto"/>
                <w:w w:val="86"/>
              </w:rPr>
              <w:t>03/31/2007</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1,635,714</w:t>
            </w: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ind w:left="480"/>
              <w:spacing w:after="0"/>
              <w:rPr>
                <w:sz w:val="20"/>
                <w:szCs w:val="20"/>
                <w:color w:val="auto"/>
              </w:rPr>
            </w:pPr>
            <w:r>
              <w:rPr>
                <w:rFonts w:ascii="Arial" w:cs="Arial" w:eastAsia="Arial" w:hAnsi="Arial"/>
                <w:sz w:val="18"/>
                <w:szCs w:val="18"/>
                <w:color w:val="auto"/>
              </w:rPr>
              <w:t>1,384,856</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305,591</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5.4</w:t>
            </w:r>
          </w:p>
        </w:tc>
        <w:tc>
          <w:tcPr>
            <w:tcW w:w="1500" w:type="dxa"/>
            <w:vAlign w:val="bottom"/>
            <w:gridSpan w:val="2"/>
          </w:tcPr>
          <w:p>
            <w:pPr>
              <w:jc w:val="right"/>
              <w:ind w:right="228"/>
              <w:spacing w:after="0"/>
              <w:rPr>
                <w:sz w:val="20"/>
                <w:szCs w:val="20"/>
                <w:color w:val="auto"/>
              </w:rPr>
            </w:pPr>
            <w:r>
              <w:rPr>
                <w:rFonts w:ascii="Arial" w:cs="Arial" w:eastAsia="Arial" w:hAnsi="Arial"/>
                <w:sz w:val="18"/>
                <w:szCs w:val="18"/>
                <w:color w:val="auto"/>
              </w:rPr>
              <w:t>3,326,161</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06/30/2007</w:t>
            </w:r>
          </w:p>
        </w:tc>
        <w:tc>
          <w:tcPr>
            <w:tcW w:w="1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1,644,561</w:t>
            </w: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0.4</w:t>
            </w:r>
          </w:p>
        </w:tc>
        <w:tc>
          <w:tcPr>
            <w:tcW w:w="1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1,398,034</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311,761</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5.9</w:t>
            </w:r>
          </w:p>
        </w:tc>
        <w:tc>
          <w:tcPr>
            <w:tcW w:w="1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3,354,356</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20"/>
                <w:szCs w:val="20"/>
                <w:color w:val="auto"/>
              </w:rPr>
            </w:pPr>
          </w:p>
        </w:tc>
        <w:tc>
          <w:tcPr>
            <w:tcW w:w="1120" w:type="dxa"/>
            <w:vAlign w:val="bottom"/>
          </w:tcPr>
          <w:p>
            <w:pPr>
              <w:jc w:val="right"/>
              <w:ind w:right="233"/>
              <w:spacing w:after="0"/>
              <w:rPr>
                <w:sz w:val="20"/>
                <w:szCs w:val="20"/>
                <w:color w:val="auto"/>
              </w:rPr>
            </w:pPr>
            <w:r>
              <w:rPr>
                <w:rFonts w:ascii="Arial" w:cs="Arial" w:eastAsia="Arial" w:hAnsi="Arial"/>
                <w:sz w:val="18"/>
                <w:szCs w:val="18"/>
                <w:color w:val="auto"/>
                <w:w w:val="86"/>
              </w:rPr>
              <w:t>09/30/2007</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1,649,801</w:t>
            </w: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0.8</w:t>
            </w:r>
          </w:p>
        </w:tc>
        <w:tc>
          <w:tcPr>
            <w:tcW w:w="1500" w:type="dxa"/>
            <w:vAlign w:val="bottom"/>
            <w:gridSpan w:val="2"/>
          </w:tcPr>
          <w:p>
            <w:pPr>
              <w:ind w:left="480"/>
              <w:spacing w:after="0"/>
              <w:rPr>
                <w:sz w:val="20"/>
                <w:szCs w:val="20"/>
                <w:color w:val="auto"/>
              </w:rPr>
            </w:pPr>
            <w:r>
              <w:rPr>
                <w:rFonts w:ascii="Arial" w:cs="Arial" w:eastAsia="Arial" w:hAnsi="Arial"/>
                <w:sz w:val="18"/>
                <w:szCs w:val="18"/>
                <w:color w:val="auto"/>
              </w:rPr>
              <w:t>1,408,114</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316,786</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6.2</w:t>
            </w:r>
          </w:p>
        </w:tc>
        <w:tc>
          <w:tcPr>
            <w:tcW w:w="1500" w:type="dxa"/>
            <w:vAlign w:val="bottom"/>
            <w:gridSpan w:val="2"/>
          </w:tcPr>
          <w:p>
            <w:pPr>
              <w:jc w:val="right"/>
              <w:ind w:right="228"/>
              <w:spacing w:after="0"/>
              <w:rPr>
                <w:sz w:val="20"/>
                <w:szCs w:val="20"/>
                <w:color w:val="auto"/>
              </w:rPr>
            </w:pPr>
            <w:r>
              <w:rPr>
                <w:rFonts w:ascii="Arial" w:cs="Arial" w:eastAsia="Arial" w:hAnsi="Arial"/>
                <w:sz w:val="18"/>
                <w:szCs w:val="18"/>
                <w:color w:val="auto"/>
              </w:rPr>
              <w:t>3,374,701</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2.0</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12-mth.</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CML*</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12-mth.</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Arial" w:cs="Arial" w:eastAsia="Arial" w:hAnsi="Arial"/>
                <w:sz w:val="14"/>
                <w:szCs w:val="14"/>
                <w:color w:val="auto"/>
              </w:rPr>
              <w:t>12-mth.</w:t>
            </w:r>
          </w:p>
        </w:tc>
        <w:tc>
          <w:tcPr>
            <w:tcW w:w="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All Other</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12-mth.</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12-mth.</w:t>
            </w: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CML*</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growth</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Multi-</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growth</w:t>
            </w: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Workers</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growth</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CML*</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growth</w:t>
            </w: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rPr>
              <w:t>CML*</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growth</w:t>
            </w:r>
          </w:p>
        </w:tc>
      </w:tr>
      <w:tr>
        <w:trPr>
          <w:trHeight w:val="167"/>
        </w:trPr>
        <w:tc>
          <w:tcPr>
            <w:tcW w:w="20" w:type="dxa"/>
            <w:vAlign w:val="bottom"/>
          </w:tcPr>
          <w:p>
            <w:pPr>
              <w:spacing w:after="0"/>
              <w:rPr>
                <w:sz w:val="14"/>
                <w:szCs w:val="14"/>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Auto</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Peril</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Comp.</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06/30/2006</w:t>
            </w: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119,471</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0.9%</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217,134</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54,871</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(4.4)%</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91,568</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2.9%</w:t>
            </w: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483,044</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86"/>
              </w:rPr>
              <w:t>09/30/2006</w:t>
            </w:r>
          </w:p>
        </w:tc>
        <w:tc>
          <w:tcPr>
            <w:tcW w:w="1160" w:type="dxa"/>
            <w:vAlign w:val="bottom"/>
            <w:gridSpan w:val="2"/>
          </w:tcPr>
          <w:p>
            <w:pPr>
              <w:jc w:val="right"/>
              <w:ind w:right="148"/>
              <w:spacing w:after="0"/>
              <w:rPr>
                <w:sz w:val="20"/>
                <w:szCs w:val="20"/>
                <w:color w:val="auto"/>
              </w:rPr>
            </w:pPr>
            <w:r>
              <w:rPr>
                <w:rFonts w:ascii="Arial" w:cs="Arial" w:eastAsia="Arial" w:hAnsi="Arial"/>
                <w:sz w:val="18"/>
                <w:szCs w:val="18"/>
                <w:color w:val="auto"/>
              </w:rPr>
              <w:t>119,555</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0.8</w:t>
            </w: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217,763</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54,379</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(4.4)</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92,687</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2.9</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484,384</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12/31/2006</w:t>
            </w: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119,801</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0.9</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218,542</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53,923</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(4.1)</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92,687</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484,953</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86"/>
              </w:rPr>
              <w:t>03/31/2007</w:t>
            </w:r>
          </w:p>
        </w:tc>
        <w:tc>
          <w:tcPr>
            <w:tcW w:w="1160" w:type="dxa"/>
            <w:vAlign w:val="bottom"/>
            <w:gridSpan w:val="2"/>
          </w:tcPr>
          <w:p>
            <w:pPr>
              <w:jc w:val="right"/>
              <w:ind w:right="148"/>
              <w:spacing w:after="0"/>
              <w:rPr>
                <w:sz w:val="20"/>
                <w:szCs w:val="20"/>
                <w:color w:val="auto"/>
              </w:rPr>
            </w:pPr>
            <w:r>
              <w:rPr>
                <w:rFonts w:ascii="Arial" w:cs="Arial" w:eastAsia="Arial" w:hAnsi="Arial"/>
                <w:sz w:val="18"/>
                <w:szCs w:val="18"/>
                <w:color w:val="auto"/>
              </w:rPr>
              <w:t>119,907</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219,300</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53,498</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92,857</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485,562</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06/30/2007</w:t>
            </w: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121,587</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1.8</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223,670</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53,955</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94,612</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3.3</w:t>
            </w: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493,824</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86"/>
              </w:rPr>
              <w:t>09/30/2007</w:t>
            </w:r>
          </w:p>
        </w:tc>
        <w:tc>
          <w:tcPr>
            <w:tcW w:w="1160" w:type="dxa"/>
            <w:vAlign w:val="bottom"/>
            <w:gridSpan w:val="2"/>
          </w:tcPr>
          <w:p>
            <w:pPr>
              <w:jc w:val="right"/>
              <w:ind w:right="148"/>
              <w:spacing w:after="0"/>
              <w:rPr>
                <w:sz w:val="20"/>
                <w:szCs w:val="20"/>
                <w:color w:val="auto"/>
              </w:rPr>
            </w:pPr>
            <w:r>
              <w:rPr>
                <w:rFonts w:ascii="Arial" w:cs="Arial" w:eastAsia="Arial" w:hAnsi="Arial"/>
                <w:sz w:val="18"/>
                <w:szCs w:val="18"/>
                <w:color w:val="auto"/>
              </w:rPr>
              <w:t>122,154</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226,302</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3.9</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54,341</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96,167</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498,964</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3.0</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Total All Lines</w:t>
            </w:r>
          </w:p>
        </w:tc>
        <w:tc>
          <w:tcPr>
            <w:tcW w:w="560" w:type="dxa"/>
            <w:vAlign w:val="bottom"/>
          </w:tcPr>
          <w:p>
            <w:pPr>
              <w:spacing w:after="0"/>
              <w:rPr>
                <w:sz w:val="14"/>
                <w:szCs w:val="14"/>
                <w:color w:val="auto"/>
              </w:rPr>
            </w:pPr>
          </w:p>
        </w:tc>
        <w:tc>
          <w:tcPr>
            <w:tcW w:w="342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12-mth. growth rate</w:t>
            </w:r>
          </w:p>
        </w:tc>
      </w:tr>
      <w:tr>
        <w:trPr>
          <w:trHeight w:val="210"/>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06/30/2006</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3,781,558</w:t>
            </w:r>
          </w:p>
        </w:tc>
        <w:tc>
          <w:tcPr>
            <w:tcW w:w="39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0.4%</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90"/>
              </w:rPr>
              <w:t>09/30/2006</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3,793,455</w:t>
            </w:r>
          </w:p>
        </w:tc>
        <w:tc>
          <w:tcPr>
            <w:tcW w:w="3980" w:type="dxa"/>
            <w:vAlign w:val="bottom"/>
            <w:gridSpan w:val="2"/>
          </w:tcPr>
          <w:p>
            <w:pPr>
              <w:ind w:left="2160"/>
              <w:spacing w:after="0"/>
              <w:rPr>
                <w:sz w:val="20"/>
                <w:szCs w:val="20"/>
                <w:color w:val="auto"/>
              </w:rPr>
            </w:pPr>
            <w:r>
              <w:rPr>
                <w:rFonts w:ascii="Arial" w:cs="Arial" w:eastAsia="Arial" w:hAnsi="Arial"/>
                <w:sz w:val="18"/>
                <w:szCs w:val="18"/>
                <w:color w:val="auto"/>
              </w:rPr>
              <w:t>0.6</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12/31/2006</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3,798,297</w:t>
            </w:r>
          </w:p>
        </w:tc>
        <w:tc>
          <w:tcPr>
            <w:tcW w:w="39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1.0</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90"/>
              </w:rPr>
              <w:t>03/31/2007</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3,811,723</w:t>
            </w:r>
          </w:p>
        </w:tc>
        <w:tc>
          <w:tcPr>
            <w:tcW w:w="3980" w:type="dxa"/>
            <w:vAlign w:val="bottom"/>
            <w:gridSpan w:val="2"/>
          </w:tcPr>
          <w:p>
            <w:pPr>
              <w:ind w:left="2160"/>
              <w:spacing w:after="0"/>
              <w:rPr>
                <w:sz w:val="20"/>
                <w:szCs w:val="20"/>
                <w:color w:val="auto"/>
              </w:rPr>
            </w:pPr>
            <w:r>
              <w:rPr>
                <w:rFonts w:ascii="Arial" w:cs="Arial" w:eastAsia="Arial" w:hAnsi="Arial"/>
                <w:sz w:val="18"/>
                <w:szCs w:val="18"/>
                <w:color w:val="auto"/>
              </w:rPr>
              <w:t>1.3</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06/30/2007</w:t>
            </w:r>
          </w:p>
        </w:tc>
        <w:tc>
          <w:tcPr>
            <w:tcW w:w="40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3,848,180</w:t>
            </w:r>
          </w:p>
        </w:tc>
        <w:tc>
          <w:tcPr>
            <w:tcW w:w="39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1.8</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0"/>
              </w:rPr>
              <w:t>09/30/2007</w:t>
            </w:r>
          </w:p>
        </w:tc>
        <w:tc>
          <w:tcPr>
            <w:tcW w:w="400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3,873,665</w:t>
            </w:r>
          </w:p>
        </w:tc>
        <w:tc>
          <w:tcPr>
            <w:tcW w:w="3980" w:type="dxa"/>
            <w:vAlign w:val="bottom"/>
            <w:gridSpan w:val="2"/>
          </w:tcPr>
          <w:p>
            <w:pPr>
              <w:ind w:left="2160"/>
              <w:spacing w:after="0"/>
              <w:rPr>
                <w:sz w:val="20"/>
                <w:szCs w:val="20"/>
                <w:color w:val="auto"/>
              </w:rPr>
            </w:pPr>
            <w:r>
              <w:rPr>
                <w:rFonts w:ascii="Arial" w:cs="Arial" w:eastAsia="Arial" w:hAnsi="Arial"/>
                <w:sz w:val="18"/>
                <w:szCs w:val="18"/>
                <w:color w:val="auto"/>
              </w:rPr>
              <w:t>2.1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Policy retention trends for Property and Casualty Group insurance operations</w:t>
      </w:r>
      <w:r>
        <w:rPr>
          <w:rFonts w:ascii="Arial" w:cs="Arial" w:eastAsia="Arial" w:hAnsi="Arial"/>
          <w:sz w:val="18"/>
          <w:szCs w:val="18"/>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1"/>
              </w:rPr>
              <w:t>Private</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Passenger</w:t>
            </w:r>
          </w:p>
        </w:tc>
        <w:tc>
          <w:tcPr>
            <w:tcW w:w="4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CML*</w:t>
            </w: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CML*</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Workers</w:t>
            </w:r>
          </w:p>
        </w:tc>
        <w:tc>
          <w:tcPr>
            <w:tcW w:w="4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All Other</w:t>
            </w: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w:t>
            </w:r>
          </w:p>
        </w:tc>
      </w:tr>
      <w:tr>
        <w:trPr>
          <w:trHeight w:val="167"/>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Date</w:t>
            </w:r>
          </w:p>
        </w:tc>
        <w:tc>
          <w:tcPr>
            <w:tcW w:w="44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7"/>
              </w:rPr>
              <w:t>Auto</w:t>
            </w:r>
          </w:p>
        </w:tc>
        <w:tc>
          <w:tcPr>
            <w:tcW w:w="4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Auto</w:t>
            </w:r>
          </w:p>
        </w:tc>
        <w:tc>
          <w:tcPr>
            <w:tcW w:w="460" w:type="dxa"/>
            <w:vAlign w:val="bottom"/>
          </w:tcPr>
          <w:p>
            <w:pPr>
              <w:spacing w:after="0"/>
              <w:rPr>
                <w:sz w:val="14"/>
                <w:szCs w:val="14"/>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Homeowners</w:t>
            </w:r>
          </w:p>
        </w:tc>
        <w:tc>
          <w:tcPr>
            <w:tcW w:w="4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Multi-Peril</w:t>
            </w: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Comp.</w:t>
            </w:r>
          </w:p>
        </w:tc>
        <w:tc>
          <w:tcPr>
            <w:tcW w:w="4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All Lines</w:t>
            </w:r>
          </w:p>
        </w:tc>
      </w:tr>
      <w:tr>
        <w:trPr>
          <w:trHeight w:val="210"/>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06/30/2006</w:t>
            </w:r>
          </w:p>
        </w:tc>
        <w:tc>
          <w:tcPr>
            <w:tcW w:w="14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90.3%</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87.7%</w:t>
            </w:r>
          </w:p>
        </w:tc>
        <w:tc>
          <w:tcPr>
            <w:tcW w:w="15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88.9%</w:t>
            </w:r>
          </w:p>
        </w:tc>
        <w:tc>
          <w:tcPr>
            <w:tcW w:w="15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85.9%</w:t>
            </w:r>
          </w:p>
        </w:tc>
        <w:tc>
          <w:tcPr>
            <w:tcW w:w="14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85.9%</w:t>
            </w: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86.5%</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89.0%</w:t>
            </w: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09/30/2006</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85"/>
              </w:rPr>
              <w:t>90.5</w:t>
            </w:r>
          </w:p>
        </w:tc>
        <w:tc>
          <w:tcPr>
            <w:tcW w:w="400" w:type="dxa"/>
            <w:vAlign w:val="bottom"/>
          </w:tcPr>
          <w:p>
            <w:pPr>
              <w:spacing w:after="0"/>
              <w:rPr>
                <w:sz w:val="18"/>
                <w:szCs w:val="18"/>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87.8</w:t>
            </w:r>
          </w:p>
        </w:tc>
        <w:tc>
          <w:tcPr>
            <w:tcW w:w="1560" w:type="dxa"/>
            <w:vAlign w:val="bottom"/>
            <w:gridSpan w:val="2"/>
          </w:tcPr>
          <w:p>
            <w:pPr>
              <w:ind w:left="820"/>
              <w:spacing w:after="0"/>
              <w:rPr>
                <w:sz w:val="20"/>
                <w:szCs w:val="20"/>
                <w:color w:val="auto"/>
              </w:rPr>
            </w:pPr>
            <w:r>
              <w:rPr>
                <w:rFonts w:ascii="Arial" w:cs="Arial" w:eastAsia="Arial" w:hAnsi="Arial"/>
                <w:sz w:val="18"/>
                <w:szCs w:val="18"/>
                <w:color w:val="auto"/>
              </w:rPr>
              <w:t>89.2</w:t>
            </w:r>
          </w:p>
        </w:tc>
        <w:tc>
          <w:tcPr>
            <w:tcW w:w="1540" w:type="dxa"/>
            <w:vAlign w:val="bottom"/>
            <w:gridSpan w:val="2"/>
          </w:tcPr>
          <w:p>
            <w:pPr>
              <w:ind w:left="780"/>
              <w:spacing w:after="0"/>
              <w:rPr>
                <w:sz w:val="20"/>
                <w:szCs w:val="20"/>
                <w:color w:val="auto"/>
              </w:rPr>
            </w:pPr>
            <w:r>
              <w:rPr>
                <w:rFonts w:ascii="Arial" w:cs="Arial" w:eastAsia="Arial" w:hAnsi="Arial"/>
                <w:sz w:val="18"/>
                <w:szCs w:val="18"/>
                <w:color w:val="auto"/>
              </w:rPr>
              <w:t>86.0</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85.8</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86.7</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89.2</w:t>
            </w: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12/31/2006</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5"/>
              </w:rPr>
              <w:t>90.8</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87.7</w:t>
            </w:r>
          </w:p>
        </w:tc>
        <w:tc>
          <w:tcPr>
            <w:tcW w:w="15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89.4</w:t>
            </w:r>
          </w:p>
        </w:tc>
        <w:tc>
          <w:tcPr>
            <w:tcW w:w="15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86.0</w:t>
            </w:r>
          </w:p>
        </w:tc>
        <w:tc>
          <w:tcPr>
            <w:tcW w:w="14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85.7</w:t>
            </w: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87.1</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89.5</w:t>
            </w: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03/31/2007</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85"/>
              </w:rPr>
              <w:t>91.0</w:t>
            </w:r>
          </w:p>
        </w:tc>
        <w:tc>
          <w:tcPr>
            <w:tcW w:w="400" w:type="dxa"/>
            <w:vAlign w:val="bottom"/>
          </w:tcPr>
          <w:p>
            <w:pPr>
              <w:spacing w:after="0"/>
              <w:rPr>
                <w:sz w:val="18"/>
                <w:szCs w:val="18"/>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88.0</w:t>
            </w:r>
          </w:p>
        </w:tc>
        <w:tc>
          <w:tcPr>
            <w:tcW w:w="1560" w:type="dxa"/>
            <w:vAlign w:val="bottom"/>
            <w:gridSpan w:val="2"/>
          </w:tcPr>
          <w:p>
            <w:pPr>
              <w:ind w:left="820"/>
              <w:spacing w:after="0"/>
              <w:rPr>
                <w:sz w:val="20"/>
                <w:szCs w:val="20"/>
                <w:color w:val="auto"/>
              </w:rPr>
            </w:pPr>
            <w:r>
              <w:rPr>
                <w:rFonts w:ascii="Arial" w:cs="Arial" w:eastAsia="Arial" w:hAnsi="Arial"/>
                <w:sz w:val="18"/>
                <w:szCs w:val="18"/>
                <w:color w:val="auto"/>
              </w:rPr>
              <w:t>89.7</w:t>
            </w:r>
          </w:p>
        </w:tc>
        <w:tc>
          <w:tcPr>
            <w:tcW w:w="1540" w:type="dxa"/>
            <w:vAlign w:val="bottom"/>
            <w:gridSpan w:val="2"/>
          </w:tcPr>
          <w:p>
            <w:pPr>
              <w:ind w:left="780"/>
              <w:spacing w:after="0"/>
              <w:rPr>
                <w:sz w:val="20"/>
                <w:szCs w:val="20"/>
                <w:color w:val="auto"/>
              </w:rPr>
            </w:pPr>
            <w:r>
              <w:rPr>
                <w:rFonts w:ascii="Arial" w:cs="Arial" w:eastAsia="Arial" w:hAnsi="Arial"/>
                <w:sz w:val="18"/>
                <w:szCs w:val="18"/>
                <w:color w:val="auto"/>
              </w:rPr>
              <w:t>86.1</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86.2</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87.2</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89.7</w:t>
            </w: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06/30/2007</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5"/>
              </w:rPr>
              <w:t>91.1</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88.1</w:t>
            </w:r>
          </w:p>
        </w:tc>
        <w:tc>
          <w:tcPr>
            <w:tcW w:w="15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89.9</w:t>
            </w:r>
          </w:p>
        </w:tc>
        <w:tc>
          <w:tcPr>
            <w:tcW w:w="15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86.0</w:t>
            </w:r>
          </w:p>
        </w:tc>
        <w:tc>
          <w:tcPr>
            <w:tcW w:w="14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86.3</w:t>
            </w: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87.6</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89.9</w:t>
            </w:r>
          </w:p>
        </w:tc>
      </w:tr>
      <w:tr>
        <w:trPr>
          <w:trHeight w:val="230"/>
        </w:trPr>
        <w:tc>
          <w:tcPr>
            <w:tcW w:w="2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09/30/2007</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85"/>
              </w:rPr>
              <w:t>91.3</w:t>
            </w:r>
          </w:p>
        </w:tc>
        <w:tc>
          <w:tcPr>
            <w:tcW w:w="400" w:type="dxa"/>
            <w:vAlign w:val="bottom"/>
          </w:tcPr>
          <w:p>
            <w:pPr>
              <w:spacing w:after="0"/>
              <w:rPr>
                <w:sz w:val="20"/>
                <w:szCs w:val="20"/>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88.2</w:t>
            </w:r>
          </w:p>
        </w:tc>
        <w:tc>
          <w:tcPr>
            <w:tcW w:w="1560" w:type="dxa"/>
            <w:vAlign w:val="bottom"/>
            <w:gridSpan w:val="2"/>
          </w:tcPr>
          <w:p>
            <w:pPr>
              <w:ind w:left="820"/>
              <w:spacing w:after="0"/>
              <w:rPr>
                <w:sz w:val="20"/>
                <w:szCs w:val="20"/>
                <w:color w:val="auto"/>
              </w:rPr>
            </w:pPr>
            <w:r>
              <w:rPr>
                <w:rFonts w:ascii="Arial" w:cs="Arial" w:eastAsia="Arial" w:hAnsi="Arial"/>
                <w:sz w:val="18"/>
                <w:szCs w:val="18"/>
                <w:color w:val="auto"/>
              </w:rPr>
              <w:t>90.1</w:t>
            </w:r>
          </w:p>
        </w:tc>
        <w:tc>
          <w:tcPr>
            <w:tcW w:w="1540" w:type="dxa"/>
            <w:vAlign w:val="bottom"/>
            <w:gridSpan w:val="2"/>
          </w:tcPr>
          <w:p>
            <w:pPr>
              <w:ind w:left="780"/>
              <w:spacing w:after="0"/>
              <w:rPr>
                <w:sz w:val="20"/>
                <w:szCs w:val="20"/>
                <w:color w:val="auto"/>
              </w:rPr>
            </w:pPr>
            <w:r>
              <w:rPr>
                <w:rFonts w:ascii="Arial" w:cs="Arial" w:eastAsia="Arial" w:hAnsi="Arial"/>
                <w:sz w:val="18"/>
                <w:szCs w:val="18"/>
                <w:color w:val="auto"/>
              </w:rPr>
              <w:t>86.1</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86.8</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87.5</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90.0</w:t>
            </w:r>
          </w:p>
        </w:tc>
      </w:tr>
      <w:tr>
        <w:trPr>
          <w:trHeight w:val="283"/>
        </w:trPr>
        <w:tc>
          <w:tcPr>
            <w:tcW w:w="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gridSpan w:val="3"/>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7"/>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2240" w:type="dxa"/>
            <w:vAlign w:val="bottom"/>
            <w:gridSpan w:val="4"/>
          </w:tcPr>
          <w:p>
            <w:pPr>
              <w:ind w:left="240"/>
              <w:spacing w:after="0"/>
              <w:rPr>
                <w:sz w:val="20"/>
                <w:szCs w:val="20"/>
                <w:color w:val="auto"/>
              </w:rPr>
            </w:pPr>
            <w:r>
              <w:rPr>
                <w:rFonts w:ascii="Arial" w:cs="Arial" w:eastAsia="Arial" w:hAnsi="Arial"/>
                <w:sz w:val="18"/>
                <w:szCs w:val="18"/>
                <w:color w:val="auto"/>
              </w:rPr>
              <w:t>CML = Commercial</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Average premium per policy trends for Property and Casualty Group insurance operations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Private</w:t>
            </w:r>
          </w:p>
        </w:tc>
        <w:tc>
          <w:tcPr>
            <w:tcW w:w="280" w:type="dxa"/>
            <w:vAlign w:val="bottom"/>
          </w:tcPr>
          <w:p>
            <w:pPr>
              <w:spacing w:after="0"/>
              <w:rPr>
                <w:sz w:val="14"/>
                <w:szCs w:val="14"/>
                <w:color w:val="auto"/>
              </w:rPr>
            </w:pPr>
          </w:p>
        </w:tc>
        <w:tc>
          <w:tcPr>
            <w:tcW w:w="960" w:type="dxa"/>
            <w:vAlign w:val="bottom"/>
          </w:tcPr>
          <w:p>
            <w:pPr>
              <w:ind w:left="240"/>
              <w:spacing w:after="0"/>
              <w:rPr>
                <w:sz w:val="20"/>
                <w:szCs w:val="20"/>
                <w:color w:val="auto"/>
              </w:rPr>
            </w:pPr>
            <w:r>
              <w:rPr>
                <w:rFonts w:ascii="Arial" w:cs="Arial" w:eastAsia="Arial" w:hAnsi="Arial"/>
                <w:sz w:val="14"/>
                <w:szCs w:val="14"/>
                <w:color w:val="auto"/>
              </w:rPr>
              <w:t>12-mth.</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ind w:left="260"/>
              <w:spacing w:after="0"/>
              <w:rPr>
                <w:sz w:val="20"/>
                <w:szCs w:val="20"/>
                <w:color w:val="auto"/>
              </w:rPr>
            </w:pPr>
            <w:r>
              <w:rPr>
                <w:rFonts w:ascii="Arial" w:cs="Arial" w:eastAsia="Arial" w:hAnsi="Arial"/>
                <w:sz w:val="14"/>
                <w:szCs w:val="14"/>
                <w:color w:val="auto"/>
              </w:rPr>
              <w:t>12-mth.</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All Other</w:t>
            </w:r>
          </w:p>
        </w:tc>
        <w:tc>
          <w:tcPr>
            <w:tcW w:w="280" w:type="dxa"/>
            <w:vAlign w:val="bottom"/>
          </w:tcPr>
          <w:p>
            <w:pPr>
              <w:spacing w:after="0"/>
              <w:rPr>
                <w:sz w:val="14"/>
                <w:szCs w:val="14"/>
                <w:color w:val="auto"/>
              </w:rPr>
            </w:pPr>
          </w:p>
        </w:tc>
        <w:tc>
          <w:tcPr>
            <w:tcW w:w="940" w:type="dxa"/>
            <w:vAlign w:val="bottom"/>
          </w:tcPr>
          <w:p>
            <w:pPr>
              <w:ind w:left="240"/>
              <w:spacing w:after="0"/>
              <w:rPr>
                <w:sz w:val="20"/>
                <w:szCs w:val="20"/>
                <w:color w:val="auto"/>
              </w:rPr>
            </w:pPr>
            <w:r>
              <w:rPr>
                <w:rFonts w:ascii="Arial" w:cs="Arial" w:eastAsia="Arial" w:hAnsi="Arial"/>
                <w:sz w:val="14"/>
                <w:szCs w:val="14"/>
                <w:color w:val="auto"/>
              </w:rPr>
              <w:t>12-mth.</w:t>
            </w:r>
          </w:p>
        </w:tc>
        <w:tc>
          <w:tcPr>
            <w:tcW w:w="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Total</w:t>
            </w:r>
          </w:p>
        </w:tc>
        <w:tc>
          <w:tcPr>
            <w:tcW w:w="28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Arial" w:cs="Arial" w:eastAsia="Arial" w:hAnsi="Arial"/>
                <w:sz w:val="14"/>
                <w:szCs w:val="14"/>
                <w:color w:val="auto"/>
              </w:rPr>
              <w:t>12-mth.</w:t>
            </w: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3"/>
              </w:rPr>
              <w:t>Passenger</w:t>
            </w:r>
          </w:p>
        </w:tc>
        <w:tc>
          <w:tcPr>
            <w:tcW w:w="280" w:type="dxa"/>
            <w:vAlign w:val="bottom"/>
          </w:tcPr>
          <w:p>
            <w:pPr>
              <w:spacing w:after="0"/>
              <w:rPr>
                <w:sz w:val="12"/>
                <w:szCs w:val="12"/>
                <w:color w:val="auto"/>
              </w:rPr>
            </w:pPr>
          </w:p>
        </w:tc>
        <w:tc>
          <w:tcPr>
            <w:tcW w:w="960" w:type="dxa"/>
            <w:vAlign w:val="bottom"/>
          </w:tcPr>
          <w:p>
            <w:pPr>
              <w:ind w:left="260"/>
              <w:spacing w:after="0" w:line="149" w:lineRule="exact"/>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ind w:left="260"/>
              <w:spacing w:after="0" w:line="149" w:lineRule="exact"/>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Personal</w:t>
            </w:r>
          </w:p>
        </w:tc>
        <w:tc>
          <w:tcPr>
            <w:tcW w:w="280" w:type="dxa"/>
            <w:vAlign w:val="bottom"/>
          </w:tcPr>
          <w:p>
            <w:pPr>
              <w:spacing w:after="0"/>
              <w:rPr>
                <w:sz w:val="12"/>
                <w:szCs w:val="12"/>
                <w:color w:val="auto"/>
              </w:rPr>
            </w:pPr>
          </w:p>
        </w:tc>
        <w:tc>
          <w:tcPr>
            <w:tcW w:w="940" w:type="dxa"/>
            <w:vAlign w:val="bottom"/>
          </w:tcPr>
          <w:p>
            <w:pPr>
              <w:ind w:left="260"/>
              <w:spacing w:after="0" w:line="149" w:lineRule="exact"/>
              <w:rPr>
                <w:sz w:val="20"/>
                <w:szCs w:val="20"/>
                <w:color w:val="auto"/>
              </w:rPr>
            </w:pPr>
            <w:r>
              <w:rPr>
                <w:rFonts w:ascii="Arial" w:cs="Arial" w:eastAsia="Arial" w:hAnsi="Arial"/>
                <w:sz w:val="14"/>
                <w:szCs w:val="14"/>
                <w:color w:val="auto"/>
              </w:rPr>
              <w:t>percent</w:t>
            </w: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Personal</w:t>
            </w:r>
          </w:p>
        </w:tc>
        <w:tc>
          <w:tcPr>
            <w:tcW w:w="28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color w:val="auto"/>
              </w:rPr>
              <w:t>percent</w:t>
            </w:r>
          </w:p>
        </w:tc>
      </w:tr>
      <w:tr>
        <w:trPr>
          <w:trHeight w:val="167"/>
        </w:trPr>
        <w:tc>
          <w:tcPr>
            <w:tcW w:w="20" w:type="dxa"/>
            <w:vAlign w:val="bottom"/>
          </w:tcPr>
          <w:p>
            <w:pPr>
              <w:spacing w:after="0"/>
              <w:rPr>
                <w:sz w:val="14"/>
                <w:szCs w:val="14"/>
                <w:color w:val="auto"/>
              </w:rPr>
            </w:pP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Auto</w:t>
            </w:r>
          </w:p>
        </w:tc>
        <w:tc>
          <w:tcPr>
            <w:tcW w:w="280" w:type="dxa"/>
            <w:vAlign w:val="bottom"/>
          </w:tcPr>
          <w:p>
            <w:pPr>
              <w:spacing w:after="0"/>
              <w:rPr>
                <w:sz w:val="14"/>
                <w:szCs w:val="14"/>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Homeowners</w:t>
            </w:r>
          </w:p>
        </w:tc>
        <w:tc>
          <w:tcPr>
            <w:tcW w:w="280" w:type="dxa"/>
            <w:vAlign w:val="bottom"/>
          </w:tcPr>
          <w:p>
            <w:pPr>
              <w:spacing w:after="0"/>
              <w:rPr>
                <w:sz w:val="14"/>
                <w:szCs w:val="14"/>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280" w:type="dxa"/>
            <w:vAlign w:val="bottom"/>
          </w:tcPr>
          <w:p>
            <w:pPr>
              <w:spacing w:after="0"/>
              <w:rPr>
                <w:sz w:val="14"/>
                <w:szCs w:val="1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change</w:t>
            </w: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280" w:type="dxa"/>
            <w:vAlign w:val="bottom"/>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change</w:t>
            </w:r>
          </w:p>
        </w:tc>
      </w:tr>
      <w:tr>
        <w:trPr>
          <w:trHeight w:val="210"/>
        </w:trPr>
        <w:tc>
          <w:tcPr>
            <w:tcW w:w="20" w:type="dxa"/>
            <w:vAlign w:val="bottom"/>
          </w:tcPr>
          <w:p>
            <w:pPr>
              <w:spacing w:after="0"/>
              <w:rPr>
                <w:sz w:val="18"/>
                <w:szCs w:val="18"/>
                <w:color w:val="auto"/>
              </w:rPr>
            </w:pPr>
          </w:p>
        </w:tc>
        <w:tc>
          <w:tcPr>
            <w:tcW w:w="12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86"/>
              </w:rPr>
              <w:t>06/30/2006</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$1,140</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(3.9)%</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$535</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$ 348</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0.6%</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$818</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w w:val="86"/>
              </w:rPr>
              <w:t>09/30/2006</w:t>
            </w:r>
          </w:p>
        </w:tc>
        <w:tc>
          <w:tcPr>
            <w:tcW w:w="1380" w:type="dxa"/>
            <w:vAlign w:val="bottom"/>
            <w:gridSpan w:val="2"/>
          </w:tcPr>
          <w:p>
            <w:pPr>
              <w:jc w:val="right"/>
              <w:ind w:right="328"/>
              <w:spacing w:after="0"/>
              <w:rPr>
                <w:sz w:val="20"/>
                <w:szCs w:val="20"/>
                <w:color w:val="auto"/>
              </w:rPr>
            </w:pPr>
            <w:r>
              <w:rPr>
                <w:rFonts w:ascii="Arial" w:cs="Arial" w:eastAsia="Arial" w:hAnsi="Arial"/>
                <w:sz w:val="18"/>
                <w:szCs w:val="18"/>
                <w:color w:val="auto"/>
              </w:rPr>
              <w:t>1,122</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(4.8)</w:t>
            </w: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530</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328"/>
              <w:spacing w:after="0"/>
              <w:rPr>
                <w:sz w:val="20"/>
                <w:szCs w:val="20"/>
                <w:color w:val="auto"/>
              </w:rPr>
            </w:pPr>
            <w:r>
              <w:rPr>
                <w:rFonts w:ascii="Arial" w:cs="Arial" w:eastAsia="Arial" w:hAnsi="Arial"/>
                <w:sz w:val="18"/>
                <w:szCs w:val="18"/>
                <w:color w:val="auto"/>
              </w:rPr>
              <w:t>348</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806</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86"/>
              </w:rPr>
              <w:t>12/31/2006</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1,110</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(5.5)</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526</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(3.1)</w:t>
            </w:r>
          </w:p>
        </w:tc>
        <w:tc>
          <w:tcPr>
            <w:tcW w:w="13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349</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0.3</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797</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w w:val="86"/>
              </w:rPr>
              <w:t>03/31/2007</w:t>
            </w:r>
          </w:p>
        </w:tc>
        <w:tc>
          <w:tcPr>
            <w:tcW w:w="1380" w:type="dxa"/>
            <w:vAlign w:val="bottom"/>
            <w:gridSpan w:val="2"/>
          </w:tcPr>
          <w:p>
            <w:pPr>
              <w:jc w:val="right"/>
              <w:ind w:right="328"/>
              <w:spacing w:after="0"/>
              <w:rPr>
                <w:sz w:val="20"/>
                <w:szCs w:val="20"/>
                <w:color w:val="auto"/>
              </w:rPr>
            </w:pPr>
            <w:r>
              <w:rPr>
                <w:rFonts w:ascii="Arial" w:cs="Arial" w:eastAsia="Arial" w:hAnsi="Arial"/>
                <w:sz w:val="18"/>
                <w:szCs w:val="18"/>
                <w:color w:val="auto"/>
              </w:rPr>
              <w:t>1,100</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(5.3)</w:t>
            </w: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524</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(2.8)</w:t>
            </w:r>
          </w:p>
        </w:tc>
        <w:tc>
          <w:tcPr>
            <w:tcW w:w="1300" w:type="dxa"/>
            <w:vAlign w:val="bottom"/>
            <w:gridSpan w:val="2"/>
          </w:tcPr>
          <w:p>
            <w:pPr>
              <w:jc w:val="right"/>
              <w:ind w:right="328"/>
              <w:spacing w:after="0"/>
              <w:rPr>
                <w:sz w:val="20"/>
                <w:szCs w:val="20"/>
                <w:color w:val="auto"/>
              </w:rPr>
            </w:pPr>
            <w:r>
              <w:rPr>
                <w:rFonts w:ascii="Arial" w:cs="Arial" w:eastAsia="Arial" w:hAnsi="Arial"/>
                <w:sz w:val="18"/>
                <w:szCs w:val="18"/>
                <w:color w:val="auto"/>
              </w:rPr>
              <w:t>349</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791</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86"/>
              </w:rPr>
              <w:t>06/30/2007</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1,094</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(4.0)</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520</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(2.8)</w:t>
            </w:r>
          </w:p>
        </w:tc>
        <w:tc>
          <w:tcPr>
            <w:tcW w:w="13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351</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0.9</w:t>
            </w: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786</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(3.9)</w:t>
            </w:r>
          </w:p>
        </w:tc>
      </w:tr>
      <w:tr>
        <w:trPr>
          <w:trHeight w:val="230"/>
        </w:trPr>
        <w:tc>
          <w:tcPr>
            <w:tcW w:w="20" w:type="dxa"/>
            <w:vAlign w:val="bottom"/>
          </w:tcPr>
          <w:p>
            <w:pPr>
              <w:spacing w:after="0"/>
              <w:rPr>
                <w:sz w:val="20"/>
                <w:szCs w:val="20"/>
                <w:color w:val="auto"/>
              </w:rPr>
            </w:pPr>
          </w:p>
        </w:tc>
        <w:tc>
          <w:tcPr>
            <w:tcW w:w="1200" w:type="dxa"/>
            <w:vAlign w:val="bottom"/>
          </w:tcPr>
          <w:p>
            <w:pPr>
              <w:jc w:val="right"/>
              <w:ind w:right="313"/>
              <w:spacing w:after="0"/>
              <w:rPr>
                <w:sz w:val="20"/>
                <w:szCs w:val="20"/>
                <w:color w:val="auto"/>
              </w:rPr>
            </w:pPr>
            <w:r>
              <w:rPr>
                <w:rFonts w:ascii="Arial" w:cs="Arial" w:eastAsia="Arial" w:hAnsi="Arial"/>
                <w:sz w:val="18"/>
                <w:szCs w:val="18"/>
                <w:color w:val="auto"/>
                <w:w w:val="86"/>
              </w:rPr>
              <w:t>09/30/2007</w:t>
            </w:r>
          </w:p>
        </w:tc>
        <w:tc>
          <w:tcPr>
            <w:tcW w:w="1380" w:type="dxa"/>
            <w:vAlign w:val="bottom"/>
            <w:gridSpan w:val="2"/>
          </w:tcPr>
          <w:p>
            <w:pPr>
              <w:jc w:val="right"/>
              <w:ind w:right="328"/>
              <w:spacing w:after="0"/>
              <w:rPr>
                <w:sz w:val="20"/>
                <w:szCs w:val="20"/>
                <w:color w:val="auto"/>
              </w:rPr>
            </w:pPr>
            <w:r>
              <w:rPr>
                <w:rFonts w:ascii="Arial" w:cs="Arial" w:eastAsia="Arial" w:hAnsi="Arial"/>
                <w:sz w:val="18"/>
                <w:szCs w:val="18"/>
                <w:color w:val="auto"/>
              </w:rPr>
              <w:t>1,093</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(2.6)</w:t>
            </w: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519</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328"/>
              <w:spacing w:after="0"/>
              <w:rPr>
                <w:sz w:val="20"/>
                <w:szCs w:val="20"/>
                <w:color w:val="auto"/>
              </w:rPr>
            </w:pPr>
            <w:r>
              <w:rPr>
                <w:rFonts w:ascii="Arial" w:cs="Arial" w:eastAsia="Arial" w:hAnsi="Arial"/>
                <w:sz w:val="18"/>
                <w:szCs w:val="18"/>
                <w:color w:val="auto"/>
              </w:rPr>
              <w:t>352</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783</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(2.9)</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color w:val="auto"/>
              </w:rPr>
              <w:t>12-mth.</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12-mth.</w:t>
            </w: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All Other</w:t>
            </w:r>
          </w:p>
        </w:tc>
        <w:tc>
          <w:tcPr>
            <w:tcW w:w="2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color w:val="auto"/>
              </w:rPr>
              <w:t>12-mth.</w:t>
            </w: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color w:val="auto"/>
              </w:rPr>
              <w:t>12-mth.</w:t>
            </w:r>
          </w:p>
        </w:tc>
        <w:tc>
          <w:tcPr>
            <w:tcW w:w="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6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auto"/>
              </w:rPr>
              <w:t>12-mth.</w:t>
            </w: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CML*</w:t>
            </w:r>
          </w:p>
        </w:tc>
        <w:tc>
          <w:tcPr>
            <w:tcW w:w="240" w:type="dxa"/>
            <w:vAlign w:val="bottom"/>
          </w:tcPr>
          <w:p>
            <w:pPr>
              <w:spacing w:after="0"/>
              <w:rPr>
                <w:sz w:val="12"/>
                <w:szCs w:val="12"/>
                <w:color w:val="auto"/>
              </w:rPr>
            </w:pPr>
          </w:p>
        </w:tc>
        <w:tc>
          <w:tcPr>
            <w:tcW w:w="760" w:type="dxa"/>
            <w:vAlign w:val="bottom"/>
          </w:tcPr>
          <w:p>
            <w:pPr>
              <w:ind w:left="180"/>
              <w:spacing w:after="0" w:line="149" w:lineRule="exact"/>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Workers</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CML*</w:t>
            </w:r>
          </w:p>
        </w:tc>
        <w:tc>
          <w:tcPr>
            <w:tcW w:w="240" w:type="dxa"/>
            <w:vAlign w:val="bottom"/>
          </w:tcPr>
          <w:p>
            <w:pPr>
              <w:spacing w:after="0"/>
              <w:rPr>
                <w:sz w:val="12"/>
                <w:szCs w:val="12"/>
                <w:color w:val="auto"/>
              </w:rPr>
            </w:pPr>
          </w:p>
        </w:tc>
        <w:tc>
          <w:tcPr>
            <w:tcW w:w="760" w:type="dxa"/>
            <w:vAlign w:val="bottom"/>
          </w:tcPr>
          <w:p>
            <w:pPr>
              <w:ind w:left="180"/>
              <w:spacing w:after="0" w:line="149" w:lineRule="exact"/>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CML*</w:t>
            </w:r>
          </w:p>
        </w:tc>
        <w:tc>
          <w:tcPr>
            <w:tcW w:w="240" w:type="dxa"/>
            <w:vAlign w:val="bottom"/>
          </w:tcPr>
          <w:p>
            <w:pPr>
              <w:spacing w:after="0"/>
              <w:rPr>
                <w:sz w:val="12"/>
                <w:szCs w:val="12"/>
                <w:color w:val="auto"/>
              </w:rPr>
            </w:pPr>
          </w:p>
        </w:tc>
        <w:tc>
          <w:tcPr>
            <w:tcW w:w="760" w:type="dxa"/>
            <w:vAlign w:val="bottom"/>
          </w:tcPr>
          <w:p>
            <w:pPr>
              <w:ind w:left="180"/>
              <w:spacing w:after="0" w:line="149" w:lineRule="exact"/>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w:t>
            </w:r>
          </w:p>
        </w:tc>
        <w:tc>
          <w:tcPr>
            <w:tcW w:w="26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color w:val="auto"/>
              </w:rPr>
              <w:t>percent</w:t>
            </w:r>
          </w:p>
        </w:tc>
      </w:tr>
      <w:tr>
        <w:trPr>
          <w:trHeight w:val="167"/>
        </w:trPr>
        <w:tc>
          <w:tcPr>
            <w:tcW w:w="20" w:type="dxa"/>
            <w:vAlign w:val="bottom"/>
          </w:tcPr>
          <w:p>
            <w:pPr>
              <w:spacing w:after="0"/>
              <w:rPr>
                <w:sz w:val="14"/>
                <w:szCs w:val="14"/>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Auto</w:t>
            </w:r>
          </w:p>
        </w:tc>
        <w:tc>
          <w:tcPr>
            <w:tcW w:w="240" w:type="dxa"/>
            <w:vAlign w:val="bottom"/>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Comp.</w:t>
            </w:r>
          </w:p>
        </w:tc>
        <w:tc>
          <w:tcPr>
            <w:tcW w:w="2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change</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240" w:type="dxa"/>
            <w:vAlign w:val="bottom"/>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240" w:type="dxa"/>
            <w:vAlign w:val="bottom"/>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260" w:type="dxa"/>
            <w:vAlign w:val="bottom"/>
          </w:tcPr>
          <w:p>
            <w:pPr>
              <w:spacing w:after="0"/>
              <w:rPr>
                <w:sz w:val="14"/>
                <w:szCs w:val="14"/>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change</w:t>
            </w: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06/30/2006</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$2,730</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$6,143</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0.7%</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$1,676</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(1.9)%</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$2,444</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$1,026</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w w:val="86"/>
              </w:rPr>
              <w:t>09/30/2006</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2,705</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(3.0)</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6,047</w:t>
            </w:r>
          </w:p>
        </w:tc>
        <w:tc>
          <w:tcPr>
            <w:tcW w:w="1000" w:type="dxa"/>
            <w:vAlign w:val="bottom"/>
            <w:gridSpan w:val="2"/>
          </w:tcPr>
          <w:p>
            <w:pPr>
              <w:jc w:val="right"/>
              <w:ind w:right="168"/>
              <w:spacing w:after="0"/>
              <w:rPr>
                <w:sz w:val="20"/>
                <w:szCs w:val="20"/>
                <w:color w:val="auto"/>
              </w:rPr>
            </w:pPr>
            <w:r>
              <w:rPr>
                <w:rFonts w:ascii="Arial" w:cs="Arial" w:eastAsia="Arial" w:hAnsi="Arial"/>
                <w:sz w:val="18"/>
                <w:szCs w:val="18"/>
                <w:color w:val="auto"/>
              </w:rPr>
              <w:t>(0.9)</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1,669</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2,416</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(3.0)</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1,011</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12/31/2006</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2,687</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(3.4)</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5,985</w:t>
            </w:r>
          </w:p>
        </w:tc>
        <w:tc>
          <w:tcPr>
            <w:tcW w:w="10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(3.7)</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1,657</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(2.8)</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2,393</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(4.3)</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1,001</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w w:val="86"/>
              </w:rPr>
              <w:t>03/31/2007</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2,664</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5,914</w:t>
            </w:r>
          </w:p>
        </w:tc>
        <w:tc>
          <w:tcPr>
            <w:tcW w:w="1000" w:type="dxa"/>
            <w:vAlign w:val="bottom"/>
            <w:gridSpan w:val="2"/>
          </w:tcPr>
          <w:p>
            <w:pPr>
              <w:jc w:val="right"/>
              <w:ind w:right="168"/>
              <w:spacing w:after="0"/>
              <w:rPr>
                <w:sz w:val="20"/>
                <w:szCs w:val="20"/>
                <w:color w:val="auto"/>
              </w:rPr>
            </w:pPr>
            <w:r>
              <w:rPr>
                <w:rFonts w:ascii="Arial" w:cs="Arial" w:eastAsia="Arial" w:hAnsi="Arial"/>
                <w:sz w:val="18"/>
                <w:szCs w:val="18"/>
                <w:color w:val="auto"/>
              </w:rPr>
              <w:t>(5.7)</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1,641</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(4.0)</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2,365</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(5.4)</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991</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06/30/2007</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2,627</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(3.8)</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5,901</w:t>
            </w:r>
          </w:p>
        </w:tc>
        <w:tc>
          <w:tcPr>
            <w:tcW w:w="10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(3.9)</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1,616</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2,333</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(4.5)</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984</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(4.1)</w:t>
            </w:r>
          </w:p>
        </w:tc>
      </w:tr>
      <w:tr>
        <w:trPr>
          <w:trHeight w:val="230"/>
        </w:trPr>
        <w:tc>
          <w:tcPr>
            <w:tcW w:w="20" w:type="dxa"/>
            <w:vAlign w:val="bottom"/>
          </w:tcPr>
          <w:p>
            <w:pPr>
              <w:spacing w:after="0"/>
              <w:rPr>
                <w:sz w:val="20"/>
                <w:szCs w:val="20"/>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w w:val="86"/>
              </w:rPr>
              <w:t>09/30/2007</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2,600</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5,780</w:t>
            </w:r>
          </w:p>
        </w:tc>
        <w:tc>
          <w:tcPr>
            <w:tcW w:w="1000" w:type="dxa"/>
            <w:vAlign w:val="bottom"/>
            <w:gridSpan w:val="2"/>
          </w:tcPr>
          <w:p>
            <w:pPr>
              <w:jc w:val="right"/>
              <w:ind w:right="168"/>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1,592</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(4.6)</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2,295</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(5.0)</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978</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CML = Commercial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following information should be read in conjunction with the historical financial information and the notes thereto included in Item 1 of this Quarterly Report on Form 10-Q and Management’s Discussion and Analysis of Financial Condition and Results of Operations contained in the Annual Report on Form 10-K for the year ended December 31, 2006 as filed with the Securities and Exchange Commission on February 26, 2007. Preceding the discussion of financial results is an introduction discussing the relationships between the member companies of the Erie Insurance Group. The following discussion of financial results focuses heavily on our three primary segments: management operations, insurance underwriting operations and investment operations consistent with the presentation in Note 13 in the Notes to Consolidated Financial Statements. That presentation, which management uses internally to monitor and evaluate results, is an alternative presentation of our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organizational chart depicts the organization of the various entities of the 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220980</wp:posOffset>
            </wp:positionV>
            <wp:extent cx="5651500" cy="2607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150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serve as the attorney-in-fact for the policyholders of the Erie Insurance Exchange (Exchange), a reciprocal insurance exchange, and operate predominantly as a provider of certain management services to the Exchange. We also own subsidiaries that are property and casualty insurers. The Exchange and its property/casualty subsidiary, Flagship City Insurance Company, and our three property/casualty subsidiaries, Erie Insurance Company (EIC), Erie Insurance Company of New York (EINY) and Erie Insurance Property &amp; Casualty Company (EIPC), (collectively, the Property and Casualty Group) underwrite personal and commercial lines property and casualty insurance exclusively through over 1,900 independent agencies comprising over 8,300 licensed independent agents. The entities within the Property and Casualty Group pool their underwriting results. The financial position and results of operations of the Exchange are not consolidated with ours. We, together with the Property and Casualty Group and EFL, operate collectively as the Erie Insurance Group.</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 for a discussion of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operate under three primary segments: management operations, insurance underwriting operations and investment operations. The financial information presented herein reflects our management operations from serving as attorney-in-fact for the Exchange, our insurance underwriting results from our wholly-owned subsidiaries (EIC, EINY and EIPC) and our investment operations. The bases of calculations used for segment data are described in more detail in Item 1, Note 13 in the 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ind w:left="520"/>
              <w:spacing w:after="0"/>
              <w:rPr>
                <w:sz w:val="20"/>
                <w:szCs w:val="20"/>
                <w:color w:val="auto"/>
              </w:rPr>
            </w:pPr>
            <w:r>
              <w:rPr>
                <w:rFonts w:ascii="Arial" w:cs="Arial" w:eastAsia="Arial" w:hAnsi="Arial"/>
                <w:sz w:val="14"/>
                <w:szCs w:val="14"/>
                <w:color w:val="auto"/>
                <w:w w:val="88"/>
              </w:rPr>
              <w:t>Three months ended September 30,</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14"/>
                <w:szCs w:val="14"/>
                <w:color w:val="auto"/>
                <w:w w:val="92"/>
              </w:rPr>
              <w:t>Nine months ended September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2007</w:t>
            </w:r>
          </w:p>
        </w:tc>
        <w:tc>
          <w:tcPr>
            <w:tcW w:w="660" w:type="dxa"/>
            <w:vAlign w:val="bottom"/>
            <w:gridSpan w:val="2"/>
            <w:vMerge w:val="restart"/>
          </w:tcPr>
          <w:p>
            <w:pPr>
              <w:spacing w:after="0"/>
              <w:rPr>
                <w:sz w:val="20"/>
                <w:szCs w:val="20"/>
                <w:color w:val="auto"/>
              </w:rPr>
            </w:pPr>
            <w:r>
              <w:rPr>
                <w:rFonts w:ascii="Arial" w:cs="Arial" w:eastAsia="Arial" w:hAnsi="Arial"/>
                <w:sz w:val="14"/>
                <w:szCs w:val="14"/>
                <w:color w:val="auto"/>
                <w:w w:val="87"/>
              </w:rPr>
              <w:t>(Unaudited)</w:t>
            </w: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2007</w:t>
            </w:r>
          </w:p>
        </w:tc>
        <w:tc>
          <w:tcPr>
            <w:tcW w:w="660" w:type="dxa"/>
            <w:vAlign w:val="bottom"/>
            <w:vMerge w:val="restart"/>
          </w:tcPr>
          <w:p>
            <w:pPr>
              <w:spacing w:after="0"/>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from management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40,454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51,651</w:t>
            </w:r>
          </w:p>
        </w:tc>
        <w:tc>
          <w:tcPr>
            <w:tcW w:w="1440" w:type="dxa"/>
            <w:vAlign w:val="bottom"/>
            <w:tcBorders>
              <w:lef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142,500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154,935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Underwriting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8"/>
                <w:szCs w:val="18"/>
                <w:color w:val="auto"/>
              </w:rPr>
              <w:t>6,228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5,730</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19,770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13,369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revenue from investment operations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30,532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22,873</w:t>
            </w:r>
          </w:p>
        </w:tc>
        <w:tc>
          <w:tcPr>
            <w:tcW w:w="1440" w:type="dxa"/>
            <w:vAlign w:val="bottom"/>
            <w:tcBorders>
              <w:left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72,909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77,214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80,254</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260,341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241,213</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23,718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27,469</w:t>
            </w:r>
          </w:p>
        </w:tc>
        <w:tc>
          <w:tcPr>
            <w:tcW w:w="660" w:type="dxa"/>
            <w:vAlign w:val="bottom"/>
            <w:shd w:val="clear" w:color="auto" w:fill="CCEEFF"/>
          </w:tcPr>
          <w:p>
            <w:pPr>
              <w:spacing w:after="0"/>
              <w:rPr>
                <w:sz w:val="18"/>
                <w:szCs w:val="18"/>
                <w:color w:val="auto"/>
              </w:rPr>
            </w:pPr>
          </w:p>
        </w:tc>
        <w:tc>
          <w:tcPr>
            <w:tcW w:w="1440" w:type="dxa"/>
            <w:vAlign w:val="bottom"/>
            <w:tcBorders>
              <w:lef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82,707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3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53,496</w:t>
            </w:r>
          </w:p>
        </w:tc>
        <w:tc>
          <w:tcPr>
            <w:tcW w:w="3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52,785</w:t>
            </w:r>
          </w:p>
        </w:tc>
        <w:tc>
          <w:tcPr>
            <w:tcW w:w="660" w:type="dxa"/>
            <w:vAlign w:val="bottom"/>
            <w:vMerge w:val="continue"/>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180,344</w:t>
            </w:r>
          </w:p>
        </w:tc>
        <w:tc>
          <w:tcPr>
            <w:tcW w:w="6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158,506</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0.82</w:t>
            </w:r>
          </w:p>
        </w:tc>
        <w:tc>
          <w:tcPr>
            <w:tcW w:w="1440" w:type="dxa"/>
            <w:vAlign w:val="bottom"/>
            <w:tcBorders>
              <w:lef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21" w:lineRule="exact"/>
        <w:rPr>
          <w:sz w:val="20"/>
          <w:szCs w:val="20"/>
          <w:color w:val="auto"/>
        </w:rPr>
      </w:pPr>
    </w:p>
    <w:p>
      <w:pPr>
        <w:ind w:left="440" w:right="120" w:hanging="324"/>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Increase in net income per share-diluted in the third quarter of 2007 was impacted by improved underwriting operations and an increase in net realized gains on investments and limited partnership earnings offset by the following two charges:</w:t>
      </w:r>
    </w:p>
    <w:p>
      <w:pPr>
        <w:spacing w:after="0" w:line="62" w:lineRule="exact"/>
        <w:rPr>
          <w:rFonts w:ascii="Arial" w:cs="Arial" w:eastAsia="Arial" w:hAnsi="Arial"/>
          <w:sz w:val="18"/>
          <w:szCs w:val="18"/>
          <w:b w:val="1"/>
          <w:bCs w:val="1"/>
          <w:color w:val="auto"/>
        </w:rPr>
      </w:pPr>
    </w:p>
    <w:p>
      <w:pPr>
        <w:ind w:left="900" w:hanging="446"/>
        <w:spacing w:after="0"/>
        <w:tabs>
          <w:tab w:leader="none" w:pos="90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an estimate of $4.3 million for a judgment against us in a lawsuit arising from our termination of an agency, and</w:t>
      </w:r>
    </w:p>
    <w:p>
      <w:pPr>
        <w:spacing w:after="0" w:line="130" w:lineRule="exact"/>
        <w:rPr>
          <w:rFonts w:ascii="Arial" w:cs="Arial" w:eastAsia="Arial" w:hAnsi="Arial"/>
          <w:sz w:val="18"/>
          <w:szCs w:val="18"/>
          <w:b w:val="1"/>
          <w:bCs w:val="1"/>
          <w:color w:val="auto"/>
        </w:rPr>
      </w:pPr>
    </w:p>
    <w:p>
      <w:pPr>
        <w:ind w:left="900" w:right="20" w:hanging="446"/>
        <w:spacing w:after="0" w:line="277" w:lineRule="auto"/>
        <w:tabs>
          <w:tab w:leader="none" w:pos="90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an estimate of $3.7 million related to our portion of any additional compensation that may be due our former president and chief executive officer who voluntarily resigned in August 2007.</w:t>
      </w:r>
    </w:p>
    <w:p>
      <w:pPr>
        <w:spacing w:after="0" w:line="62" w:lineRule="exact"/>
        <w:rPr>
          <w:rFonts w:ascii="Arial" w:cs="Arial" w:eastAsia="Arial" w:hAnsi="Arial"/>
          <w:sz w:val="18"/>
          <w:szCs w:val="18"/>
          <w:b w:val="1"/>
          <w:bCs w:val="1"/>
          <w:color w:val="auto"/>
        </w:rPr>
      </w:pPr>
    </w:p>
    <w:p>
      <w:pPr>
        <w:ind w:left="440" w:right="60" w:hanging="324"/>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Direct written premiums of the Property and Casualty Group remained flat in the third quarter of 2007 when compared with the third quarter of 2006 as the average premium per policy dropped to $978 from $1,011 and policy retention improved to 90.0% from 89.2%.</w:t>
      </w:r>
    </w:p>
    <w:p>
      <w:pPr>
        <w:spacing w:after="0" w:line="75" w:lineRule="exact"/>
        <w:rPr>
          <w:rFonts w:ascii="Arial" w:cs="Arial" w:eastAsia="Arial" w:hAnsi="Arial"/>
          <w:sz w:val="18"/>
          <w:szCs w:val="18"/>
          <w:b w:val="1"/>
          <w:bCs w:val="1"/>
          <w:color w:val="auto"/>
        </w:rPr>
      </w:pPr>
    </w:p>
    <w:p>
      <w:pPr>
        <w:ind w:left="440" w:right="200" w:hanging="324"/>
        <w:spacing w:after="0" w:line="264"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GAAP combined ratios of the insurance underwriting operations improved to 88.0% in the third quarter of 2007 from 89.2% for the quarter ended September 30, 2006 driven by low catastrophe losses and 7.8 points of favorable development of prior accident year loss and loss adjustment expense reserves.</w:t>
      </w:r>
    </w:p>
    <w:p>
      <w:pPr>
        <w:spacing w:after="0" w:line="86" w:lineRule="exact"/>
        <w:rPr>
          <w:rFonts w:ascii="Arial" w:cs="Arial" w:eastAsia="Arial" w:hAnsi="Arial"/>
          <w:sz w:val="18"/>
          <w:szCs w:val="18"/>
          <w:b w:val="1"/>
          <w:bCs w:val="1"/>
          <w:color w:val="auto"/>
        </w:rPr>
      </w:pPr>
    </w:p>
    <w:p>
      <w:pPr>
        <w:ind w:left="440" w:right="540" w:hanging="324"/>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Net realized gains on investments increased $4.3 million in the third quarter of 2007 compared to 2006, while earnings from limited partnerships increased $3.3 million due to market value appreciation.</w:t>
      </w:r>
    </w:p>
    <w:p>
      <w:pPr>
        <w:spacing w:after="0" w:line="75" w:lineRule="exact"/>
        <w:rPr>
          <w:rFonts w:ascii="Arial" w:cs="Arial" w:eastAsia="Arial" w:hAnsi="Arial"/>
          <w:sz w:val="18"/>
          <w:szCs w:val="18"/>
          <w:b w:val="1"/>
          <w:bCs w:val="1"/>
          <w:color w:val="auto"/>
        </w:rPr>
      </w:pPr>
    </w:p>
    <w:p>
      <w:pPr>
        <w:ind w:left="440" w:right="220" w:hanging="324"/>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Annualized effective tax rate of 32.9% in third quarter 2007 was benefited by a $1.6 million reduction to adjust our estimated current tax provision to actual 2006 tax returns filed in September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property/casualty industry results reflected continued soft market conditions through the first half of 2007. Industry premiums declined 0.7% in the first six months according to A.M. Best. The industry combined ratio of 93.2% for the first six months of 2007 deteriorated slightly from the 92.4% in the first six months of 2006. While favorable loss reserve development benefited industry underwriting results, continued price softening across almost all lines contributed to the deterioration.</w:t>
      </w:r>
    </w:p>
    <w:p>
      <w:pPr>
        <w:spacing w:after="0" w:line="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management fee revenue reflected minimal growth of 0.3%, as direct written premiums of the Property and Casualty Group were flat in the third quarter of 2007 compared to the third quarter of 2006, up only 0.1%. The management fee rate being set at its maximum level of 25% for 2007 contributed to the slight increase in management fee revenue compared to the third quarter of 2006. Overall cost of management operations increased 6.0%. Non-commission operating costs increased 20.8% in the third quarter of 2007 driven primarily by two charges as described above. Excluding these charges, which together totaled $8.0 million, non-commission operating costs continued to moderate through the first nine months of 2007. Our current estimate for non-commission operating cost growth, excluding the charges referenced above, remains at 6% for the year.</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insurance underwriting operations reflect continued favorable development of prior accident year loss and loss adjustment expense reserves for the third quarter of 2007.</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Investment operations generated strong earnings in the third quarter of 2007 compared to 2006, primarily due to higher net realized gains and market value appreciation on our investments in limited partnerships.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ANALYSIS OF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jc w:val="right"/>
              <w:ind w:right="20"/>
              <w:spacing w:after="0"/>
              <w:rPr>
                <w:sz w:val="20"/>
                <w:szCs w:val="20"/>
                <w:color w:val="auto"/>
              </w:rPr>
            </w:pPr>
            <w:r>
              <w:rPr>
                <w:rFonts w:ascii="Arial" w:cs="Arial" w:eastAsia="Arial" w:hAnsi="Arial"/>
                <w:sz w:val="14"/>
                <w:szCs w:val="14"/>
                <w:color w:val="auto"/>
                <w:w w:val="89"/>
              </w:rPr>
              <w:t>Three months ended September 30,</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gridSpan w:val="3"/>
          </w:tcPr>
          <w:p>
            <w:pPr>
              <w:jc w:val="right"/>
              <w:ind w:right="60"/>
              <w:spacing w:after="0"/>
              <w:rPr>
                <w:sz w:val="20"/>
                <w:szCs w:val="20"/>
                <w:color w:val="auto"/>
              </w:rPr>
            </w:pPr>
            <w:r>
              <w:rPr>
                <w:rFonts w:ascii="Arial" w:cs="Arial" w:eastAsia="Arial" w:hAnsi="Arial"/>
                <w:sz w:val="14"/>
                <w:szCs w:val="14"/>
                <w:color w:val="auto"/>
                <w:w w:val="92"/>
              </w:rPr>
              <w:t>Nine months ended September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color w:val="auto"/>
                <w:w w:val="94"/>
              </w:rPr>
              <w:t>% Change</w:t>
            </w: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2"/>
              </w:rPr>
              <w:t>(Unaudited)</w:t>
            </w: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revenue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245,585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244,739</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$ 730,691</w:t>
            </w: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$ 728,778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Service agreement revenue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7,470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7,410</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0.8</w:t>
            </w:r>
          </w:p>
        </w:tc>
        <w:tc>
          <w:tcPr>
            <w:tcW w:w="1400" w:type="dxa"/>
            <w:vAlign w:val="bottom"/>
            <w:gridSpan w:val="2"/>
          </w:tcPr>
          <w:p>
            <w:pPr>
              <w:jc w:val="right"/>
              <w:ind w:right="628"/>
              <w:spacing w:after="0"/>
              <w:rPr>
                <w:sz w:val="20"/>
                <w:szCs w:val="20"/>
                <w:color w:val="auto"/>
              </w:rPr>
            </w:pPr>
            <w:r>
              <w:rPr>
                <w:rFonts w:ascii="Arial" w:cs="Arial" w:eastAsia="Arial" w:hAnsi="Arial"/>
                <w:sz w:val="18"/>
                <w:szCs w:val="18"/>
                <w:color w:val="auto"/>
              </w:rPr>
              <w:t>22,186</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21,508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revenue from management</w:t>
            </w: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253,055</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252,149</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752,877</w:t>
            </w:r>
          </w:p>
        </w:tc>
        <w:tc>
          <w:tcPr>
            <w:tcW w:w="7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750,286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Cost of management operations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212,601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200,498</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6.0</w:t>
            </w:r>
          </w:p>
        </w:tc>
        <w:tc>
          <w:tcPr>
            <w:tcW w:w="700" w:type="dxa"/>
            <w:vAlign w:val="bottom"/>
          </w:tcPr>
          <w:p>
            <w:pPr>
              <w:jc w:val="right"/>
              <w:spacing w:after="0"/>
              <w:rPr>
                <w:sz w:val="20"/>
                <w:szCs w:val="20"/>
                <w:color w:val="auto"/>
              </w:rPr>
            </w:pPr>
            <w:r>
              <w:rPr>
                <w:rFonts w:ascii="Arial" w:cs="Arial" w:eastAsia="Arial" w:hAnsi="Arial"/>
                <w:sz w:val="18"/>
                <w:szCs w:val="18"/>
                <w:color w:val="auto"/>
              </w:rPr>
              <w:t>610,377</w:t>
            </w:r>
          </w:p>
        </w:tc>
        <w:tc>
          <w:tcPr>
            <w:tcW w:w="7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595,351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from management operations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51,651</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$ 142,500</w:t>
            </w: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$ 154,935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456"/>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20.5%</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18.9%</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20.7%</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21" w:lineRule="exact"/>
        <w:rPr>
          <w:sz w:val="20"/>
          <w:szCs w:val="20"/>
          <w:color w:val="auto"/>
        </w:rPr>
      </w:pPr>
    </w:p>
    <w:p>
      <w:pPr>
        <w:ind w:left="440" w:right="40" w:hanging="324"/>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Direct written premiums of the Property and Casualty Group remained flat in the third quarter of 2007 compared to the third quarter of 2006, increasing only 0.1%.</w:t>
      </w:r>
    </w:p>
    <w:p>
      <w:pPr>
        <w:spacing w:after="0" w:line="62" w:lineRule="exact"/>
        <w:rPr>
          <w:rFonts w:ascii="Arial" w:cs="Arial" w:eastAsia="Arial" w:hAnsi="Arial"/>
          <w:sz w:val="18"/>
          <w:szCs w:val="18"/>
          <w:b w:val="1"/>
          <w:bCs w:val="1"/>
          <w:color w:val="auto"/>
        </w:rPr>
      </w:pPr>
    </w:p>
    <w:p>
      <w:pPr>
        <w:ind w:left="900" w:right="40" w:hanging="446"/>
        <w:spacing w:after="0" w:line="277" w:lineRule="auto"/>
        <w:tabs>
          <w:tab w:leader="none" w:pos="9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Year-over-year policies in force grew 2.1%, or 80,210 policies, to 3,873,665 at September 30, 2007 compared to year-over-year growth of 23,760 policies in the third quarter of 2006.</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7"/>
          <w:szCs w:val="17"/>
          <w:b w:val="1"/>
          <w:bCs w:val="1"/>
          <w:color w:val="auto"/>
        </w:rPr>
      </w:pPr>
      <w:r>
        <w:rPr>
          <w:rFonts w:ascii="Arial" w:cs="Arial" w:eastAsia="Arial" w:hAnsi="Arial"/>
          <w:sz w:val="17"/>
          <w:szCs w:val="17"/>
          <w:color w:val="auto"/>
        </w:rPr>
        <w:t>Year-over-year average premium per policy was $978 and $1,011 at September 30, 2007 and 2006, respectively, a decrease of 3.3%.</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During the third quarter, premium rate changes resulted in a $16.5 million decrease in written premiums.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Commission costs increased 0.3% and costs other than commissions increased 20.8% in the third quarter of 2007.</w:t>
      </w:r>
    </w:p>
    <w:p>
      <w:pPr>
        <w:spacing w:after="0" w:line="117" w:lineRule="exact"/>
        <w:rPr>
          <w:rFonts w:ascii="Arial" w:cs="Arial" w:eastAsia="Arial" w:hAnsi="Arial"/>
          <w:sz w:val="18"/>
          <w:szCs w:val="18"/>
          <w:b w:val="1"/>
          <w:bCs w:val="1"/>
          <w:color w:val="auto"/>
        </w:rPr>
      </w:pPr>
    </w:p>
    <w:p>
      <w:pPr>
        <w:jc w:val="both"/>
        <w:ind w:left="900" w:right="200" w:hanging="446"/>
        <w:spacing w:after="0" w:line="264" w:lineRule="auto"/>
        <w:tabs>
          <w:tab w:leader="none" w:pos="90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Scheduled rate commissions increased $1.4 million, or 1.2%, due to an increase in workers compensation commission rates of $0.7 million and accelerated commissions increases of $0.4 million, as expected, as a result of the increase in the number of newly appointed agents in 2006 and 2007.</w:t>
      </w:r>
    </w:p>
    <w:p>
      <w:pPr>
        <w:spacing w:after="0" w:line="86" w:lineRule="exact"/>
        <w:rPr>
          <w:rFonts w:ascii="Arial" w:cs="Arial" w:eastAsia="Arial" w:hAnsi="Arial"/>
          <w:sz w:val="18"/>
          <w:szCs w:val="18"/>
          <w:b w:val="1"/>
          <w:bCs w:val="1"/>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Personnel costs increased 18.1% to $38.8 million in the third quarter of 2007 compared to $32.8 million in the third quarter of 2006 primarily due to 1) a $3.7 million charge related to the voluntary resignation of our former president and chief executive officer, and 2) a $1.5 million increase in the projected payouts for management incentive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 revenue</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the direct written premium of the Property &amp; Casualty Group, shown by major line of business, and the calculation of our management fee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720" w:type="dxa"/>
            <w:vAlign w:val="bottom"/>
            <w:gridSpan w:val="4"/>
          </w:tcPr>
          <w:p>
            <w:pPr>
              <w:jc w:val="center"/>
              <w:ind w:left="593"/>
              <w:spacing w:after="0"/>
              <w:rPr>
                <w:sz w:val="20"/>
                <w:szCs w:val="20"/>
                <w:color w:val="auto"/>
              </w:rPr>
            </w:pPr>
            <w:r>
              <w:rPr>
                <w:rFonts w:ascii="Arial" w:cs="Arial" w:eastAsia="Arial" w:hAnsi="Arial"/>
                <w:sz w:val="14"/>
                <w:szCs w:val="14"/>
                <w:color w:val="auto"/>
                <w:w w:val="90"/>
              </w:rPr>
              <w:t>Three months ended September 30,</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color w:val="auto"/>
                <w:w w:val="98"/>
              </w:rPr>
              <w:t>Nine months ended September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87"/>
              </w:rPr>
              <w:t>(Unaudited)</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color w:val="auto"/>
              </w:rPr>
              <w:t>2007</w:t>
            </w:r>
          </w:p>
        </w:tc>
        <w:tc>
          <w:tcPr>
            <w:tcW w:w="680" w:type="dxa"/>
            <w:vAlign w:val="bottom"/>
            <w:gridSpan w:val="2"/>
            <w:vMerge w:val="restart"/>
          </w:tcPr>
          <w:p>
            <w:pPr>
              <w:spacing w:after="0"/>
              <w:rPr>
                <w:sz w:val="20"/>
                <w:szCs w:val="20"/>
                <w:color w:val="auto"/>
              </w:rPr>
            </w:pPr>
            <w:r>
              <w:rPr>
                <w:rFonts w:ascii="Arial" w:cs="Arial" w:eastAsia="Arial" w:hAnsi="Arial"/>
                <w:sz w:val="14"/>
                <w:szCs w:val="14"/>
                <w:color w:val="auto"/>
                <w:w w:val="90"/>
              </w:rPr>
              <w:t>(Unaudited)</w:t>
            </w: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4"/>
              </w:rPr>
              <w:t>$ 480,967</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$ 478,201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89"/>
              </w:rPr>
              <w:t>1,390,442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1,401,176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Homeowners</w:t>
            </w: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206,355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203,142</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560,992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555,519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Commercial multi-peril</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101,965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103,384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337,484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341,758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Workers compensation</w:t>
            </w: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69,847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74,098</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247,035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255,654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Commercial auto</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74,185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76,072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245,851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250,246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All other lines of business</w:t>
            </w: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48,220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45,865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146,161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138,183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Property and Casualty Group direct</w:t>
            </w: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written premiums</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981,539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980,762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89"/>
              </w:rPr>
              <w:t>2,927,965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2,942,536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Management fee rate</w:t>
            </w:r>
          </w:p>
        </w:tc>
        <w:tc>
          <w:tcPr>
            <w:tcW w:w="1360" w:type="dxa"/>
            <w:vAlign w:val="bottom"/>
            <w:gridSpan w:val="2"/>
          </w:tcPr>
          <w:p>
            <w:pPr>
              <w:jc w:val="right"/>
              <w:ind w:right="428"/>
              <w:spacing w:after="0"/>
              <w:rPr>
                <w:sz w:val="20"/>
                <w:szCs w:val="20"/>
                <w:color w:val="auto"/>
              </w:rPr>
            </w:pPr>
            <w:r>
              <w:rPr>
                <w:rFonts w:ascii="Arial" w:cs="Arial" w:eastAsia="Arial" w:hAnsi="Arial"/>
                <w:sz w:val="18"/>
                <w:szCs w:val="18"/>
                <w:color w:val="auto"/>
              </w:rPr>
              <w:t>25.00%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24.75%</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24.75%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fee revenue, gross</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245,385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242,739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731,991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728,278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3440" w:type="dxa"/>
            <w:vAlign w:val="bottom"/>
          </w:tcPr>
          <w:p>
            <w:pPr>
              <w:ind w:left="220"/>
              <w:spacing w:after="0" w:line="201" w:lineRule="exact"/>
              <w:rPr>
                <w:sz w:val="20"/>
                <w:szCs w:val="20"/>
                <w:color w:val="auto"/>
              </w:rPr>
            </w:pPr>
            <w:r>
              <w:rPr>
                <w:rFonts w:ascii="Arial" w:cs="Arial" w:eastAsia="Arial" w:hAnsi="Arial"/>
                <w:sz w:val="18"/>
                <w:szCs w:val="18"/>
                <w:color w:val="auto"/>
              </w:rPr>
              <w:t>Change in allowance for</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20"/>
              <w:spacing w:after="0"/>
              <w:rPr>
                <w:sz w:val="20"/>
                <w:szCs w:val="20"/>
                <w:color w:val="auto"/>
              </w:rPr>
            </w:pPr>
            <w:r>
              <w:rPr>
                <w:rFonts w:ascii="Arial" w:cs="Arial" w:eastAsia="Arial" w:hAnsi="Arial"/>
                <w:sz w:val="18"/>
                <w:szCs w:val="18"/>
                <w:color w:val="auto"/>
              </w:rPr>
              <w:t>management fee returned on</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20"/>
              <w:spacing w:after="0"/>
              <w:rPr>
                <w:sz w:val="20"/>
                <w:szCs w:val="20"/>
                <w:color w:val="auto"/>
              </w:rPr>
            </w:pPr>
            <w:r>
              <w:rPr>
                <w:rFonts w:ascii="Arial" w:cs="Arial" w:eastAsia="Arial" w:hAnsi="Arial"/>
                <w:sz w:val="18"/>
                <w:szCs w:val="18"/>
                <w:color w:val="auto"/>
              </w:rPr>
              <w:t>cancelled policies*</w:t>
            </w: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200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2,000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Management fee revenue, net of</w:t>
            </w: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4"/>
              </w:rPr>
              <w:t>$ 245,585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$ 244,739</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730,691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728,778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right="3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fees are returned to the Exchange when policies are cancelled mid-term and unearned premiums are refunded. We record an estimated allowance for management fees returned on mid-term policy cancellations.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Management fee revenue is based upon the management fee rate, determined by our Board of Directors, and the direct written premiums of the Property and Casualty Group. The higher management fee rate in 2007 of 25.0% resulted in an increase of $7.3 million in management fee revenue, or an increase in net income per share-diluted of $0.08 for the first nine months of 2007. The rate of mid-term policy cancellations for the Property and Casualty Group continued to trend downward, resulting in a reduction in the allowance for management fees returned on policies cancelled mid-term in the third quarter of 2007. Despite this downward trend, the seasonal effects on the unearned premium reserve resulted in an increase in the allowance for management fees returned on cancelled policies in the nine months ended September 30, 2007. The mid-term cancellation rate trend corresponds with the steady improvement in the policy retention ratio, which improved to 90.0% at September 30, 2007 from 89.5% at December 31, 2006, and 89.2% at September 30,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Direct written premiums of the Property and Casualty Group were impacted by an increase in policies in force of 2.1%, offset by decreases in average premium per policy during the third quarter of 2007. Total year-over-year policies in force increased to 3,873,665 at September 30, 2007 from 3,793,455 at September 30, 2006. Growth in policies in force is the result of the expansion of our independent agency force through appointments and improved policyholder retention. The year-over-year average premium per policy declined 3.3% to $978 at September 30, 2007 from $1,011 at September 30, 2006.</w:t>
      </w:r>
    </w:p>
    <w:p>
      <w:pPr>
        <w:spacing w:after="0" w:line="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Due to continued soft market conditions, the Property and Casualty Group implemented rate reductions in 2005, 2006 and 2007 to be more price-competitive for potential new policyholders and to improve retention of existing policyholders. We estimate that those pricing actions approved, filed and contemplated for filing could reduce the direct written premiums of the Property and Casualty Group by approximately $85.9 million during 2007, of which approximately $72.2 million occurred in the first nine months of 2007. Included in the $85.9 million are approximately $49.9 million in estimated premium reductions related to the carryover impact of pricing actions approved and effective in 2006. The most significant rate reductions effective in 2007 are in homeowners in Pennsylvania, Maryland and Virginia, and private passenger auto in Pennsylvania and Ohio. In addition, segmented pricing in auto and home, where we offer lower prices to better risks, has accelerated the decline in average premium per policy.</w:t>
      </w:r>
    </w:p>
    <w:p>
      <w:pPr>
        <w:spacing w:after="0" w:line="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Premiums generated from new business increased 9.3% to $105.9 million in the third quarter of 2007 from $96.8 million in the third quarter of 2006. New business policies in force increased 6.4% to 460,685 at September 30, 2007 from 432,881 at September 30, 2006. The year-over-year average premium per policy on new business increased 1.6% to $858 at September 30, 2007 from $845 at September 30, 2006.</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Premiums generated from renewal business decreased 0.9% to $875.6 million from $883.9 million for the nine months ended September 2007 and 2006, respectively. Renewal policies in force increased 1.6% to 3,412,980 from 3,360,574, while the year-over-year average premium per policy on renewal business decreased 3.7% to $994 from $1,033 for the same respective periods in 2007 and 2006.</w:t>
      </w:r>
    </w:p>
    <w:p>
      <w:pPr>
        <w:spacing w:after="0" w:line="69" w:lineRule="exact"/>
        <w:rPr>
          <w:sz w:val="20"/>
          <w:szCs w:val="20"/>
          <w:color w:val="auto"/>
        </w:rPr>
      </w:pPr>
    </w:p>
    <w:p>
      <w:pPr>
        <w:ind w:left="240" w:right="80"/>
        <w:spacing w:after="0" w:line="274" w:lineRule="auto"/>
        <w:rPr>
          <w:sz w:val="20"/>
          <w:szCs w:val="20"/>
          <w:color w:val="auto"/>
        </w:rPr>
      </w:pPr>
      <w:r>
        <w:rPr>
          <w:rFonts w:ascii="Arial" w:cs="Arial" w:eastAsia="Arial" w:hAnsi="Arial"/>
          <w:sz w:val="17"/>
          <w:szCs w:val="17"/>
          <w:b w:val="1"/>
          <w:bCs w:val="1"/>
          <w:color w:val="auto"/>
        </w:rPr>
        <w:t xml:space="preserve">Personal lines </w:t>
      </w:r>
      <w:r>
        <w:rPr>
          <w:rFonts w:ascii="Arial" w:cs="Arial" w:eastAsia="Arial" w:hAnsi="Arial"/>
          <w:sz w:val="17"/>
          <w:szCs w:val="17"/>
          <w:color w:val="auto"/>
        </w:rPr>
        <w:t>- The Property and Casualty Group’s personal lines new business premiums written increased 4.2% to $71.3 million in the third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2007 driven primarily by private passenger auto new premium growth of 4.6%. Personal lines new policies in force increased 5.6% to 375,959 at September 30, 2007 compared to 356,192 at September 30, 2006. The year-over-year average premium per policy on personal lines new business remained flat at $687 at September 30, 2007 compared to September 30, 2006. In July 2006, a new incentive program that runs through December 31, 2007 was implemented to stimulate policy growth. Under the program, agents receive a $50 bonus on each qualifying new private passenger auto policy. Management recently approved an extension of this incentive program through June 30, 2008.</w:t>
      </w:r>
    </w:p>
    <w:p>
      <w:pPr>
        <w:spacing w:after="0" w:line="70"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color w:val="auto"/>
        </w:rPr>
        <w:t>Renewal premiums written on total personal lines policies increased slightly during the third quarter of 2007 to $646.1 million from $640.7 million in the third quarter of 2006, or 0.8%. Improving policy retention ratio trends were offset by the impact of rate reductions and change in the mix by tier of personal lines business written by the Property and Casualty Group. The most significant impacts of rate reductions implemented by the Property and Casualty Group have been in private passenger auto and homeowners.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3" w:lineRule="exact"/>
        <w:rPr>
          <w:sz w:val="20"/>
          <w:szCs w:val="20"/>
          <w:color w:val="auto"/>
        </w:rPr>
      </w:pPr>
    </w:p>
    <w:p>
      <w:pPr>
        <w:ind w:left="240" w:right="20"/>
        <w:spacing w:after="0" w:line="292" w:lineRule="auto"/>
        <w:rPr>
          <w:sz w:val="20"/>
          <w:szCs w:val="20"/>
          <w:color w:val="auto"/>
        </w:rPr>
      </w:pPr>
      <w:r>
        <w:rPr>
          <w:rFonts w:ascii="Arial" w:cs="Arial" w:eastAsia="Arial" w:hAnsi="Arial"/>
          <w:sz w:val="16"/>
          <w:szCs w:val="16"/>
          <w:b w:val="1"/>
          <w:bCs w:val="1"/>
          <w:color w:val="auto"/>
        </w:rPr>
        <w:t xml:space="preserve">Commercial lines </w:t>
      </w:r>
      <w:r>
        <w:rPr>
          <w:rFonts w:ascii="Arial" w:cs="Arial" w:eastAsia="Arial" w:hAnsi="Arial"/>
          <w:sz w:val="16"/>
          <w:szCs w:val="16"/>
          <w:color w:val="auto"/>
        </w:rPr>
        <w:t>— Driving the premium decreases in our major commercial lines in the third quarter of 2007 compared to 2006 are lower renewal</w:t>
      </w:r>
      <w:r>
        <w:rPr>
          <w:rFonts w:ascii="Arial" w:cs="Arial" w:eastAsia="Arial" w:hAnsi="Arial"/>
          <w:sz w:val="16"/>
          <w:szCs w:val="16"/>
          <w:b w:val="1"/>
          <w:bCs w:val="1"/>
          <w:color w:val="auto"/>
        </w:rPr>
        <w:t xml:space="preserve"> </w:t>
      </w:r>
      <w:r>
        <w:rPr>
          <w:rFonts w:ascii="Arial" w:cs="Arial" w:eastAsia="Arial" w:hAnsi="Arial"/>
          <w:sz w:val="16"/>
          <w:szCs w:val="16"/>
          <w:color w:val="auto"/>
        </w:rPr>
        <w:t>premiums reflecting the impact of rate reductions being implemented over the past three years. Despite the decreases in renewal premium, the commercial lines new business premiums written increased 23.1% to $34.5 million in the third quarter of 2007 from $28.1 million in the third quarter of 2006. Factors contributing to this increase include 1) more proactive communications between us and our commercial agents, 2) continued refinement and enhancements to our quote processing systems and 3) our use of more refined pricing using predictive modeling. Commercial lines new policies in force increased 10.5% to 84,726 at September 30, 2007. The year-over-year average premium per policy on commercial lines new business increased 2.4% due to certain workers’ compensation pricing actions that increased rates in Illinois, Maryland and Virginia, that first became effective in 2006.</w:t>
      </w:r>
    </w:p>
    <w:p>
      <w:pPr>
        <w:spacing w:after="0" w:line="58" w:lineRule="exact"/>
        <w:rPr>
          <w:sz w:val="20"/>
          <w:szCs w:val="20"/>
          <w:color w:val="auto"/>
        </w:rPr>
      </w:pPr>
    </w:p>
    <w:p>
      <w:pPr>
        <w:jc w:val="both"/>
        <w:ind w:left="240" w:right="200"/>
        <w:spacing w:after="0" w:line="286" w:lineRule="auto"/>
        <w:rPr>
          <w:sz w:val="20"/>
          <w:szCs w:val="20"/>
          <w:color w:val="auto"/>
        </w:rPr>
      </w:pPr>
      <w:r>
        <w:rPr>
          <w:rFonts w:ascii="Arial" w:cs="Arial" w:eastAsia="Arial" w:hAnsi="Arial"/>
          <w:sz w:val="17"/>
          <w:szCs w:val="17"/>
          <w:color w:val="auto"/>
        </w:rPr>
        <w:t>Renewal premiums for commercial lines decreased 5.6% to $229.6 million from $243.3 million in the third quarter of 2007 as compared to 2006. While renewal policies in force increased 1.6% to 414,238 at September 30, 2007, the year-over-year average premium per policy on commercial lines renewal business declined 5.4% due primarily to the commercial multi-peril and workers compensation lines of business trends.</w:t>
      </w:r>
    </w:p>
    <w:p>
      <w:pPr>
        <w:spacing w:after="0" w:line="53" w:lineRule="exact"/>
        <w:rPr>
          <w:sz w:val="20"/>
          <w:szCs w:val="20"/>
          <w:color w:val="auto"/>
        </w:rPr>
      </w:pPr>
    </w:p>
    <w:p>
      <w:pPr>
        <w:ind w:left="240" w:right="80"/>
        <w:spacing w:after="0" w:line="255" w:lineRule="auto"/>
        <w:rPr>
          <w:sz w:val="20"/>
          <w:szCs w:val="20"/>
          <w:color w:val="auto"/>
        </w:rPr>
      </w:pPr>
      <w:r>
        <w:rPr>
          <w:rFonts w:ascii="Arial" w:cs="Arial" w:eastAsia="Arial" w:hAnsi="Arial"/>
          <w:sz w:val="18"/>
          <w:szCs w:val="18"/>
          <w:b w:val="1"/>
          <w:bCs w:val="1"/>
          <w:color w:val="auto"/>
        </w:rPr>
        <w:t xml:space="preserve">Future trends — premium and service agreement revenue — </w:t>
      </w:r>
      <w:r>
        <w:rPr>
          <w:rFonts w:ascii="Arial" w:cs="Arial" w:eastAsia="Arial" w:hAnsi="Arial"/>
          <w:sz w:val="18"/>
          <w:szCs w:val="18"/>
          <w:color w:val="auto"/>
        </w:rPr>
        <w:t>We are continuing our efforts to grow Property and Casualty Group premiums and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our competitive position in the marketplace. Expanding the size of the agency force will contribute to future growth as new agents build up their books of business with the Property and Casualty Group. We appointed 176 agencies in the first nine months of 2007. At September 30, 2007, we had 1,937 agencies. We expect to meet our goal of appointing 200 new agencies for the year. Agency appointments are expected to continue to help drive long term growth. Additionally, a new promotional incentive program for our agents began on October 1, 2007 and runs through September 2008. Also, in September we announced plans to continue our geographic expansion effort into the state of Minnesota so that business will be written there some time in 2009.</w:t>
      </w:r>
    </w:p>
    <w:p>
      <w:pPr>
        <w:spacing w:after="0" w:line="85"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We are in the process of filing for approval with each of our eleven states and District of Columbia to implement late payment and policy reinstatement fees on policyholder accounts that are past due or lapsed in coverage due to non-payment of premiums. We expect to introduce these new fees beginning in March 2008 in those states which approve these charges. A reasonable estimate of the potential financial impact to us cannot currently be made until all states have responded to our request for approval of these new fees.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management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40" w:type="dxa"/>
            <w:vAlign w:val="bottom"/>
            <w:gridSpan w:val="5"/>
          </w:tcPr>
          <w:p>
            <w:pPr>
              <w:ind w:left="680"/>
              <w:spacing w:after="0"/>
              <w:rPr>
                <w:sz w:val="20"/>
                <w:szCs w:val="20"/>
                <w:color w:val="auto"/>
              </w:rPr>
            </w:pPr>
            <w:r>
              <w:rPr>
                <w:rFonts w:ascii="Arial" w:cs="Arial" w:eastAsia="Arial" w:hAnsi="Arial"/>
                <w:sz w:val="14"/>
                <w:szCs w:val="14"/>
                <w:color w:val="auto"/>
                <w:w w:val="90"/>
              </w:rPr>
              <w:t>Three months ended September 30,</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3"/>
          </w:tcPr>
          <w:p>
            <w:pPr>
              <w:jc w:val="center"/>
              <w:ind w:right="40"/>
              <w:spacing w:after="0"/>
              <w:rPr>
                <w:sz w:val="20"/>
                <w:szCs w:val="20"/>
                <w:color w:val="auto"/>
              </w:rPr>
            </w:pPr>
            <w:r>
              <w:rPr>
                <w:rFonts w:ascii="Arial" w:cs="Arial" w:eastAsia="Arial" w:hAnsi="Arial"/>
                <w:sz w:val="14"/>
                <w:szCs w:val="14"/>
                <w:color w:val="auto"/>
                <w:w w:val="92"/>
              </w:rPr>
              <w:t>Nine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3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2"/>
          </w:tcPr>
          <w:p>
            <w:pPr>
              <w:jc w:val="right"/>
              <w:ind w:right="114"/>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color w:val="auto"/>
                <w:w w:val="94"/>
              </w:rPr>
              <w:t>% Change</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 Change</w:t>
            </w: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87"/>
              </w:rPr>
              <w:t>(Unaudited)</w:t>
            </w: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4"/>
              </w:rPr>
              <w:t>$ 144,850</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$ 144,414</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$ 424,554</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$ 423,487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0"/>
        </w:trPr>
        <w:tc>
          <w:tcPr>
            <w:tcW w:w="3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3180" w:type="dxa"/>
            <w:vAlign w:val="bottom"/>
            <w:gridSpan w:val="2"/>
          </w:tcPr>
          <w:p>
            <w:pPr>
              <w:spacing w:after="0"/>
              <w:rPr>
                <w:sz w:val="20"/>
                <w:szCs w:val="20"/>
                <w:color w:val="auto"/>
              </w:rPr>
            </w:pPr>
            <w:r>
              <w:rPr>
                <w:rFonts w:ascii="Arial" w:cs="Arial" w:eastAsia="Arial" w:hAnsi="Arial"/>
                <w:sz w:val="18"/>
                <w:szCs w:val="18"/>
                <w:color w:val="auto"/>
              </w:rPr>
              <w:t>Personnel costs</w:t>
            </w:r>
          </w:p>
        </w:tc>
        <w:tc>
          <w:tcPr>
            <w:tcW w:w="500" w:type="dxa"/>
            <w:vAlign w:val="bottom"/>
          </w:tcPr>
          <w:p>
            <w:pPr>
              <w:spacing w:after="0"/>
              <w:rPr>
                <w:sz w:val="24"/>
                <w:szCs w:val="24"/>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38,753</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32,806</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18.1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107,262</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101,535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Survey and underwriting costs</w:t>
            </w:r>
          </w:p>
        </w:tc>
        <w:tc>
          <w:tcPr>
            <w:tcW w:w="15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6,046</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6,449</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18,219</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18,677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Sales and policy issuance costs</w:t>
            </w:r>
          </w:p>
        </w:tc>
        <w:tc>
          <w:tcPr>
            <w:tcW w:w="1540" w:type="dxa"/>
            <w:vAlign w:val="bottom"/>
            <w:gridSpan w:val="3"/>
          </w:tcPr>
          <w:p>
            <w:pPr>
              <w:jc w:val="right"/>
              <w:ind w:right="268"/>
              <w:spacing w:after="0"/>
              <w:rPr>
                <w:sz w:val="20"/>
                <w:szCs w:val="20"/>
                <w:color w:val="auto"/>
              </w:rPr>
            </w:pPr>
            <w:r>
              <w:rPr>
                <w:rFonts w:ascii="Arial" w:cs="Arial" w:eastAsia="Arial" w:hAnsi="Arial"/>
                <w:sz w:val="18"/>
                <w:szCs w:val="18"/>
                <w:color w:val="auto"/>
              </w:rPr>
              <w:t>6,170</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5,831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17,136</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17,337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All other operating costs</w:t>
            </w:r>
          </w:p>
        </w:tc>
        <w:tc>
          <w:tcPr>
            <w:tcW w:w="15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16,782</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10,998</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43,206</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34,315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All other non-commission expense</w:t>
            </w:r>
          </w:p>
        </w:tc>
        <w:tc>
          <w:tcPr>
            <w:tcW w:w="5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3"/>
              </w:rPr>
              <w:t>56,084</w:t>
            </w: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7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185,823</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171,864</w:t>
            </w: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management operations</w:t>
            </w:r>
          </w:p>
        </w:tc>
        <w:tc>
          <w:tcPr>
            <w:tcW w:w="15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$ 212,601</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$ 200,498</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$ 610,377</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$ 595,351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21"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Included in the $0.4 million, or 0.3%, increase in commissions are:</w:t>
      </w:r>
    </w:p>
    <w:p>
      <w:pPr>
        <w:spacing w:after="0" w:line="117" w:lineRule="exact"/>
        <w:rPr>
          <w:rFonts w:ascii="Arial" w:cs="Arial" w:eastAsia="Arial" w:hAnsi="Arial"/>
          <w:sz w:val="18"/>
          <w:szCs w:val="18"/>
          <w:b w:val="1"/>
          <w:bCs w:val="1"/>
          <w:color w:val="auto"/>
        </w:rPr>
      </w:pPr>
    </w:p>
    <w:p>
      <w:pPr>
        <w:ind w:left="1120" w:right="60" w:hanging="437"/>
        <w:spacing w:after="0" w:line="277" w:lineRule="auto"/>
        <w:tabs>
          <w:tab w:leader="none" w:pos="112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an increase in normal and accelerated commissions of $1.8 million, or 0.2%, to $118.8 million driven by an increase in workers compensation commission rates and higher accelerated commissions due to more newly appointed agents.</w:t>
      </w:r>
    </w:p>
    <w:p>
      <w:pPr>
        <w:spacing w:after="0" w:line="75" w:lineRule="exact"/>
        <w:rPr>
          <w:rFonts w:ascii="Arial" w:cs="Arial" w:eastAsia="Arial" w:hAnsi="Arial"/>
          <w:sz w:val="18"/>
          <w:szCs w:val="18"/>
          <w:b w:val="1"/>
          <w:bCs w:val="1"/>
          <w:color w:val="auto"/>
        </w:rPr>
      </w:pPr>
    </w:p>
    <w:p>
      <w:pPr>
        <w:ind w:left="1120" w:right="100" w:hanging="437"/>
        <w:spacing w:after="0" w:line="264" w:lineRule="auto"/>
        <w:tabs>
          <w:tab w:leader="none" w:pos="112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a change in the commission allowance for mid-term policy cancellations of $0.1 million in the third quarter of 2007 compared to $1.2 million in the third quarter of 2006. This change reduced third quarter commissions by $1.1 million compared to 2006 and reflected the continued downward trend of estimated mid-term policy cancellations.</w:t>
      </w:r>
    </w:p>
    <w:p>
      <w:pPr>
        <w:spacing w:after="0" w:line="73"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Primarily driving the $6.0 million, or 18.1%, increase in personnel costs is a $5.5 million increase in salaries which include:</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the charge of $3.7 million related to our former president and chief executive officer as discussed previously,</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an increase of $1.5 million in the expense for management incentive plans in 2007 compared to 2006, and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an increase of $0.9 million due to higher average pay rates offset by lower staffing levels.</w:t>
      </w:r>
    </w:p>
    <w:p>
      <w:pPr>
        <w:spacing w:after="0" w:line="117"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All other operating costs increased 52.6% primarily due to an increase in professional fees related to various initiatives and an accrual for the judgment against us of $4.3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3"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 xml:space="preserve">Commissions </w:t>
      </w:r>
      <w:r>
        <w:rPr>
          <w:rFonts w:ascii="Arial" w:cs="Arial" w:eastAsia="Arial" w:hAnsi="Arial"/>
          <w:sz w:val="16"/>
          <w:szCs w:val="16"/>
          <w:color w:val="auto"/>
        </w:rPr>
        <w:t>— Commissions to independent agents, which are the largest component of the cost of management operations, include scheduled</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earned by independent agents on premiums written, accelerated commissions and agent bonuses and are outlined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jc w:val="center"/>
              <w:ind w:left="576"/>
              <w:spacing w:after="0"/>
              <w:rPr>
                <w:sz w:val="20"/>
                <w:szCs w:val="20"/>
                <w:color w:val="auto"/>
              </w:rPr>
            </w:pPr>
            <w:r>
              <w:rPr>
                <w:rFonts w:ascii="Arial" w:cs="Arial" w:eastAsia="Arial" w:hAnsi="Arial"/>
                <w:sz w:val="14"/>
                <w:szCs w:val="14"/>
                <w:color w:val="auto"/>
                <w:w w:val="91"/>
              </w:rPr>
              <w:t>Three months ended September 30,</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3"/>
          </w:tcPr>
          <w:p>
            <w:pPr>
              <w:jc w:val="center"/>
              <w:ind w:right="20"/>
              <w:spacing w:after="0"/>
              <w:rPr>
                <w:sz w:val="20"/>
                <w:szCs w:val="20"/>
                <w:color w:val="auto"/>
              </w:rPr>
            </w:pPr>
            <w:r>
              <w:rPr>
                <w:rFonts w:ascii="Arial" w:cs="Arial" w:eastAsia="Arial" w:hAnsi="Arial"/>
                <w:sz w:val="14"/>
                <w:szCs w:val="14"/>
                <w:color w:val="auto"/>
                <w:w w:val="92"/>
              </w:rPr>
              <w:t>Nine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700" w:type="dxa"/>
            <w:vAlign w:val="bottom"/>
            <w:gridSpan w:val="2"/>
          </w:tcPr>
          <w:p>
            <w:pPr>
              <w:jc w:val="right"/>
              <w:ind w:right="116"/>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left="254"/>
              <w:spacing w:after="0"/>
              <w:rPr>
                <w:sz w:val="20"/>
                <w:szCs w:val="20"/>
                <w:color w:val="auto"/>
              </w:rPr>
            </w:pPr>
            <w:r>
              <w:rPr>
                <w:rFonts w:ascii="Arial" w:cs="Arial" w:eastAsia="Arial" w:hAnsi="Arial"/>
                <w:sz w:val="14"/>
                <w:szCs w:val="14"/>
                <w:color w:val="auto"/>
                <w:w w:val="89"/>
              </w:rPr>
              <w:t>2006</w:t>
            </w:r>
          </w:p>
        </w:tc>
        <w:tc>
          <w:tcPr>
            <w:tcW w:w="68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color w:val="auto"/>
                <w:w w:val="94"/>
              </w:rPr>
              <w:t>% Change</w:t>
            </w: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2006</w:t>
            </w:r>
          </w:p>
        </w:tc>
        <w:tc>
          <w:tcPr>
            <w:tcW w:w="6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368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color w:val="auto"/>
                <w:w w:val="87"/>
              </w:rPr>
              <w:t>(Unaudited)</w:t>
            </w: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0"/>
              </w:rPr>
              <w:t>(Unaudited)</w:t>
            </w: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Scheduled rate commissions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$ 117,994</w:t>
            </w:r>
          </w:p>
        </w:tc>
        <w:tc>
          <w:tcPr>
            <w:tcW w:w="3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$ 116,606</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7"/>
              </w:rPr>
              <w:t>$ 349,121</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$ 348,859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Accelerated rate commissions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805</w:t>
            </w:r>
          </w:p>
        </w:tc>
        <w:tc>
          <w:tcPr>
            <w:tcW w:w="320" w:type="dxa"/>
            <w:vAlign w:val="bottom"/>
          </w:tcPr>
          <w:p>
            <w:pPr>
              <w:spacing w:after="0"/>
              <w:rPr>
                <w:sz w:val="18"/>
                <w:szCs w:val="18"/>
                <w:color w:val="auto"/>
              </w:rPr>
            </w:pP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405</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98.8</w:t>
            </w:r>
          </w:p>
        </w:tc>
        <w:tc>
          <w:tcPr>
            <w:tcW w:w="1380" w:type="dxa"/>
            <w:vAlign w:val="bottom"/>
            <w:gridSpan w:val="2"/>
          </w:tcPr>
          <w:p>
            <w:pPr>
              <w:jc w:val="right"/>
              <w:ind w:right="588"/>
              <w:spacing w:after="0"/>
              <w:rPr>
                <w:sz w:val="20"/>
                <w:szCs w:val="20"/>
                <w:color w:val="auto"/>
              </w:rPr>
            </w:pPr>
            <w:r>
              <w:rPr>
                <w:rFonts w:ascii="Arial" w:cs="Arial" w:eastAsia="Arial" w:hAnsi="Arial"/>
                <w:sz w:val="18"/>
                <w:szCs w:val="18"/>
                <w:color w:val="auto"/>
              </w:rPr>
              <w:t>1,970</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1,165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Agent bonuses and promotional incentives</w:t>
            </w:r>
          </w:p>
        </w:tc>
        <w:tc>
          <w:tcPr>
            <w:tcW w:w="10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24,409</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24,843</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13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69,628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71,703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$50 private passenger auto bonus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1,542</w:t>
            </w:r>
          </w:p>
        </w:tc>
        <w:tc>
          <w:tcPr>
            <w:tcW w:w="320" w:type="dxa"/>
            <w:vAlign w:val="bottom"/>
          </w:tcPr>
          <w:p>
            <w:pPr>
              <w:spacing w:after="0"/>
              <w:rPr>
                <w:sz w:val="18"/>
                <w:szCs w:val="18"/>
                <w:color w:val="auto"/>
              </w:rPr>
            </w:pP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1,360</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13.4</w:t>
            </w:r>
          </w:p>
        </w:tc>
        <w:tc>
          <w:tcPr>
            <w:tcW w:w="1380" w:type="dxa"/>
            <w:vAlign w:val="bottom"/>
            <w:gridSpan w:val="2"/>
          </w:tcPr>
          <w:p>
            <w:pPr>
              <w:jc w:val="right"/>
              <w:ind w:right="588"/>
              <w:spacing w:after="0"/>
              <w:rPr>
                <w:sz w:val="20"/>
                <w:szCs w:val="20"/>
                <w:color w:val="auto"/>
              </w:rPr>
            </w:pPr>
            <w:r>
              <w:rPr>
                <w:rFonts w:ascii="Arial" w:cs="Arial" w:eastAsia="Arial" w:hAnsi="Arial"/>
                <w:sz w:val="18"/>
                <w:szCs w:val="18"/>
                <w:color w:val="auto"/>
              </w:rPr>
              <w:t>4,535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1,360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allowance for mid-term policy</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cancellations</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1,200</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NM</w:t>
            </w:r>
          </w:p>
        </w:tc>
        <w:tc>
          <w:tcPr>
            <w:tcW w:w="13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(700)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Total commissions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$ 144,850</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$ 144,414</w:t>
            </w:r>
          </w:p>
        </w:tc>
        <w:tc>
          <w:tcPr>
            <w:tcW w:w="68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$ 424,554</w:t>
            </w:r>
          </w:p>
        </w:tc>
        <w:tc>
          <w:tcPr>
            <w:tcW w:w="680" w:type="dxa"/>
            <w:vAlign w:val="bottom"/>
            <w:vMerge w:val="continue"/>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$ 423,487</w:t>
            </w:r>
          </w:p>
        </w:tc>
        <w:tc>
          <w:tcPr>
            <w:tcW w:w="6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i w:val="1"/>
          <w:iCs w:val="1"/>
          <w:color w:val="auto"/>
        </w:rPr>
        <w:t xml:space="preserve">Scheduled and accelerated rate commissions </w:t>
      </w:r>
      <w:r>
        <w:rPr>
          <w:rFonts w:ascii="Arial" w:cs="Arial" w:eastAsia="Arial" w:hAnsi="Arial"/>
          <w:sz w:val="18"/>
          <w:szCs w:val="18"/>
          <w:color w:val="auto"/>
        </w:rPr>
        <w:t>— The direct written premiums of the Property and Casualty Group remained flat in the third quarter of 2007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third quarter of 2006. The increase in scheduled rate commissions of $1.4 million, or 1.2%, is partly due to an increase in workers compensation commission rates. This change in rates became effective August 1, 2007 in certain states, and added $0.7 million of additional commission expense in the third quarter of 2007.</w:t>
      </w:r>
    </w:p>
    <w:p>
      <w:pPr>
        <w:spacing w:after="0" w:line="79" w:lineRule="exact"/>
        <w:rPr>
          <w:sz w:val="20"/>
          <w:szCs w:val="20"/>
          <w:color w:val="auto"/>
        </w:rPr>
      </w:pPr>
    </w:p>
    <w:p>
      <w:pPr>
        <w:ind w:left="240" w:right="160"/>
        <w:spacing w:after="0" w:line="259" w:lineRule="auto"/>
        <w:rPr>
          <w:sz w:val="20"/>
          <w:szCs w:val="20"/>
          <w:color w:val="auto"/>
        </w:rPr>
      </w:pPr>
      <w:r>
        <w:rPr>
          <w:rFonts w:ascii="Arial" w:cs="Arial" w:eastAsia="Arial" w:hAnsi="Arial"/>
          <w:sz w:val="18"/>
          <w:szCs w:val="18"/>
          <w:color w:val="auto"/>
        </w:rPr>
        <w:t>Accelerated rate commissions increased during the second quarter of 2007. Accelerated rate commissions are offered under specific circumstances to certain newly-recruited agents for their initial three years. As mentioned earlier, we have been expanding our agency force as part of our growth strategy, appointing 139 new agencies in 2006 and 176 new agencies during the first nine months of 2007. As new agency appointments continue, accelerated commissions are expected to continue to increase.</w:t>
      </w:r>
    </w:p>
    <w:p>
      <w:pPr>
        <w:spacing w:after="0" w:line="79" w:lineRule="exact"/>
        <w:rPr>
          <w:sz w:val="20"/>
          <w:szCs w:val="20"/>
          <w:color w:val="auto"/>
        </w:rPr>
      </w:pPr>
    </w:p>
    <w:p>
      <w:pPr>
        <w:ind w:left="240" w:right="20"/>
        <w:spacing w:after="0" w:line="271" w:lineRule="auto"/>
        <w:rPr>
          <w:sz w:val="20"/>
          <w:szCs w:val="20"/>
          <w:color w:val="auto"/>
        </w:rPr>
      </w:pPr>
      <w:r>
        <w:rPr>
          <w:rFonts w:ascii="Arial" w:cs="Arial" w:eastAsia="Arial" w:hAnsi="Arial"/>
          <w:sz w:val="17"/>
          <w:szCs w:val="17"/>
          <w:i w:val="1"/>
          <w:iCs w:val="1"/>
          <w:color w:val="auto"/>
        </w:rPr>
        <w:t xml:space="preserve">Agent bonuses and promotional incentives </w:t>
      </w:r>
      <w:r>
        <w:rPr>
          <w:rFonts w:ascii="Arial" w:cs="Arial" w:eastAsia="Arial" w:hAnsi="Arial"/>
          <w:sz w:val="17"/>
          <w:szCs w:val="17"/>
          <w:color w:val="auto"/>
        </w:rPr>
        <w:t>— Agent bonuses are based predominantly on an individual agency’s property/casualty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profitability over a three-year period. There is also a growth component to the bonus, paid only if the agency is profitable. The estimate for the bonus is modeled on a monthly basis using the two prior years’ actual underwriting data by agency combined with the current year-to-date actual data. The estimate for the profitability component has increased in each of the three quarters of 2007. While the estimate for the growth component grew slightly from the first to second quarter of 2007, it remained consistent between the second and third quarters of 2007. The agent bonus award is estimated at $90.6 million for 2007. Of this estimate, $86.5 million represents the profitability component and $4.1 million represents the growth component. The agent bonus award was estimated at $90.2 million at September 30, 2006. For the nine months ended September 30, 2007 and 2006, other promotional incentive expense was $0.1 million and $2.4 million, respectively.</w:t>
      </w:r>
    </w:p>
    <w:p>
      <w:pPr>
        <w:spacing w:after="0" w:line="71" w:lineRule="exact"/>
        <w:rPr>
          <w:sz w:val="20"/>
          <w:szCs w:val="20"/>
          <w:color w:val="auto"/>
        </w:rPr>
      </w:pPr>
    </w:p>
    <w:p>
      <w:pPr>
        <w:ind w:left="240" w:right="20"/>
        <w:spacing w:after="0" w:line="279" w:lineRule="auto"/>
        <w:rPr>
          <w:sz w:val="20"/>
          <w:szCs w:val="20"/>
          <w:color w:val="auto"/>
        </w:rPr>
      </w:pPr>
      <w:r>
        <w:rPr>
          <w:rFonts w:ascii="Arial" w:cs="Arial" w:eastAsia="Arial" w:hAnsi="Arial"/>
          <w:sz w:val="17"/>
          <w:szCs w:val="17"/>
          <w:i w:val="1"/>
          <w:iCs w:val="1"/>
          <w:color w:val="auto"/>
        </w:rPr>
        <w:t xml:space="preserve">$50 private passenger auto bonus </w:t>
      </w:r>
      <w:r>
        <w:rPr>
          <w:rFonts w:ascii="Arial" w:cs="Arial" w:eastAsia="Arial" w:hAnsi="Arial"/>
          <w:sz w:val="17"/>
          <w:szCs w:val="17"/>
          <w:color w:val="auto"/>
        </w:rPr>
        <w:t>— In July 2006, an incentive program was implemented that was originally planned to run through December 2007.</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recently approved an extension of this incentive program through June 30, 2008. The program pays a $50 bonus to agents for each qualifying new private passenger auto policy issued. These incentive program costs are expected to approximate $6.7 million for 2007. The increase in this bonus in the third quarter of 2007 over 2006 coincides with the increase in private passenger auto new business issued.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3" w:lineRule="exact"/>
        <w:rPr>
          <w:sz w:val="20"/>
          <w:szCs w:val="20"/>
          <w:color w:val="auto"/>
        </w:rPr>
      </w:pPr>
    </w:p>
    <w:p>
      <w:pPr>
        <w:jc w:val="both"/>
        <w:ind w:right="140"/>
        <w:spacing w:after="0" w:line="289" w:lineRule="auto"/>
        <w:rPr>
          <w:sz w:val="20"/>
          <w:szCs w:val="20"/>
          <w:color w:val="auto"/>
        </w:rPr>
      </w:pPr>
      <w:r>
        <w:rPr>
          <w:rFonts w:ascii="Arial" w:cs="Arial" w:eastAsia="Arial" w:hAnsi="Arial"/>
          <w:sz w:val="16"/>
          <w:szCs w:val="16"/>
          <w:b w:val="1"/>
          <w:bCs w:val="1"/>
          <w:color w:val="auto"/>
        </w:rPr>
        <w:t xml:space="preserve">Other costs of management operations </w:t>
      </w:r>
      <w:r>
        <w:rPr>
          <w:rFonts w:ascii="Arial" w:cs="Arial" w:eastAsia="Arial" w:hAnsi="Arial"/>
          <w:sz w:val="16"/>
          <w:szCs w:val="16"/>
          <w:color w:val="auto"/>
        </w:rPr>
        <w:t>— The cost of management operations excluding commission costs increased 13.1% for the third quarter of 2007.</w:t>
      </w:r>
      <w:r>
        <w:rPr>
          <w:rFonts w:ascii="Arial" w:cs="Arial" w:eastAsia="Arial" w:hAnsi="Arial"/>
          <w:sz w:val="16"/>
          <w:szCs w:val="16"/>
          <w:b w:val="1"/>
          <w:bCs w:val="1"/>
          <w:color w:val="auto"/>
        </w:rPr>
        <w:t xml:space="preserve"> </w:t>
      </w:r>
      <w:r>
        <w:rPr>
          <w:rFonts w:ascii="Arial" w:cs="Arial" w:eastAsia="Arial" w:hAnsi="Arial"/>
          <w:sz w:val="16"/>
          <w:szCs w:val="16"/>
          <w:color w:val="auto"/>
        </w:rPr>
        <w:t>Personnel costs increased $6.0 million, or 18.1%, in the third quarter of 2007 driven by a $5.5 million increase in salaries and wages. In the third quarter of 2007, we recognized $3.7 million for any additional salaries that may be due to our former president and chief executive officer as described previously.</w:t>
      </w:r>
    </w:p>
    <w:p>
      <w:pPr>
        <w:spacing w:after="0" w:line="2" w:lineRule="exact"/>
        <w:rPr>
          <w:sz w:val="20"/>
          <w:szCs w:val="20"/>
          <w:color w:val="auto"/>
        </w:rPr>
      </w:pPr>
    </w:p>
    <w:p>
      <w:pPr>
        <w:jc w:val="both"/>
        <w:ind w:right="480"/>
        <w:spacing w:after="0" w:line="302" w:lineRule="auto"/>
        <w:rPr>
          <w:sz w:val="20"/>
          <w:szCs w:val="20"/>
          <w:color w:val="auto"/>
        </w:rPr>
      </w:pPr>
      <w:r>
        <w:rPr>
          <w:rFonts w:ascii="Arial" w:cs="Arial" w:eastAsia="Arial" w:hAnsi="Arial"/>
          <w:sz w:val="16"/>
          <w:szCs w:val="16"/>
          <w:color w:val="auto"/>
        </w:rPr>
        <w:t>Expense for the management incentive plans increased $1.5 million in the third quarter of 2007 due to an increase in the estimate for the incentive plan payouts attributable to improvements in targets as compared to the peer group of companies used in the plans. In the third quarter of 2006, there was a $0.6 million reduction in the estimated plan payouts due to lower than targeted Property and Casualty Group premium production.</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Future trends — cost of management operations </w:t>
      </w:r>
      <w:r>
        <w:rPr>
          <w:rFonts w:ascii="Arial" w:cs="Arial" w:eastAsia="Arial" w:hAnsi="Arial"/>
          <w:sz w:val="18"/>
          <w:szCs w:val="18"/>
          <w:color w:val="auto"/>
        </w:rPr>
        <w:t>— The competitive position of the Property and Casualty Group is based on many factors including price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considerations, service levels, ease of doing business, product features and billing arrangements, among others. Pricing of Property and Casualty Group policies is directly affected by the cost structure of the Property and Casualty Group and the underlying costs of sales, underwriting and policy issuance activities performed by the Company for the Property and Casualty Group. In 2006, management worked to better align our growth in costs to the growth in premium over the long term. Our estimate for growth in non-commission operating expenses for the year 2007, excluding the charges previously discussed, remains at 6%.</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375"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Insurance Underwriting Operations</w:t>
      </w:r>
    </w:p>
    <w:p>
      <w:pPr>
        <w:spacing w:after="0" w:line="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insurance underwriting operations originate through direct business of our property/casualty insurance subsidiaries but net underwriting results are a product of the intercompany reinsurance pooling agreement between our subsidiaries and the Erie Insurance Exchange.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ind w:left="540"/>
              <w:spacing w:after="0"/>
              <w:rPr>
                <w:sz w:val="20"/>
                <w:szCs w:val="20"/>
                <w:color w:val="auto"/>
              </w:rPr>
            </w:pPr>
            <w:r>
              <w:rPr>
                <w:rFonts w:ascii="Arial" w:cs="Arial" w:eastAsia="Arial" w:hAnsi="Arial"/>
                <w:sz w:val="14"/>
                <w:szCs w:val="14"/>
                <w:color w:val="auto"/>
                <w:w w:val="88"/>
              </w:rPr>
              <w:t>Three months ended September 30,</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14"/>
                <w:szCs w:val="14"/>
                <w:color w:val="auto"/>
                <w:w w:val="92"/>
              </w:rPr>
              <w:t>Nine months ended September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auto"/>
              </w:rPr>
              <w:t>2007</w:t>
            </w:r>
          </w:p>
        </w:tc>
        <w:tc>
          <w:tcPr>
            <w:tcW w:w="680" w:type="dxa"/>
            <w:vAlign w:val="bottom"/>
            <w:vMerge w:val="restart"/>
          </w:tcPr>
          <w:p>
            <w:pPr>
              <w:spacing w:after="0"/>
              <w:rPr>
                <w:sz w:val="20"/>
                <w:szCs w:val="20"/>
                <w:color w:val="auto"/>
              </w:rPr>
            </w:pPr>
            <w:r>
              <w:rPr>
                <w:rFonts w:ascii="Arial" w:cs="Arial" w:eastAsia="Arial" w:hAnsi="Arial"/>
                <w:sz w:val="14"/>
                <w:szCs w:val="14"/>
                <w:color w:val="auto"/>
                <w:w w:val="90"/>
              </w:rPr>
              <w:t>(Unaudited)</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660" w:type="dxa"/>
            <w:vAlign w:val="bottom"/>
            <w:vMerge w:val="restart"/>
          </w:tcPr>
          <w:p>
            <w:pPr>
              <w:spacing w:after="0"/>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33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51,892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53,017</w:t>
            </w:r>
          </w:p>
        </w:tc>
        <w:tc>
          <w:tcPr>
            <w:tcW w:w="1440" w:type="dxa"/>
            <w:vAlign w:val="bottom"/>
            <w:tcBorders>
              <w:lef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155,988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160,868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25"/>
        </w:trPr>
        <w:tc>
          <w:tcPr>
            <w:tcW w:w="3320" w:type="dxa"/>
            <w:vAlign w:val="bottom"/>
            <w:gridSpan w:val="2"/>
          </w:tcPr>
          <w:p>
            <w:pPr>
              <w:spacing w:after="0"/>
              <w:rPr>
                <w:sz w:val="20"/>
                <w:szCs w:val="20"/>
                <w:color w:val="auto"/>
              </w:rPr>
            </w:pPr>
            <w:r>
              <w:rPr>
                <w:rFonts w:ascii="Arial" w:cs="Arial" w:eastAsia="Arial" w:hAnsi="Arial"/>
                <w:sz w:val="18"/>
                <w:szCs w:val="18"/>
                <w:color w:val="auto"/>
              </w:rPr>
              <w:t>Losses and loss adjustment expenses</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incurred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w w:val="94"/>
              </w:rPr>
              <w:t>30,766</w:t>
            </w:r>
          </w:p>
        </w:tc>
        <w:tc>
          <w:tcPr>
            <w:tcW w:w="140" w:type="dxa"/>
            <w:vAlign w:val="bottom"/>
          </w:tcPr>
          <w:p>
            <w:pPr>
              <w:spacing w:after="0"/>
              <w:rPr>
                <w:sz w:val="20"/>
                <w:szCs w:val="20"/>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32,573</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92,789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101,261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Policy acquisition and other underwriting</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14,898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14,714</w:t>
            </w:r>
          </w:p>
        </w:tc>
        <w:tc>
          <w:tcPr>
            <w:tcW w:w="1440" w:type="dxa"/>
            <w:vAlign w:val="bottom"/>
            <w:tcBorders>
              <w:left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46,238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Total losses and expenses</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45,664</w:t>
            </w: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47,287</w:t>
            </w:r>
          </w:p>
        </w:tc>
        <w:tc>
          <w:tcPr>
            <w:tcW w:w="680" w:type="dxa"/>
            <w:vAlign w:val="bottom"/>
            <w:vMerge w:val="continue"/>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136,218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147,499</w:t>
            </w:r>
          </w:p>
        </w:tc>
        <w:tc>
          <w:tcPr>
            <w:tcW w:w="660" w:type="dxa"/>
            <w:vAlign w:val="bottom"/>
            <w:vMerge w:val="continue"/>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6,228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5,730</w:t>
            </w:r>
          </w:p>
        </w:tc>
        <w:tc>
          <w:tcPr>
            <w:tcW w:w="1440" w:type="dxa"/>
            <w:vAlign w:val="bottom"/>
            <w:tcBorders>
              <w:lef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21"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Earned premiums for the third quarter of 2007 declined $1.1 million reflecting the trend of rate reductions.</w:t>
      </w:r>
    </w:p>
    <w:p>
      <w:pPr>
        <w:spacing w:after="0" w:line="130" w:lineRule="exact"/>
        <w:rPr>
          <w:rFonts w:ascii="Arial" w:cs="Arial" w:eastAsia="Arial" w:hAnsi="Arial"/>
          <w:sz w:val="18"/>
          <w:szCs w:val="18"/>
          <w:b w:val="1"/>
          <w:bCs w:val="1"/>
          <w:color w:val="auto"/>
        </w:rPr>
      </w:pPr>
    </w:p>
    <w:p>
      <w:pPr>
        <w:ind w:left="660" w:right="100" w:hanging="436"/>
        <w:spacing w:after="0" w:line="308"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Development of prior accident year loss reserves, excluding salvage and subrogation recoveries, continued to be favorable in the third quarter 2007, improving the loss ratio 7.8 points, or $4.0 million, compared to an improvement of 3.8 points in the third quarter of 2006.</w:t>
      </w:r>
    </w:p>
    <w:p>
      <w:pPr>
        <w:spacing w:after="0" w:line="38" w:lineRule="exact"/>
        <w:rPr>
          <w:rFonts w:ascii="Arial" w:cs="Arial" w:eastAsia="Arial" w:hAnsi="Arial"/>
          <w:sz w:val="17"/>
          <w:szCs w:val="17"/>
          <w:b w:val="1"/>
          <w:bCs w:val="1"/>
          <w:color w:val="auto"/>
        </w:rPr>
      </w:pPr>
    </w:p>
    <w:p>
      <w:pPr>
        <w:ind w:left="1120" w:right="20" w:hanging="437"/>
        <w:spacing w:after="0" w:line="264" w:lineRule="auto"/>
        <w:tabs>
          <w:tab w:leader="none" w:pos="11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The majority of this positive development in the third quarter of 2007 resulted from favorable development of reserves on prior accident quarters for automobile bodily injury and uninsured/underinsured motorist bodily injury. Improvements in the prior accident quarter loss ratios in these lines were a result of improved frequency and severity trends.</w:t>
      </w:r>
    </w:p>
    <w:p>
      <w:pPr>
        <w:spacing w:after="0" w:line="73"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Incurred catastrophe losses contributed 3.4 points to the GAAP combined ratio in the third quarter of 2007 compared to 1.6 points in the third quarter of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402"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b w:val="1"/>
          <w:bCs w:val="1"/>
          <w:u w:val="single" w:color="auto"/>
          <w:color w:val="auto"/>
        </w:rPr>
        <w:t>PROFITABILITY MEASURES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5"/>
          </w:tcPr>
          <w:p>
            <w:pPr>
              <w:jc w:val="center"/>
              <w:ind w:right="620"/>
              <w:spacing w:after="0"/>
              <w:rPr>
                <w:sz w:val="20"/>
                <w:szCs w:val="20"/>
                <w:color w:val="auto"/>
              </w:rPr>
            </w:pPr>
            <w:r>
              <w:rPr>
                <w:rFonts w:ascii="Arial" w:cs="Arial" w:eastAsia="Arial" w:hAnsi="Arial"/>
                <w:sz w:val="14"/>
                <w:szCs w:val="14"/>
                <w:color w:val="auto"/>
                <w:w w:val="91"/>
              </w:rPr>
              <w:t>Three months ended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color w:val="auto"/>
                <w:w w:val="92"/>
              </w:rPr>
              <w:t>Nine months ended</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2007</w:t>
            </w:r>
          </w:p>
        </w:tc>
        <w:tc>
          <w:tcPr>
            <w:tcW w:w="1180" w:type="dxa"/>
            <w:vAlign w:val="bottom"/>
            <w:gridSpan w:val="3"/>
          </w:tcPr>
          <w:p>
            <w:pPr>
              <w:jc w:val="center"/>
              <w:spacing w:after="0"/>
              <w:rPr>
                <w:sz w:val="20"/>
                <w:szCs w:val="20"/>
                <w:color w:val="auto"/>
              </w:rPr>
            </w:pPr>
            <w:r>
              <w:rPr>
                <w:rFonts w:ascii="Arial" w:cs="Arial" w:eastAsia="Arial" w:hAnsi="Arial"/>
                <w:sz w:val="14"/>
                <w:szCs w:val="14"/>
                <w:color w:val="auto"/>
                <w:w w:val="89"/>
              </w:rPr>
              <w:t>September 30,</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6"/>
              </w:rPr>
              <w:t>2006</w:t>
            </w:r>
          </w:p>
        </w:tc>
        <w:tc>
          <w:tcPr>
            <w:tcW w:w="340" w:type="dxa"/>
            <w:vAlign w:val="bottom"/>
          </w:tcPr>
          <w:p>
            <w:pPr>
              <w:spacing w:after="0"/>
              <w:rPr>
                <w:sz w:val="15"/>
                <w:szCs w:val="15"/>
                <w:color w:val="auto"/>
              </w:rPr>
            </w:pPr>
          </w:p>
        </w:tc>
        <w:tc>
          <w:tcPr>
            <w:tcW w:w="520" w:type="dxa"/>
            <w:vAlign w:val="bottom"/>
            <w:vMerge w:val="restart"/>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2007</w:t>
            </w:r>
          </w:p>
        </w:tc>
        <w:tc>
          <w:tcPr>
            <w:tcW w:w="1180" w:type="dxa"/>
            <w:vAlign w:val="bottom"/>
            <w:gridSpan w:val="3"/>
          </w:tcPr>
          <w:p>
            <w:pPr>
              <w:jc w:val="center"/>
              <w:spacing w:after="0"/>
              <w:rPr>
                <w:sz w:val="20"/>
                <w:szCs w:val="20"/>
                <w:color w:val="auto"/>
              </w:rPr>
            </w:pPr>
            <w:r>
              <w:rPr>
                <w:rFonts w:ascii="Arial" w:cs="Arial" w:eastAsia="Arial" w:hAnsi="Arial"/>
                <w:sz w:val="14"/>
                <w:szCs w:val="14"/>
                <w:color w:val="auto"/>
                <w:w w:val="91"/>
              </w:rPr>
              <w:t>September 30,</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6"/>
              </w:rPr>
              <w:t>2006</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960" w:type="dxa"/>
            <w:vAlign w:val="bottom"/>
          </w:tcPr>
          <w:p>
            <w:pPr>
              <w:spacing w:after="0"/>
              <w:rPr>
                <w:sz w:val="11"/>
                <w:szCs w:val="11"/>
                <w:color w:val="auto"/>
              </w:rPr>
            </w:pPr>
          </w:p>
        </w:tc>
        <w:tc>
          <w:tcPr>
            <w:tcW w:w="620" w:type="dxa"/>
            <w:vAlign w:val="bottom"/>
            <w:tcBorders>
              <w:bottom w:val="single" w:sz="8" w:color="auto"/>
            </w:tcBorders>
            <w:gridSpan w:val="2"/>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tcBorders>
              <w:bottom w:val="single" w:sz="8" w:color="auto"/>
            </w:tcBorders>
            <w:gridSpan w:val="2"/>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Erie Indemnity Company GAAP Loss and LAE ratio</w:t>
            </w:r>
          </w:p>
        </w:tc>
        <w:tc>
          <w:tcPr>
            <w:tcW w:w="9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59.3%</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61.4%</w:t>
            </w:r>
          </w:p>
        </w:tc>
        <w:tc>
          <w:tcPr>
            <w:tcW w:w="150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59.5%</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62.9%</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Erie Indemnity Company GAAP combined ratio (1)</w:t>
            </w:r>
          </w:p>
        </w:tc>
        <w:tc>
          <w:tcPr>
            <w:tcW w:w="960" w:type="dxa"/>
            <w:vAlign w:val="bottom"/>
            <w:gridSpan w:val="3"/>
          </w:tcPr>
          <w:p>
            <w:pPr>
              <w:jc w:val="right"/>
              <w:ind w:right="268"/>
              <w:spacing w:after="0"/>
              <w:rPr>
                <w:sz w:val="20"/>
                <w:szCs w:val="20"/>
                <w:color w:val="auto"/>
              </w:rPr>
            </w:pPr>
            <w:r>
              <w:rPr>
                <w:rFonts w:ascii="Arial" w:cs="Arial" w:eastAsia="Arial" w:hAnsi="Arial"/>
                <w:sz w:val="18"/>
                <w:szCs w:val="18"/>
                <w:color w:val="auto"/>
              </w:rPr>
              <w:t>88.0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89.2</w:t>
            </w:r>
          </w:p>
        </w:tc>
        <w:tc>
          <w:tcPr>
            <w:tcW w:w="1500" w:type="dxa"/>
            <w:vAlign w:val="bottom"/>
            <w:gridSpan w:val="4"/>
          </w:tcPr>
          <w:p>
            <w:pPr>
              <w:jc w:val="right"/>
              <w:ind w:right="268"/>
              <w:spacing w:after="0"/>
              <w:rPr>
                <w:sz w:val="20"/>
                <w:szCs w:val="20"/>
                <w:color w:val="auto"/>
              </w:rPr>
            </w:pPr>
            <w:r>
              <w:rPr>
                <w:rFonts w:ascii="Arial" w:cs="Arial" w:eastAsia="Arial" w:hAnsi="Arial"/>
                <w:sz w:val="18"/>
                <w:szCs w:val="18"/>
                <w:color w:val="auto"/>
              </w:rPr>
              <w:t>87.3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91.7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P&amp;C Group statutory combined ratio</w:t>
            </w:r>
          </w:p>
        </w:tc>
        <w:tc>
          <w:tcPr>
            <w:tcW w:w="9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86.1</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88.1</w:t>
            </w:r>
          </w:p>
        </w:tc>
        <w:tc>
          <w:tcPr>
            <w:tcW w:w="150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86.0</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90.6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P&amp;C Group adjusted statutory combined ratio (2)</w:t>
            </w:r>
          </w:p>
        </w:tc>
        <w:tc>
          <w:tcPr>
            <w:tcW w:w="960" w:type="dxa"/>
            <w:vAlign w:val="bottom"/>
            <w:gridSpan w:val="3"/>
          </w:tcPr>
          <w:p>
            <w:pPr>
              <w:jc w:val="right"/>
              <w:ind w:right="268"/>
              <w:spacing w:after="0"/>
              <w:rPr>
                <w:sz w:val="20"/>
                <w:szCs w:val="20"/>
                <w:color w:val="auto"/>
              </w:rPr>
            </w:pPr>
            <w:r>
              <w:rPr>
                <w:rFonts w:ascii="Arial" w:cs="Arial" w:eastAsia="Arial" w:hAnsi="Arial"/>
                <w:sz w:val="18"/>
                <w:szCs w:val="18"/>
                <w:color w:val="auto"/>
              </w:rPr>
              <w:t>82.3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83.7</w:t>
            </w:r>
          </w:p>
        </w:tc>
        <w:tc>
          <w:tcPr>
            <w:tcW w:w="1500" w:type="dxa"/>
            <w:vAlign w:val="bottom"/>
            <w:gridSpan w:val="4"/>
          </w:tcPr>
          <w:p>
            <w:pPr>
              <w:jc w:val="right"/>
              <w:ind w:right="268"/>
              <w:spacing w:after="0"/>
              <w:rPr>
                <w:sz w:val="20"/>
                <w:szCs w:val="20"/>
                <w:color w:val="auto"/>
              </w:rPr>
            </w:pPr>
            <w:r>
              <w:rPr>
                <w:rFonts w:ascii="Arial" w:cs="Arial" w:eastAsia="Arial" w:hAnsi="Arial"/>
                <w:sz w:val="18"/>
                <w:szCs w:val="18"/>
                <w:color w:val="auto"/>
              </w:rPr>
              <w:t>81.8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86.1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Direct business: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Personal lines adjusted statutory combined ratio</w:t>
            </w:r>
          </w:p>
        </w:tc>
        <w:tc>
          <w:tcPr>
            <w:tcW w:w="960" w:type="dxa"/>
            <w:vAlign w:val="bottom"/>
            <w:gridSpan w:val="3"/>
          </w:tcPr>
          <w:p>
            <w:pPr>
              <w:jc w:val="right"/>
              <w:ind w:right="268"/>
              <w:spacing w:after="0"/>
              <w:rPr>
                <w:sz w:val="20"/>
                <w:szCs w:val="20"/>
                <w:color w:val="auto"/>
              </w:rPr>
            </w:pPr>
            <w:r>
              <w:rPr>
                <w:rFonts w:ascii="Arial" w:cs="Arial" w:eastAsia="Arial" w:hAnsi="Arial"/>
                <w:sz w:val="18"/>
                <w:szCs w:val="18"/>
                <w:color w:val="auto"/>
              </w:rPr>
              <w:t>81.3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85.1</w:t>
            </w:r>
          </w:p>
        </w:tc>
        <w:tc>
          <w:tcPr>
            <w:tcW w:w="1500" w:type="dxa"/>
            <w:vAlign w:val="bottom"/>
            <w:gridSpan w:val="4"/>
          </w:tcPr>
          <w:p>
            <w:pPr>
              <w:jc w:val="right"/>
              <w:ind w:right="268"/>
              <w:spacing w:after="0"/>
              <w:rPr>
                <w:sz w:val="20"/>
                <w:szCs w:val="20"/>
                <w:color w:val="auto"/>
              </w:rPr>
            </w:pPr>
            <w:r>
              <w:rPr>
                <w:rFonts w:ascii="Arial" w:cs="Arial" w:eastAsia="Arial" w:hAnsi="Arial"/>
                <w:sz w:val="18"/>
                <w:szCs w:val="18"/>
                <w:color w:val="auto"/>
              </w:rPr>
              <w:t>81.3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88.5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lines adjusted statutory combined ratio</w:t>
            </w:r>
          </w:p>
        </w:tc>
        <w:tc>
          <w:tcPr>
            <w:tcW w:w="9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83.6</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79.7</w:t>
            </w:r>
          </w:p>
        </w:tc>
        <w:tc>
          <w:tcPr>
            <w:tcW w:w="150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82.8</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80.8</w:t>
            </w:r>
          </w:p>
        </w:tc>
        <w:tc>
          <w:tcPr>
            <w:tcW w:w="0" w:type="dxa"/>
            <w:vAlign w:val="bottom"/>
          </w:tcPr>
          <w:p>
            <w:pPr>
              <w:spacing w:after="0"/>
              <w:rPr>
                <w:sz w:val="1"/>
                <w:szCs w:val="1"/>
                <w:color w:val="auto"/>
              </w:rPr>
            </w:pPr>
          </w:p>
        </w:tc>
      </w:tr>
      <w:tr>
        <w:trPr>
          <w:trHeight w:val="432"/>
        </w:trPr>
        <w:tc>
          <w:tcPr>
            <w:tcW w:w="5960" w:type="dxa"/>
            <w:vAlign w:val="bottom"/>
          </w:tcPr>
          <w:p>
            <w:pPr>
              <w:ind w:left="220"/>
              <w:spacing w:after="0"/>
              <w:rPr>
                <w:sz w:val="20"/>
                <w:szCs w:val="20"/>
                <w:color w:val="auto"/>
              </w:rPr>
            </w:pPr>
            <w:r>
              <w:rPr>
                <w:rFonts w:ascii="Arial" w:cs="Arial" w:eastAsia="Arial" w:hAnsi="Arial"/>
                <w:sz w:val="18"/>
                <w:szCs w:val="18"/>
                <w:color w:val="auto"/>
              </w:rPr>
              <w:t>Prior accident year reserve development — redundancy</w:t>
            </w:r>
          </w:p>
        </w:tc>
        <w:tc>
          <w:tcPr>
            <w:tcW w:w="960" w:type="dxa"/>
            <w:vAlign w:val="bottom"/>
            <w:gridSpan w:val="3"/>
          </w:tcPr>
          <w:p>
            <w:pPr>
              <w:jc w:val="right"/>
              <w:ind w:right="208"/>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(3.8)</w:t>
            </w:r>
          </w:p>
        </w:tc>
        <w:tc>
          <w:tcPr>
            <w:tcW w:w="1500" w:type="dxa"/>
            <w:vAlign w:val="bottom"/>
            <w:gridSpan w:val="4"/>
          </w:tcPr>
          <w:p>
            <w:pPr>
              <w:jc w:val="right"/>
              <w:ind w:right="208"/>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 salvage and subrogation recoveries collected</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7"/>
              </w:rPr>
              <w:t>(1.0)</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(0.9)</w:t>
            </w:r>
          </w:p>
        </w:tc>
        <w:tc>
          <w:tcPr>
            <w:tcW w:w="15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220"/>
              <w:spacing w:after="0"/>
              <w:rPr>
                <w:sz w:val="20"/>
                <w:szCs w:val="20"/>
                <w:color w:val="auto"/>
              </w:rPr>
            </w:pPr>
            <w:r>
              <w:rPr>
                <w:rFonts w:ascii="Arial" w:cs="Arial" w:eastAsia="Arial" w:hAnsi="Arial"/>
                <w:sz w:val="18"/>
                <w:szCs w:val="18"/>
                <w:color w:val="auto"/>
              </w:rPr>
              <w:t>Total loss ratio points from prior accident years</w:t>
            </w: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8"/>
              </w:rPr>
              <w:t>(8.8)%</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(4.7)%</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8"/>
              </w:rPr>
              <w:t>(9.5)%</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GAAP combined ratio represents the ratio of losses, loss adjustment, acquisition and other underwriting expenses incurred to premiums earned.</w:t>
      </w:r>
    </w:p>
    <w:p>
      <w:pPr>
        <w:spacing w:after="0" w:line="99" w:lineRule="exact"/>
        <w:rPr>
          <w:rFonts w:ascii="Arial" w:cs="Arial" w:eastAsia="Arial" w:hAnsi="Arial"/>
          <w:sz w:val="16"/>
          <w:szCs w:val="16"/>
          <w:i w:val="1"/>
          <w:iCs w:val="1"/>
          <w:color w:val="auto"/>
        </w:rPr>
      </w:pPr>
    </w:p>
    <w:p>
      <w:pPr>
        <w:ind w:left="460" w:hanging="452"/>
        <w:spacing w:after="0"/>
        <w:tabs>
          <w:tab w:leader="none" w:pos="4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The adjusted statutory combined ratio removes Property and Casualty Group costs stemming from the profit we earn on the management fee.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direct loss reserves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5.5% share of the Property and Casualty Group’s development of prior accident year losses, after removing the effects of salvage and subrogation recoveries, had a $4.0 million favorable impact in the third quarter of 2007, which improved the loss ratio by 7.8 points. The majority of the favorable development resulted from improved severity trends on automobile bodily injury and improved frequency trends and flattening severity trends on uninsured/underinsured motorist (UM/UIM) bodily injury. Overall our personal auto loss trends remain favorable, which is consistent with industry trends. In the third quarter of 2006, our share of prior accident year loss development, after removing the effects of salvage and subrogation recoveries, had a favorable impact of $2.0 million. The favorable development in the third quarter 2006 was primarily driven by improvements in UM/UIM bodily injury. The 2006 improvement experienced in UM/UIM bodily injury was partially due to more effective claims handling resulting from specialized UM/UIM claim units.</w:t>
      </w:r>
    </w:p>
    <w:p>
      <w:pPr>
        <w:spacing w:after="0" w:line="5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Underwriting losses are seasonally higher in the second through fourth quarters, and as a consequence, our property/casualty combined ratio generally increases as the year progresses. In the third quarter of 2007, our share of the increase to incurred but not reported reserves related to seasonality adjustments was $1.7 million, compared to a $2.9 million increase in the third quarter of 2006. Seasonality adjustments increased our share of incurred but not reported reserves by $1.5 million in the second quarter of 2007, and reduced these reserves by $3.3 million in the first quarter of 2007.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Catastrophe losses</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share of catastrophe losses, as defined by the Property and Casualty Group, amounted to $1.8 million and $0.9 million in the third quarters of 2007 and 2006, respectively. The third quarter of 2007 included wind and rain storms in Pennsylvania and Ohio, while 2006 included wind and hail storms in West Virginia, Pennsylvania and Illinois. These catastrophe losses contributed 3.4 points and 1.6 points to the GAAP combined ratio in the third quarters of 2007 and 2006, respectively. Catastrophe losses incurred for the first nine months of 2007 and 2006 were $3.2 million and $5.9 million,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402"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Investment Operations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ind w:left="520"/>
              <w:spacing w:after="0"/>
              <w:rPr>
                <w:sz w:val="20"/>
                <w:szCs w:val="20"/>
                <w:color w:val="auto"/>
              </w:rPr>
            </w:pPr>
            <w:r>
              <w:rPr>
                <w:rFonts w:ascii="Arial" w:cs="Arial" w:eastAsia="Arial" w:hAnsi="Arial"/>
                <w:sz w:val="14"/>
                <w:szCs w:val="14"/>
                <w:color w:val="auto"/>
                <w:w w:val="89"/>
              </w:rPr>
              <w:t>Three months ended September 30,</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4"/>
          </w:tcPr>
          <w:p>
            <w:pPr>
              <w:jc w:val="right"/>
              <w:ind w:right="20"/>
              <w:spacing w:after="0"/>
              <w:rPr>
                <w:sz w:val="20"/>
                <w:szCs w:val="20"/>
                <w:color w:val="auto"/>
              </w:rPr>
            </w:pPr>
            <w:r>
              <w:rPr>
                <w:rFonts w:ascii="Arial" w:cs="Arial" w:eastAsia="Arial" w:hAnsi="Arial"/>
                <w:sz w:val="14"/>
                <w:szCs w:val="14"/>
                <w:color w:val="auto"/>
                <w:w w:val="90"/>
              </w:rPr>
              <w:t>Nine months ended September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color w:val="auto"/>
              </w:rPr>
              <w:t>2007</w:t>
            </w:r>
          </w:p>
        </w:tc>
        <w:tc>
          <w:tcPr>
            <w:tcW w:w="680" w:type="dxa"/>
            <w:vAlign w:val="bottom"/>
            <w:vMerge w:val="restart"/>
          </w:tcPr>
          <w:p>
            <w:pPr>
              <w:spacing w:after="0"/>
              <w:rPr>
                <w:sz w:val="20"/>
                <w:szCs w:val="20"/>
                <w:color w:val="auto"/>
              </w:rPr>
            </w:pPr>
            <w:r>
              <w:rPr>
                <w:rFonts w:ascii="Arial" w:cs="Arial" w:eastAsia="Arial" w:hAnsi="Arial"/>
                <w:sz w:val="14"/>
                <w:szCs w:val="14"/>
                <w:color w:val="auto"/>
                <w:w w:val="90"/>
              </w:rPr>
              <w:t>(Unaudited)</w:t>
            </w:r>
          </w:p>
        </w:tc>
        <w:tc>
          <w:tcPr>
            <w:tcW w:w="12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color w:val="auto"/>
              </w:rPr>
              <w:t>2006</w:t>
            </w:r>
          </w:p>
        </w:tc>
        <w:tc>
          <w:tcPr>
            <w:tcW w:w="70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color w:val="auto"/>
                <w:w w:val="91"/>
              </w:rPr>
              <w:t>% Change</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680" w:type="dxa"/>
            <w:vAlign w:val="bottom"/>
            <w:gridSpan w:val="2"/>
            <w:vMerge w:val="restart"/>
          </w:tcPr>
          <w:p>
            <w:pPr>
              <w:spacing w:after="0"/>
              <w:rPr>
                <w:sz w:val="20"/>
                <w:szCs w:val="20"/>
                <w:color w:val="auto"/>
              </w:rPr>
            </w:pPr>
            <w:r>
              <w:rPr>
                <w:rFonts w:ascii="Arial" w:cs="Arial" w:eastAsia="Arial" w:hAnsi="Arial"/>
                <w:sz w:val="14"/>
                <w:szCs w:val="14"/>
                <w:color w:val="auto"/>
                <w:w w:val="90"/>
              </w:rPr>
              <w:t>(Unaudited)</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12,233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12,215</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40,350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41,818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3,438</w:t>
            </w: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(872)</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7,550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limited partnerships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14,169</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10,848</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46,867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29,049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Equity in earnings of EFL</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682</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3,304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2,763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revenue from investment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30,532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22,873</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98,071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72,909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meaningful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21" w:lineRule="exact"/>
        <w:rPr>
          <w:sz w:val="20"/>
          <w:szCs w:val="20"/>
          <w:color w:val="auto"/>
        </w:rPr>
      </w:pPr>
    </w:p>
    <w:p>
      <w:pPr>
        <w:ind w:left="660" w:right="24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Funds used to repurchase shares of our common stock totaled $188 million in the third quarter of 2007. Included in this total are shares separately authorized by our Board of Directors for repurchase from the F. William Hirt Estate amounted to $99.0 million.</w:t>
      </w:r>
    </w:p>
    <w:p>
      <w:pPr>
        <w:spacing w:after="0" w:line="75" w:lineRule="exact"/>
        <w:rPr>
          <w:rFonts w:ascii="Arial" w:cs="Arial" w:eastAsia="Arial" w:hAnsi="Arial"/>
          <w:sz w:val="18"/>
          <w:szCs w:val="18"/>
          <w:b w:val="1"/>
          <w:bCs w:val="1"/>
          <w:color w:val="auto"/>
        </w:rPr>
      </w:pPr>
    </w:p>
    <w:p>
      <w:pPr>
        <w:ind w:left="660" w:right="60" w:hanging="436"/>
        <w:spacing w:after="0" w:line="308"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Net realized gains on investments increased $4.3 million in the third quarter of 2007 from our common stock holdings. Net realized gains and losses on investments include impairment charges of $3.0 million and $1.6 million for the third quarters of 2007 and 2006, respectively.</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Equity in earnings of limited partnerships increased $3.3 million due to market value appreciation.</w:t>
      </w:r>
    </w:p>
    <w:p>
      <w:pPr>
        <w:spacing w:after="0" w:line="117"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Private equity and mezzanine debt limited partnerships generated earnings of $8.5 million and $6.7 million for the quarters ended September 30, 2007 and 2006, respectively. Real estate limited partnerships generated earnings of $5.7 million and $4.2 million in the third quarters of 2007 and 2006,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2007 provision for income taxes was based on an annualized effective income tax rate of 32.9% in the third quarter of 2007. However, the third quarter 2007 provision was benefited by a $1.6 million reduction for an adjustment to our December 31, 2006 provision estimates to the actual tax return offset by an estimate of $0.3 million in expense recorded for estimated IRS audit adjustments. The effective tax rate for the nine months ended September 30, 2007 was also impacted by a change to the deferred income tax calculation related to anticipated salvage and subrogation and a recoverable recorded for the IRS audit for the years 2003 and 2004 and estimated interest on our uncertain income tax positions that increased our taxes in accordance with FIN No. 48.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investment strategy takes a long-term perspective emphasizing investment quality, diversification and superior investment returns. Investments are managed on a total return approach that focuses on current income and capital appreciation. Our investment strategy also provides for liquidity to meet our short- and long-term commitments. At September 30, 2007, our investment portfolio of investment-grade bonds and preferred stock, common stock and cash and cash equivalents represents $910 million, or 32%, of total assets.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investments are subject to certain risks, including interest rate and price risk. Our exposure to interest rates is concentrated in our fixed maturities portfolio. The fixed maturities portfolio comprises 58% and 63% of invested assets at September 30, 2007 and December 31, 2006, respectively. We calculate the duration and convexity of the fixed maturities portfolio each month to measure the price sensitivity of the portfolio to interest rate changes. Duration measures the relative sensitivity of the fair value of an investment to changes in interest rates. Convexity measures the rate of change of duration with respect to changes in interest rates. These factors are analyzed monthly to ensure that both the duration and convexity remain in the targeted ranges established by management.</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continually review the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and amount the market value is below cost.</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is a presumption of impairment for common equity securities when the decline is, in management’s opinion, significant and of an extended duration. We consider market conditions, industry characteristics and the fundamental operating results of the issuer to determine if sufficient objective evidence exists to refute the presumption of impairment. When the presumption of impairment is confirmed, we will recognize an impairment charge to operations. Impairments are included in realized losses in the Consolidated Statements of Operations.</w:t>
      </w:r>
    </w:p>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fixed maturity and preferred stock investments, we individually analyze all positions with emphasis on those that have, in management’s opinion, declined significantly below cost. We consider market conditions, industry characteristics and the fundamental operating results of the issuer to determine if the decline is due to changes in interest rates, changes relating to a decline in credit quality, or other issues affecting the investment. A charge is recorded in the Consolidated Statements of Operations for positions that have experienced other-than-temporary impairments due to credit quality or other factors, or for which it is not our intent or ability to hold the position until recovery has occurred. (See the “Investment Operations” section herein)</w:t>
      </w:r>
    </w:p>
    <w:p>
      <w:pPr>
        <w:spacing w:after="0" w:line="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our policy for determining the recognition of impaired positions were different, our Consolidated Results of Operations could be significantly impacted. Management believes its investment valuation philosophy and accounting practices result in appropriate and timely measurement of value and recognition of impairment.</w:t>
      </w:r>
    </w:p>
    <w:p>
      <w:pPr>
        <w:spacing w:after="0" w:line="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portfolio of marketable equity securities, which is carried on the Consolidated Statements of Financial Position at estimated fair value, has exposure to price risk, the risk of potential loss in estimated fair value resulting from an adverse change in prices. We do not hedge our exposure to equity price risk inherent in our equity investments. Our objective is to earn competitive relative returns by investing in a diverse portfolio of high-quality, liquid securities. Portfolio holdings are diversified across industries and among exchange traded mid- to large-cap stocks. We measure risk by comparing the performance of the marketable equity portfolio to benchmark returns such as the S&amp;P 500.</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375"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Property/casualty loss reserves</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Loss reserves are established to account for the estimated ultimate costs of loss and loss adjustment expenses for claims that have been reported but not yet settled and claims that have been incurred but not reported.</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factors which may potentially cause the greatest variation between current reserve estimates and the actual future paid amounts are: unforeseen changes in statutory or case law altering the amounts to be paid on existing claim obligations, new medical procedures and/or drugs whose cost is significantly different from that seen in the past, and claims patterns on current business that differ significantly from historical claims patterns.</w:t>
      </w:r>
    </w:p>
    <w:p>
      <w:pPr>
        <w:spacing w:after="0" w:line="57"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Loss and loss adjustment expense reserves are presented on our Consolidated Statements of Financial Position on a gross basis for EIC, EINY, and EIPC, our property/casualty insurance subsidiaries that wrote about 17% of the direct property/casualty premiums of the Property and Casualty Group. Under the terms of the Property and Casualty Group’s quota share and intercompany pooling arrangement, a significant portion of these reserve liabilities are recoverable.</w:t>
      </w:r>
    </w:p>
    <w:p>
      <w:pPr>
        <w:ind w:right="20"/>
        <w:spacing w:after="0" w:line="323" w:lineRule="auto"/>
        <w:rPr>
          <w:sz w:val="20"/>
          <w:szCs w:val="20"/>
          <w:color w:val="auto"/>
        </w:rPr>
      </w:pPr>
      <w:r>
        <w:rPr>
          <w:rFonts w:ascii="Arial" w:cs="Arial" w:eastAsia="Arial" w:hAnsi="Arial"/>
          <w:sz w:val="16"/>
          <w:szCs w:val="16"/>
          <w:color w:val="auto"/>
        </w:rPr>
        <w:t>Recoverable amounts are reflected as an asset on our Consolidated Statements of Financial Position. The direct and assumed loss and loss adjustment expense reserves by major line of business and the related amount recoverable under the intercompany pooling arrangement are presented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As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4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5"/>
          </w:tcPr>
          <w:p>
            <w:pPr>
              <w:spacing w:after="0"/>
              <w:rPr>
                <w:sz w:val="20"/>
                <w:szCs w:val="20"/>
                <w:color w:val="auto"/>
              </w:rPr>
            </w:pPr>
            <w:r>
              <w:rPr>
                <w:rFonts w:ascii="Arial" w:cs="Arial" w:eastAsia="Arial" w:hAnsi="Arial"/>
                <w:sz w:val="14"/>
                <w:szCs w:val="14"/>
                <w:color w:val="auto"/>
                <w:w w:val="96"/>
              </w:rPr>
              <w:t>September 30, 2007</w:t>
            </w:r>
          </w:p>
        </w:tc>
        <w:tc>
          <w:tcPr>
            <w:tcW w:w="5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2006</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Gross reserve liability:</w:t>
            </w: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Personal lines: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passenger auto</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321,824</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373,108</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Catastrophic injury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182,569</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196,306</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Homeowners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28,533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27,224</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Other personal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9,244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11,416</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lines: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Workers compensation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245,924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221,078</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auto</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81,029</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87,202</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Commercial multi-peril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74,242</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73,542</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Catastrophic injury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Other commercial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25,120</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37,119</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45,861</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46,025</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Gross reserves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1,015,083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1,073,570</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824,849</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874,485</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reserve liability</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190,234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199,085</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reserves that have the greatest potential for variation is the pre-1986 automobile catastrophic injury liability reserve. There are currently about 300 claimants requiring lifetime medical care of which less than 100 involve catastrophic injuries.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reserve carried by the Property and Casualty Group for the catastrophic injury claimants, which is our best estimate of this liability at this time, was</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$274.9 million at September 30, 2007, which is net of $156.4 million of anticipated reinsurance recoverables. Our property/casualty subsidiaries share of the net automobile catastrophic injury liability reserve is $15.1 million at September 30, 2007.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375"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Off-balance sheet arrangements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are no off-balance sheet obligations related to the variable interest we have in the Exchange. Any liabilities between the Exchange and us are recorded in our Consolidated Statements of Financial Position. We have no other material off-balance sheet obligations or guarantees, other than the limited partnership investment commitments discussed in Note 11 to the Consolidated Financial Statements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Liquidity is a measure of an entity’s ability to secure enough cash to meet its contractual obligations and operating needs. We have historically generated sufficient net positive cash flow from our operations to fund our commitments and build the investment portfolio. We also maintain a high degree of liquidity in our investment portfolio in the form of readily marketable fixed maturities, equity securities and short-term investments.</w:t>
      </w:r>
    </w:p>
    <w:p>
      <w:pPr>
        <w:spacing w:after="0" w:line="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primary sources of cash from operations are generated from our net management revenues and by collecting and investing in premiums from new and renewal business in advance of paying claims. Management fees from the Exchange represented 72% of our total revenues for the third quarter of 2007. Cash outflows are variable because settlement dates for claim payments vary and cannot be predicted with absolute certainty. While volatility in claims payments could be significant for the Property and Casualty Group, the effect on us of this volatility is mitigated by the intercompany reinsurance pooling arrangement. The cash flow requirements for claims have not historically been significant to our liquidity. Historically, about 50% of losses and loss adjustment expenses included in the reserve are paid out in the subsequent 12-month period and approximately 89% is paid out within a five year period. Such payments are reduced by recoveries under the intercompany reinsurance pooling agreement.</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generated positive cash flows from our operating activities of $176.8 million for the nine months ended September 30, 2007. Cash paid in the first nine months of 2007 for agent bonuses was $91.8 million, of which $90.2 million was accrued at December 31, 2006. We made pension contributions of $14.8 million and $8.1 million to our pension plan in 2007 and 2006, respectively.</w:t>
      </w:r>
    </w:p>
    <w:p>
      <w:pPr>
        <w:spacing w:after="0" w:line="73"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In the third quarter of 2007, we purchased 1,903,201 shares of our Class A nonvoting common stock from the F. William Hirt Estate separate from our current stock repurchase program for a total purchase price of $99.0 million, or $52.04 per share. In conjunction with our stock repurchase plan that was authorized in February 2006, we repurchased 1,670,384 shares of our outstanding Class A common stock during the third quarter of 2007. The shares were repurchased at a total cost of $89.0 million. During the first nine months of 2007, a total of 4,169,234 shares were repurchased at a cost of $219.8 million. In September 2007, our Board of Directors approved a continuation of the current stock repurchase program for an additional $100 million through December 31, 2008. We have $109 million in repurchase authority remaining under this plan at September 30, 2007. (See Part II, Item 2. Issuer Purchases of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ESTIMATES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make estimates and assumptions that have a significant effect on the amounts and disclosures reported in the financial statements. The most significant estimates relate to valuation of investments, reserves for property/casualty insurance unpaid losses and loss adjustment expenses and retirement benefits. While management believes its estimates are appropriate, the ultimate amounts may differ from estimates provided. Our most critical accounting estimates are described in Item 7, “Management’s Discussion and Analysis of Financial Condition and Results of Operations” of our Annual Report on Form 10-K for the year ended December 31, 2006. There have been no significant changes to the policies surrounding these estimates since that time.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THAT MAY AFFECT FUTURE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condition of the Exchange</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a direct interest in the financial condition of the Exchange because management fee revenues are based on the direct written premiums of the Exchange and the other members of the Property and Casualty Group. Additionally, we participate in the underwriting results of the Exchange through the pooling arrangement in which our insurance subsidiaries have 5.5% participation. A concentration of credit risk also exists related to the unsecured receivables due from the Exchange for certain fees, costs and reimbursements.</w:t>
      </w: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the extent that the Exchange incurs underwriting losses or investment losses resulting from declines in the value of its marketable securities, the Exchange’s policyholders’ surplus would be adversely affected. If the surplus of the Exchange were to decline significantly from its current level, the Property and Casualty Group could find it more difficult to retain its existing business and attract new business. A decline in the business of the Property and Casualty Group would have an adverse effect on the amount of the management fees we receive and the underwriting results of the Property and Casualty Group in which we have 5.5% participation. In addition, a substantial decline in the surplus of the Exchange from its current level would make it more likely that the management fee rate would be reduced. At September 30, 2007, the Exchange had $4.8 billion in statutory surplus and a premium to surplus ratio of less than 1 to 1. We believe the Exchange’s capital levels are very strong. The Exchange’s A.M. Best rating of A+ (Superior) was affirmed during the third quarter of 2007.</w:t>
      </w:r>
    </w:p>
    <w:p>
      <w:pPr>
        <w:spacing w:after="0" w:line="8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Additional information, including condensed statutory financial statements of the Exchange, is presented in Note 12 to the Consolidated Financial Statements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Insurance premium rates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changes in premiums written attributable to rate changes of the Property and Casualty Group directly affect underwriting profitability of the Property and Casualty Group, the Exchange and us and also have a direct bearing on management fees. Rate reductions have been implemented and continue to be sought in 2007 by the Property and Casualty Group to recognize improved underwriting results and to maintain price competitiveness.</w:t>
      </w:r>
    </w:p>
    <w:p>
      <w:pPr>
        <w:spacing w:after="0" w:line="5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Pricing actions contemplated or taken by the Property and Casualty Group are subject to various regulatory requirements of the states in which these insurers operate. The pricing actions already implemented, or to be implemented through 2007, will also have an effect on the market competitiveness of the Property and Casualty Group’s insurance products. Such pricing actions, and those of competitors, could affect the ability of our agents to sell and/or renew business. Management forecasts that pricing actions approved, filed and awaiting approval or contemplated through 2007, will reduce premiums for the Property and Casualty Group by $13.7 million through the remainder of the year and could increase premiums by $3.0 million in 2008.</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Property and Casualty Group continues refining its pricing segmentation model for private passenger auto and homeowners lines of business. The refined rating plans include significantly more pricing segments than the former plans, providing us greater flexibility in pricing for policyholders with varying degrees of risk. Refining pricing segmentation should enable us to provide more competitive rates to policyholders with varying risk characteristics, as risks can be more accurately priced over time.</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continued introduction of new pricing variables could impact retention of existing policyholders and could affect the Property and Casualty Group’s ability to attract new policyholders. These outcomes will then impact the Property and Casualty Group’s premium dollars and ultimately our management fee revenue.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375"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Policy growth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Premium levels attributable to growth in policies in force of the Property and Casualty Group directly affect the profitability of our management operations. The continued focus on underwriting discipline and implementation of the new rate classification plan through the pricing segmentation model resulted in an initial reduction in new policy sales and policy retention ratios, as expected. In 2007, new policy sales and policy retention ratios have experienced modest but steady improvements. The growth of the policy base of the Property and Casualty Group is dependent upon its ability to retain existing and attract new policyholders. A lack of new policy growth or the inability to retain existing customers could have an adverse effect on the growth of premium levels for the Property and Casualty Group.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Catastrophe losses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Property and Casualty Group conducts business in 11 states and the District of Columbia, primarily in the mid-Atlantic, midwestern and southeastern portions of the United States. A substantial portion of the business is private passenger and commercial automobile, homeowners and other commercial lines of business in Ohio, Maryland, Virginia and particularly, Pennsylvania. As a result, a single catastrophe occurrence or destructive weather pattern could have a material adverse effect on the results of operations and surplus position of the members of the Property and Casualty Group. Common catastrophic events include severe winter storms, hurricanes, earthquakes, tornadoes, wind and hail storms. In its homeowners line of insurance, the Property and Casualty Group is particularly exposed to an Atlantic hurricane, which might strike the states of North Carolina, Maryland, Virginia and Pennsylvania. The Property and Casualty Group maintains catastrophe occurrence reinsurance coverage to mitigate the future potential catastrophe loss exposure.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Information technology development and costs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has established a program of initiatives to enhance the functionality of our legacy processing and Agency interface systems aimed at improving the ease of doing business, enhancing Agent and Employee productivity and access to information. Several of these initiatives are underway and others are in the planning or preliminary development stages. The entire cost and duration of these investments are not yet determined. Management is also exploring alternatives for acquisition of Agency interface and policy processing systems, but is unable to estimate the timing and cost of these efforts at this early stage of evaluation.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Erie Family Life business process outsourcing</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2006, Erie Family Life (EFL) decided to outsource certain business processes and core information technology to an external vendor beginning in 2007. The transition of functions and technology to the external vendor occurred in August 2007. EFL expects to incur substantial costs in 2007, due to the conversion and continued transition efforts, which impacts us 21.6% through our ownership share of EFL. EFL’s total conversion costs through September 30, 2007 were $5.7 million, of which our share was $1.2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exposure to market risk is primarily related to fluctuations in prices and interest rates. Quantitative and qualitative disclosures about market risk resulting from changes in prices and interest rates are included in Item 7A. in our 2006 Annual Report on Form 10-K. There have been no material changes in such risks or our periodic reviews of asset and liability positions during the three months ended September 30, 2007. The information contained in the investments section of Management’s Discussion and Analysis of Financial Condition and Results of Operations is incorporated herein by reference.</w:t>
      </w:r>
    </w:p>
    <w:p>
      <w:pPr>
        <w:spacing w:after="0" w:line="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objective is to earn competitive returns by investing in a diversified portfolio of securities. We are exposed to credit risk through our portfolios of fixed maturity securities, nonredeemable preferred stock, mortgage loans and to a lesser extent short-term investments. This risk is defined as the potential loss in market value resulting from adverse changes in the borrower’s ability to repay the debt. We manage this risk by performing up front underwriting analysis and ongoing reviews of credit quality by position and for the fixed maturity portfolio in total. We do not hedge credit risk inherent in our fixed maturity investments.</w:t>
      </w:r>
    </w:p>
    <w:p>
      <w:pPr>
        <w:spacing w:after="0" w:line="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investment portfolio is diversified with 96% of the fixed income portfolio rated investment grade (BBB or higher). Approximately 5.3% of our fixed income portfolio is invested in structured products which include mortgage-backed securities, collateralized debt/loan obligations, asset backed and credit-linked notes. Our structured product portfolio has an average rating of AA or higher. We believe we have no direct exposure to the subprime residential mortgage market through investments in structured products.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significant receivables from the Exchange, which are subject to credit risk. Our results are directly related to the financial strength of the Exchange. Credit risks related to the receivables from the Exchange are evaluated periodically by management. Since our inception, we have collected all amounts due from the Exchange in a timely manner (generally within 120 days). Similar to our investment portfolio, the Exchange maintains 94% percent of its fixed income portfolio rated investment grade. Approximately 10.4% of the Exchange’s fixed income portfolio is invested in structured products with an average rating of AA or higher.</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 Certain forward-looking statements contained herein involve risks and</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uncertainties. These forward-looking statements reflect the Company’s current views about future events, are based on assumptions and are subject to known and unknown risks and uncertainties that may cause results to differ materially from those anticipated in those statements. Many of the factors that will determine future events or achievements are beyond our ability to control or predict. These statements include certain discussions relating to management fee revenue, cost of management operations, underwriting, premium and investment income volume, business strategies, profitability and business relationships and other business activities during 2007 and beyond. The Company assumes no obligation whatsoever to publicly update or revise any forward-looking statements.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carried out an evaluation, with the participation of management, including the Chief Executive Officer and Chief Financial Officer, of the effectiveness of our disclosure controls and procedures (pursuant to Rule 13a-15(e) under the Securities Exchange Act of 1934, as amended) as of the end of the period covered by this report. Based upon that evaluation, the Chief Executive Officer and Chief Financial Officer concluded that our disclosure controls and procedures are effective. Our management evaluated, with the participation of the Chief Executive Officer and Chief Financial Officer, any change in our internal control over financial reporting and determined that there has been no change in our internal control over financial reporting during the quarter ended September 30, 2007 that has materially affected, or is reasonably likely to materially affect, our internal control over financial reporting.</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fiscal year ended December 31, 2006.</w:t>
      </w:r>
    </w:p>
    <w:p>
      <w:pPr>
        <w:spacing w:after="0" w:line="170" w:lineRule="exact"/>
        <w:rPr>
          <w:sz w:val="20"/>
          <w:szCs w:val="20"/>
          <w:color w:val="auto"/>
        </w:rPr>
      </w:pPr>
    </w:p>
    <w:p>
      <w:pPr>
        <w:ind w:right="4680"/>
        <w:spacing w:after="0" w:line="402" w:lineRule="auto"/>
        <w:rPr>
          <w:sz w:val="20"/>
          <w:szCs w:val="20"/>
          <w:color w:val="auto"/>
        </w:rPr>
      </w:pPr>
      <w:r>
        <w:rPr>
          <w:rFonts w:ascii="Arial" w:cs="Arial" w:eastAsia="Arial" w:hAnsi="Arial"/>
          <w:sz w:val="18"/>
          <w:szCs w:val="18"/>
          <w:u w:val="single" w:color="auto"/>
          <w:color w:val="auto"/>
        </w:rPr>
        <w:t xml:space="preserve">ITEM 2. UNREGISTERED SALES OF EQUITY SECURITIES AND USE OF PROCEEDS </w:t>
      </w:r>
      <w:r>
        <w:rPr>
          <w:rFonts w:ascii="Arial" w:cs="Arial" w:eastAsia="Arial" w:hAnsi="Arial"/>
          <w:sz w:val="18"/>
          <w:szCs w:val="18"/>
          <w:color w:val="auto"/>
        </w:rPr>
        <w:t>Issuer Purchases of Equity Securities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Approximate</w:t>
            </w: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Dollar Value</w:t>
            </w: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of Shares that</w:t>
            </w: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40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0"/>
              </w:rPr>
              <w:t>of Shares</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Price Paid</w:t>
            </w:r>
          </w:p>
        </w:tc>
        <w:tc>
          <w:tcPr>
            <w:tcW w:w="40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Purchased</w:t>
            </w:r>
          </w:p>
        </w:tc>
      </w:tr>
      <w:tr>
        <w:trPr>
          <w:trHeight w:val="167"/>
        </w:trPr>
        <w:tc>
          <w:tcPr>
            <w:tcW w:w="20" w:type="dxa"/>
            <w:vAlign w:val="bottom"/>
          </w:tcPr>
          <w:p>
            <w:pPr>
              <w:spacing w:after="0"/>
              <w:rPr>
                <w:sz w:val="14"/>
                <w:szCs w:val="14"/>
                <w:color w:val="auto"/>
              </w:rPr>
            </w:pPr>
          </w:p>
        </w:tc>
        <w:tc>
          <w:tcPr>
            <w:tcW w:w="440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Period</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color w:val="auto"/>
                <w:w w:val="89"/>
              </w:rPr>
              <w:t>Purchased</w:t>
            </w: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Per Share</w:t>
            </w:r>
          </w:p>
        </w:tc>
        <w:tc>
          <w:tcPr>
            <w:tcW w:w="40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Announced Plan</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Under the Plan</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July 1 — 31, 2007</w:t>
            </w: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282,043</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$53.16</w:t>
            </w:r>
          </w:p>
        </w:tc>
        <w:tc>
          <w:tcPr>
            <w:tcW w:w="19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278,952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August 1 — 31, 2007</w:t>
            </w:r>
          </w:p>
        </w:tc>
        <w:tc>
          <w:tcPr>
            <w:tcW w:w="1420" w:type="dxa"/>
            <w:vAlign w:val="bottom"/>
            <w:gridSpan w:val="4"/>
          </w:tcPr>
          <w:p>
            <w:pPr>
              <w:jc w:val="right"/>
              <w:ind w:right="20"/>
              <w:spacing w:after="0"/>
              <w:rPr>
                <w:sz w:val="20"/>
                <w:szCs w:val="20"/>
                <w:color w:val="auto"/>
              </w:rPr>
            </w:pPr>
            <w:r>
              <w:rPr>
                <w:rFonts w:ascii="Arial" w:cs="Arial" w:eastAsia="Arial" w:hAnsi="Arial"/>
                <w:sz w:val="18"/>
                <w:szCs w:val="18"/>
                <w:color w:val="auto"/>
              </w:rPr>
              <w:t>3,294,633</w:t>
            </w:r>
          </w:p>
        </w:tc>
        <w:tc>
          <w:tcPr>
            <w:tcW w:w="240" w:type="dxa"/>
            <w:vAlign w:val="bottom"/>
          </w:tcPr>
          <w:p>
            <w:pPr>
              <w:spacing w:after="0"/>
              <w:rPr>
                <w:sz w:val="18"/>
                <w:szCs w:val="18"/>
                <w:color w:val="auto"/>
              </w:rPr>
            </w:pPr>
          </w:p>
        </w:tc>
        <w:tc>
          <w:tcPr>
            <w:tcW w:w="1460" w:type="dxa"/>
            <w:vAlign w:val="bottom"/>
            <w:gridSpan w:val="2"/>
          </w:tcPr>
          <w:p>
            <w:pPr>
              <w:jc w:val="right"/>
              <w:ind w:right="248"/>
              <w:spacing w:after="0"/>
              <w:rPr>
                <w:sz w:val="20"/>
                <w:szCs w:val="20"/>
                <w:color w:val="auto"/>
              </w:rPr>
            </w:pPr>
            <w:r>
              <w:rPr>
                <w:rFonts w:ascii="Arial" w:cs="Arial" w:eastAsia="Arial" w:hAnsi="Arial"/>
                <w:sz w:val="18"/>
                <w:szCs w:val="18"/>
                <w:color w:val="auto"/>
              </w:rPr>
              <w:t>52.58</w:t>
            </w:r>
          </w:p>
        </w:tc>
        <w:tc>
          <w:tcPr>
            <w:tcW w:w="1940" w:type="dxa"/>
            <w:vAlign w:val="bottom"/>
            <w:gridSpan w:val="4"/>
          </w:tcPr>
          <w:p>
            <w:pPr>
              <w:jc w:val="right"/>
              <w:ind w:right="400"/>
              <w:spacing w:after="0"/>
              <w:rPr>
                <w:sz w:val="20"/>
                <w:szCs w:val="20"/>
                <w:color w:val="auto"/>
              </w:rPr>
            </w:pPr>
            <w:r>
              <w:rPr>
                <w:rFonts w:ascii="Arial" w:cs="Arial" w:eastAsia="Arial" w:hAnsi="Arial"/>
                <w:sz w:val="18"/>
                <w:szCs w:val="18"/>
                <w:color w:val="auto"/>
              </w:rPr>
              <w:t>1,391,432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2007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0.00</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3,576,676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1,670,384</w:t>
            </w:r>
          </w:p>
        </w:tc>
        <w:tc>
          <w:tcPr>
            <w:tcW w:w="400" w:type="dxa"/>
            <w:vAlign w:val="bottom"/>
          </w:tcPr>
          <w:p>
            <w:pPr>
              <w:spacing w:after="0"/>
              <w:rPr>
                <w:sz w:val="19"/>
                <w:szCs w:val="19"/>
                <w:color w:val="auto"/>
              </w:rPr>
            </w:pPr>
          </w:p>
        </w:tc>
        <w:tc>
          <w:tcPr>
            <w:tcW w:w="1940" w:type="dxa"/>
            <w:vAlign w:val="bottom"/>
            <w:gridSpan w:val="4"/>
          </w:tcPr>
          <w:p>
            <w:pPr>
              <w:jc w:val="center"/>
              <w:ind w:left="35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109,000,000</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month of July 2007 includes 3,091 shares that vested under the stock compensation plan for our outside directors. Included in this amount are the vesting of 320 shares of awards previously granted and 2,771 dividend equivalent shares that vest as they are granted (as dividends are declared).</w:t>
      </w:r>
    </w:p>
    <w:p>
      <w:pPr>
        <w:spacing w:after="0" w:line="3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month of August 2007 includes a repurchase of 1,903,201 shares of our Class A nonvoting common stock from the F. William Hirt 2004 Revocable Trust for $99.0 million, or $52.04 per share. Included in this purchase was 1,855,201 shares of Class A nonvoting common stock and 20 shares of Class B voting common stock that were converted to 48,000 Class A shares prior to the sale to us. This purchase was authorized by our Board of Directors separate from our current stock repurchase program. Mr. Hirt was a Director and Chairman of the Board of the Company until his death on July 13, 2007.</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September 2007, our Board of Directors approved a continuation of the stock repurchase program for an additional $100 million authorizing repurchases through December 31,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II. OTHER INFORMATION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10.94*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Compensation and Benefits Arrangement for John J. Brinling, Jr., effective October 11, 2007</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Such exhibit is incorporated by reference to the like titled exhibit in our Form 8-K/A that was filed with the Commission on October 17, 2007.</w:t>
      </w:r>
    </w:p>
    <w:p>
      <w:pPr>
        <w:spacing w:after="0" w:line="196"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jc w:val="center"/>
        <w:ind w:left="3700"/>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left="376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October 31,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J. Brinling, Jr.</w:t>
            </w: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John J. Brinling, Jr., President &amp; CEO</w:t>
            </w:r>
          </w:p>
        </w:tc>
      </w:tr>
      <w:tr>
        <w:trPr>
          <w:trHeight w:val="634"/>
        </w:trPr>
        <w:tc>
          <w:tcPr>
            <w:tcW w:w="550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Garcia</w:t>
            </w: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Philip A. Garcia, Executive Vice President &amp; CFO</w:t>
            </w:r>
          </w:p>
        </w:tc>
      </w:tr>
      <w:tr>
        <w:trPr>
          <w:trHeight w:val="607"/>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220"/>
          </w:cols>
          <w:pgMar w:left="240" w:top="419" w:right="439" w:bottom="1440" w:gutter="0" w:footer="0" w:header="0"/>
        </w:sectPr>
      </w:pPr>
    </w:p>
    <w:bookmarkStart w:id="45" w:name="page46"/>
    <w:bookmarkEnd w:id="45"/>
    <w:p>
      <w:pPr>
        <w:ind w:left="5180"/>
        <w:spacing w:after="0"/>
        <w:rPr>
          <w:sz w:val="20"/>
          <w:szCs w:val="20"/>
          <w:color w:val="auto"/>
        </w:rPr>
      </w:pPr>
      <w:r>
        <w:rPr>
          <w:rFonts w:ascii="Arial" w:cs="Arial" w:eastAsia="Arial" w:hAnsi="Arial"/>
          <w:sz w:val="18"/>
          <w:szCs w:val="18"/>
          <w:color w:val="auto"/>
        </w:rPr>
        <w:t>EXHIBIT 31.1</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J. Brinling, Jr., Chief Executive Officer of Erie Indemnity Company, certify that:</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30" w:lineRule="exact"/>
        <w:rPr>
          <w:rFonts w:ascii="Arial" w:cs="Arial" w:eastAsia="Arial" w:hAnsi="Arial"/>
          <w:sz w:val="18"/>
          <w:szCs w:val="18"/>
          <w:color w:val="auto"/>
        </w:rPr>
      </w:pPr>
    </w:p>
    <w:p>
      <w:pPr>
        <w:jc w:val="both"/>
        <w:ind w:left="660" w:right="22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180" w:hanging="436"/>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13a-15(f) and 15d-15(f)) for the registrant and have:</w:t>
      </w:r>
    </w:p>
    <w:p>
      <w:pPr>
        <w:spacing w:after="0" w:line="73" w:lineRule="exact"/>
        <w:rPr>
          <w:rFonts w:ascii="Arial" w:cs="Arial" w:eastAsia="Arial" w:hAnsi="Arial"/>
          <w:sz w:val="18"/>
          <w:szCs w:val="18"/>
          <w:color w:val="auto"/>
        </w:rPr>
      </w:pPr>
    </w:p>
    <w:p>
      <w:pPr>
        <w:ind w:left="1120" w:right="20" w:hanging="437"/>
        <w:spacing w:after="0" w:line="264"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340" w:hanging="437"/>
        <w:spacing w:after="0" w:line="264"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00" w:hanging="437"/>
        <w:spacing w:after="0" w:line="342" w:lineRule="auto"/>
        <w:tabs>
          <w:tab w:leader="none" w:pos="11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20" w:hanging="437"/>
        <w:spacing w:after="0" w:line="264"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1120" w:right="700" w:hanging="437"/>
        <w:spacing w:after="0" w:line="342" w:lineRule="auto"/>
        <w:tabs>
          <w:tab w:leader="none" w:pos="11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440" w:hanging="437"/>
        <w:spacing w:after="0" w:line="277"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J. Brinling, Jr.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J. Brinling, Jr.,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962" w:right="299" w:bottom="1440" w:gutter="0" w:footer="0" w:header="0"/>
        </w:sectPr>
      </w:pPr>
    </w:p>
    <w:bookmarkStart w:id="46" w:name="page47"/>
    <w:bookmarkEnd w:id="46"/>
    <w:p>
      <w:pPr>
        <w:spacing w:after="0" w:line="3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Philip A. Garcia, Chief Financial Officer of Erie Indemnity Company, certify that:</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30" w:lineRule="exact"/>
        <w:rPr>
          <w:rFonts w:ascii="Arial" w:cs="Arial" w:eastAsia="Arial" w:hAnsi="Arial"/>
          <w:sz w:val="18"/>
          <w:szCs w:val="18"/>
          <w:color w:val="auto"/>
        </w:rPr>
      </w:pPr>
    </w:p>
    <w:p>
      <w:pPr>
        <w:jc w:val="both"/>
        <w:ind w:left="660" w:right="220" w:hanging="436"/>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180" w:hanging="436"/>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hanging="436"/>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13a-15(f) and 15d-15(f)) for the registrant and have:</w:t>
      </w:r>
    </w:p>
    <w:p>
      <w:pPr>
        <w:spacing w:after="0" w:line="73" w:lineRule="exact"/>
        <w:rPr>
          <w:rFonts w:ascii="Arial" w:cs="Arial" w:eastAsia="Arial" w:hAnsi="Arial"/>
          <w:sz w:val="18"/>
          <w:szCs w:val="18"/>
          <w:color w:val="auto"/>
        </w:rPr>
      </w:pPr>
    </w:p>
    <w:p>
      <w:pPr>
        <w:ind w:left="1120" w:right="2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34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00" w:hanging="437"/>
        <w:spacing w:after="0" w:line="342"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2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1120" w:right="700" w:hanging="437"/>
        <w:spacing w:after="0" w:line="342"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440" w:hanging="437"/>
        <w:spacing w:after="0" w:line="277"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Philip A. Garcia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Philip A. Garcia, Executive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440" w:right="299" w:bottom="1440" w:gutter="0" w:footer="0" w:header="0"/>
        </w:sectPr>
      </w:pPr>
    </w:p>
    <w:bookmarkStart w:id="47" w:name="page48"/>
    <w:bookmarkEnd w:id="47"/>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32</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John J. Brinling, Jr., Chief Executive Officer of the Company, and Philip A. Garcia, Chief Financial Officer of the Company, certify, pursuant to § 906 of the Sarbanes-Oxley Act of 2002, 18 U.S.C. § 1350, that:</w:t>
      </w:r>
    </w:p>
    <w:p>
      <w:pPr>
        <w:spacing w:after="0" w:line="62" w:lineRule="exact"/>
        <w:rPr>
          <w:sz w:val="20"/>
          <w:szCs w:val="20"/>
          <w:color w:val="auto"/>
        </w:rPr>
      </w:pPr>
    </w:p>
    <w:p>
      <w:pPr>
        <w:ind w:left="660" w:right="860" w:hanging="43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September 30, 2007 (the “Report”) fully complies with the requirements of section 13(a) or 15(d) of the Securities Exchange Act of 1934 (15 U.S.C. 78m);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J. Brinling,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J. Brinling,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Philip A. Garcia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lvl w:ilvl="1">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2019-12-14T03:06:26Z</dcterms:created>
  <dcterms:modified xsi:type="dcterms:W3CDTF">2019-12-14T03:06:26Z</dcterms:modified>
</cp:coreProperties>
</file>