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93969.xml.htm"/>
      <w:bookmarkStart w:id="1" w:name="kswkform4_17925939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CONNELL EUGENE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785 HUNTINGTON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796"/>
        <w:gridCol w:w="449"/>
        <w:gridCol w:w="611"/>
        <w:gridCol w:w="1359"/>
        <w:gridCol w:w="991"/>
        <w:gridCol w:w="106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2,462.602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Children</w:t>
            </w:r>
            <w:r>
              <w:rPr>
                <w:rFonts w:ascii="Times;serif" w:hAnsi="Times;serif"/>
                <w:color w:val="008000"/>
                <w:position w:val="7"/>
                <w:sz w:val="16"/>
                <w:sz w:val="20"/>
                <w:shd w:fill="FFFFFF" w:val="clear"/>
              </w:rPr>
              <w:t>(1)</w:t>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17,433.246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1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501"/>
        <w:gridCol w:w="300"/>
        <w:gridCol w:w="906"/>
        <w:gridCol w:w="801"/>
        <w:gridCol w:w="891"/>
        <w:gridCol w:w="636"/>
        <w:gridCol w:w="816"/>
        <w:gridCol w:w="936"/>
        <w:gridCol w:w="831"/>
        <w:gridCol w:w="846"/>
      </w:tblGrid>
      <w:tr>
        <w:trPr>
          <w:tblHeader w:val="true"/>
        </w:trPr>
        <w:tc>
          <w:tcPr>
            <w:tcW w:w="122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21.7</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3,475.83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held by Reporting Person's children living in his household. The Reporting Person disclaims beneficial ownership of these reported securities, therefore this report shall not be deemed an admission that the Reporting Person is the beneficial owner of such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711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4033</Characters>
  <CharactersWithSpaces>4690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