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7643690.xml.htm"/>
      <w:bookmarkStart w:id="1" w:name="kswkform4_177764369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DaBreo Anthony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 ERIE INSURANCE PLACE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ERIE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16530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ERIE INDEMNITY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ERIE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Senior Vice President, Life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04/30/2026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4"/>
        <w:gridCol w:w="900"/>
        <w:gridCol w:w="771"/>
        <w:gridCol w:w="598"/>
        <w:gridCol w:w="345"/>
        <w:gridCol w:w="835"/>
        <w:gridCol w:w="447"/>
        <w:gridCol w:w="835"/>
        <w:gridCol w:w="1267"/>
        <w:gridCol w:w="987"/>
        <w:gridCol w:w="91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1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6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6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9.501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218.93</w:t>
            </w:r>
            <w:r>
              <w:rPr/>
              <w:t xml:space="preserve"> </w:t>
            </w:r>
          </w:p>
        </w:tc>
        <w:tc>
          <w:tcPr>
            <w:tcW w:w="12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1,374.054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Participant directed transaction under 401(k) Plan.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Rebecca A. Buona,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34398" TargetMode="External"/><Relationship Id="rId5" Type="http://schemas.openxmlformats.org/officeDocument/2006/relationships/hyperlink" Target="http://www.sec.gov/cgi-bin/browse-edgar?action=getcompany&amp;CIK=000092262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572</Words>
  <Characters>3115</Characters>
  <CharactersWithSpaces>3627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