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97"/>
        <w:spacing w:after="0"/>
        <w:rPr>
          <w:sz w:val="20"/>
          <w:szCs w:val="20"/>
          <w:color w:val="auto"/>
        </w:rPr>
      </w:pPr>
      <w:r>
        <w:rPr>
          <w:rFonts w:ascii="Courier New" w:cs="Courier New" w:eastAsia="Courier New" w:hAnsi="Courier New"/>
          <w:sz w:val="16"/>
          <w:szCs w:val="16"/>
          <w:color w:val="auto"/>
        </w:rPr>
        <w:t>FORM 10-Q</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jc w:val="center"/>
        <w:ind w:right="2497"/>
        <w:spacing w:after="0"/>
        <w:rPr>
          <w:sz w:val="20"/>
          <w:szCs w:val="20"/>
          <w:color w:val="auto"/>
        </w:rPr>
      </w:pPr>
      <w:r>
        <w:rPr>
          <w:rFonts w:ascii="Courier New" w:cs="Courier New" w:eastAsia="Courier New" w:hAnsi="Courier New"/>
          <w:sz w:val="16"/>
          <w:szCs w:val="16"/>
          <w:color w:val="auto"/>
        </w:rPr>
        <w:t>QUARTERLY REPORT UNDER SECTION 13 OR 15(d) OF</w:t>
      </w:r>
    </w:p>
    <w:p>
      <w:pPr>
        <w:spacing w:after="0" w:line="2" w:lineRule="exact"/>
        <w:rPr>
          <w:sz w:val="24"/>
          <w:szCs w:val="24"/>
          <w:color w:val="auto"/>
        </w:rPr>
      </w:pPr>
    </w:p>
    <w:p>
      <w:pPr>
        <w:jc w:val="center"/>
        <w:ind w:right="2497"/>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For quarter ended March 31, 2001</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Commission file number 0-24000</w:t>
      </w:r>
    </w:p>
    <w:p>
      <w:pPr>
        <w:spacing w:after="0" w:line="369" w:lineRule="exact"/>
        <w:rPr>
          <w:sz w:val="24"/>
          <w:szCs w:val="24"/>
          <w:color w:val="auto"/>
        </w:rPr>
      </w:pPr>
    </w:p>
    <w:p>
      <w:pPr>
        <w:jc w:val="center"/>
        <w:ind w:right="2397"/>
        <w:spacing w:after="0"/>
        <w:rPr>
          <w:sz w:val="20"/>
          <w:szCs w:val="20"/>
          <w:color w:val="auto"/>
        </w:rPr>
      </w:pPr>
      <w:r>
        <w:rPr>
          <w:rFonts w:ascii="Courier New" w:cs="Courier New" w:eastAsia="Courier New" w:hAnsi="Courier New"/>
          <w:sz w:val="16"/>
          <w:szCs w:val="16"/>
          <w:color w:val="auto"/>
        </w:rPr>
        <w:t>ERIE INDEMNITY COMPANY</w:t>
      </w:r>
    </w:p>
    <w:p>
      <w:pPr>
        <w:spacing w:after="0" w:line="5" w:lineRule="exact"/>
        <w:rPr>
          <w:sz w:val="24"/>
          <w:szCs w:val="24"/>
          <w:color w:val="auto"/>
        </w:rPr>
      </w:pPr>
    </w:p>
    <w:p>
      <w:pPr>
        <w:ind w:left="182"/>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ind w:left="1622"/>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1"/>
          </w:cols>
          <w:pgMar w:left="238" w:top="1154" w:right="1440" w:bottom="0" w:gutter="0" w:footer="0" w:header="0"/>
        </w:sectPr>
      </w:pPr>
    </w:p>
    <w:p>
      <w:pPr>
        <w:spacing w:after="0" w:line="186" w:lineRule="exact"/>
        <w:rPr>
          <w:sz w:val="24"/>
          <w:szCs w:val="24"/>
          <w:color w:val="auto"/>
        </w:rPr>
      </w:pPr>
    </w:p>
    <w:p>
      <w:pPr>
        <w:ind w:left="1242"/>
        <w:spacing w:after="0"/>
        <w:rPr>
          <w:sz w:val="20"/>
          <w:szCs w:val="20"/>
          <w:color w:val="auto"/>
        </w:rPr>
      </w:pPr>
      <w:r>
        <w:rPr>
          <w:rFonts w:ascii="Courier New" w:cs="Courier New" w:eastAsia="Courier New" w:hAnsi="Courier New"/>
          <w:sz w:val="16"/>
          <w:szCs w:val="16"/>
          <w:color w:val="auto"/>
        </w:rPr>
        <w:t>PENNSYLVANIA</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4"/>
          <w:szCs w:val="24"/>
          <w:color w:val="auto"/>
        </w:rPr>
      </w:pPr>
    </w:p>
    <w:p>
      <w:pPr>
        <w:ind w:left="182"/>
        <w:spacing w:after="0"/>
        <w:rPr>
          <w:sz w:val="20"/>
          <w:szCs w:val="20"/>
          <w:color w:val="auto"/>
        </w:rPr>
      </w:pPr>
      <w:r>
        <w:rPr>
          <w:rFonts w:ascii="Courier New" w:cs="Courier New" w:eastAsia="Courier New" w:hAnsi="Courier New"/>
          <w:sz w:val="16"/>
          <w:szCs w:val="16"/>
          <w:color w:val="auto"/>
        </w:rPr>
        <w:t>(State or other jurisdiction of</w:t>
      </w:r>
    </w:p>
    <w:p>
      <w:pPr>
        <w:spacing w:after="0" w:line="2" w:lineRule="exact"/>
        <w:rPr>
          <w:sz w:val="24"/>
          <w:szCs w:val="24"/>
          <w:color w:val="auto"/>
        </w:rPr>
      </w:pPr>
    </w:p>
    <w:p>
      <w:pPr>
        <w:ind w:left="182"/>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760"/>
        <w:spacing w:after="0"/>
        <w:rPr>
          <w:sz w:val="20"/>
          <w:szCs w:val="20"/>
          <w:color w:val="auto"/>
        </w:rPr>
      </w:pPr>
      <w:r>
        <w:rPr>
          <w:rFonts w:ascii="Courier New" w:cs="Courier New" w:eastAsia="Courier New" w:hAnsi="Courier New"/>
          <w:sz w:val="16"/>
          <w:szCs w:val="16"/>
          <w:color w:val="auto"/>
        </w:rPr>
        <w:t>25-0466020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(I.R.S. Employer</w:t>
      </w:r>
    </w:p>
    <w:p>
      <w:pPr>
        <w:spacing w:after="0" w:line="2"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042" w:space="720"/>
            <w:col w:w="5459"/>
          </w:cols>
          <w:pgMar w:left="238" w:top="1154" w:right="1440" w:bottom="0" w:gutter="0" w:footer="0" w:header="0"/>
          <w:type w:val="continuous"/>
        </w:sectPr>
      </w:pPr>
    </w:p>
    <w:p>
      <w:pPr>
        <w:spacing w:after="0" w:line="169"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100 Erie Insurance Place, Erie, Pennsylvania</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4"/>
          <w:szCs w:val="24"/>
          <w:color w:val="auto"/>
        </w:rPr>
      </w:pPr>
    </w:p>
    <w:p>
      <w:pPr>
        <w:ind w:left="182"/>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16530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(Zip Code)</w:t>
      </w:r>
    </w:p>
    <w:p>
      <w:pPr>
        <w:spacing w:after="0" w:line="186" w:lineRule="exact"/>
        <w:rPr>
          <w:sz w:val="24"/>
          <w:szCs w:val="24"/>
          <w:color w:val="auto"/>
        </w:rPr>
      </w:pPr>
    </w:p>
    <w:p>
      <w:pPr>
        <w:sectPr>
          <w:pgSz w:w="11900" w:h="16838" w:orient="portrait"/>
          <w:cols w:equalWidth="0" w:num="2">
            <w:col w:w="4622" w:space="720"/>
            <w:col w:w="4879"/>
          </w:cols>
          <w:pgMar w:left="238" w:top="1154" w:right="1440" w:bottom="0" w:gutter="0" w:footer="0" w:header="0"/>
          <w:type w:val="continuous"/>
        </w:sectPr>
      </w:pPr>
    </w:p>
    <w:p>
      <w:pPr>
        <w:ind w:left="3342" w:hanging="576"/>
        <w:spacing w:after="0"/>
        <w:tabs>
          <w:tab w:leader="none" w:pos="334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870-2000</w:t>
      </w:r>
    </w:p>
    <w:p>
      <w:pPr>
        <w:spacing w:after="0" w:line="5"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1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Registrant's telephone number, including area code</w:t>
      </w:r>
    </w:p>
    <w:p>
      <w:pPr>
        <w:spacing w:after="0" w:line="369" w:lineRule="exact"/>
        <w:rPr>
          <w:sz w:val="24"/>
          <w:szCs w:val="24"/>
          <w:color w:val="auto"/>
        </w:rPr>
      </w:pPr>
    </w:p>
    <w:p>
      <w:pPr>
        <w:ind w:left="2662"/>
        <w:spacing w:after="0"/>
        <w:tabs>
          <w:tab w:leader="none" w:pos="3122" w:val="left"/>
        </w:tabs>
        <w:rPr>
          <w:sz w:val="20"/>
          <w:szCs w:val="20"/>
          <w:color w:val="auto"/>
        </w:rPr>
      </w:pPr>
      <w:r>
        <w:rPr>
          <w:rFonts w:ascii="Courier New" w:cs="Courier New" w:eastAsia="Courier New" w:hAnsi="Courier New"/>
          <w:sz w:val="16"/>
          <w:szCs w:val="16"/>
          <w:color w:val="auto"/>
        </w:rPr>
        <w:t>Not</w:t>
        <w:tab/>
        <w:t>applicable</w:t>
      </w:r>
    </w:p>
    <w:p>
      <w:pPr>
        <w:spacing w:after="0" w:line="5" w:lineRule="exact"/>
        <w:rPr>
          <w:sz w:val="24"/>
          <w:szCs w:val="24"/>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Former name, former address and former fiscal year, if changed since last report</w:t>
      </w:r>
    </w:p>
    <w:p>
      <w:pPr>
        <w:spacing w:after="0" w:line="188" w:lineRule="exact"/>
        <w:rPr>
          <w:sz w:val="24"/>
          <w:szCs w:val="24"/>
          <w:color w:val="auto"/>
        </w:rPr>
      </w:pPr>
    </w:p>
    <w:p>
      <w:pPr>
        <w:jc w:val="both"/>
        <w:ind w:left="482" w:right="2599"/>
        <w:spacing w:after="0" w:line="241"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 Yes X No___</w:t>
      </w:r>
    </w:p>
    <w:p>
      <w:pPr>
        <w:spacing w:after="0" w:line="190" w:lineRule="exact"/>
        <w:rPr>
          <w:sz w:val="24"/>
          <w:szCs w:val="24"/>
          <w:color w:val="auto"/>
        </w:rPr>
      </w:pPr>
    </w:p>
    <w:p>
      <w:pPr>
        <w:jc w:val="both"/>
        <w:ind w:left="482" w:right="2599"/>
        <w:spacing w:after="0" w:line="239"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practical date.</w:t>
      </w:r>
    </w:p>
    <w:p>
      <w:pPr>
        <w:spacing w:after="0" w:line="186" w:lineRule="exact"/>
        <w:rPr>
          <w:sz w:val="24"/>
          <w:szCs w:val="24"/>
          <w:color w:val="auto"/>
        </w:rPr>
      </w:pPr>
    </w:p>
    <w:tbl>
      <w:tblPr>
        <w:tblLayout w:type="fixed"/>
        <w:tblInd w:w="482" w:type="dxa"/>
        <w:tblCellMar>
          <w:top w:w="0" w:type="dxa"/>
          <w:left w:w="0" w:type="dxa"/>
          <w:bottom w:w="0" w:type="dxa"/>
          <w:right w:w="0" w:type="dxa"/>
        </w:tblCellMar>
      </w:tblPr>
      <w:tr>
        <w:trPr>
          <w:trHeight w:val="181"/>
        </w:trPr>
        <w:tc>
          <w:tcPr>
            <w:tcW w:w="2000" w:type="dxa"/>
            <w:vAlign w:val="bottom"/>
          </w:tcPr>
          <w:p>
            <w:pPr>
              <w:ind w:left="1240"/>
              <w:spacing w:after="0"/>
              <w:rPr>
                <w:sz w:val="20"/>
                <w:szCs w:val="20"/>
                <w:color w:val="auto"/>
              </w:rPr>
            </w:pPr>
            <w:r>
              <w:rPr>
                <w:rFonts w:ascii="Courier New" w:cs="Courier New" w:eastAsia="Courier New" w:hAnsi="Courier New"/>
                <w:sz w:val="16"/>
                <w:szCs w:val="16"/>
                <w:color w:val="auto"/>
              </w:rPr>
              <w:t>Class</w:t>
            </w:r>
          </w:p>
        </w:tc>
        <w:tc>
          <w:tcPr>
            <w:tcW w:w="15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 Common Stock,</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no</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par value,</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with a</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stated value of</w:t>
            </w:r>
          </w:p>
        </w:tc>
      </w:tr>
      <w:tr>
        <w:trPr>
          <w:trHeight w:val="183"/>
        </w:trPr>
        <w:tc>
          <w:tcPr>
            <w:tcW w:w="2000" w:type="dxa"/>
            <w:vAlign w:val="bottom"/>
          </w:tcPr>
          <w:p>
            <w:pPr>
              <w:spacing w:after="0"/>
              <w:rPr>
                <w:sz w:val="15"/>
                <w:szCs w:val="15"/>
                <w:color w:val="auto"/>
              </w:rPr>
            </w:pPr>
          </w:p>
        </w:tc>
        <w:tc>
          <w:tcPr>
            <w:tcW w:w="186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$.0292 per share--</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71,399,223</w:t>
            </w:r>
          </w:p>
        </w:tc>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shares as  of April 19,</w:t>
            </w:r>
          </w:p>
        </w:tc>
      </w:tr>
      <w:tr>
        <w:trPr>
          <w:trHeight w:val="183"/>
        </w:trPr>
        <w:tc>
          <w:tcPr>
            <w:tcW w:w="200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2001.</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67"/>
        </w:trPr>
        <w:tc>
          <w:tcPr>
            <w:tcW w:w="2000" w:type="dxa"/>
            <w:vAlign w:val="bottom"/>
          </w:tcPr>
          <w:p>
            <w:pPr>
              <w:ind w:left="1240"/>
              <w:spacing w:after="0"/>
              <w:rPr>
                <w:sz w:val="20"/>
                <w:szCs w:val="20"/>
                <w:color w:val="auto"/>
              </w:rPr>
            </w:pPr>
            <w:r>
              <w:rPr>
                <w:rFonts w:ascii="Courier New" w:cs="Courier New" w:eastAsia="Courier New" w:hAnsi="Courier New"/>
                <w:sz w:val="16"/>
                <w:szCs w:val="16"/>
                <w:color w:val="auto"/>
              </w:rPr>
              <w:t>Class</w:t>
            </w:r>
          </w:p>
        </w:tc>
        <w:tc>
          <w:tcPr>
            <w:tcW w:w="15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 Common Stock,</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no</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par value,</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with a</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stated value of</w:t>
            </w:r>
          </w:p>
        </w:tc>
      </w:tr>
      <w:tr>
        <w:trPr>
          <w:trHeight w:val="183"/>
        </w:trPr>
        <w:tc>
          <w:tcPr>
            <w:tcW w:w="200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Courier New" w:cs="Courier New" w:eastAsia="Courier New" w:hAnsi="Courier New"/>
                <w:sz w:val="16"/>
                <w:szCs w:val="16"/>
                <w:color w:val="auto"/>
              </w:rPr>
              <w:t>$70</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per share--</w:t>
            </w:r>
          </w:p>
        </w:tc>
        <w:tc>
          <w:tcPr>
            <w:tcW w:w="20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3,070 shares as April</w:t>
            </w:r>
          </w:p>
        </w:tc>
        <w:tc>
          <w:tcPr>
            <w:tcW w:w="14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19, 2001.</w:t>
            </w:r>
          </w:p>
        </w:tc>
      </w:tr>
      <w:tr>
        <w:trPr>
          <w:trHeight w:val="367"/>
        </w:trPr>
        <w:tc>
          <w:tcPr>
            <w:tcW w:w="2420" w:type="dxa"/>
            <w:vAlign w:val="bottom"/>
            <w:gridSpan w:val="2"/>
          </w:tcPr>
          <w:p>
            <w:pPr>
              <w:spacing w:after="0"/>
              <w:rPr>
                <w:sz w:val="20"/>
                <w:szCs w:val="20"/>
                <w:color w:val="auto"/>
              </w:rPr>
            </w:pPr>
            <w:r>
              <w:rPr>
                <w:rFonts w:ascii="Courier New" w:cs="Courier New" w:eastAsia="Courier New" w:hAnsi="Courier New"/>
                <w:sz w:val="16"/>
                <w:szCs w:val="16"/>
                <w:color w:val="auto"/>
                <w:w w:val="99"/>
              </w:rPr>
              <w:t>The  common  stock is the</w:t>
            </w:r>
          </w:p>
        </w:tc>
        <w:tc>
          <w:tcPr>
            <w:tcW w:w="2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only  class of stock the</w:t>
            </w:r>
          </w:p>
        </w:tc>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Registrant is presently</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authorized to issue.</w:t>
            </w: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3622"/>
        <w:spacing w:after="0"/>
        <w:rPr>
          <w:sz w:val="20"/>
          <w:szCs w:val="20"/>
          <w:color w:val="auto"/>
        </w:rPr>
      </w:pPr>
      <w:r>
        <w:rPr>
          <w:rFonts w:ascii="Courier New" w:cs="Courier New" w:eastAsia="Courier New" w:hAnsi="Courier New"/>
          <w:sz w:val="16"/>
          <w:szCs w:val="16"/>
          <w:color w:val="auto"/>
        </w:rPr>
        <w:t>INDEX</w:t>
      </w:r>
    </w:p>
    <w:p>
      <w:pPr>
        <w:spacing w:after="0" w:line="186"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ERIE INDEMNITY COMPANY</w:t>
      </w:r>
    </w:p>
    <w:p>
      <w:pPr>
        <w:spacing w:after="0" w:line="369"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PART I. FINANCIAL INFORMATION</w:t>
      </w:r>
    </w:p>
    <w:p>
      <w:pPr>
        <w:spacing w:after="0" w:line="186" w:lineRule="exact"/>
        <w:rPr>
          <w:sz w:val="24"/>
          <w:szCs w:val="24"/>
          <w:color w:val="auto"/>
        </w:rPr>
      </w:pPr>
    </w:p>
    <w:p>
      <w:pPr>
        <w:ind w:left="2"/>
        <w:spacing w:after="0"/>
        <w:tabs>
          <w:tab w:leader="none" w:pos="1022"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 (Unaudited)</w:t>
      </w:r>
    </w:p>
    <w:p>
      <w:pPr>
        <w:spacing w:after="0" w:line="188" w:lineRule="exact"/>
        <w:rPr>
          <w:sz w:val="24"/>
          <w:szCs w:val="24"/>
          <w:color w:val="auto"/>
        </w:rPr>
      </w:pPr>
    </w:p>
    <w:p>
      <w:pPr>
        <w:ind w:left="1042" w:right="2599"/>
        <w:spacing w:after="0" w:line="239" w:lineRule="auto"/>
        <w:rPr>
          <w:sz w:val="20"/>
          <w:szCs w:val="20"/>
          <w:color w:val="auto"/>
        </w:rPr>
      </w:pPr>
      <w:r>
        <w:rPr>
          <w:rFonts w:ascii="Courier New" w:cs="Courier New" w:eastAsia="Courier New" w:hAnsi="Courier New"/>
          <w:sz w:val="16"/>
          <w:szCs w:val="16"/>
          <w:color w:val="auto"/>
        </w:rPr>
        <w:t>Consolidated Statements of Financial Position--March 31, 2001 and December 31, 2000</w:t>
      </w:r>
    </w:p>
    <w:p>
      <w:pPr>
        <w:spacing w:after="0" w:line="189" w:lineRule="exact"/>
        <w:rPr>
          <w:sz w:val="24"/>
          <w:szCs w:val="24"/>
          <w:color w:val="auto"/>
        </w:rPr>
      </w:pPr>
    </w:p>
    <w:p>
      <w:pPr>
        <w:ind w:left="1042" w:right="2599"/>
        <w:spacing w:after="0" w:line="239" w:lineRule="auto"/>
        <w:rPr>
          <w:sz w:val="20"/>
          <w:szCs w:val="20"/>
          <w:color w:val="auto"/>
        </w:rPr>
      </w:pPr>
      <w:r>
        <w:rPr>
          <w:rFonts w:ascii="Courier New" w:cs="Courier New" w:eastAsia="Courier New" w:hAnsi="Courier New"/>
          <w:sz w:val="16"/>
          <w:szCs w:val="16"/>
          <w:color w:val="auto"/>
        </w:rPr>
        <w:t>Consolidated Statements of Operations--Three months ended March 31, 2001 and 2000</w:t>
      </w:r>
    </w:p>
    <w:p>
      <w:pPr>
        <w:spacing w:after="0" w:line="189" w:lineRule="exact"/>
        <w:rPr>
          <w:sz w:val="24"/>
          <w:szCs w:val="24"/>
          <w:color w:val="auto"/>
        </w:rPr>
      </w:pPr>
    </w:p>
    <w:p>
      <w:pPr>
        <w:ind w:left="1042" w:right="2599"/>
        <w:spacing w:after="0" w:line="239" w:lineRule="auto"/>
        <w:rPr>
          <w:sz w:val="20"/>
          <w:szCs w:val="20"/>
          <w:color w:val="auto"/>
        </w:rPr>
      </w:pPr>
      <w:r>
        <w:rPr>
          <w:rFonts w:ascii="Courier New" w:cs="Courier New" w:eastAsia="Courier New" w:hAnsi="Courier New"/>
          <w:sz w:val="16"/>
          <w:szCs w:val="16"/>
          <w:color w:val="auto"/>
        </w:rPr>
        <w:t>Consolidated Statements of Comprehensive Income--Three months ended March 31, 2001 and 2000</w:t>
      </w:r>
    </w:p>
    <w:p>
      <w:pPr>
        <w:spacing w:after="0" w:line="189" w:lineRule="exact"/>
        <w:rPr>
          <w:sz w:val="24"/>
          <w:szCs w:val="24"/>
          <w:color w:val="auto"/>
        </w:rPr>
      </w:pPr>
    </w:p>
    <w:p>
      <w:pPr>
        <w:ind w:left="1042" w:right="2599"/>
        <w:spacing w:after="0" w:line="239" w:lineRule="auto"/>
        <w:rPr>
          <w:sz w:val="20"/>
          <w:szCs w:val="20"/>
          <w:color w:val="auto"/>
        </w:rPr>
      </w:pPr>
      <w:r>
        <w:rPr>
          <w:rFonts w:ascii="Courier New" w:cs="Courier New" w:eastAsia="Courier New" w:hAnsi="Courier New"/>
          <w:sz w:val="16"/>
          <w:szCs w:val="16"/>
          <w:color w:val="auto"/>
        </w:rPr>
        <w:t>Consolidated Statements of Cash Flows--Three months ended March 31, 2001 and 2000</w:t>
      </w:r>
    </w:p>
    <w:p>
      <w:pPr>
        <w:spacing w:after="0" w:line="186" w:lineRule="exact"/>
        <w:rPr>
          <w:sz w:val="24"/>
          <w:szCs w:val="24"/>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Statements--March 31, 2001</w:t>
      </w:r>
    </w:p>
    <w:p>
      <w:pPr>
        <w:spacing w:after="0" w:line="186" w:lineRule="exact"/>
        <w:rPr>
          <w:sz w:val="24"/>
          <w:szCs w:val="24"/>
          <w:color w:val="auto"/>
        </w:rPr>
      </w:pPr>
    </w:p>
    <w:p>
      <w:pPr>
        <w:ind w:left="2"/>
        <w:spacing w:after="0"/>
        <w:tabs>
          <w:tab w:leader="none" w:pos="1022"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 and</w:t>
      </w:r>
    </w:p>
    <w:p>
      <w:pPr>
        <w:sectPr>
          <w:pgSz w:w="11900" w:h="16838" w:orient="portrait"/>
          <w:cols w:equalWidth="0" w:num="1">
            <w:col w:w="10221"/>
          </w:cols>
          <w:pgMar w:left="238" w:top="1154" w:right="1440" w:bottom="0" w:gutter="0" w:footer="0" w:header="0"/>
          <w:type w:val="continuous"/>
        </w:sectPr>
      </w:pPr>
    </w:p>
    <w:bookmarkStart w:id="1" w:name="page2"/>
    <w:bookmarkEnd w:id="1"/>
    <w:p>
      <w:pPr>
        <w:ind w:left="1040"/>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Quantitative and Qualitative Disclosures About Market Risk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0" w:type="dxa"/>
            <w:vAlign w:val="bottom"/>
            <w:gridSpan w:val="2"/>
          </w:tcPr>
          <w:p>
            <w:pPr>
              <w:spacing w:after="0"/>
              <w:rPr>
                <w:sz w:val="20"/>
                <w:szCs w:val="20"/>
                <w:color w:val="auto"/>
              </w:rPr>
            </w:pPr>
            <w:r>
              <w:rPr>
                <w:rFonts w:ascii="Courier New" w:cs="Courier New" w:eastAsia="Courier New" w:hAnsi="Courier New"/>
                <w:sz w:val="16"/>
                <w:szCs w:val="16"/>
                <w:color w:val="auto"/>
              </w:rPr>
              <w:t>Item 1.</w:t>
            </w:r>
          </w:p>
        </w:tc>
        <w:tc>
          <w:tcPr>
            <w:tcW w:w="5200" w:type="dxa"/>
            <w:vAlign w:val="bottom"/>
          </w:tcPr>
          <w:p>
            <w:pPr>
              <w:ind w:left="140"/>
              <w:spacing w:after="0"/>
              <w:rPr>
                <w:sz w:val="20"/>
                <w:szCs w:val="20"/>
                <w:color w:val="auto"/>
              </w:rPr>
            </w:pPr>
            <w:r>
              <w:rPr>
                <w:rFonts w:ascii="Courier New" w:cs="Courier New" w:eastAsia="Courier New" w:hAnsi="Courier New"/>
                <w:sz w:val="16"/>
                <w:szCs w:val="16"/>
                <w:color w:val="auto"/>
              </w:rPr>
              <w:t>Legal Proceedings</w:t>
            </w:r>
          </w:p>
        </w:tc>
      </w:tr>
      <w:tr>
        <w:trPr>
          <w:trHeight w:val="183"/>
        </w:trPr>
        <w:tc>
          <w:tcPr>
            <w:tcW w:w="42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6.</w:t>
            </w:r>
          </w:p>
        </w:tc>
        <w:tc>
          <w:tcPr>
            <w:tcW w:w="5200" w:type="dxa"/>
            <w:vAlign w:val="bottom"/>
          </w:tcPr>
          <w:p>
            <w:pPr>
              <w:ind w:left="140"/>
              <w:spacing w:after="0"/>
              <w:rPr>
                <w:sz w:val="20"/>
                <w:szCs w:val="20"/>
                <w:color w:val="auto"/>
              </w:rPr>
            </w:pPr>
            <w:r>
              <w:rPr>
                <w:rFonts w:ascii="Courier New" w:cs="Courier New" w:eastAsia="Courier New" w:hAnsi="Courier New"/>
                <w:sz w:val="16"/>
                <w:szCs w:val="16"/>
                <w:color w:val="auto"/>
              </w:rPr>
              <w:t>Exhibits and Reports on Form 8-K</w:t>
            </w:r>
          </w:p>
        </w:tc>
      </w:tr>
      <w:tr>
        <w:trPr>
          <w:trHeight w:val="183"/>
        </w:trPr>
        <w:tc>
          <w:tcPr>
            <w:tcW w:w="42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11.</w:t>
            </w:r>
          </w:p>
        </w:tc>
        <w:tc>
          <w:tcPr>
            <w:tcW w:w="5200" w:type="dxa"/>
            <w:vAlign w:val="bottom"/>
          </w:tcPr>
          <w:p>
            <w:pPr>
              <w:ind w:left="140"/>
              <w:spacing w:after="0"/>
              <w:rPr>
                <w:sz w:val="20"/>
                <w:szCs w:val="20"/>
                <w:color w:val="auto"/>
              </w:rPr>
            </w:pPr>
            <w:r>
              <w:rPr>
                <w:rFonts w:ascii="Courier New" w:cs="Courier New" w:eastAsia="Courier New" w:hAnsi="Courier New"/>
                <w:sz w:val="16"/>
                <w:szCs w:val="16"/>
                <w:color w:val="auto"/>
                <w:w w:val="99"/>
              </w:rPr>
              <w:t>Statement Regarding Computation of Per Share Earnings</w:t>
            </w:r>
          </w:p>
        </w:tc>
      </w:tr>
    </w:tbl>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39" w:right="1440" w:bottom="1440" w:gutter="0" w:footer="0" w:header="0"/>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ERIE INDEMNITY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80" w:type="dxa"/>
            <w:vAlign w:val="bottom"/>
          </w:tcPr>
          <w:p>
            <w:pPr>
              <w:ind w:left="1900"/>
              <w:spacing w:after="0"/>
              <w:rPr>
                <w:sz w:val="20"/>
                <w:szCs w:val="20"/>
                <w:color w:val="auto"/>
              </w:rPr>
            </w:pPr>
            <w:r>
              <w:rPr>
                <w:rFonts w:ascii="Courier New" w:cs="Courier New" w:eastAsia="Courier New" w:hAnsi="Courier New"/>
                <w:sz w:val="16"/>
                <w:szCs w:val="16"/>
                <w:color w:val="auto"/>
              </w:rPr>
              <w:t>CONSOLIDATED STATEMENTS OF FINANCIAL POSITION</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734"/>
        </w:trPr>
        <w:tc>
          <w:tcPr>
            <w:tcW w:w="6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(Dollars in thousands)</w:t>
            </w:r>
          </w:p>
        </w:tc>
      </w:tr>
      <w:tr>
        <w:trPr>
          <w:trHeight w:val="183"/>
        </w:trPr>
        <w:tc>
          <w:tcPr>
            <w:tcW w:w="6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March 31,</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6380" w:type="dxa"/>
            <w:vAlign w:val="bottom"/>
          </w:tcPr>
          <w:p>
            <w:pPr>
              <w:ind w:left="1720"/>
              <w:spacing w:after="0"/>
              <w:rPr>
                <w:sz w:val="20"/>
                <w:szCs w:val="20"/>
                <w:color w:val="auto"/>
              </w:rPr>
            </w:pPr>
            <w:r>
              <w:rPr>
                <w:rFonts w:ascii="Courier New" w:cs="Courier New" w:eastAsia="Courier New" w:hAnsi="Courier New"/>
                <w:sz w:val="16"/>
                <w:szCs w:val="16"/>
                <w:color w:val="auto"/>
              </w:rPr>
              <w:t>ASSETS</w:t>
            </w:r>
          </w:p>
        </w:tc>
        <w:tc>
          <w:tcPr>
            <w:tcW w:w="30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6"/>
                <w:szCs w:val="16"/>
                <w:color w:val="auto"/>
              </w:rPr>
              <w:t>2001</w:t>
            </w:r>
          </w:p>
        </w:tc>
        <w:tc>
          <w:tcPr>
            <w:tcW w:w="480" w:type="dxa"/>
            <w:vAlign w:val="bottom"/>
          </w:tcPr>
          <w:p>
            <w:pPr>
              <w:spacing w:after="0"/>
              <w:rPr>
                <w:sz w:val="15"/>
                <w:szCs w:val="15"/>
                <w:color w:val="auto"/>
              </w:rPr>
            </w:pPr>
          </w:p>
        </w:tc>
        <w:tc>
          <w:tcPr>
            <w:tcW w:w="9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6380" w:type="dxa"/>
            <w:vAlign w:val="bottom"/>
          </w:tcPr>
          <w:p>
            <w:pPr>
              <w:spacing w:after="0"/>
              <w:rPr>
                <w:sz w:val="15"/>
                <w:szCs w:val="15"/>
                <w:color w:val="auto"/>
              </w:rPr>
            </w:pPr>
          </w:p>
        </w:tc>
        <w:tc>
          <w:tcPr>
            <w:tcW w:w="14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38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(Unaudited)</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67"/>
        </w:trPr>
        <w:tc>
          <w:tcPr>
            <w:tcW w:w="638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6380" w:type="dxa"/>
            <w:vAlign w:val="bottom"/>
          </w:tcPr>
          <w:p>
            <w:pPr>
              <w:ind w:left="180"/>
              <w:spacing w:after="0"/>
              <w:rPr>
                <w:sz w:val="20"/>
                <w:szCs w:val="20"/>
                <w:color w:val="auto"/>
              </w:rPr>
            </w:pPr>
            <w:r>
              <w:rPr>
                <w:rFonts w:ascii="Courier New" w:cs="Courier New" w:eastAsia="Courier New" w:hAnsi="Courier New"/>
                <w:sz w:val="16"/>
                <w:szCs w:val="16"/>
                <w:color w:val="auto"/>
              </w:rPr>
              <w:t>Fixed maturities at fair value</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(amortized cost of $507,249 and</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$524,172, respectively)</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521,614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531,546</w:t>
            </w:r>
          </w:p>
        </w:tc>
      </w:tr>
      <w:tr>
        <w:trPr>
          <w:trHeight w:val="183"/>
        </w:trPr>
        <w:tc>
          <w:tcPr>
            <w:tcW w:w="6380" w:type="dxa"/>
            <w:vAlign w:val="bottom"/>
          </w:tcPr>
          <w:p>
            <w:pPr>
              <w:ind w:left="180"/>
              <w:spacing w:after="0"/>
              <w:rPr>
                <w:sz w:val="20"/>
                <w:szCs w:val="20"/>
                <w:color w:val="auto"/>
              </w:rPr>
            </w:pPr>
            <w:r>
              <w:rPr>
                <w:rFonts w:ascii="Courier New" w:cs="Courier New" w:eastAsia="Courier New" w:hAnsi="Courier New"/>
                <w:sz w:val="16"/>
                <w:szCs w:val="16"/>
                <w:color w:val="auto"/>
              </w:rPr>
              <w:t>Equity securities at fair value (cost of $212,273</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and $184,968, respectively)</w:t>
            </w:r>
          </w:p>
        </w:tc>
        <w:tc>
          <w:tcPr>
            <w:tcW w:w="30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224,327</w:t>
            </w:r>
          </w:p>
        </w:tc>
        <w:tc>
          <w:tcPr>
            <w:tcW w:w="4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204,446</w:t>
            </w:r>
          </w:p>
        </w:tc>
      </w:tr>
      <w:tr>
        <w:trPr>
          <w:trHeight w:val="183"/>
        </w:trPr>
        <w:tc>
          <w:tcPr>
            <w:tcW w:w="6380" w:type="dxa"/>
            <w:vAlign w:val="bottom"/>
          </w:tcPr>
          <w:p>
            <w:pPr>
              <w:ind w:left="180"/>
              <w:spacing w:after="0"/>
              <w:rPr>
                <w:sz w:val="20"/>
                <w:szCs w:val="20"/>
                <w:color w:val="auto"/>
              </w:rPr>
            </w:pPr>
            <w:r>
              <w:rPr>
                <w:rFonts w:ascii="Courier New" w:cs="Courier New" w:eastAsia="Courier New" w:hAnsi="Courier New"/>
                <w:sz w:val="16"/>
                <w:szCs w:val="16"/>
                <w:color w:val="auto"/>
              </w:rPr>
              <w:t>Limited partnerships (cost of $65,859 and</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$60,661,respectively)</w:t>
            </w:r>
          </w:p>
        </w:tc>
        <w:tc>
          <w:tcPr>
            <w:tcW w:w="30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74,475</w:t>
            </w:r>
          </w:p>
        </w:tc>
        <w:tc>
          <w:tcPr>
            <w:tcW w:w="4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68,242</w:t>
            </w:r>
          </w:p>
        </w:tc>
      </w:tr>
      <w:tr>
        <w:trPr>
          <w:trHeight w:val="183"/>
        </w:trPr>
        <w:tc>
          <w:tcPr>
            <w:tcW w:w="6380" w:type="dxa"/>
            <w:vAlign w:val="bottom"/>
          </w:tcPr>
          <w:p>
            <w:pPr>
              <w:ind w:left="180"/>
              <w:spacing w:after="0"/>
              <w:rPr>
                <w:sz w:val="20"/>
                <w:szCs w:val="20"/>
                <w:color w:val="auto"/>
              </w:rPr>
            </w:pPr>
            <w:r>
              <w:rPr>
                <w:rFonts w:ascii="Courier New" w:cs="Courier New" w:eastAsia="Courier New" w:hAnsi="Courier New"/>
                <w:sz w:val="16"/>
                <w:szCs w:val="16"/>
                <w:color w:val="auto"/>
              </w:rPr>
              <w:t>Real estate mortgage loans</w:t>
            </w:r>
          </w:p>
        </w:tc>
        <w:tc>
          <w:tcPr>
            <w:tcW w:w="30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6,542</w:t>
            </w:r>
          </w:p>
        </w:tc>
        <w:tc>
          <w:tcPr>
            <w:tcW w:w="4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6,581</w:t>
            </w:r>
          </w:p>
        </w:tc>
      </w:tr>
      <w:tr>
        <w:trPr>
          <w:trHeight w:val="183"/>
        </w:trPr>
        <w:tc>
          <w:tcPr>
            <w:tcW w:w="6380" w:type="dxa"/>
            <w:vAlign w:val="bottom"/>
          </w:tcPr>
          <w:p>
            <w:pPr>
              <w:spacing w:after="0"/>
              <w:rPr>
                <w:sz w:val="15"/>
                <w:szCs w:val="15"/>
                <w:color w:val="auto"/>
              </w:rPr>
            </w:pPr>
          </w:p>
        </w:tc>
        <w:tc>
          <w:tcPr>
            <w:tcW w:w="14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380" w:type="dxa"/>
            <w:vAlign w:val="bottom"/>
          </w:tcPr>
          <w:p>
            <w:pPr>
              <w:ind w:left="580"/>
              <w:spacing w:after="0"/>
              <w:rPr>
                <w:sz w:val="20"/>
                <w:szCs w:val="20"/>
                <w:color w:val="auto"/>
              </w:rPr>
            </w:pPr>
            <w:r>
              <w:rPr>
                <w:rFonts w:ascii="Courier New" w:cs="Courier New" w:eastAsia="Courier New" w:hAnsi="Courier New"/>
                <w:sz w:val="16"/>
                <w:szCs w:val="16"/>
                <w:color w:val="auto"/>
              </w:rPr>
              <w:t>Total investments</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826,958</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810,815</w:t>
            </w:r>
          </w:p>
        </w:tc>
      </w:tr>
      <w:tr>
        <w:trPr>
          <w:trHeight w:val="367"/>
        </w:trPr>
        <w:tc>
          <w:tcPr>
            <w:tcW w:w="6380" w:type="dxa"/>
            <w:vAlign w:val="bottom"/>
          </w:tcPr>
          <w:p>
            <w:pPr>
              <w:ind w:left="180"/>
              <w:spacing w:after="0"/>
              <w:rPr>
                <w:sz w:val="20"/>
                <w:szCs w:val="20"/>
                <w:color w:val="auto"/>
              </w:rPr>
            </w:pPr>
            <w:r>
              <w:rPr>
                <w:rFonts w:ascii="Courier New" w:cs="Courier New" w:eastAsia="Courier New" w:hAnsi="Courier New"/>
                <w:sz w:val="16"/>
                <w:szCs w:val="16"/>
                <w:color w:val="auto"/>
              </w:rPr>
              <w:t>Cash and cash equivalents</w:t>
            </w:r>
          </w:p>
        </w:tc>
        <w:tc>
          <w:tcPr>
            <w:tcW w:w="300" w:type="dxa"/>
            <w:vAlign w:val="bottom"/>
          </w:tcPr>
          <w:p>
            <w:pPr>
              <w:spacing w:after="0"/>
              <w:rPr>
                <w:sz w:val="24"/>
                <w:szCs w:val="24"/>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7,261</w:t>
            </w:r>
          </w:p>
        </w:tc>
        <w:tc>
          <w:tcPr>
            <w:tcW w:w="48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38,778</w:t>
            </w:r>
          </w:p>
        </w:tc>
      </w:tr>
      <w:tr>
        <w:trPr>
          <w:trHeight w:val="183"/>
        </w:trPr>
        <w:tc>
          <w:tcPr>
            <w:tcW w:w="6380" w:type="dxa"/>
            <w:vAlign w:val="bottom"/>
          </w:tcPr>
          <w:p>
            <w:pPr>
              <w:ind w:left="180"/>
              <w:spacing w:after="0"/>
              <w:rPr>
                <w:sz w:val="20"/>
                <w:szCs w:val="20"/>
                <w:color w:val="auto"/>
              </w:rPr>
            </w:pPr>
            <w:r>
              <w:rPr>
                <w:rFonts w:ascii="Courier New" w:cs="Courier New" w:eastAsia="Courier New" w:hAnsi="Courier New"/>
                <w:sz w:val="16"/>
                <w:szCs w:val="16"/>
                <w:color w:val="auto"/>
              </w:rPr>
              <w:t>Accrued investment income</w:t>
            </w:r>
          </w:p>
        </w:tc>
        <w:tc>
          <w:tcPr>
            <w:tcW w:w="30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10,360</w:t>
            </w:r>
          </w:p>
        </w:tc>
        <w:tc>
          <w:tcPr>
            <w:tcW w:w="4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9,087</w:t>
            </w:r>
          </w:p>
        </w:tc>
      </w:tr>
      <w:tr>
        <w:trPr>
          <w:trHeight w:val="183"/>
        </w:trPr>
        <w:tc>
          <w:tcPr>
            <w:tcW w:w="6380" w:type="dxa"/>
            <w:vAlign w:val="bottom"/>
          </w:tcPr>
          <w:p>
            <w:pPr>
              <w:ind w:left="180"/>
              <w:spacing w:after="0"/>
              <w:rPr>
                <w:sz w:val="20"/>
                <w:szCs w:val="20"/>
                <w:color w:val="auto"/>
              </w:rPr>
            </w:pPr>
            <w:r>
              <w:rPr>
                <w:rFonts w:ascii="Courier New" w:cs="Courier New" w:eastAsia="Courier New" w:hAnsi="Courier New"/>
                <w:sz w:val="16"/>
                <w:szCs w:val="16"/>
                <w:color w:val="auto"/>
              </w:rPr>
              <w:t>Premiums receivable from Policyholders</w:t>
            </w:r>
          </w:p>
        </w:tc>
        <w:tc>
          <w:tcPr>
            <w:tcW w:w="30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158,956</w:t>
            </w:r>
          </w:p>
        </w:tc>
        <w:tc>
          <w:tcPr>
            <w:tcW w:w="4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156,269</w:t>
            </w:r>
          </w:p>
        </w:tc>
      </w:tr>
      <w:tr>
        <w:trPr>
          <w:trHeight w:val="183"/>
        </w:trPr>
        <w:tc>
          <w:tcPr>
            <w:tcW w:w="6380" w:type="dxa"/>
            <w:vAlign w:val="bottom"/>
          </w:tcPr>
          <w:p>
            <w:pPr>
              <w:ind w:left="180"/>
              <w:spacing w:after="0"/>
              <w:rPr>
                <w:sz w:val="20"/>
                <w:szCs w:val="20"/>
                <w:color w:val="auto"/>
              </w:rPr>
            </w:pPr>
            <w:r>
              <w:rPr>
                <w:rFonts w:ascii="Courier New" w:cs="Courier New" w:eastAsia="Courier New" w:hAnsi="Courier New"/>
                <w:sz w:val="16"/>
                <w:szCs w:val="16"/>
                <w:color w:val="auto"/>
              </w:rPr>
              <w:t>Prepaid federal income tax</w:t>
            </w:r>
          </w:p>
        </w:tc>
        <w:tc>
          <w:tcPr>
            <w:tcW w:w="30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w:t>
            </w:r>
          </w:p>
        </w:tc>
        <w:tc>
          <w:tcPr>
            <w:tcW w:w="4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3,604</w:t>
            </w:r>
          </w:p>
        </w:tc>
      </w:tr>
      <w:tr>
        <w:trPr>
          <w:trHeight w:val="183"/>
        </w:trPr>
        <w:tc>
          <w:tcPr>
            <w:tcW w:w="6380" w:type="dxa"/>
            <w:vAlign w:val="bottom"/>
          </w:tcPr>
          <w:p>
            <w:pPr>
              <w:ind w:left="180"/>
              <w:spacing w:after="0"/>
              <w:rPr>
                <w:sz w:val="20"/>
                <w:szCs w:val="20"/>
                <w:color w:val="auto"/>
              </w:rPr>
            </w:pPr>
            <w:r>
              <w:rPr>
                <w:rFonts w:ascii="Courier New" w:cs="Courier New" w:eastAsia="Courier New" w:hAnsi="Courier New"/>
                <w:sz w:val="16"/>
                <w:szCs w:val="16"/>
                <w:color w:val="auto"/>
              </w:rPr>
              <w:t>Reinsurance recoverable from Erie Insurance</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Exchange</w:t>
            </w:r>
          </w:p>
        </w:tc>
        <w:tc>
          <w:tcPr>
            <w:tcW w:w="30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427,514</w:t>
            </w:r>
          </w:p>
        </w:tc>
        <w:tc>
          <w:tcPr>
            <w:tcW w:w="4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412,050</w:t>
            </w:r>
          </w:p>
        </w:tc>
      </w:tr>
      <w:tr>
        <w:trPr>
          <w:trHeight w:val="183"/>
        </w:trPr>
        <w:tc>
          <w:tcPr>
            <w:tcW w:w="6380" w:type="dxa"/>
            <w:vAlign w:val="bottom"/>
          </w:tcPr>
          <w:p>
            <w:pPr>
              <w:ind w:left="180"/>
              <w:spacing w:after="0"/>
              <w:rPr>
                <w:sz w:val="20"/>
                <w:szCs w:val="20"/>
                <w:color w:val="auto"/>
              </w:rPr>
            </w:pPr>
            <w:r>
              <w:rPr>
                <w:rFonts w:ascii="Courier New" w:cs="Courier New" w:eastAsia="Courier New" w:hAnsi="Courier New"/>
                <w:sz w:val="16"/>
                <w:szCs w:val="16"/>
                <w:color w:val="auto"/>
              </w:rPr>
              <w:t>Note receivable from Erie Family Life</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Insurance Company</w:t>
            </w:r>
          </w:p>
        </w:tc>
        <w:tc>
          <w:tcPr>
            <w:tcW w:w="30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15,000</w:t>
            </w:r>
          </w:p>
        </w:tc>
        <w:tc>
          <w:tcPr>
            <w:tcW w:w="4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15,000</w:t>
            </w:r>
          </w:p>
        </w:tc>
      </w:tr>
      <w:tr>
        <w:trPr>
          <w:trHeight w:val="183"/>
        </w:trPr>
        <w:tc>
          <w:tcPr>
            <w:tcW w:w="6380" w:type="dxa"/>
            <w:vAlign w:val="bottom"/>
          </w:tcPr>
          <w:p>
            <w:pPr>
              <w:ind w:left="180"/>
              <w:spacing w:after="0"/>
              <w:rPr>
                <w:sz w:val="20"/>
                <w:szCs w:val="20"/>
                <w:color w:val="auto"/>
              </w:rPr>
            </w:pPr>
            <w:r>
              <w:rPr>
                <w:rFonts w:ascii="Courier New" w:cs="Courier New" w:eastAsia="Courier New" w:hAnsi="Courier New"/>
                <w:sz w:val="16"/>
                <w:szCs w:val="16"/>
                <w:color w:val="auto"/>
              </w:rPr>
              <w:t>Other receivables from Erie Insurance</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Exchange and affiliates</w:t>
            </w:r>
          </w:p>
        </w:tc>
        <w:tc>
          <w:tcPr>
            <w:tcW w:w="30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156,683</w:t>
            </w:r>
          </w:p>
        </w:tc>
        <w:tc>
          <w:tcPr>
            <w:tcW w:w="4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119,959</w:t>
            </w:r>
          </w:p>
        </w:tc>
      </w:tr>
      <w:tr>
        <w:trPr>
          <w:trHeight w:val="183"/>
        </w:trPr>
        <w:tc>
          <w:tcPr>
            <w:tcW w:w="6380" w:type="dxa"/>
            <w:vAlign w:val="bottom"/>
          </w:tcPr>
          <w:p>
            <w:pPr>
              <w:ind w:left="180"/>
              <w:spacing w:after="0"/>
              <w:rPr>
                <w:sz w:val="20"/>
                <w:szCs w:val="20"/>
                <w:color w:val="auto"/>
              </w:rPr>
            </w:pPr>
            <w:r>
              <w:rPr>
                <w:rFonts w:ascii="Courier New" w:cs="Courier New" w:eastAsia="Courier New" w:hAnsi="Courier New"/>
                <w:sz w:val="16"/>
                <w:szCs w:val="16"/>
                <w:color w:val="auto"/>
              </w:rPr>
              <w:t>Reinsurance recoverable non-affiliates</w:t>
            </w:r>
          </w:p>
        </w:tc>
        <w:tc>
          <w:tcPr>
            <w:tcW w:w="30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275</w:t>
            </w:r>
          </w:p>
        </w:tc>
        <w:tc>
          <w:tcPr>
            <w:tcW w:w="4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712</w:t>
            </w:r>
          </w:p>
        </w:tc>
      </w:tr>
      <w:tr>
        <w:trPr>
          <w:trHeight w:val="183"/>
        </w:trPr>
        <w:tc>
          <w:tcPr>
            <w:tcW w:w="6380" w:type="dxa"/>
            <w:vAlign w:val="bottom"/>
          </w:tcPr>
          <w:p>
            <w:pPr>
              <w:ind w:left="180"/>
              <w:spacing w:after="0"/>
              <w:rPr>
                <w:sz w:val="20"/>
                <w:szCs w:val="20"/>
                <w:color w:val="auto"/>
              </w:rPr>
            </w:pPr>
            <w:r>
              <w:rPr>
                <w:rFonts w:ascii="Courier New" w:cs="Courier New" w:eastAsia="Courier New" w:hAnsi="Courier New"/>
                <w:sz w:val="16"/>
                <w:szCs w:val="16"/>
                <w:color w:val="auto"/>
              </w:rPr>
              <w:t>Deferred policy acquisition costs</w:t>
            </w:r>
          </w:p>
        </w:tc>
        <w:tc>
          <w:tcPr>
            <w:tcW w:w="30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13,885</w:t>
            </w:r>
          </w:p>
        </w:tc>
        <w:tc>
          <w:tcPr>
            <w:tcW w:w="4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13,202</w:t>
            </w:r>
          </w:p>
        </w:tc>
      </w:tr>
      <w:tr>
        <w:trPr>
          <w:trHeight w:val="183"/>
        </w:trPr>
        <w:tc>
          <w:tcPr>
            <w:tcW w:w="6380" w:type="dxa"/>
            <w:vAlign w:val="bottom"/>
          </w:tcPr>
          <w:p>
            <w:pPr>
              <w:ind w:left="180"/>
              <w:spacing w:after="0"/>
              <w:rPr>
                <w:sz w:val="20"/>
                <w:szCs w:val="20"/>
                <w:color w:val="auto"/>
              </w:rPr>
            </w:pPr>
            <w:r>
              <w:rPr>
                <w:rFonts w:ascii="Courier New" w:cs="Courier New" w:eastAsia="Courier New" w:hAnsi="Courier New"/>
                <w:sz w:val="16"/>
                <w:szCs w:val="16"/>
                <w:color w:val="auto"/>
              </w:rPr>
              <w:t>Property and equipment</w:t>
            </w:r>
          </w:p>
        </w:tc>
        <w:tc>
          <w:tcPr>
            <w:tcW w:w="30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14,147</w:t>
            </w:r>
          </w:p>
        </w:tc>
        <w:tc>
          <w:tcPr>
            <w:tcW w:w="4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13,856</w:t>
            </w:r>
          </w:p>
        </w:tc>
      </w:tr>
      <w:tr>
        <w:trPr>
          <w:trHeight w:val="183"/>
        </w:trPr>
        <w:tc>
          <w:tcPr>
            <w:tcW w:w="6380" w:type="dxa"/>
            <w:vAlign w:val="bottom"/>
          </w:tcPr>
          <w:p>
            <w:pPr>
              <w:ind w:left="180"/>
              <w:spacing w:after="0"/>
              <w:rPr>
                <w:sz w:val="20"/>
                <w:szCs w:val="20"/>
                <w:color w:val="auto"/>
              </w:rPr>
            </w:pPr>
            <w:r>
              <w:rPr>
                <w:rFonts w:ascii="Courier New" w:cs="Courier New" w:eastAsia="Courier New" w:hAnsi="Courier New"/>
                <w:sz w:val="16"/>
                <w:szCs w:val="16"/>
                <w:color w:val="auto"/>
              </w:rPr>
              <w:t>Equity in Erie Family Life Insurance Company</w:t>
            </w:r>
          </w:p>
        </w:tc>
        <w:tc>
          <w:tcPr>
            <w:tcW w:w="30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43,909</w:t>
            </w:r>
          </w:p>
        </w:tc>
        <w:tc>
          <w:tcPr>
            <w:tcW w:w="4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42,331</w:t>
            </w:r>
          </w:p>
        </w:tc>
      </w:tr>
      <w:tr>
        <w:trPr>
          <w:trHeight w:val="183"/>
        </w:trPr>
        <w:tc>
          <w:tcPr>
            <w:tcW w:w="6380" w:type="dxa"/>
            <w:vAlign w:val="bottom"/>
          </w:tcPr>
          <w:p>
            <w:pPr>
              <w:ind w:left="180"/>
              <w:spacing w:after="0"/>
              <w:rPr>
                <w:sz w:val="20"/>
                <w:szCs w:val="20"/>
                <w:color w:val="auto"/>
              </w:rPr>
            </w:pPr>
            <w:r>
              <w:rPr>
                <w:rFonts w:ascii="Courier New" w:cs="Courier New" w:eastAsia="Courier New" w:hAnsi="Courier New"/>
                <w:sz w:val="16"/>
                <w:szCs w:val="16"/>
                <w:color w:val="auto"/>
              </w:rPr>
              <w:t>Other assets</w:t>
            </w:r>
          </w:p>
        </w:tc>
        <w:tc>
          <w:tcPr>
            <w:tcW w:w="300" w:type="dxa"/>
            <w:vAlign w:val="bottom"/>
          </w:tcPr>
          <w:p>
            <w:pPr>
              <w:spacing w:after="0"/>
              <w:rPr>
                <w:sz w:val="15"/>
                <w:szCs w:val="15"/>
                <w:color w:val="auto"/>
              </w:rPr>
            </w:pP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50,683</w:t>
            </w:r>
          </w:p>
        </w:tc>
        <w:tc>
          <w:tcPr>
            <w:tcW w:w="4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44,936</w:t>
            </w:r>
          </w:p>
        </w:tc>
      </w:tr>
      <w:tr>
        <w:trPr>
          <w:trHeight w:val="183"/>
        </w:trPr>
        <w:tc>
          <w:tcPr>
            <w:tcW w:w="6380" w:type="dxa"/>
            <w:vAlign w:val="bottom"/>
          </w:tcPr>
          <w:p>
            <w:pPr>
              <w:spacing w:after="0"/>
              <w:rPr>
                <w:sz w:val="15"/>
                <w:szCs w:val="15"/>
                <w:color w:val="auto"/>
              </w:rPr>
            </w:pPr>
          </w:p>
        </w:tc>
        <w:tc>
          <w:tcPr>
            <w:tcW w:w="14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380" w:type="dxa"/>
            <w:vAlign w:val="bottom"/>
          </w:tcPr>
          <w:p>
            <w:pPr>
              <w:ind w:left="580"/>
              <w:spacing w:after="0"/>
              <w:rPr>
                <w:sz w:val="20"/>
                <w:szCs w:val="20"/>
                <w:color w:val="auto"/>
              </w:rPr>
            </w:pPr>
            <w:r>
              <w:rPr>
                <w:rFonts w:ascii="Courier New" w:cs="Courier New" w:eastAsia="Courier New" w:hAnsi="Courier New"/>
                <w:sz w:val="16"/>
                <w:szCs w:val="16"/>
                <w:color w:val="auto"/>
              </w:rPr>
              <w:t>Total assets</w:t>
            </w:r>
          </w:p>
        </w:tc>
        <w:tc>
          <w:tcPr>
            <w:tcW w:w="14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$1,725,631</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$1,680,599</w:t>
            </w:r>
          </w:p>
        </w:tc>
      </w:tr>
      <w:tr>
        <w:trPr>
          <w:trHeight w:val="183"/>
        </w:trPr>
        <w:tc>
          <w:tcPr>
            <w:tcW w:w="6380" w:type="dxa"/>
            <w:vAlign w:val="bottom"/>
          </w:tcPr>
          <w:p>
            <w:pPr>
              <w:spacing w:after="0"/>
              <w:rPr>
                <w:sz w:val="15"/>
                <w:szCs w:val="15"/>
                <w:color w:val="auto"/>
              </w:rPr>
            </w:pPr>
          </w:p>
        </w:tc>
        <w:tc>
          <w:tcPr>
            <w:tcW w:w="14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jc w:val="right"/>
        <w:ind w:right="979"/>
        <w:spacing w:after="0"/>
        <w:rPr>
          <w:sz w:val="20"/>
          <w:szCs w:val="20"/>
          <w:color w:val="auto"/>
        </w:rPr>
      </w:pPr>
      <w:r>
        <w:rPr>
          <w:rFonts w:ascii="Courier New" w:cs="Courier New" w:eastAsia="Courier New" w:hAnsi="Courier New"/>
          <w:sz w:val="16"/>
          <w:szCs w:val="16"/>
          <w:color w:val="auto"/>
        </w:rPr>
        <w:t>(Continued)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031" w:right="1440" w:bottom="1440" w:gutter="0" w:footer="0" w:header="0"/>
        </w:sectPr>
      </w:pPr>
    </w:p>
    <w:bookmarkStart w:id="3" w:name="page4"/>
    <w:bookmarkEnd w:id="3"/>
    <w:p>
      <w:pPr>
        <w:jc w:val="center"/>
        <w:ind w:right="2019"/>
        <w:spacing w:after="0"/>
        <w:rPr>
          <w:sz w:val="20"/>
          <w:szCs w:val="20"/>
          <w:color w:val="auto"/>
        </w:rPr>
      </w:pPr>
      <w:r>
        <w:rPr>
          <w:rFonts w:ascii="Courier New" w:cs="Courier New" w:eastAsia="Courier New" w:hAnsi="Courier New"/>
          <w:sz w:val="16"/>
          <w:szCs w:val="16"/>
          <w:color w:val="auto"/>
        </w:rPr>
        <w:t>ERIE INDEMNITY COMPANY</w:t>
      </w:r>
    </w:p>
    <w:p>
      <w:pPr>
        <w:spacing w:after="0" w:line="186"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CONSOLIDATED STATEMENTS OF FINANCIAL POSITION</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720" w:type="dxa"/>
            <w:vAlign w:val="bottom"/>
            <w:gridSpan w:val="3"/>
          </w:tcPr>
          <w:p>
            <w:pPr>
              <w:jc w:val="right"/>
              <w:ind w:right="401"/>
              <w:spacing w:after="0"/>
              <w:rPr>
                <w:sz w:val="20"/>
                <w:szCs w:val="20"/>
                <w:color w:val="auto"/>
              </w:rPr>
            </w:pPr>
            <w:r>
              <w:rPr>
                <w:rFonts w:ascii="Courier New" w:cs="Courier New" w:eastAsia="Courier New" w:hAnsi="Courier New"/>
                <w:sz w:val="16"/>
                <w:szCs w:val="16"/>
                <w:color w:val="auto"/>
              </w:rPr>
              <w:t>(Dollars in thousands)</w:t>
            </w:r>
          </w:p>
        </w:tc>
      </w:tr>
      <w:tr>
        <w:trPr>
          <w:trHeight w:val="183"/>
        </w:trPr>
        <w:tc>
          <w:tcPr>
            <w:tcW w:w="3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March 31,</w:t>
            </w:r>
          </w:p>
        </w:tc>
        <w:tc>
          <w:tcPr>
            <w:tcW w:w="148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8"/>
              </w:rPr>
              <w:t>December 31,</w:t>
            </w:r>
          </w:p>
        </w:tc>
      </w:tr>
      <w:tr>
        <w:trPr>
          <w:trHeight w:val="183"/>
        </w:trPr>
        <w:tc>
          <w:tcPr>
            <w:tcW w:w="47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LIABILITIES AND SHAREHOLDERS' EQUITY</w:t>
            </w: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2001</w:t>
            </w:r>
          </w:p>
        </w:tc>
        <w:tc>
          <w:tcPr>
            <w:tcW w:w="560" w:type="dxa"/>
            <w:vAlign w:val="bottom"/>
          </w:tcPr>
          <w:p>
            <w:pPr>
              <w:spacing w:after="0"/>
              <w:rPr>
                <w:sz w:val="15"/>
                <w:szCs w:val="15"/>
                <w:color w:val="auto"/>
              </w:rPr>
            </w:pPr>
          </w:p>
        </w:tc>
        <w:tc>
          <w:tcPr>
            <w:tcW w:w="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3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10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1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(Unaudited)</w:t>
            </w: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67"/>
        </w:trPr>
        <w:tc>
          <w:tcPr>
            <w:tcW w:w="352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47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Unpaid losses and loss adjustment expenses</w:t>
            </w:r>
          </w:p>
        </w:tc>
        <w:tc>
          <w:tcPr>
            <w:tcW w:w="1340" w:type="dxa"/>
            <w:vAlign w:val="bottom"/>
          </w:tcPr>
          <w:p>
            <w:pPr>
              <w:spacing w:after="0"/>
              <w:rPr>
                <w:sz w:val="15"/>
                <w:szCs w:val="15"/>
                <w:color w:val="auto"/>
              </w:rPr>
            </w:pPr>
          </w:p>
        </w:tc>
        <w:tc>
          <w:tcPr>
            <w:tcW w:w="860" w:type="dxa"/>
            <w:vAlign w:val="bottom"/>
          </w:tcPr>
          <w:p>
            <w:pPr>
              <w:ind w:left="7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485,866</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477,879</w:t>
            </w:r>
          </w:p>
        </w:tc>
      </w:tr>
      <w:tr>
        <w:trPr>
          <w:trHeight w:val="183"/>
        </w:trPr>
        <w:tc>
          <w:tcPr>
            <w:tcW w:w="3520" w:type="dxa"/>
            <w:vAlign w:val="bottom"/>
          </w:tcPr>
          <w:p>
            <w:pPr>
              <w:ind w:left="280"/>
              <w:spacing w:after="0"/>
              <w:rPr>
                <w:sz w:val="20"/>
                <w:szCs w:val="20"/>
                <w:color w:val="auto"/>
              </w:rPr>
            </w:pPr>
            <w:r>
              <w:rPr>
                <w:rFonts w:ascii="Courier New" w:cs="Courier New" w:eastAsia="Courier New" w:hAnsi="Courier New"/>
                <w:sz w:val="16"/>
                <w:szCs w:val="16"/>
                <w:color w:val="auto"/>
              </w:rPr>
              <w:t>Unearned premiums</w:t>
            </w: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270,412</w:t>
            </w:r>
          </w:p>
        </w:tc>
        <w:tc>
          <w:tcPr>
            <w:tcW w:w="56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263,855</w:t>
            </w:r>
          </w:p>
        </w:tc>
      </w:tr>
      <w:tr>
        <w:trPr>
          <w:trHeight w:val="183"/>
        </w:trPr>
        <w:tc>
          <w:tcPr>
            <w:tcW w:w="3520" w:type="dxa"/>
            <w:vAlign w:val="bottom"/>
          </w:tcPr>
          <w:p>
            <w:pPr>
              <w:ind w:left="280"/>
              <w:spacing w:after="0"/>
              <w:rPr>
                <w:sz w:val="20"/>
                <w:szCs w:val="20"/>
                <w:color w:val="auto"/>
              </w:rPr>
            </w:pPr>
            <w:r>
              <w:rPr>
                <w:rFonts w:ascii="Courier New" w:cs="Courier New" w:eastAsia="Courier New" w:hAnsi="Courier New"/>
                <w:sz w:val="16"/>
                <w:szCs w:val="16"/>
                <w:color w:val="auto"/>
              </w:rPr>
              <w:t>Commissions payable and accrued</w:t>
            </w: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90,075</w:t>
            </w:r>
          </w:p>
        </w:tc>
        <w:tc>
          <w:tcPr>
            <w:tcW w:w="56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96,823</w:t>
            </w:r>
          </w:p>
        </w:tc>
      </w:tr>
      <w:tr>
        <w:trPr>
          <w:trHeight w:val="183"/>
        </w:trPr>
        <w:tc>
          <w:tcPr>
            <w:tcW w:w="47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Accounts payable and accrued expenses</w:t>
            </w: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28,605</w:t>
            </w:r>
          </w:p>
        </w:tc>
        <w:tc>
          <w:tcPr>
            <w:tcW w:w="56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30,476</w:t>
            </w:r>
          </w:p>
        </w:tc>
      </w:tr>
      <w:tr>
        <w:trPr>
          <w:trHeight w:val="183"/>
        </w:trPr>
        <w:tc>
          <w:tcPr>
            <w:tcW w:w="3520" w:type="dxa"/>
            <w:vAlign w:val="bottom"/>
          </w:tcPr>
          <w:p>
            <w:pPr>
              <w:ind w:left="280"/>
              <w:spacing w:after="0"/>
              <w:rPr>
                <w:sz w:val="20"/>
                <w:szCs w:val="20"/>
                <w:color w:val="auto"/>
              </w:rPr>
            </w:pPr>
            <w:r>
              <w:rPr>
                <w:rFonts w:ascii="Courier New" w:cs="Courier New" w:eastAsia="Courier New" w:hAnsi="Courier New"/>
                <w:sz w:val="16"/>
                <w:szCs w:val="16"/>
                <w:color w:val="auto"/>
              </w:rPr>
              <w:t>Federal income tax payable</w:t>
            </w: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12,380</w:t>
            </w:r>
          </w:p>
        </w:tc>
        <w:tc>
          <w:tcPr>
            <w:tcW w:w="56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w:t>
            </w:r>
          </w:p>
        </w:tc>
      </w:tr>
      <w:tr>
        <w:trPr>
          <w:trHeight w:val="183"/>
        </w:trPr>
        <w:tc>
          <w:tcPr>
            <w:tcW w:w="352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8,416</w:t>
            </w:r>
          </w:p>
        </w:tc>
        <w:tc>
          <w:tcPr>
            <w:tcW w:w="56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7,161</w:t>
            </w:r>
          </w:p>
        </w:tc>
      </w:tr>
      <w:tr>
        <w:trPr>
          <w:trHeight w:val="183"/>
        </w:trPr>
        <w:tc>
          <w:tcPr>
            <w:tcW w:w="3520" w:type="dxa"/>
            <w:vAlign w:val="bottom"/>
          </w:tcPr>
          <w:p>
            <w:pPr>
              <w:ind w:left="280"/>
              <w:spacing w:after="0"/>
              <w:rPr>
                <w:sz w:val="20"/>
                <w:szCs w:val="20"/>
                <w:color w:val="auto"/>
              </w:rPr>
            </w:pPr>
            <w:r>
              <w:rPr>
                <w:rFonts w:ascii="Courier New" w:cs="Courier New" w:eastAsia="Courier New" w:hAnsi="Courier New"/>
                <w:sz w:val="16"/>
                <w:szCs w:val="16"/>
                <w:color w:val="auto"/>
              </w:rPr>
              <w:t>Dividends payable</w:t>
            </w: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9,836</w:t>
            </w:r>
          </w:p>
        </w:tc>
        <w:tc>
          <w:tcPr>
            <w:tcW w:w="56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9,839</w:t>
            </w:r>
          </w:p>
        </w:tc>
      </w:tr>
      <w:tr>
        <w:trPr>
          <w:trHeight w:val="183"/>
        </w:trPr>
        <w:tc>
          <w:tcPr>
            <w:tcW w:w="3520" w:type="dxa"/>
            <w:vAlign w:val="bottom"/>
          </w:tcPr>
          <w:p>
            <w:pPr>
              <w:ind w:left="280"/>
              <w:spacing w:after="0"/>
              <w:rPr>
                <w:sz w:val="20"/>
                <w:szCs w:val="20"/>
                <w:color w:val="auto"/>
              </w:rPr>
            </w:pPr>
            <w:r>
              <w:rPr>
                <w:rFonts w:ascii="Courier New" w:cs="Courier New" w:eastAsia="Courier New" w:hAnsi="Courier New"/>
                <w:sz w:val="16"/>
                <w:szCs w:val="16"/>
                <w:color w:val="auto"/>
              </w:rPr>
              <w:t>Employee benefit obligations</w:t>
            </w: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14,931</w:t>
            </w:r>
          </w:p>
        </w:tc>
        <w:tc>
          <w:tcPr>
            <w:tcW w:w="56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15,551</w:t>
            </w:r>
          </w:p>
        </w:tc>
      </w:tr>
      <w:tr>
        <w:trPr>
          <w:trHeight w:val="183"/>
        </w:trPr>
        <w:tc>
          <w:tcPr>
            <w:tcW w:w="3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10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ind w:left="660"/>
              <w:spacing w:after="0"/>
              <w:rPr>
                <w:sz w:val="20"/>
                <w:szCs w:val="20"/>
                <w:color w:val="auto"/>
              </w:rPr>
            </w:pPr>
            <w:r>
              <w:rPr>
                <w:rFonts w:ascii="Courier New" w:cs="Courier New" w:eastAsia="Courier New" w:hAnsi="Courier New"/>
                <w:sz w:val="16"/>
                <w:szCs w:val="16"/>
                <w:color w:val="auto"/>
              </w:rPr>
              <w:t>Total liabilities</w:t>
            </w: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60" w:type="dxa"/>
            <w:vAlign w:val="bottom"/>
          </w:tcPr>
          <w:p>
            <w:pPr>
              <w:ind w:left="7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920,521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901,584</w:t>
            </w:r>
          </w:p>
        </w:tc>
      </w:tr>
      <w:tr>
        <w:trPr>
          <w:trHeight w:val="183"/>
        </w:trPr>
        <w:tc>
          <w:tcPr>
            <w:tcW w:w="3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10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3520" w:type="dxa"/>
            <w:vAlign w:val="bottom"/>
          </w:tcPr>
          <w:p>
            <w:pPr>
              <w:ind w:left="280"/>
              <w:spacing w:after="0"/>
              <w:rPr>
                <w:sz w:val="20"/>
                <w:szCs w:val="20"/>
                <w:color w:val="auto"/>
              </w:rPr>
            </w:pPr>
            <w:r>
              <w:rPr>
                <w:rFonts w:ascii="Courier New" w:cs="Courier New" w:eastAsia="Courier New" w:hAnsi="Courier New"/>
                <w:sz w:val="16"/>
                <w:szCs w:val="16"/>
                <w:color w:val="auto"/>
              </w:rPr>
              <w:t>SHAREHOLDERS' EQUITY</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3520" w:type="dxa"/>
            <w:vAlign w:val="bottom"/>
          </w:tcPr>
          <w:p>
            <w:pPr>
              <w:ind w:left="280"/>
              <w:spacing w:after="0"/>
              <w:rPr>
                <w:sz w:val="20"/>
                <w:szCs w:val="20"/>
                <w:color w:val="auto"/>
              </w:rPr>
            </w:pPr>
            <w:r>
              <w:rPr>
                <w:rFonts w:ascii="Courier New" w:cs="Courier New" w:eastAsia="Courier New" w:hAnsi="Courier New"/>
                <w:sz w:val="16"/>
                <w:szCs w:val="16"/>
                <w:color w:val="auto"/>
              </w:rPr>
              <w:t>Capital Stock</w:t>
            </w: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3520" w:type="dxa"/>
            <w:vAlign w:val="bottom"/>
          </w:tcPr>
          <w:p>
            <w:pPr>
              <w:ind w:left="480"/>
              <w:spacing w:after="0"/>
              <w:rPr>
                <w:sz w:val="20"/>
                <w:szCs w:val="20"/>
                <w:color w:val="auto"/>
              </w:rPr>
            </w:pPr>
            <w:r>
              <w:rPr>
                <w:rFonts w:ascii="Courier New" w:cs="Courier New" w:eastAsia="Courier New" w:hAnsi="Courier New"/>
                <w:sz w:val="16"/>
                <w:szCs w:val="16"/>
                <w:color w:val="auto"/>
              </w:rPr>
              <w:t>Class A common,  stated  value</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$.0292  per</w:t>
            </w:r>
          </w:p>
        </w:tc>
        <w:tc>
          <w:tcPr>
            <w:tcW w:w="1340" w:type="dxa"/>
            <w:vAlign w:val="bottom"/>
          </w:tcPr>
          <w:p>
            <w:pPr>
              <w:ind w:left="40"/>
              <w:spacing w:after="0"/>
              <w:rPr>
                <w:sz w:val="20"/>
                <w:szCs w:val="20"/>
                <w:color w:val="auto"/>
              </w:rPr>
            </w:pPr>
            <w:r>
              <w:rPr>
                <w:rFonts w:ascii="Courier New" w:cs="Courier New" w:eastAsia="Courier New" w:hAnsi="Courier New"/>
                <w:sz w:val="16"/>
                <w:szCs w:val="16"/>
                <w:color w:val="auto"/>
              </w:rPr>
              <w:t>share;</w:t>
            </w: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3520" w:type="dxa"/>
            <w:vAlign w:val="bottom"/>
          </w:tcPr>
          <w:p>
            <w:pPr>
              <w:ind w:left="660"/>
              <w:spacing w:after="0"/>
              <w:rPr>
                <w:sz w:val="20"/>
                <w:szCs w:val="20"/>
                <w:color w:val="auto"/>
              </w:rPr>
            </w:pPr>
            <w:r>
              <w:rPr>
                <w:rFonts w:ascii="Courier New" w:cs="Courier New" w:eastAsia="Courier New" w:hAnsi="Courier New"/>
                <w:sz w:val="16"/>
                <w:szCs w:val="16"/>
                <w:color w:val="auto"/>
                <w:w w:val="98"/>
              </w:rPr>
              <w:t>authorized  74,996,930 shares;</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67,032,000</w:t>
            </w: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shares</w:t>
            </w: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606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issued;  64,039,223  and  64,056,323  shares</w:t>
            </w: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47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outstanding in 2001 and 2000, respectively</w:t>
            </w:r>
          </w:p>
        </w:tc>
        <w:tc>
          <w:tcPr>
            <w:tcW w:w="1340" w:type="dxa"/>
            <w:vAlign w:val="bottom"/>
          </w:tcPr>
          <w:p>
            <w:pPr>
              <w:spacing w:after="0"/>
              <w:rPr>
                <w:sz w:val="15"/>
                <w:szCs w:val="15"/>
                <w:color w:val="auto"/>
              </w:rPr>
            </w:pPr>
          </w:p>
        </w:tc>
        <w:tc>
          <w:tcPr>
            <w:tcW w:w="860" w:type="dxa"/>
            <w:vAlign w:val="bottom"/>
          </w:tcPr>
          <w:p>
            <w:pPr>
              <w:ind w:left="7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1,955</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1,955</w:t>
            </w:r>
          </w:p>
        </w:tc>
      </w:tr>
      <w:tr>
        <w:trPr>
          <w:trHeight w:val="183"/>
        </w:trPr>
        <w:tc>
          <w:tcPr>
            <w:tcW w:w="47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Class B common, stated value $70 per</w:t>
            </w: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47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share; authorized 3,070 shares;</w:t>
            </w: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47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3,070 shares issued and outstanding</w:t>
            </w: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215</w:t>
            </w:r>
          </w:p>
        </w:tc>
        <w:tc>
          <w:tcPr>
            <w:tcW w:w="56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215</w:t>
            </w:r>
          </w:p>
        </w:tc>
      </w:tr>
      <w:tr>
        <w:trPr>
          <w:trHeight w:val="183"/>
        </w:trPr>
        <w:tc>
          <w:tcPr>
            <w:tcW w:w="3520" w:type="dxa"/>
            <w:vAlign w:val="bottom"/>
          </w:tcPr>
          <w:p>
            <w:pPr>
              <w:ind w:left="280"/>
              <w:spacing w:after="0"/>
              <w:rPr>
                <w:sz w:val="20"/>
                <w:szCs w:val="20"/>
                <w:color w:val="auto"/>
              </w:rPr>
            </w:pPr>
            <w:r>
              <w:rPr>
                <w:rFonts w:ascii="Courier New" w:cs="Courier New" w:eastAsia="Courier New" w:hAnsi="Courier New"/>
                <w:sz w:val="16"/>
                <w:szCs w:val="16"/>
                <w:color w:val="auto"/>
              </w:rPr>
              <w:t>Additional paid-in capital</w:t>
            </w: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7,830</w:t>
            </w:r>
          </w:p>
        </w:tc>
        <w:tc>
          <w:tcPr>
            <w:tcW w:w="56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7,830</w:t>
            </w:r>
          </w:p>
        </w:tc>
      </w:tr>
      <w:tr>
        <w:trPr>
          <w:trHeight w:val="183"/>
        </w:trPr>
        <w:tc>
          <w:tcPr>
            <w:tcW w:w="47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Accumulated other comprehensive income</w:t>
            </w: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24,804</w:t>
            </w:r>
          </w:p>
        </w:tc>
        <w:tc>
          <w:tcPr>
            <w:tcW w:w="56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23,182</w:t>
            </w:r>
          </w:p>
        </w:tc>
      </w:tr>
      <w:tr>
        <w:trPr>
          <w:trHeight w:val="183"/>
        </w:trPr>
        <w:tc>
          <w:tcPr>
            <w:tcW w:w="3520" w:type="dxa"/>
            <w:vAlign w:val="bottom"/>
          </w:tcPr>
          <w:p>
            <w:pPr>
              <w:ind w:left="280"/>
              <w:spacing w:after="0"/>
              <w:rPr>
                <w:sz w:val="20"/>
                <w:szCs w:val="20"/>
                <w:color w:val="auto"/>
              </w:rPr>
            </w:pPr>
            <w:r>
              <w:rPr>
                <w:rFonts w:ascii="Courier New" w:cs="Courier New" w:eastAsia="Courier New" w:hAnsi="Courier New"/>
                <w:sz w:val="16"/>
                <w:szCs w:val="16"/>
                <w:color w:val="auto"/>
              </w:rPr>
              <w:t>Retained earnings</w:t>
            </w: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856,502</w:t>
            </w:r>
          </w:p>
        </w:tc>
        <w:tc>
          <w:tcPr>
            <w:tcW w:w="56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831,552</w:t>
            </w:r>
          </w:p>
        </w:tc>
      </w:tr>
      <w:tr>
        <w:trPr>
          <w:trHeight w:val="183"/>
        </w:trPr>
        <w:tc>
          <w:tcPr>
            <w:tcW w:w="3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10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06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Total contributed capital and retained earnings</w:t>
            </w:r>
          </w:p>
        </w:tc>
        <w:tc>
          <w:tcPr>
            <w:tcW w:w="860" w:type="dxa"/>
            <w:vAlign w:val="bottom"/>
          </w:tcPr>
          <w:p>
            <w:pPr>
              <w:ind w:left="7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891,306</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864,734</w:t>
            </w:r>
          </w:p>
        </w:tc>
      </w:tr>
      <w:tr>
        <w:trPr>
          <w:trHeight w:val="367"/>
        </w:trPr>
        <w:tc>
          <w:tcPr>
            <w:tcW w:w="47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Treasury stock, at cost 2,992,777 shares</w:t>
            </w: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3520" w:type="dxa"/>
            <w:vAlign w:val="bottom"/>
          </w:tcPr>
          <w:p>
            <w:pPr>
              <w:ind w:left="280"/>
              <w:spacing w:after="0"/>
              <w:rPr>
                <w:sz w:val="20"/>
                <w:szCs w:val="20"/>
                <w:color w:val="auto"/>
              </w:rPr>
            </w:pPr>
            <w:r>
              <w:rPr>
                <w:rFonts w:ascii="Courier New" w:cs="Courier New" w:eastAsia="Courier New" w:hAnsi="Courier New"/>
                <w:sz w:val="16"/>
                <w:szCs w:val="16"/>
                <w:color w:val="auto"/>
              </w:rPr>
              <w:t>in 2001 and 2,975,677 in 2000</w:t>
            </w: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86,196)</w:t>
            </w:r>
          </w:p>
        </w:tc>
        <w:tc>
          <w:tcPr>
            <w:tcW w:w="5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85,719)</w:t>
            </w:r>
          </w:p>
        </w:tc>
      </w:tr>
      <w:tr>
        <w:trPr>
          <w:trHeight w:val="183"/>
        </w:trPr>
        <w:tc>
          <w:tcPr>
            <w:tcW w:w="3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10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ind w:left="660"/>
              <w:spacing w:after="0"/>
              <w:rPr>
                <w:sz w:val="20"/>
                <w:szCs w:val="20"/>
                <w:color w:val="auto"/>
              </w:rPr>
            </w:pPr>
            <w:r>
              <w:rPr>
                <w:rFonts w:ascii="Courier New" w:cs="Courier New" w:eastAsia="Courier New" w:hAnsi="Courier New"/>
                <w:sz w:val="16"/>
                <w:szCs w:val="16"/>
                <w:color w:val="auto"/>
              </w:rPr>
              <w:t>Total shareholders' equity</w:t>
            </w: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60" w:type="dxa"/>
            <w:vAlign w:val="bottom"/>
          </w:tcPr>
          <w:p>
            <w:pPr>
              <w:ind w:left="7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805,110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779,015</w:t>
            </w:r>
          </w:p>
        </w:tc>
      </w:tr>
      <w:tr>
        <w:trPr>
          <w:trHeight w:val="183"/>
        </w:trPr>
        <w:tc>
          <w:tcPr>
            <w:tcW w:w="3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10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340" w:type="dxa"/>
            <w:vAlign w:val="bottom"/>
          </w:tcPr>
          <w:p>
            <w:pPr>
              <w:spacing w:after="0"/>
              <w:rPr>
                <w:sz w:val="15"/>
                <w:szCs w:val="15"/>
                <w:color w:val="auto"/>
              </w:rPr>
            </w:pPr>
          </w:p>
        </w:tc>
        <w:tc>
          <w:tcPr>
            <w:tcW w:w="210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$1,725,631</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$1,680,599</w:t>
            </w:r>
          </w:p>
        </w:tc>
      </w:tr>
      <w:tr>
        <w:trPr>
          <w:trHeight w:val="183"/>
        </w:trPr>
        <w:tc>
          <w:tcPr>
            <w:tcW w:w="3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10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48" w:right="1440" w:bottom="1440" w:gutter="0" w:footer="0" w:header="0"/>
        </w:sectPr>
      </w:pPr>
    </w:p>
    <w:bookmarkStart w:id="4" w:name="page5"/>
    <w:bookmarkEnd w:id="4"/>
    <w:p>
      <w:pPr>
        <w:ind w:left="3042"/>
        <w:spacing w:after="0"/>
        <w:rPr>
          <w:sz w:val="20"/>
          <w:szCs w:val="20"/>
          <w:color w:val="auto"/>
        </w:rPr>
      </w:pPr>
      <w:r>
        <w:rPr>
          <w:rFonts w:ascii="Courier New" w:cs="Courier New" w:eastAsia="Courier New" w:hAnsi="Courier New"/>
          <w:sz w:val="16"/>
          <w:szCs w:val="16"/>
          <w:color w:val="auto"/>
        </w:rPr>
        <w:t>ERIE INDEMNITY COMPANY</w:t>
      </w:r>
    </w:p>
    <w:p>
      <w:pPr>
        <w:spacing w:after="0" w:line="186" w:lineRule="exact"/>
        <w:rPr>
          <w:sz w:val="20"/>
          <w:szCs w:val="20"/>
          <w:color w:val="auto"/>
        </w:rPr>
      </w:pPr>
    </w:p>
    <w:p>
      <w:pPr>
        <w:ind w:left="1902"/>
        <w:spacing w:after="0"/>
        <w:rPr>
          <w:sz w:val="20"/>
          <w:szCs w:val="20"/>
          <w:color w:val="auto"/>
        </w:rPr>
      </w:pPr>
      <w:r>
        <w:rPr>
          <w:rFonts w:ascii="Courier New" w:cs="Courier New" w:eastAsia="Courier New" w:hAnsi="Courier New"/>
          <w:sz w:val="16"/>
          <w:szCs w:val="16"/>
          <w:color w:val="auto"/>
        </w:rPr>
        <w:t>CONSOLIDATED STATEMENTS OF OPERATIONS (UNAUDITED)</w:t>
      </w:r>
    </w:p>
    <w:p>
      <w:pPr>
        <w:spacing w:after="0" w:line="200" w:lineRule="exact"/>
        <w:rPr>
          <w:sz w:val="20"/>
          <w:szCs w:val="20"/>
          <w:color w:val="auto"/>
        </w:rPr>
      </w:pPr>
    </w:p>
    <w:p>
      <w:pPr>
        <w:spacing w:after="0" w:line="35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5240" w:type="dxa"/>
            <w:vAlign w:val="bottom"/>
          </w:tcPr>
          <w:p>
            <w:pPr>
              <w:spacing w:after="0"/>
              <w:rPr>
                <w:sz w:val="15"/>
                <w:szCs w:val="15"/>
                <w:color w:val="auto"/>
              </w:rPr>
            </w:pPr>
          </w:p>
        </w:tc>
        <w:tc>
          <w:tcPr>
            <w:tcW w:w="4480" w:type="dxa"/>
            <w:vAlign w:val="bottom"/>
            <w:gridSpan w:val="4"/>
          </w:tcPr>
          <w:p>
            <w:pPr>
              <w:jc w:val="right"/>
              <w:ind w:right="781"/>
              <w:spacing w:after="0"/>
              <w:rPr>
                <w:sz w:val="20"/>
                <w:szCs w:val="20"/>
                <w:color w:val="auto"/>
              </w:rPr>
            </w:pPr>
            <w:r>
              <w:rPr>
                <w:rFonts w:ascii="Courier New" w:cs="Courier New" w:eastAsia="Courier New" w:hAnsi="Courier New"/>
                <w:sz w:val="16"/>
                <w:szCs w:val="16"/>
                <w:color w:val="auto"/>
              </w:rPr>
              <w:t>Three Months Ended March 31,</w:t>
            </w:r>
          </w:p>
        </w:tc>
      </w:tr>
      <w:tr>
        <w:trPr>
          <w:trHeight w:val="183"/>
        </w:trPr>
        <w:tc>
          <w:tcPr>
            <w:tcW w:w="5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2001</w:t>
            </w:r>
          </w:p>
        </w:tc>
        <w:tc>
          <w:tcPr>
            <w:tcW w:w="460" w:type="dxa"/>
            <w:vAlign w:val="bottom"/>
          </w:tcPr>
          <w:p>
            <w:pPr>
              <w:spacing w:after="0"/>
              <w:rPr>
                <w:sz w:val="15"/>
                <w:szCs w:val="15"/>
                <w:color w:val="auto"/>
              </w:rPr>
            </w:pPr>
          </w:p>
        </w:tc>
        <w:tc>
          <w:tcPr>
            <w:tcW w:w="172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5240" w:type="dxa"/>
            <w:vAlign w:val="bottom"/>
          </w:tcPr>
          <w:p>
            <w:pPr>
              <w:spacing w:after="0"/>
              <w:rPr>
                <w:sz w:val="15"/>
                <w:szCs w:val="15"/>
                <w:color w:val="auto"/>
              </w:rPr>
            </w:pPr>
          </w:p>
        </w:tc>
        <w:tc>
          <w:tcPr>
            <w:tcW w:w="23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spacing w:after="0"/>
              <w:rPr>
                <w:sz w:val="15"/>
                <w:szCs w:val="15"/>
                <w:color w:val="auto"/>
              </w:rPr>
            </w:pPr>
          </w:p>
        </w:tc>
        <w:tc>
          <w:tcPr>
            <w:tcW w:w="44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(Amounts in thousands, except per share data)</w:t>
            </w:r>
          </w:p>
        </w:tc>
      </w:tr>
      <w:tr>
        <w:trPr>
          <w:trHeight w:val="367"/>
        </w:trPr>
        <w:tc>
          <w:tcPr>
            <w:tcW w:w="5240" w:type="dxa"/>
            <w:vAlign w:val="bottom"/>
          </w:tcPr>
          <w:p>
            <w:pPr>
              <w:spacing w:after="0"/>
              <w:rPr>
                <w:sz w:val="20"/>
                <w:szCs w:val="20"/>
                <w:color w:val="auto"/>
              </w:rPr>
            </w:pPr>
            <w:r>
              <w:rPr>
                <w:rFonts w:ascii="Courier New" w:cs="Courier New" w:eastAsia="Courier New" w:hAnsi="Courier New"/>
                <w:sz w:val="16"/>
                <w:szCs w:val="16"/>
                <w:color w:val="auto"/>
              </w:rPr>
              <w:t>MANAGEMENT OPERATIONS:</w:t>
            </w: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67"/>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Management fee revenue</w:t>
            </w:r>
          </w:p>
        </w:tc>
        <w:tc>
          <w:tcPr>
            <w:tcW w:w="23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$ 145,669</w:t>
            </w:r>
          </w:p>
        </w:tc>
        <w:tc>
          <w:tcPr>
            <w:tcW w:w="218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$ 129,099</w:t>
            </w:r>
          </w:p>
        </w:tc>
      </w:tr>
      <w:tr>
        <w:trPr>
          <w:trHeight w:val="183"/>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Service agreement revenue</w:t>
            </w:r>
          </w:p>
        </w:tc>
        <w:tc>
          <w:tcPr>
            <w:tcW w:w="1240" w:type="dxa"/>
            <w:vAlign w:val="bottom"/>
          </w:tcPr>
          <w:p>
            <w:pPr>
              <w:spacing w:after="0"/>
              <w:rPr>
                <w:sz w:val="15"/>
                <w:szCs w:val="15"/>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6,412</w:t>
            </w:r>
          </w:p>
        </w:tc>
        <w:tc>
          <w:tcPr>
            <w:tcW w:w="460" w:type="dxa"/>
            <w:vAlign w:val="bottom"/>
          </w:tcPr>
          <w:p>
            <w:pPr>
              <w:spacing w:after="0"/>
              <w:rPr>
                <w:sz w:val="15"/>
                <w:szCs w:val="15"/>
                <w:color w:val="auto"/>
              </w:rPr>
            </w:pPr>
          </w:p>
        </w:tc>
        <w:tc>
          <w:tcPr>
            <w:tcW w:w="17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5,233</w:t>
            </w:r>
          </w:p>
        </w:tc>
      </w:tr>
      <w:tr>
        <w:trPr>
          <w:trHeight w:val="183"/>
        </w:trPr>
        <w:tc>
          <w:tcPr>
            <w:tcW w:w="5240" w:type="dxa"/>
            <w:vAlign w:val="bottom"/>
          </w:tcPr>
          <w:p>
            <w:pPr>
              <w:spacing w:after="0"/>
              <w:rPr>
                <w:sz w:val="15"/>
                <w:szCs w:val="15"/>
                <w:color w:val="auto"/>
              </w:rPr>
            </w:pPr>
          </w:p>
        </w:tc>
        <w:tc>
          <w:tcPr>
            <w:tcW w:w="23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ind w:left="480"/>
              <w:spacing w:after="0"/>
              <w:rPr>
                <w:sz w:val="20"/>
                <w:szCs w:val="20"/>
                <w:color w:val="auto"/>
              </w:rPr>
            </w:pPr>
            <w:r>
              <w:rPr>
                <w:rFonts w:ascii="Courier New" w:cs="Courier New" w:eastAsia="Courier New" w:hAnsi="Courier New"/>
                <w:sz w:val="16"/>
                <w:szCs w:val="16"/>
                <w:color w:val="auto"/>
              </w:rPr>
              <w:t>Total revenue from management operations</w:t>
            </w:r>
          </w:p>
        </w:tc>
        <w:tc>
          <w:tcPr>
            <w:tcW w:w="23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$ 152,081</w:t>
            </w:r>
          </w:p>
        </w:tc>
        <w:tc>
          <w:tcPr>
            <w:tcW w:w="218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$ 134,332</w:t>
            </w:r>
          </w:p>
        </w:tc>
      </w:tr>
      <w:tr>
        <w:trPr>
          <w:trHeight w:val="183"/>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Cost of management operations</w:t>
            </w:r>
          </w:p>
        </w:tc>
        <w:tc>
          <w:tcPr>
            <w:tcW w:w="1240" w:type="dxa"/>
            <w:vAlign w:val="bottom"/>
          </w:tcPr>
          <w:p>
            <w:pPr>
              <w:spacing w:after="0"/>
              <w:rPr>
                <w:sz w:val="15"/>
                <w:szCs w:val="15"/>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108,881</w:t>
            </w:r>
          </w:p>
        </w:tc>
        <w:tc>
          <w:tcPr>
            <w:tcW w:w="460" w:type="dxa"/>
            <w:vAlign w:val="bottom"/>
          </w:tcPr>
          <w:p>
            <w:pPr>
              <w:spacing w:after="0"/>
              <w:rPr>
                <w:sz w:val="15"/>
                <w:szCs w:val="15"/>
                <w:color w:val="auto"/>
              </w:rPr>
            </w:pPr>
          </w:p>
        </w:tc>
        <w:tc>
          <w:tcPr>
            <w:tcW w:w="17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97,714</w:t>
            </w:r>
          </w:p>
        </w:tc>
      </w:tr>
      <w:tr>
        <w:trPr>
          <w:trHeight w:val="183"/>
        </w:trPr>
        <w:tc>
          <w:tcPr>
            <w:tcW w:w="5240" w:type="dxa"/>
            <w:vAlign w:val="bottom"/>
          </w:tcPr>
          <w:p>
            <w:pPr>
              <w:spacing w:after="0"/>
              <w:rPr>
                <w:sz w:val="15"/>
                <w:szCs w:val="15"/>
                <w:color w:val="auto"/>
              </w:rPr>
            </w:pPr>
          </w:p>
        </w:tc>
        <w:tc>
          <w:tcPr>
            <w:tcW w:w="23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ind w:left="480"/>
              <w:spacing w:after="0"/>
              <w:rPr>
                <w:sz w:val="20"/>
                <w:szCs w:val="20"/>
                <w:color w:val="auto"/>
              </w:rPr>
            </w:pPr>
            <w:r>
              <w:rPr>
                <w:rFonts w:ascii="Courier New" w:cs="Courier New" w:eastAsia="Courier New" w:hAnsi="Courier New"/>
                <w:sz w:val="16"/>
                <w:szCs w:val="16"/>
                <w:color w:val="auto"/>
              </w:rPr>
              <w:t>Net revenue from</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5240" w:type="dxa"/>
            <w:vAlign w:val="bottom"/>
          </w:tcPr>
          <w:p>
            <w:pPr>
              <w:ind w:left="760"/>
              <w:spacing w:after="0"/>
              <w:rPr>
                <w:sz w:val="20"/>
                <w:szCs w:val="20"/>
                <w:color w:val="auto"/>
              </w:rPr>
            </w:pPr>
            <w:r>
              <w:rPr>
                <w:rFonts w:ascii="Courier New" w:cs="Courier New" w:eastAsia="Courier New" w:hAnsi="Courier New"/>
                <w:sz w:val="16"/>
                <w:szCs w:val="16"/>
                <w:color w:val="auto"/>
              </w:rPr>
              <w:t>management operations</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43,200</w:t>
            </w: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36,618</w:t>
            </w:r>
          </w:p>
        </w:tc>
      </w:tr>
      <w:tr>
        <w:trPr>
          <w:trHeight w:val="183"/>
        </w:trPr>
        <w:tc>
          <w:tcPr>
            <w:tcW w:w="5240" w:type="dxa"/>
            <w:vAlign w:val="bottom"/>
          </w:tcPr>
          <w:p>
            <w:pPr>
              <w:spacing w:after="0"/>
              <w:rPr>
                <w:sz w:val="15"/>
                <w:szCs w:val="15"/>
                <w:color w:val="auto"/>
              </w:rPr>
            </w:pPr>
          </w:p>
        </w:tc>
        <w:tc>
          <w:tcPr>
            <w:tcW w:w="23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w:t>
            </w:r>
          </w:p>
        </w:tc>
      </w:tr>
      <w:tr>
        <w:trPr>
          <w:trHeight w:val="367"/>
        </w:trPr>
        <w:tc>
          <w:tcPr>
            <w:tcW w:w="5240" w:type="dxa"/>
            <w:vAlign w:val="bottom"/>
          </w:tcPr>
          <w:p>
            <w:pPr>
              <w:spacing w:after="0"/>
              <w:rPr>
                <w:sz w:val="20"/>
                <w:szCs w:val="20"/>
                <w:color w:val="auto"/>
              </w:rPr>
            </w:pPr>
            <w:r>
              <w:rPr>
                <w:rFonts w:ascii="Courier New" w:cs="Courier New" w:eastAsia="Courier New" w:hAnsi="Courier New"/>
                <w:sz w:val="16"/>
                <w:szCs w:val="16"/>
                <w:color w:val="auto"/>
              </w:rPr>
              <w:t>INSURANCE UNDERWRITING OPERATIONS:</w:t>
            </w: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67"/>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Premiums earned</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32,174</w:t>
            </w: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29,891</w:t>
            </w:r>
          </w:p>
        </w:tc>
      </w:tr>
      <w:tr>
        <w:trPr>
          <w:trHeight w:val="183"/>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Losses and loss adjustment expenses incurred</w:t>
            </w:r>
          </w:p>
        </w:tc>
        <w:tc>
          <w:tcPr>
            <w:tcW w:w="1240" w:type="dxa"/>
            <w:vAlign w:val="bottom"/>
          </w:tcPr>
          <w:p>
            <w:pPr>
              <w:spacing w:after="0"/>
              <w:rPr>
                <w:sz w:val="15"/>
                <w:szCs w:val="15"/>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26,961</w:t>
            </w:r>
          </w:p>
        </w:tc>
        <w:tc>
          <w:tcPr>
            <w:tcW w:w="460" w:type="dxa"/>
            <w:vAlign w:val="bottom"/>
          </w:tcPr>
          <w:p>
            <w:pPr>
              <w:spacing w:after="0"/>
              <w:rPr>
                <w:sz w:val="15"/>
                <w:szCs w:val="15"/>
                <w:color w:val="auto"/>
              </w:rPr>
            </w:pPr>
          </w:p>
        </w:tc>
        <w:tc>
          <w:tcPr>
            <w:tcW w:w="17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24,663</w:t>
            </w:r>
          </w:p>
        </w:tc>
      </w:tr>
      <w:tr>
        <w:trPr>
          <w:trHeight w:val="183"/>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Policy acquisition and other underwriting</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5240" w:type="dxa"/>
            <w:vAlign w:val="bottom"/>
          </w:tcPr>
          <w:p>
            <w:pPr>
              <w:ind w:left="380"/>
              <w:spacing w:after="0"/>
              <w:rPr>
                <w:sz w:val="20"/>
                <w:szCs w:val="20"/>
                <w:color w:val="auto"/>
              </w:rPr>
            </w:pPr>
            <w:r>
              <w:rPr>
                <w:rFonts w:ascii="Courier New" w:cs="Courier New" w:eastAsia="Courier New" w:hAnsi="Courier New"/>
                <w:sz w:val="16"/>
                <w:szCs w:val="16"/>
                <w:color w:val="auto"/>
              </w:rPr>
              <w:t>expenses</w:t>
            </w:r>
          </w:p>
        </w:tc>
        <w:tc>
          <w:tcPr>
            <w:tcW w:w="1240" w:type="dxa"/>
            <w:vAlign w:val="bottom"/>
          </w:tcPr>
          <w:p>
            <w:pPr>
              <w:spacing w:after="0"/>
              <w:rPr>
                <w:sz w:val="15"/>
                <w:szCs w:val="15"/>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8,751</w:t>
            </w:r>
          </w:p>
        </w:tc>
        <w:tc>
          <w:tcPr>
            <w:tcW w:w="460" w:type="dxa"/>
            <w:vAlign w:val="bottom"/>
          </w:tcPr>
          <w:p>
            <w:pPr>
              <w:spacing w:after="0"/>
              <w:rPr>
                <w:sz w:val="15"/>
                <w:szCs w:val="15"/>
                <w:color w:val="auto"/>
              </w:rPr>
            </w:pPr>
          </w:p>
        </w:tc>
        <w:tc>
          <w:tcPr>
            <w:tcW w:w="17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8,431</w:t>
            </w:r>
          </w:p>
        </w:tc>
      </w:tr>
      <w:tr>
        <w:trPr>
          <w:trHeight w:val="183"/>
        </w:trPr>
        <w:tc>
          <w:tcPr>
            <w:tcW w:w="5240" w:type="dxa"/>
            <w:vAlign w:val="bottom"/>
          </w:tcPr>
          <w:p>
            <w:pPr>
              <w:spacing w:after="0"/>
              <w:rPr>
                <w:sz w:val="15"/>
                <w:szCs w:val="15"/>
                <w:color w:val="auto"/>
              </w:rPr>
            </w:pPr>
          </w:p>
        </w:tc>
        <w:tc>
          <w:tcPr>
            <w:tcW w:w="23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ind w:left="380"/>
              <w:spacing w:after="0"/>
              <w:rPr>
                <w:sz w:val="20"/>
                <w:szCs w:val="20"/>
                <w:color w:val="auto"/>
              </w:rPr>
            </w:pPr>
            <w:r>
              <w:rPr>
                <w:rFonts w:ascii="Courier New" w:cs="Courier New" w:eastAsia="Courier New" w:hAnsi="Courier New"/>
                <w:sz w:val="16"/>
                <w:szCs w:val="16"/>
                <w:color w:val="auto"/>
              </w:rPr>
              <w:t>Total losses and expenses</w:t>
            </w:r>
          </w:p>
        </w:tc>
        <w:tc>
          <w:tcPr>
            <w:tcW w:w="1240" w:type="dxa"/>
            <w:vAlign w:val="bottom"/>
          </w:tcPr>
          <w:p>
            <w:pPr>
              <w:spacing w:after="0"/>
              <w:rPr>
                <w:sz w:val="15"/>
                <w:szCs w:val="15"/>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35,712</w:t>
            </w:r>
          </w:p>
        </w:tc>
        <w:tc>
          <w:tcPr>
            <w:tcW w:w="460" w:type="dxa"/>
            <w:vAlign w:val="bottom"/>
          </w:tcPr>
          <w:p>
            <w:pPr>
              <w:spacing w:after="0"/>
              <w:rPr>
                <w:sz w:val="15"/>
                <w:szCs w:val="15"/>
                <w:color w:val="auto"/>
              </w:rPr>
            </w:pPr>
          </w:p>
        </w:tc>
        <w:tc>
          <w:tcPr>
            <w:tcW w:w="17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33,094</w:t>
            </w:r>
          </w:p>
        </w:tc>
      </w:tr>
      <w:tr>
        <w:trPr>
          <w:trHeight w:val="183"/>
        </w:trPr>
        <w:tc>
          <w:tcPr>
            <w:tcW w:w="5240" w:type="dxa"/>
            <w:vAlign w:val="bottom"/>
          </w:tcPr>
          <w:p>
            <w:pPr>
              <w:spacing w:after="0"/>
              <w:rPr>
                <w:sz w:val="15"/>
                <w:szCs w:val="15"/>
                <w:color w:val="auto"/>
              </w:rPr>
            </w:pPr>
          </w:p>
        </w:tc>
        <w:tc>
          <w:tcPr>
            <w:tcW w:w="23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ind w:left="380"/>
              <w:spacing w:after="0"/>
              <w:rPr>
                <w:sz w:val="20"/>
                <w:szCs w:val="20"/>
                <w:color w:val="auto"/>
              </w:rPr>
            </w:pPr>
            <w:r>
              <w:rPr>
                <w:rFonts w:ascii="Courier New" w:cs="Courier New" w:eastAsia="Courier New" w:hAnsi="Courier New"/>
                <w:sz w:val="16"/>
                <w:szCs w:val="16"/>
                <w:color w:val="auto"/>
              </w:rPr>
              <w:t>Underwriting loss</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3,538)</w:t>
            </w: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3,203)</w:t>
            </w:r>
          </w:p>
        </w:tc>
      </w:tr>
      <w:tr>
        <w:trPr>
          <w:trHeight w:val="183"/>
        </w:trPr>
        <w:tc>
          <w:tcPr>
            <w:tcW w:w="5240" w:type="dxa"/>
            <w:vAlign w:val="bottom"/>
          </w:tcPr>
          <w:p>
            <w:pPr>
              <w:spacing w:after="0"/>
              <w:rPr>
                <w:sz w:val="15"/>
                <w:szCs w:val="15"/>
                <w:color w:val="auto"/>
              </w:rPr>
            </w:pPr>
          </w:p>
        </w:tc>
        <w:tc>
          <w:tcPr>
            <w:tcW w:w="2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w:t>
            </w:r>
          </w:p>
        </w:tc>
      </w:tr>
      <w:tr>
        <w:trPr>
          <w:trHeight w:val="367"/>
        </w:trPr>
        <w:tc>
          <w:tcPr>
            <w:tcW w:w="5240" w:type="dxa"/>
            <w:vAlign w:val="bottom"/>
          </w:tcPr>
          <w:p>
            <w:pPr>
              <w:spacing w:after="0"/>
              <w:rPr>
                <w:sz w:val="20"/>
                <w:szCs w:val="20"/>
                <w:color w:val="auto"/>
              </w:rPr>
            </w:pPr>
            <w:r>
              <w:rPr>
                <w:rFonts w:ascii="Courier New" w:cs="Courier New" w:eastAsia="Courier New" w:hAnsi="Courier New"/>
                <w:sz w:val="16"/>
                <w:szCs w:val="16"/>
                <w:color w:val="auto"/>
              </w:rPr>
              <w:t>INVESTMENT OPERATIONS:</w:t>
            </w: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67"/>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Net investment income</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12,143</w:t>
            </w: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11,611</w:t>
            </w:r>
          </w:p>
        </w:tc>
      </w:tr>
      <w:tr>
        <w:trPr>
          <w:trHeight w:val="183"/>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Net realized gain on investments</w:t>
            </w:r>
          </w:p>
        </w:tc>
        <w:tc>
          <w:tcPr>
            <w:tcW w:w="1240" w:type="dxa"/>
            <w:vAlign w:val="bottom"/>
          </w:tcPr>
          <w:p>
            <w:pPr>
              <w:spacing w:after="0"/>
              <w:rPr>
                <w:sz w:val="15"/>
                <w:szCs w:val="15"/>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712</w:t>
            </w:r>
          </w:p>
        </w:tc>
        <w:tc>
          <w:tcPr>
            <w:tcW w:w="460" w:type="dxa"/>
            <w:vAlign w:val="bottom"/>
          </w:tcPr>
          <w:p>
            <w:pPr>
              <w:spacing w:after="0"/>
              <w:rPr>
                <w:sz w:val="15"/>
                <w:szCs w:val="15"/>
                <w:color w:val="auto"/>
              </w:rPr>
            </w:pPr>
          </w:p>
        </w:tc>
        <w:tc>
          <w:tcPr>
            <w:tcW w:w="17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5,505</w:t>
            </w:r>
          </w:p>
        </w:tc>
      </w:tr>
      <w:tr>
        <w:trPr>
          <w:trHeight w:val="183"/>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Equity in earnings of Erie Family</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5240" w:type="dxa"/>
            <w:vAlign w:val="bottom"/>
          </w:tcPr>
          <w:p>
            <w:pPr>
              <w:ind w:left="480"/>
              <w:spacing w:after="0"/>
              <w:rPr>
                <w:sz w:val="20"/>
                <w:szCs w:val="20"/>
                <w:color w:val="auto"/>
              </w:rPr>
            </w:pPr>
            <w:r>
              <w:rPr>
                <w:rFonts w:ascii="Courier New" w:cs="Courier New" w:eastAsia="Courier New" w:hAnsi="Courier New"/>
                <w:sz w:val="16"/>
                <w:szCs w:val="16"/>
                <w:color w:val="auto"/>
              </w:rPr>
              <w:t>Life Insurance Company</w:t>
            </w:r>
          </w:p>
        </w:tc>
        <w:tc>
          <w:tcPr>
            <w:tcW w:w="1240" w:type="dxa"/>
            <w:vAlign w:val="bottom"/>
          </w:tcPr>
          <w:p>
            <w:pPr>
              <w:spacing w:after="0"/>
              <w:rPr>
                <w:sz w:val="15"/>
                <w:szCs w:val="15"/>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744</w:t>
            </w:r>
          </w:p>
        </w:tc>
        <w:tc>
          <w:tcPr>
            <w:tcW w:w="460" w:type="dxa"/>
            <w:vAlign w:val="bottom"/>
          </w:tcPr>
          <w:p>
            <w:pPr>
              <w:spacing w:after="0"/>
              <w:rPr>
                <w:sz w:val="15"/>
                <w:szCs w:val="15"/>
                <w:color w:val="auto"/>
              </w:rPr>
            </w:pPr>
          </w:p>
        </w:tc>
        <w:tc>
          <w:tcPr>
            <w:tcW w:w="17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1,407</w:t>
            </w:r>
          </w:p>
        </w:tc>
      </w:tr>
      <w:tr>
        <w:trPr>
          <w:trHeight w:val="183"/>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Equity in (losses) earnings of limited partnerships</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1,403)</w:t>
            </w:r>
          </w:p>
        </w:tc>
        <w:tc>
          <w:tcPr>
            <w:tcW w:w="460" w:type="dxa"/>
            <w:vAlign w:val="bottom"/>
          </w:tcPr>
          <w:p>
            <w:pPr>
              <w:spacing w:after="0"/>
              <w:rPr>
                <w:sz w:val="15"/>
                <w:szCs w:val="15"/>
                <w:color w:val="auto"/>
              </w:rPr>
            </w:pPr>
          </w:p>
        </w:tc>
        <w:tc>
          <w:tcPr>
            <w:tcW w:w="17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992</w:t>
            </w:r>
          </w:p>
        </w:tc>
      </w:tr>
      <w:tr>
        <w:trPr>
          <w:trHeight w:val="183"/>
        </w:trPr>
        <w:tc>
          <w:tcPr>
            <w:tcW w:w="5240" w:type="dxa"/>
            <w:vAlign w:val="bottom"/>
          </w:tcPr>
          <w:p>
            <w:pPr>
              <w:spacing w:after="0"/>
              <w:rPr>
                <w:sz w:val="15"/>
                <w:szCs w:val="15"/>
                <w:color w:val="auto"/>
              </w:rPr>
            </w:pPr>
          </w:p>
        </w:tc>
        <w:tc>
          <w:tcPr>
            <w:tcW w:w="23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ind w:left="480"/>
              <w:spacing w:after="0"/>
              <w:rPr>
                <w:sz w:val="20"/>
                <w:szCs w:val="20"/>
                <w:color w:val="auto"/>
              </w:rPr>
            </w:pPr>
            <w:r>
              <w:rPr>
                <w:rFonts w:ascii="Courier New" w:cs="Courier New" w:eastAsia="Courier New" w:hAnsi="Courier New"/>
                <w:sz w:val="16"/>
                <w:szCs w:val="16"/>
                <w:color w:val="auto"/>
              </w:rPr>
              <w:t>Net revenue from investment operations</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12,196</w:t>
            </w: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19,515</w:t>
            </w:r>
          </w:p>
        </w:tc>
      </w:tr>
      <w:tr>
        <w:trPr>
          <w:trHeight w:val="183"/>
        </w:trPr>
        <w:tc>
          <w:tcPr>
            <w:tcW w:w="5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6"/>
              </w:rPr>
              <w:t>--------</w:t>
            </w:r>
          </w:p>
        </w:tc>
        <w:tc>
          <w:tcPr>
            <w:tcW w:w="218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ind w:left="480"/>
              <w:spacing w:after="0"/>
              <w:rPr>
                <w:sz w:val="20"/>
                <w:szCs w:val="20"/>
                <w:color w:val="auto"/>
              </w:rPr>
            </w:pPr>
            <w:r>
              <w:rPr>
                <w:rFonts w:ascii="Courier New" w:cs="Courier New" w:eastAsia="Courier New" w:hAnsi="Courier New"/>
                <w:sz w:val="16"/>
                <w:szCs w:val="16"/>
                <w:color w:val="auto"/>
              </w:rPr>
              <w:t>Income before income taxes</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51,858</w:t>
            </w: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52,930</w:t>
            </w:r>
          </w:p>
        </w:tc>
      </w:tr>
      <w:tr>
        <w:trPr>
          <w:trHeight w:val="183"/>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Provision for income taxes</w:t>
            </w:r>
          </w:p>
        </w:tc>
        <w:tc>
          <w:tcPr>
            <w:tcW w:w="1240" w:type="dxa"/>
            <w:vAlign w:val="bottom"/>
          </w:tcPr>
          <w:p>
            <w:pPr>
              <w:spacing w:after="0"/>
              <w:rPr>
                <w:sz w:val="15"/>
                <w:szCs w:val="15"/>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17,073</w:t>
            </w:r>
          </w:p>
        </w:tc>
        <w:tc>
          <w:tcPr>
            <w:tcW w:w="460" w:type="dxa"/>
            <w:vAlign w:val="bottom"/>
          </w:tcPr>
          <w:p>
            <w:pPr>
              <w:spacing w:after="0"/>
              <w:rPr>
                <w:sz w:val="15"/>
                <w:szCs w:val="15"/>
                <w:color w:val="auto"/>
              </w:rPr>
            </w:pPr>
          </w:p>
        </w:tc>
        <w:tc>
          <w:tcPr>
            <w:tcW w:w="17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16,745</w:t>
            </w:r>
          </w:p>
        </w:tc>
      </w:tr>
      <w:tr>
        <w:trPr>
          <w:trHeight w:val="183"/>
        </w:trPr>
        <w:tc>
          <w:tcPr>
            <w:tcW w:w="5240" w:type="dxa"/>
            <w:vAlign w:val="bottom"/>
          </w:tcPr>
          <w:p>
            <w:pPr>
              <w:spacing w:after="0"/>
              <w:rPr>
                <w:sz w:val="15"/>
                <w:szCs w:val="15"/>
                <w:color w:val="auto"/>
              </w:rPr>
            </w:pPr>
          </w:p>
        </w:tc>
        <w:tc>
          <w:tcPr>
            <w:tcW w:w="23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ind w:left="380"/>
              <w:spacing w:after="0"/>
              <w:rPr>
                <w:sz w:val="20"/>
                <w:szCs w:val="20"/>
                <w:color w:val="auto"/>
              </w:rPr>
            </w:pPr>
            <w:r>
              <w:rPr>
                <w:rFonts w:ascii="Courier New" w:cs="Courier New" w:eastAsia="Courier New" w:hAnsi="Courier New"/>
                <w:sz w:val="16"/>
                <w:szCs w:val="16"/>
                <w:color w:val="auto"/>
              </w:rPr>
              <w:t>Net income</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34,785</w:t>
            </w: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36,185</w:t>
            </w:r>
          </w:p>
        </w:tc>
      </w:tr>
      <w:tr>
        <w:trPr>
          <w:trHeight w:val="183"/>
        </w:trPr>
        <w:tc>
          <w:tcPr>
            <w:tcW w:w="5240" w:type="dxa"/>
            <w:vAlign w:val="bottom"/>
          </w:tcPr>
          <w:p>
            <w:pPr>
              <w:spacing w:after="0"/>
              <w:rPr>
                <w:sz w:val="15"/>
                <w:szCs w:val="15"/>
                <w:color w:val="auto"/>
              </w:rPr>
            </w:pPr>
          </w:p>
        </w:tc>
        <w:tc>
          <w:tcPr>
            <w:tcW w:w="23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ind w:left="380"/>
              <w:spacing w:after="0"/>
              <w:rPr>
                <w:sz w:val="20"/>
                <w:szCs w:val="20"/>
                <w:color w:val="auto"/>
              </w:rPr>
            </w:pPr>
            <w:r>
              <w:rPr>
                <w:rFonts w:ascii="Courier New" w:cs="Courier New" w:eastAsia="Courier New" w:hAnsi="Courier New"/>
                <w:sz w:val="16"/>
                <w:szCs w:val="16"/>
                <w:color w:val="auto"/>
              </w:rPr>
              <w:t>Net income per share (b)</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.49</w:t>
            </w: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.50</w:t>
            </w:r>
          </w:p>
        </w:tc>
      </w:tr>
      <w:tr>
        <w:trPr>
          <w:trHeight w:val="183"/>
        </w:trPr>
        <w:tc>
          <w:tcPr>
            <w:tcW w:w="5240" w:type="dxa"/>
            <w:vAlign w:val="bottom"/>
          </w:tcPr>
          <w:p>
            <w:pPr>
              <w:spacing w:after="0"/>
              <w:rPr>
                <w:sz w:val="15"/>
                <w:szCs w:val="15"/>
                <w:color w:val="auto"/>
              </w:rPr>
            </w:pPr>
          </w:p>
        </w:tc>
        <w:tc>
          <w:tcPr>
            <w:tcW w:w="23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ind w:left="380"/>
              <w:spacing w:after="0"/>
              <w:rPr>
                <w:sz w:val="20"/>
                <w:szCs w:val="20"/>
                <w:color w:val="auto"/>
              </w:rPr>
            </w:pPr>
            <w:r>
              <w:rPr>
                <w:rFonts w:ascii="Courier New" w:cs="Courier New" w:eastAsia="Courier New" w:hAnsi="Courier New"/>
                <w:sz w:val="16"/>
                <w:szCs w:val="16"/>
                <w:color w:val="auto"/>
              </w:rPr>
              <w:t>Operating income (a)</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34,323</w:t>
            </w: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32,607</w:t>
            </w:r>
          </w:p>
        </w:tc>
      </w:tr>
      <w:tr>
        <w:trPr>
          <w:trHeight w:val="183"/>
        </w:trPr>
        <w:tc>
          <w:tcPr>
            <w:tcW w:w="5240" w:type="dxa"/>
            <w:vAlign w:val="bottom"/>
          </w:tcPr>
          <w:p>
            <w:pPr>
              <w:spacing w:after="0"/>
              <w:rPr>
                <w:sz w:val="15"/>
                <w:szCs w:val="15"/>
                <w:color w:val="auto"/>
              </w:rPr>
            </w:pPr>
          </w:p>
        </w:tc>
        <w:tc>
          <w:tcPr>
            <w:tcW w:w="23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ind w:left="380"/>
              <w:spacing w:after="0"/>
              <w:rPr>
                <w:sz w:val="20"/>
                <w:szCs w:val="20"/>
                <w:color w:val="auto"/>
              </w:rPr>
            </w:pPr>
            <w:r>
              <w:rPr>
                <w:rFonts w:ascii="Courier New" w:cs="Courier New" w:eastAsia="Courier New" w:hAnsi="Courier New"/>
                <w:sz w:val="16"/>
                <w:szCs w:val="16"/>
                <w:color w:val="auto"/>
              </w:rPr>
              <w:t>Operating income per share (b)</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.48</w:t>
            </w: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.45</w:t>
            </w:r>
          </w:p>
        </w:tc>
      </w:tr>
      <w:tr>
        <w:trPr>
          <w:trHeight w:val="183"/>
        </w:trPr>
        <w:tc>
          <w:tcPr>
            <w:tcW w:w="5240" w:type="dxa"/>
            <w:vAlign w:val="bottom"/>
          </w:tcPr>
          <w:p>
            <w:pPr>
              <w:spacing w:after="0"/>
              <w:rPr>
                <w:sz w:val="15"/>
                <w:szCs w:val="15"/>
                <w:color w:val="auto"/>
              </w:rPr>
            </w:pPr>
          </w:p>
        </w:tc>
        <w:tc>
          <w:tcPr>
            <w:tcW w:w="23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ind w:left="280"/>
              <w:spacing w:after="0"/>
              <w:rPr>
                <w:sz w:val="20"/>
                <w:szCs w:val="20"/>
                <w:color w:val="auto"/>
              </w:rPr>
            </w:pPr>
            <w:r>
              <w:rPr>
                <w:rFonts w:ascii="Courier New" w:cs="Courier New" w:eastAsia="Courier New" w:hAnsi="Courier New"/>
                <w:sz w:val="16"/>
                <w:szCs w:val="16"/>
                <w:color w:val="auto"/>
              </w:rPr>
              <w:t>Weighted average shares outstanding (Note B)</w:t>
            </w:r>
          </w:p>
        </w:tc>
        <w:tc>
          <w:tcPr>
            <w:tcW w:w="1240" w:type="dxa"/>
            <w:vAlign w:val="bottom"/>
          </w:tcPr>
          <w:p>
            <w:pPr>
              <w:spacing w:after="0"/>
              <w:rPr>
                <w:sz w:val="15"/>
                <w:szCs w:val="15"/>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71,416</w:t>
            </w:r>
          </w:p>
        </w:tc>
        <w:tc>
          <w:tcPr>
            <w:tcW w:w="460" w:type="dxa"/>
            <w:vAlign w:val="bottom"/>
          </w:tcPr>
          <w:p>
            <w:pPr>
              <w:spacing w:after="0"/>
              <w:rPr>
                <w:sz w:val="15"/>
                <w:szCs w:val="15"/>
                <w:color w:val="auto"/>
              </w:rPr>
            </w:pPr>
          </w:p>
        </w:tc>
        <w:tc>
          <w:tcPr>
            <w:tcW w:w="17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72,300</w:t>
            </w:r>
          </w:p>
        </w:tc>
      </w:tr>
    </w:tbl>
    <w:p>
      <w:pPr>
        <w:spacing w:after="0" w:line="369" w:lineRule="exact"/>
        <w:rPr>
          <w:sz w:val="20"/>
          <w:szCs w:val="20"/>
          <w:color w:val="auto"/>
        </w:rPr>
      </w:pPr>
    </w:p>
    <w:p>
      <w:pPr>
        <w:ind w:left="382" w:hanging="382"/>
        <w:spacing w:after="0"/>
        <w:tabs>
          <w:tab w:leader="none" w:pos="3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excludes net realized gain on investments and related federal income taxes.</w:t>
      </w:r>
    </w:p>
    <w:p>
      <w:pPr>
        <w:spacing w:after="0" w:line="2"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weighted average shares outstanding.</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8" w:top="1031" w:right="1440" w:bottom="1440" w:gutter="0" w:footer="0" w:header="0"/>
        </w:sectPr>
      </w:pPr>
    </w:p>
    <w:bookmarkStart w:id="5" w:name="page6"/>
    <w:bookmarkEnd w:id="5"/>
    <w:p>
      <w:pPr>
        <w:ind w:left="3040"/>
        <w:spacing w:after="0"/>
        <w:rPr>
          <w:sz w:val="20"/>
          <w:szCs w:val="20"/>
          <w:color w:val="auto"/>
        </w:rPr>
      </w:pPr>
      <w:r>
        <w:rPr>
          <w:rFonts w:ascii="Courier New" w:cs="Courier New" w:eastAsia="Courier New" w:hAnsi="Courier New"/>
          <w:sz w:val="16"/>
          <w:szCs w:val="16"/>
          <w:color w:val="auto"/>
        </w:rPr>
        <w:t>ERIE INDEMNITY COMPANY</w:t>
      </w:r>
    </w:p>
    <w:p>
      <w:pPr>
        <w:spacing w:after="0" w:line="186"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CONSOLIDATED STATEMENTS OF COMPREHENSIVE INCOME (UNAUDITED)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80" w:type="dxa"/>
            <w:vAlign w:val="bottom"/>
          </w:tcPr>
          <w:p>
            <w:pPr>
              <w:spacing w:after="0"/>
              <w:rPr>
                <w:sz w:val="15"/>
                <w:szCs w:val="15"/>
                <w:color w:val="auto"/>
              </w:rPr>
            </w:pPr>
          </w:p>
        </w:tc>
        <w:tc>
          <w:tcPr>
            <w:tcW w:w="33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Three Months Ended March 31,</w:t>
            </w:r>
          </w:p>
        </w:tc>
      </w:tr>
      <w:tr>
        <w:trPr>
          <w:trHeight w:val="183"/>
        </w:trPr>
        <w:tc>
          <w:tcPr>
            <w:tcW w:w="5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3"/>
              </w:rPr>
              <w:t>2001</w:t>
            </w:r>
          </w:p>
        </w:tc>
        <w:tc>
          <w:tcPr>
            <w:tcW w:w="420" w:type="dxa"/>
            <w:vAlign w:val="bottom"/>
          </w:tcPr>
          <w:p>
            <w:pPr>
              <w:spacing w:after="0"/>
              <w:rPr>
                <w:sz w:val="15"/>
                <w:szCs w:val="15"/>
                <w:color w:val="auto"/>
              </w:rPr>
            </w:pPr>
          </w:p>
        </w:tc>
        <w:tc>
          <w:tcPr>
            <w:tcW w:w="9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5480" w:type="dxa"/>
            <w:vAlign w:val="bottom"/>
          </w:tcPr>
          <w:p>
            <w:pPr>
              <w:spacing w:after="0"/>
              <w:rPr>
                <w:sz w:val="15"/>
                <w:szCs w:val="15"/>
                <w:color w:val="auto"/>
              </w:rPr>
            </w:pPr>
          </w:p>
        </w:tc>
        <w:tc>
          <w:tcPr>
            <w:tcW w:w="3380" w:type="dxa"/>
            <w:vAlign w:val="bottom"/>
            <w:gridSpan w:val="4"/>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5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180" w:type="dxa"/>
            <w:vAlign w:val="bottom"/>
            <w:gridSpan w:val="3"/>
          </w:tcPr>
          <w:p>
            <w:pPr>
              <w:jc w:val="right"/>
              <w:ind w:right="681"/>
              <w:spacing w:after="0"/>
              <w:rPr>
                <w:sz w:val="20"/>
                <w:szCs w:val="20"/>
                <w:color w:val="auto"/>
              </w:rPr>
            </w:pPr>
            <w:r>
              <w:rPr>
                <w:rFonts w:ascii="Courier New" w:cs="Courier New" w:eastAsia="Courier New" w:hAnsi="Courier New"/>
                <w:sz w:val="16"/>
                <w:szCs w:val="16"/>
                <w:color w:val="auto"/>
              </w:rPr>
              <w:t>(In thousands)</w:t>
            </w:r>
          </w:p>
        </w:tc>
      </w:tr>
      <w:tr>
        <w:trPr>
          <w:trHeight w:val="367"/>
        </w:trPr>
        <w:tc>
          <w:tcPr>
            <w:tcW w:w="54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3"/>
              </w:rPr>
              <w:t>34,785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36,185</w:t>
            </w:r>
          </w:p>
        </w:tc>
      </w:tr>
      <w:tr>
        <w:trPr>
          <w:trHeight w:val="183"/>
        </w:trPr>
        <w:tc>
          <w:tcPr>
            <w:tcW w:w="5480" w:type="dxa"/>
            <w:vAlign w:val="bottom"/>
          </w:tcPr>
          <w:p>
            <w:pPr>
              <w:spacing w:after="0"/>
              <w:rPr>
                <w:sz w:val="15"/>
                <w:szCs w:val="15"/>
                <w:color w:val="auto"/>
              </w:rPr>
            </w:pPr>
          </w:p>
        </w:tc>
        <w:tc>
          <w:tcPr>
            <w:tcW w:w="20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Unrealized gains on securities:</w:t>
            </w: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5480" w:type="dxa"/>
            <w:vAlign w:val="bottom"/>
          </w:tcPr>
          <w:p>
            <w:pPr>
              <w:ind w:left="380"/>
              <w:spacing w:after="0"/>
              <w:rPr>
                <w:sz w:val="20"/>
                <w:szCs w:val="20"/>
                <w:color w:val="auto"/>
              </w:rPr>
            </w:pPr>
            <w:r>
              <w:rPr>
                <w:rFonts w:ascii="Courier New" w:cs="Courier New" w:eastAsia="Courier New" w:hAnsi="Courier New"/>
                <w:sz w:val="16"/>
                <w:szCs w:val="16"/>
                <w:color w:val="auto"/>
              </w:rPr>
              <w:t>Unrealized holding gains arising during period</w:t>
            </w:r>
          </w:p>
        </w:tc>
        <w:tc>
          <w:tcPr>
            <w:tcW w:w="1200" w:type="dxa"/>
            <w:vAlign w:val="bottom"/>
          </w:tcPr>
          <w:p>
            <w:pPr>
              <w:spacing w:after="0"/>
              <w:rPr>
                <w:sz w:val="15"/>
                <w:szCs w:val="15"/>
                <w:color w:val="auto"/>
              </w:rPr>
            </w:pP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3,207</w:t>
            </w:r>
          </w:p>
        </w:tc>
        <w:tc>
          <w:tcPr>
            <w:tcW w:w="42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26,815</w:t>
            </w:r>
          </w:p>
        </w:tc>
      </w:tr>
      <w:tr>
        <w:trPr>
          <w:trHeight w:val="183"/>
        </w:trPr>
        <w:tc>
          <w:tcPr>
            <w:tcW w:w="5480" w:type="dxa"/>
            <w:vAlign w:val="bottom"/>
          </w:tcPr>
          <w:p>
            <w:pPr>
              <w:ind w:left="380"/>
              <w:spacing w:after="0"/>
              <w:rPr>
                <w:sz w:val="20"/>
                <w:szCs w:val="20"/>
                <w:color w:val="auto"/>
              </w:rPr>
            </w:pPr>
            <w:r>
              <w:rPr>
                <w:rFonts w:ascii="Courier New" w:cs="Courier New" w:eastAsia="Courier New" w:hAnsi="Courier New"/>
                <w:sz w:val="16"/>
                <w:szCs w:val="16"/>
                <w:color w:val="auto"/>
              </w:rPr>
              <w:t>Less:  reclassification adjustment for</w:t>
            </w: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5480" w:type="dxa"/>
            <w:vAlign w:val="bottom"/>
          </w:tcPr>
          <w:p>
            <w:pPr>
              <w:ind w:left="580"/>
              <w:spacing w:after="0"/>
              <w:rPr>
                <w:sz w:val="20"/>
                <w:szCs w:val="20"/>
                <w:color w:val="auto"/>
              </w:rPr>
            </w:pPr>
            <w:r>
              <w:rPr>
                <w:rFonts w:ascii="Courier New" w:cs="Courier New" w:eastAsia="Courier New" w:hAnsi="Courier New"/>
                <w:sz w:val="16"/>
                <w:szCs w:val="16"/>
                <w:color w:val="auto"/>
              </w:rPr>
              <w:t>gains included in net income</w:t>
            </w:r>
          </w:p>
        </w:tc>
        <w:tc>
          <w:tcPr>
            <w:tcW w:w="1200" w:type="dxa"/>
            <w:vAlign w:val="bottom"/>
          </w:tcPr>
          <w:p>
            <w:pPr>
              <w:spacing w:after="0"/>
              <w:rPr>
                <w:sz w:val="15"/>
                <w:szCs w:val="15"/>
                <w:color w:val="auto"/>
              </w:rPr>
            </w:pP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712</w:t>
            </w:r>
          </w:p>
        </w:tc>
        <w:tc>
          <w:tcPr>
            <w:tcW w:w="42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5,505</w:t>
            </w:r>
          </w:p>
        </w:tc>
      </w:tr>
      <w:tr>
        <w:trPr>
          <w:trHeight w:val="183"/>
        </w:trPr>
        <w:tc>
          <w:tcPr>
            <w:tcW w:w="5480" w:type="dxa"/>
            <w:vAlign w:val="bottom"/>
          </w:tcPr>
          <w:p>
            <w:pPr>
              <w:spacing w:after="0"/>
              <w:rPr>
                <w:sz w:val="15"/>
                <w:szCs w:val="15"/>
                <w:color w:val="auto"/>
              </w:rPr>
            </w:pPr>
          </w:p>
        </w:tc>
        <w:tc>
          <w:tcPr>
            <w:tcW w:w="20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5480" w:type="dxa"/>
            <w:vAlign w:val="bottom"/>
          </w:tcPr>
          <w:p>
            <w:pPr>
              <w:ind w:left="580"/>
              <w:spacing w:after="0"/>
              <w:rPr>
                <w:sz w:val="20"/>
                <w:szCs w:val="20"/>
                <w:color w:val="auto"/>
              </w:rPr>
            </w:pPr>
            <w:r>
              <w:rPr>
                <w:rFonts w:ascii="Courier New" w:cs="Courier New" w:eastAsia="Courier New" w:hAnsi="Courier New"/>
                <w:sz w:val="16"/>
                <w:szCs w:val="16"/>
                <w:color w:val="auto"/>
              </w:rPr>
              <w:t>Net unrealized holding gains</w:t>
            </w: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5480" w:type="dxa"/>
            <w:vAlign w:val="bottom"/>
          </w:tcPr>
          <w:p>
            <w:pPr>
              <w:ind w:left="760"/>
              <w:spacing w:after="0"/>
              <w:rPr>
                <w:sz w:val="20"/>
                <w:szCs w:val="20"/>
                <w:color w:val="auto"/>
              </w:rPr>
            </w:pPr>
            <w:r>
              <w:rPr>
                <w:rFonts w:ascii="Courier New" w:cs="Courier New" w:eastAsia="Courier New" w:hAnsi="Courier New"/>
                <w:sz w:val="16"/>
                <w:szCs w:val="16"/>
                <w:color w:val="auto"/>
              </w:rPr>
              <w:t>arising during period</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2,495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21,310</w:t>
            </w:r>
          </w:p>
        </w:tc>
      </w:tr>
      <w:tr>
        <w:trPr>
          <w:trHeight w:val="183"/>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Income tax expense related to</w:t>
            </w: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5480" w:type="dxa"/>
            <w:vAlign w:val="bottom"/>
          </w:tcPr>
          <w:p>
            <w:pPr>
              <w:ind w:left="380"/>
              <w:spacing w:after="0"/>
              <w:rPr>
                <w:sz w:val="20"/>
                <w:szCs w:val="20"/>
                <w:color w:val="auto"/>
              </w:rPr>
            </w:pPr>
            <w:r>
              <w:rPr>
                <w:rFonts w:ascii="Courier New" w:cs="Courier New" w:eastAsia="Courier New" w:hAnsi="Courier New"/>
                <w:sz w:val="16"/>
                <w:szCs w:val="16"/>
                <w:color w:val="auto"/>
              </w:rPr>
              <w:t>unrealized gains</w:t>
            </w:r>
          </w:p>
        </w:tc>
        <w:tc>
          <w:tcPr>
            <w:tcW w:w="12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873)</w:t>
            </w:r>
          </w:p>
        </w:tc>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7,459)</w:t>
            </w:r>
          </w:p>
        </w:tc>
      </w:tr>
      <w:tr>
        <w:trPr>
          <w:trHeight w:val="183"/>
        </w:trPr>
        <w:tc>
          <w:tcPr>
            <w:tcW w:w="5480" w:type="dxa"/>
            <w:vAlign w:val="bottom"/>
          </w:tcPr>
          <w:p>
            <w:pPr>
              <w:spacing w:after="0"/>
              <w:rPr>
                <w:sz w:val="15"/>
                <w:szCs w:val="15"/>
                <w:color w:val="auto"/>
              </w:rPr>
            </w:pPr>
          </w:p>
        </w:tc>
        <w:tc>
          <w:tcPr>
            <w:tcW w:w="20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Other comprehensive income, net of tax</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1,622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13,851</w:t>
            </w:r>
          </w:p>
        </w:tc>
      </w:tr>
      <w:tr>
        <w:trPr>
          <w:trHeight w:val="183"/>
        </w:trPr>
        <w:tc>
          <w:tcPr>
            <w:tcW w:w="5480" w:type="dxa"/>
            <w:vAlign w:val="bottom"/>
          </w:tcPr>
          <w:p>
            <w:pPr>
              <w:spacing w:after="0"/>
              <w:rPr>
                <w:sz w:val="15"/>
                <w:szCs w:val="15"/>
                <w:color w:val="auto"/>
              </w:rPr>
            </w:pPr>
          </w:p>
        </w:tc>
        <w:tc>
          <w:tcPr>
            <w:tcW w:w="20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Comprehensive income</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3"/>
              </w:rPr>
              <w:t>36,407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50,036</w:t>
            </w:r>
          </w:p>
        </w:tc>
      </w:tr>
      <w:tr>
        <w:trPr>
          <w:trHeight w:val="183"/>
        </w:trPr>
        <w:tc>
          <w:tcPr>
            <w:tcW w:w="5480" w:type="dxa"/>
            <w:vAlign w:val="bottom"/>
          </w:tcPr>
          <w:p>
            <w:pPr>
              <w:spacing w:after="0"/>
              <w:rPr>
                <w:sz w:val="15"/>
                <w:szCs w:val="15"/>
                <w:color w:val="auto"/>
              </w:rPr>
            </w:pPr>
          </w:p>
        </w:tc>
        <w:tc>
          <w:tcPr>
            <w:tcW w:w="20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200" w:lineRule="exact"/>
        <w:rPr>
          <w:sz w:val="20"/>
          <w:szCs w:val="20"/>
          <w:color w:val="auto"/>
        </w:rPr>
      </w:pPr>
    </w:p>
    <w:p>
      <w:pPr>
        <w:spacing w:after="0" w:line="35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48" w:right="1440" w:bottom="1440" w:gutter="0" w:footer="0" w:header="0"/>
        </w:sectPr>
      </w:pPr>
    </w:p>
    <w:bookmarkStart w:id="6" w:name="page7"/>
    <w:bookmarkEnd w:id="6"/>
    <w:p>
      <w:pPr>
        <w:ind w:left="3040"/>
        <w:spacing w:after="0"/>
        <w:rPr>
          <w:sz w:val="20"/>
          <w:szCs w:val="20"/>
          <w:color w:val="auto"/>
        </w:rPr>
      </w:pPr>
      <w:r>
        <w:rPr>
          <w:rFonts w:ascii="Courier New" w:cs="Courier New" w:eastAsia="Courier New" w:hAnsi="Courier New"/>
          <w:sz w:val="16"/>
          <w:szCs w:val="16"/>
          <w:color w:val="auto"/>
        </w:rPr>
        <w:t>ERIE INDEMNITY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80" w:type="dxa"/>
            <w:vAlign w:val="bottom"/>
          </w:tcPr>
          <w:p>
            <w:pPr>
              <w:spacing w:after="0"/>
              <w:rPr>
                <w:sz w:val="15"/>
                <w:szCs w:val="15"/>
                <w:color w:val="auto"/>
              </w:rPr>
            </w:pPr>
          </w:p>
        </w:tc>
        <w:tc>
          <w:tcPr>
            <w:tcW w:w="5340" w:type="dxa"/>
            <w:vAlign w:val="bottom"/>
          </w:tcPr>
          <w:p>
            <w:pPr>
              <w:ind w:left="420"/>
              <w:spacing w:after="0"/>
              <w:rPr>
                <w:sz w:val="20"/>
                <w:szCs w:val="20"/>
                <w:color w:val="auto"/>
              </w:rPr>
            </w:pPr>
            <w:r>
              <w:rPr>
                <w:rFonts w:ascii="Courier New" w:cs="Courier New" w:eastAsia="Courier New" w:hAnsi="Courier New"/>
                <w:sz w:val="16"/>
                <w:szCs w:val="16"/>
                <w:color w:val="auto"/>
              </w:rPr>
              <w:t>CONSOLIDATED STATEMENTS OF CASH FLOWS (UNAUDITED)</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734"/>
        </w:trPr>
        <w:tc>
          <w:tcPr>
            <w:tcW w:w="14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60" w:type="dxa"/>
            <w:vAlign w:val="bottom"/>
            <w:gridSpan w:val="3"/>
          </w:tcPr>
          <w:p>
            <w:pPr>
              <w:jc w:val="center"/>
              <w:ind w:right="101"/>
              <w:spacing w:after="0"/>
              <w:rPr>
                <w:sz w:val="20"/>
                <w:szCs w:val="20"/>
                <w:color w:val="auto"/>
              </w:rPr>
            </w:pPr>
            <w:r>
              <w:rPr>
                <w:rFonts w:ascii="Courier New" w:cs="Courier New" w:eastAsia="Courier New" w:hAnsi="Courier New"/>
                <w:sz w:val="16"/>
                <w:szCs w:val="16"/>
                <w:color w:val="auto"/>
                <w:w w:val="99"/>
              </w:rPr>
              <w:t>Three Months Ended March 31,</w:t>
            </w:r>
          </w:p>
        </w:tc>
      </w:tr>
      <w:tr>
        <w:trPr>
          <w:trHeight w:val="183"/>
        </w:trPr>
        <w:tc>
          <w:tcPr>
            <w:tcW w:w="14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2001</w:t>
            </w:r>
          </w:p>
        </w:tc>
        <w:tc>
          <w:tcPr>
            <w:tcW w:w="720" w:type="dxa"/>
            <w:vAlign w:val="bottom"/>
          </w:tcPr>
          <w:p>
            <w:pPr>
              <w:spacing w:after="0"/>
              <w:rPr>
                <w:sz w:val="15"/>
                <w:szCs w:val="15"/>
                <w:color w:val="auto"/>
              </w:rPr>
            </w:pPr>
          </w:p>
        </w:tc>
        <w:tc>
          <w:tcPr>
            <w:tcW w:w="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14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14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60" w:type="dxa"/>
            <w:vAlign w:val="bottom"/>
            <w:gridSpan w:val="2"/>
          </w:tcPr>
          <w:p>
            <w:pPr>
              <w:jc w:val="center"/>
              <w:ind w:left="541"/>
              <w:spacing w:after="0"/>
              <w:rPr>
                <w:sz w:val="20"/>
                <w:szCs w:val="20"/>
                <w:color w:val="auto"/>
              </w:rPr>
            </w:pPr>
            <w:r>
              <w:rPr>
                <w:rFonts w:ascii="Courier New" w:cs="Courier New" w:eastAsia="Courier New" w:hAnsi="Courier New"/>
                <w:sz w:val="16"/>
                <w:szCs w:val="16"/>
                <w:color w:val="auto"/>
                <w:w w:val="98"/>
              </w:rPr>
              <w:t>(In thousands)</w:t>
            </w:r>
          </w:p>
        </w:tc>
        <w:tc>
          <w:tcPr>
            <w:tcW w:w="800" w:type="dxa"/>
            <w:vAlign w:val="bottom"/>
          </w:tcPr>
          <w:p>
            <w:pPr>
              <w:spacing w:after="0"/>
              <w:rPr>
                <w:sz w:val="15"/>
                <w:szCs w:val="15"/>
                <w:color w:val="auto"/>
              </w:rPr>
            </w:pPr>
          </w:p>
        </w:tc>
      </w:tr>
      <w:tr>
        <w:trPr>
          <w:trHeight w:val="367"/>
        </w:trPr>
        <w:tc>
          <w:tcPr>
            <w:tcW w:w="1480" w:type="dxa"/>
            <w:vAlign w:val="bottom"/>
          </w:tcPr>
          <w:p>
            <w:pPr>
              <w:spacing w:after="0"/>
              <w:rPr>
                <w:sz w:val="20"/>
                <w:szCs w:val="20"/>
                <w:color w:val="auto"/>
              </w:rPr>
            </w:pPr>
            <w:r>
              <w:rPr>
                <w:rFonts w:ascii="Courier New" w:cs="Courier New" w:eastAsia="Courier New" w:hAnsi="Courier New"/>
                <w:sz w:val="16"/>
                <w:szCs w:val="16"/>
                <w:color w:val="auto"/>
              </w:rPr>
              <w:t>CASH FLOWS FROM</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OPERATING ACTIVITIES</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3"/>
        </w:trPr>
        <w:tc>
          <w:tcPr>
            <w:tcW w:w="68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Net income</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34,785</w:t>
            </w:r>
          </w:p>
        </w:tc>
        <w:tc>
          <w:tcPr>
            <w:tcW w:w="7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36,185</w:t>
            </w:r>
          </w:p>
        </w:tc>
      </w:tr>
      <w:tr>
        <w:trPr>
          <w:trHeight w:val="183"/>
        </w:trPr>
        <w:tc>
          <w:tcPr>
            <w:tcW w:w="68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Adjustments to reconcile net income to net</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682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cash (used in) provided by operating activities:</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6820" w:type="dxa"/>
            <w:vAlign w:val="bottom"/>
            <w:gridSpan w:val="2"/>
          </w:tcPr>
          <w:p>
            <w:pPr>
              <w:ind w:left="1140"/>
              <w:spacing w:after="0"/>
              <w:rPr>
                <w:sz w:val="20"/>
                <w:szCs w:val="20"/>
                <w:color w:val="auto"/>
              </w:rPr>
            </w:pPr>
            <w:r>
              <w:rPr>
                <w:rFonts w:ascii="Courier New" w:cs="Courier New" w:eastAsia="Courier New" w:hAnsi="Courier New"/>
                <w:sz w:val="16"/>
                <w:szCs w:val="16"/>
                <w:color w:val="auto"/>
              </w:rPr>
              <w:t>Depreciation and amortization</w:t>
            </w:r>
          </w:p>
        </w:tc>
        <w:tc>
          <w:tcPr>
            <w:tcW w:w="42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747</w:t>
            </w:r>
          </w:p>
        </w:tc>
        <w:tc>
          <w:tcPr>
            <w:tcW w:w="7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579</w:t>
            </w:r>
          </w:p>
        </w:tc>
      </w:tr>
      <w:tr>
        <w:trPr>
          <w:trHeight w:val="183"/>
        </w:trPr>
        <w:tc>
          <w:tcPr>
            <w:tcW w:w="6820" w:type="dxa"/>
            <w:vAlign w:val="bottom"/>
            <w:gridSpan w:val="2"/>
          </w:tcPr>
          <w:p>
            <w:pPr>
              <w:ind w:left="1140"/>
              <w:spacing w:after="0"/>
              <w:rPr>
                <w:sz w:val="20"/>
                <w:szCs w:val="20"/>
                <w:color w:val="auto"/>
              </w:rPr>
            </w:pPr>
            <w:r>
              <w:rPr>
                <w:rFonts w:ascii="Courier New" w:cs="Courier New" w:eastAsia="Courier New" w:hAnsi="Courier New"/>
                <w:sz w:val="16"/>
                <w:szCs w:val="16"/>
                <w:color w:val="auto"/>
              </w:rPr>
              <w:t>Deferred income tax expense (benefit)</w:t>
            </w:r>
          </w:p>
        </w:tc>
        <w:tc>
          <w:tcPr>
            <w:tcW w:w="42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1,044</w:t>
            </w:r>
          </w:p>
        </w:tc>
        <w:tc>
          <w:tcPr>
            <w:tcW w:w="7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244)</w:t>
            </w:r>
          </w:p>
        </w:tc>
      </w:tr>
      <w:tr>
        <w:trPr>
          <w:trHeight w:val="183"/>
        </w:trPr>
        <w:tc>
          <w:tcPr>
            <w:tcW w:w="6820" w:type="dxa"/>
            <w:vAlign w:val="bottom"/>
            <w:gridSpan w:val="2"/>
          </w:tcPr>
          <w:p>
            <w:pPr>
              <w:ind w:left="1140"/>
              <w:spacing w:after="0"/>
              <w:rPr>
                <w:sz w:val="20"/>
                <w:szCs w:val="20"/>
                <w:color w:val="auto"/>
              </w:rPr>
            </w:pPr>
            <w:r>
              <w:rPr>
                <w:rFonts w:ascii="Courier New" w:cs="Courier New" w:eastAsia="Courier New" w:hAnsi="Courier New"/>
                <w:sz w:val="16"/>
                <w:szCs w:val="16"/>
                <w:color w:val="auto"/>
              </w:rPr>
              <w:t>Amortization of deferred policy acquisition costs</w:t>
            </w:r>
          </w:p>
        </w:tc>
        <w:tc>
          <w:tcPr>
            <w:tcW w:w="42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5,787</w:t>
            </w:r>
          </w:p>
        </w:tc>
        <w:tc>
          <w:tcPr>
            <w:tcW w:w="7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5,701</w:t>
            </w:r>
          </w:p>
        </w:tc>
      </w:tr>
      <w:tr>
        <w:trPr>
          <w:trHeight w:val="183"/>
        </w:trPr>
        <w:tc>
          <w:tcPr>
            <w:tcW w:w="6820" w:type="dxa"/>
            <w:vAlign w:val="bottom"/>
            <w:gridSpan w:val="2"/>
          </w:tcPr>
          <w:p>
            <w:pPr>
              <w:ind w:left="1140"/>
              <w:spacing w:after="0"/>
              <w:rPr>
                <w:sz w:val="20"/>
                <w:szCs w:val="20"/>
                <w:color w:val="auto"/>
              </w:rPr>
            </w:pPr>
            <w:r>
              <w:rPr>
                <w:rFonts w:ascii="Courier New" w:cs="Courier New" w:eastAsia="Courier New" w:hAnsi="Courier New"/>
                <w:sz w:val="16"/>
                <w:szCs w:val="16"/>
                <w:color w:val="auto"/>
              </w:rPr>
              <w:t>Realized gain on investments</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712)</w:t>
            </w:r>
          </w:p>
        </w:tc>
        <w:tc>
          <w:tcPr>
            <w:tcW w:w="7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5,505)</w:t>
            </w:r>
          </w:p>
        </w:tc>
      </w:tr>
      <w:tr>
        <w:trPr>
          <w:trHeight w:val="183"/>
        </w:trPr>
        <w:tc>
          <w:tcPr>
            <w:tcW w:w="1480" w:type="dxa"/>
            <w:vAlign w:val="bottom"/>
          </w:tcPr>
          <w:p>
            <w:pPr>
              <w:ind w:left="1140"/>
              <w:spacing w:after="0"/>
              <w:rPr>
                <w:sz w:val="20"/>
                <w:szCs w:val="20"/>
                <w:color w:val="auto"/>
              </w:rPr>
            </w:pPr>
            <w:r>
              <w:rPr>
                <w:rFonts w:ascii="Courier New" w:cs="Courier New" w:eastAsia="Courier New" w:hAnsi="Courier New"/>
                <w:sz w:val="16"/>
                <w:szCs w:val="16"/>
                <w:color w:val="auto"/>
              </w:rPr>
              <w:t>Net</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amortization of bond (discount) premium</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62)</w:t>
            </w:r>
          </w:p>
        </w:tc>
        <w:tc>
          <w:tcPr>
            <w:tcW w:w="7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6</w:t>
            </w:r>
          </w:p>
        </w:tc>
      </w:tr>
      <w:tr>
        <w:trPr>
          <w:trHeight w:val="183"/>
        </w:trPr>
        <w:tc>
          <w:tcPr>
            <w:tcW w:w="6820" w:type="dxa"/>
            <w:vAlign w:val="bottom"/>
            <w:gridSpan w:val="2"/>
          </w:tcPr>
          <w:p>
            <w:pPr>
              <w:ind w:left="1140"/>
              <w:spacing w:after="0"/>
              <w:rPr>
                <w:sz w:val="20"/>
                <w:szCs w:val="20"/>
                <w:color w:val="auto"/>
              </w:rPr>
            </w:pPr>
            <w:r>
              <w:rPr>
                <w:rFonts w:ascii="Courier New" w:cs="Courier New" w:eastAsia="Courier New" w:hAnsi="Courier New"/>
                <w:sz w:val="16"/>
                <w:szCs w:val="16"/>
                <w:color w:val="auto"/>
              </w:rPr>
              <w:t>Undistributed earnings of Erie Family Life</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346)</w:t>
            </w:r>
          </w:p>
        </w:tc>
        <w:tc>
          <w:tcPr>
            <w:tcW w:w="7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1,039)</w:t>
            </w:r>
          </w:p>
        </w:tc>
      </w:tr>
      <w:tr>
        <w:trPr>
          <w:trHeight w:val="183"/>
        </w:trPr>
        <w:tc>
          <w:tcPr>
            <w:tcW w:w="6820" w:type="dxa"/>
            <w:vAlign w:val="bottom"/>
            <w:gridSpan w:val="2"/>
          </w:tcPr>
          <w:p>
            <w:pPr>
              <w:ind w:left="1140"/>
              <w:spacing w:after="0"/>
              <w:rPr>
                <w:sz w:val="20"/>
                <w:szCs w:val="20"/>
                <w:color w:val="auto"/>
              </w:rPr>
            </w:pPr>
            <w:r>
              <w:rPr>
                <w:rFonts w:ascii="Courier New" w:cs="Courier New" w:eastAsia="Courier New" w:hAnsi="Courier New"/>
                <w:sz w:val="16"/>
                <w:szCs w:val="16"/>
                <w:color w:val="auto"/>
              </w:rPr>
              <w:t>Deferred compensation</w:t>
            </w:r>
          </w:p>
        </w:tc>
        <w:tc>
          <w:tcPr>
            <w:tcW w:w="42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52</w:t>
            </w:r>
          </w:p>
        </w:tc>
        <w:tc>
          <w:tcPr>
            <w:tcW w:w="7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332</w:t>
            </w:r>
          </w:p>
        </w:tc>
      </w:tr>
      <w:tr>
        <w:trPr>
          <w:trHeight w:val="183"/>
        </w:trPr>
        <w:tc>
          <w:tcPr>
            <w:tcW w:w="1480" w:type="dxa"/>
            <w:vAlign w:val="bottom"/>
          </w:tcPr>
          <w:p>
            <w:pPr>
              <w:ind w:left="660"/>
              <w:spacing w:after="0"/>
              <w:rPr>
                <w:sz w:val="20"/>
                <w:szCs w:val="20"/>
                <w:color w:val="auto"/>
              </w:rPr>
            </w:pPr>
            <w:r>
              <w:rPr>
                <w:rFonts w:ascii="Courier New" w:cs="Courier New" w:eastAsia="Courier New" w:hAnsi="Courier New"/>
                <w:sz w:val="16"/>
                <w:szCs w:val="16"/>
                <w:color w:val="auto"/>
              </w:rPr>
              <w:t>Increase</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in accrued investment income</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1,272)</w:t>
            </w:r>
          </w:p>
        </w:tc>
        <w:tc>
          <w:tcPr>
            <w:tcW w:w="7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1,662)</w:t>
            </w:r>
          </w:p>
        </w:tc>
      </w:tr>
      <w:tr>
        <w:trPr>
          <w:trHeight w:val="183"/>
        </w:trPr>
        <w:tc>
          <w:tcPr>
            <w:tcW w:w="1480" w:type="dxa"/>
            <w:vAlign w:val="bottom"/>
          </w:tcPr>
          <w:p>
            <w:pPr>
              <w:ind w:left="660"/>
              <w:spacing w:after="0"/>
              <w:rPr>
                <w:sz w:val="20"/>
                <w:szCs w:val="20"/>
                <w:color w:val="auto"/>
              </w:rPr>
            </w:pPr>
            <w:r>
              <w:rPr>
                <w:rFonts w:ascii="Courier New" w:cs="Courier New" w:eastAsia="Courier New" w:hAnsi="Courier New"/>
                <w:sz w:val="16"/>
                <w:szCs w:val="16"/>
                <w:color w:val="auto"/>
              </w:rPr>
              <w:t>Increase</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in receivables</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54,439)</w:t>
            </w:r>
          </w:p>
        </w:tc>
        <w:tc>
          <w:tcPr>
            <w:tcW w:w="7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30,808)</w:t>
            </w:r>
          </w:p>
        </w:tc>
      </w:tr>
      <w:tr>
        <w:trPr>
          <w:trHeight w:val="183"/>
        </w:trPr>
        <w:tc>
          <w:tcPr>
            <w:tcW w:w="68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Policy acquisition costs deferred</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6,470)</w:t>
            </w:r>
          </w:p>
        </w:tc>
        <w:tc>
          <w:tcPr>
            <w:tcW w:w="7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5,782)</w:t>
            </w:r>
          </w:p>
        </w:tc>
      </w:tr>
      <w:tr>
        <w:trPr>
          <w:trHeight w:val="183"/>
        </w:trPr>
        <w:tc>
          <w:tcPr>
            <w:tcW w:w="68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(Increase) decrease in prepaid expenses and other assets</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5,657)</w:t>
            </w:r>
          </w:p>
        </w:tc>
        <w:tc>
          <w:tcPr>
            <w:tcW w:w="7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520</w:t>
            </w:r>
          </w:p>
        </w:tc>
      </w:tr>
      <w:tr>
        <w:trPr>
          <w:trHeight w:val="183"/>
        </w:trPr>
        <w:tc>
          <w:tcPr>
            <w:tcW w:w="1480" w:type="dxa"/>
            <w:vAlign w:val="bottom"/>
          </w:tcPr>
          <w:p>
            <w:pPr>
              <w:ind w:left="660"/>
              <w:spacing w:after="0"/>
              <w:rPr>
                <w:sz w:val="20"/>
                <w:szCs w:val="20"/>
                <w:color w:val="auto"/>
              </w:rPr>
            </w:pPr>
            <w:r>
              <w:rPr>
                <w:rFonts w:ascii="Courier New" w:cs="Courier New" w:eastAsia="Courier New" w:hAnsi="Courier New"/>
                <w:sz w:val="16"/>
                <w:szCs w:val="16"/>
                <w:color w:val="auto"/>
              </w:rPr>
              <w:t>Decrease</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in accounts payable and accrued expenses</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2,543)</w:t>
            </w:r>
          </w:p>
        </w:tc>
        <w:tc>
          <w:tcPr>
            <w:tcW w:w="7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558)</w:t>
            </w:r>
          </w:p>
        </w:tc>
      </w:tr>
      <w:tr>
        <w:trPr>
          <w:trHeight w:val="183"/>
        </w:trPr>
        <w:tc>
          <w:tcPr>
            <w:tcW w:w="1480" w:type="dxa"/>
            <w:vAlign w:val="bottom"/>
          </w:tcPr>
          <w:p>
            <w:pPr>
              <w:ind w:left="660"/>
              <w:spacing w:after="0"/>
              <w:rPr>
                <w:sz w:val="20"/>
                <w:szCs w:val="20"/>
                <w:color w:val="auto"/>
              </w:rPr>
            </w:pPr>
            <w:r>
              <w:rPr>
                <w:rFonts w:ascii="Courier New" w:cs="Courier New" w:eastAsia="Courier New" w:hAnsi="Courier New"/>
                <w:sz w:val="16"/>
                <w:szCs w:val="16"/>
                <w:color w:val="auto"/>
              </w:rPr>
              <w:t>Decrease</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in commissions payable and accrued</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6,748)</w:t>
            </w:r>
          </w:p>
        </w:tc>
        <w:tc>
          <w:tcPr>
            <w:tcW w:w="7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10,218)</w:t>
            </w:r>
          </w:p>
        </w:tc>
      </w:tr>
      <w:tr>
        <w:trPr>
          <w:trHeight w:val="183"/>
        </w:trPr>
        <w:tc>
          <w:tcPr>
            <w:tcW w:w="1480" w:type="dxa"/>
            <w:vAlign w:val="bottom"/>
          </w:tcPr>
          <w:p>
            <w:pPr>
              <w:ind w:left="660"/>
              <w:spacing w:after="0"/>
              <w:rPr>
                <w:sz w:val="20"/>
                <w:szCs w:val="20"/>
                <w:color w:val="auto"/>
              </w:rPr>
            </w:pPr>
            <w:r>
              <w:rPr>
                <w:rFonts w:ascii="Courier New" w:cs="Courier New" w:eastAsia="Courier New" w:hAnsi="Courier New"/>
                <w:sz w:val="16"/>
                <w:szCs w:val="16"/>
                <w:color w:val="auto"/>
              </w:rPr>
              <w:t>Increase</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in income taxes payable</w:t>
            </w:r>
          </w:p>
        </w:tc>
        <w:tc>
          <w:tcPr>
            <w:tcW w:w="42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15,985</w:t>
            </w:r>
          </w:p>
        </w:tc>
        <w:tc>
          <w:tcPr>
            <w:tcW w:w="7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16,936</w:t>
            </w:r>
          </w:p>
        </w:tc>
      </w:tr>
      <w:tr>
        <w:trPr>
          <w:trHeight w:val="183"/>
        </w:trPr>
        <w:tc>
          <w:tcPr>
            <w:tcW w:w="1480" w:type="dxa"/>
            <w:vAlign w:val="bottom"/>
          </w:tcPr>
          <w:p>
            <w:pPr>
              <w:ind w:left="660"/>
              <w:spacing w:after="0"/>
              <w:rPr>
                <w:sz w:val="20"/>
                <w:szCs w:val="20"/>
                <w:color w:val="auto"/>
              </w:rPr>
            </w:pPr>
            <w:r>
              <w:rPr>
                <w:rFonts w:ascii="Courier New" w:cs="Courier New" w:eastAsia="Courier New" w:hAnsi="Courier New"/>
                <w:sz w:val="16"/>
                <w:szCs w:val="16"/>
                <w:color w:val="auto"/>
              </w:rPr>
              <w:t>Increase</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in loss reserves</w:t>
            </w:r>
          </w:p>
        </w:tc>
        <w:tc>
          <w:tcPr>
            <w:tcW w:w="42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7,987</w:t>
            </w:r>
          </w:p>
        </w:tc>
        <w:tc>
          <w:tcPr>
            <w:tcW w:w="7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20,880</w:t>
            </w:r>
          </w:p>
        </w:tc>
      </w:tr>
      <w:tr>
        <w:trPr>
          <w:trHeight w:val="183"/>
        </w:trPr>
        <w:tc>
          <w:tcPr>
            <w:tcW w:w="1480" w:type="dxa"/>
            <w:vAlign w:val="bottom"/>
          </w:tcPr>
          <w:p>
            <w:pPr>
              <w:ind w:left="660"/>
              <w:spacing w:after="0"/>
              <w:rPr>
                <w:sz w:val="20"/>
                <w:szCs w:val="20"/>
                <w:color w:val="auto"/>
              </w:rPr>
            </w:pPr>
            <w:r>
              <w:rPr>
                <w:rFonts w:ascii="Courier New" w:cs="Courier New" w:eastAsia="Courier New" w:hAnsi="Courier New"/>
                <w:sz w:val="16"/>
                <w:szCs w:val="16"/>
                <w:color w:val="auto"/>
              </w:rPr>
              <w:t>Increase</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in unearned premiums</w:t>
            </w:r>
          </w:p>
        </w:tc>
        <w:tc>
          <w:tcPr>
            <w:tcW w:w="42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6,557</w:t>
            </w:r>
          </w:p>
        </w:tc>
        <w:tc>
          <w:tcPr>
            <w:tcW w:w="7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1,472</w:t>
            </w:r>
          </w:p>
        </w:tc>
      </w:tr>
      <w:tr>
        <w:trPr>
          <w:trHeight w:val="183"/>
        </w:trPr>
        <w:tc>
          <w:tcPr>
            <w:tcW w:w="14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7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1480" w:type="dxa"/>
            <w:vAlign w:val="bottom"/>
          </w:tcPr>
          <w:p>
            <w:pPr>
              <w:ind w:left="1140"/>
              <w:spacing w:after="0"/>
              <w:rPr>
                <w:sz w:val="20"/>
                <w:szCs w:val="20"/>
                <w:color w:val="auto"/>
              </w:rPr>
            </w:pPr>
            <w:r>
              <w:rPr>
                <w:rFonts w:ascii="Courier New" w:cs="Courier New" w:eastAsia="Courier New" w:hAnsi="Courier New"/>
                <w:sz w:val="16"/>
                <w:szCs w:val="16"/>
                <w:color w:val="auto"/>
              </w:rPr>
              <w:t>Net</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cash (used in) provided by operating activities</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5,305)</w:t>
            </w:r>
          </w:p>
        </w:tc>
        <w:tc>
          <w:tcPr>
            <w:tcW w:w="7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26,795</w:t>
            </w:r>
          </w:p>
        </w:tc>
      </w:tr>
      <w:tr>
        <w:trPr>
          <w:trHeight w:val="367"/>
        </w:trPr>
        <w:tc>
          <w:tcPr>
            <w:tcW w:w="6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CASH FLOWS FROM INVESTING ACTIVITIES</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3"/>
        </w:trPr>
        <w:tc>
          <w:tcPr>
            <w:tcW w:w="68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Net purchase of investments (Note C)</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14,770)</w:t>
            </w:r>
          </w:p>
        </w:tc>
        <w:tc>
          <w:tcPr>
            <w:tcW w:w="7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7,032)</w:t>
            </w:r>
          </w:p>
        </w:tc>
      </w:tr>
      <w:tr>
        <w:trPr>
          <w:trHeight w:val="183"/>
        </w:trPr>
        <w:tc>
          <w:tcPr>
            <w:tcW w:w="1480" w:type="dxa"/>
            <w:vAlign w:val="bottom"/>
          </w:tcPr>
          <w:p>
            <w:pPr>
              <w:ind w:left="660"/>
              <w:spacing w:after="0"/>
              <w:rPr>
                <w:sz w:val="20"/>
                <w:szCs w:val="20"/>
                <w:color w:val="auto"/>
              </w:rPr>
            </w:pPr>
            <w:r>
              <w:rPr>
                <w:rFonts w:ascii="Courier New" w:cs="Courier New" w:eastAsia="Courier New" w:hAnsi="Courier New"/>
                <w:sz w:val="16"/>
                <w:szCs w:val="16"/>
                <w:color w:val="auto"/>
              </w:rPr>
              <w:t>Purchase</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of property and equipment</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810)</w:t>
            </w:r>
          </w:p>
        </w:tc>
        <w:tc>
          <w:tcPr>
            <w:tcW w:w="7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0</w:t>
            </w:r>
          </w:p>
        </w:tc>
      </w:tr>
      <w:tr>
        <w:trPr>
          <w:trHeight w:val="183"/>
        </w:trPr>
        <w:tc>
          <w:tcPr>
            <w:tcW w:w="1480" w:type="dxa"/>
            <w:vAlign w:val="bottom"/>
          </w:tcPr>
          <w:p>
            <w:pPr>
              <w:ind w:left="660"/>
              <w:spacing w:after="0"/>
              <w:rPr>
                <w:sz w:val="20"/>
                <w:szCs w:val="20"/>
                <w:color w:val="auto"/>
              </w:rPr>
            </w:pPr>
            <w:r>
              <w:rPr>
                <w:rFonts w:ascii="Courier New" w:cs="Courier New" w:eastAsia="Courier New" w:hAnsi="Courier New"/>
                <w:sz w:val="16"/>
                <w:szCs w:val="16"/>
                <w:color w:val="auto"/>
              </w:rPr>
              <w:t>Purchase</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of computer software</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228)</w:t>
            </w:r>
          </w:p>
        </w:tc>
        <w:tc>
          <w:tcPr>
            <w:tcW w:w="7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3"/>
        </w:trPr>
        <w:tc>
          <w:tcPr>
            <w:tcW w:w="1480" w:type="dxa"/>
            <w:vAlign w:val="bottom"/>
          </w:tcPr>
          <w:p>
            <w:pPr>
              <w:ind w:left="660"/>
              <w:spacing w:after="0"/>
              <w:rPr>
                <w:sz w:val="20"/>
                <w:szCs w:val="20"/>
                <w:color w:val="auto"/>
              </w:rPr>
            </w:pPr>
            <w:r>
              <w:rPr>
                <w:rFonts w:ascii="Courier New" w:cs="Courier New" w:eastAsia="Courier New" w:hAnsi="Courier New"/>
                <w:sz w:val="16"/>
                <w:szCs w:val="16"/>
                <w:color w:val="auto"/>
              </w:rPr>
              <w:t>Loans to</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agents</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687)</w:t>
            </w:r>
          </w:p>
        </w:tc>
        <w:tc>
          <w:tcPr>
            <w:tcW w:w="7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419)</w:t>
            </w:r>
          </w:p>
        </w:tc>
      </w:tr>
      <w:tr>
        <w:trPr>
          <w:trHeight w:val="183"/>
        </w:trPr>
        <w:tc>
          <w:tcPr>
            <w:tcW w:w="68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Collections on agent loans</w:t>
            </w:r>
          </w:p>
        </w:tc>
        <w:tc>
          <w:tcPr>
            <w:tcW w:w="42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598</w:t>
            </w:r>
          </w:p>
        </w:tc>
        <w:tc>
          <w:tcPr>
            <w:tcW w:w="7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430</w:t>
            </w:r>
          </w:p>
        </w:tc>
      </w:tr>
      <w:tr>
        <w:trPr>
          <w:trHeight w:val="183"/>
        </w:trPr>
        <w:tc>
          <w:tcPr>
            <w:tcW w:w="14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7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1480" w:type="dxa"/>
            <w:vAlign w:val="bottom"/>
          </w:tcPr>
          <w:p>
            <w:pPr>
              <w:ind w:left="1140"/>
              <w:spacing w:after="0"/>
              <w:rPr>
                <w:sz w:val="20"/>
                <w:szCs w:val="20"/>
                <w:color w:val="auto"/>
              </w:rPr>
            </w:pPr>
            <w:r>
              <w:rPr>
                <w:rFonts w:ascii="Courier New" w:cs="Courier New" w:eastAsia="Courier New" w:hAnsi="Courier New"/>
                <w:sz w:val="16"/>
                <w:szCs w:val="16"/>
                <w:color w:val="auto"/>
              </w:rPr>
              <w:t>Net</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cash used in investing activities</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15,897)</w:t>
            </w:r>
          </w:p>
        </w:tc>
        <w:tc>
          <w:tcPr>
            <w:tcW w:w="7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7,060)</w:t>
            </w:r>
          </w:p>
        </w:tc>
      </w:tr>
      <w:tr>
        <w:trPr>
          <w:trHeight w:val="367"/>
        </w:trPr>
        <w:tc>
          <w:tcPr>
            <w:tcW w:w="6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CASH FLOWS FROM FINANCING ACTIVITIES</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3"/>
        </w:trPr>
        <w:tc>
          <w:tcPr>
            <w:tcW w:w="68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Dividends paid to shareholders</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9,838)</w:t>
            </w:r>
          </w:p>
        </w:tc>
        <w:tc>
          <w:tcPr>
            <w:tcW w:w="7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8,853)</w:t>
            </w:r>
          </w:p>
        </w:tc>
      </w:tr>
      <w:tr>
        <w:trPr>
          <w:trHeight w:val="183"/>
        </w:trPr>
        <w:tc>
          <w:tcPr>
            <w:tcW w:w="1480" w:type="dxa"/>
            <w:vAlign w:val="bottom"/>
          </w:tcPr>
          <w:p>
            <w:pPr>
              <w:ind w:left="660"/>
              <w:spacing w:after="0"/>
              <w:rPr>
                <w:sz w:val="20"/>
                <w:szCs w:val="20"/>
                <w:color w:val="auto"/>
              </w:rPr>
            </w:pPr>
            <w:r>
              <w:rPr>
                <w:rFonts w:ascii="Courier New" w:cs="Courier New" w:eastAsia="Courier New" w:hAnsi="Courier New"/>
                <w:sz w:val="16"/>
                <w:szCs w:val="16"/>
                <w:color w:val="auto"/>
              </w:rPr>
              <w:t>Purchase</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of treasury stock</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477)</w:t>
            </w:r>
          </w:p>
        </w:tc>
        <w:tc>
          <w:tcPr>
            <w:tcW w:w="7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10,659)</w:t>
            </w:r>
          </w:p>
        </w:tc>
      </w:tr>
      <w:tr>
        <w:trPr>
          <w:trHeight w:val="183"/>
        </w:trPr>
        <w:tc>
          <w:tcPr>
            <w:tcW w:w="14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7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1480" w:type="dxa"/>
            <w:vAlign w:val="bottom"/>
          </w:tcPr>
          <w:p>
            <w:pPr>
              <w:ind w:left="1140"/>
              <w:spacing w:after="0"/>
              <w:rPr>
                <w:sz w:val="20"/>
                <w:szCs w:val="20"/>
                <w:color w:val="auto"/>
              </w:rPr>
            </w:pPr>
            <w:r>
              <w:rPr>
                <w:rFonts w:ascii="Courier New" w:cs="Courier New" w:eastAsia="Courier New" w:hAnsi="Courier New"/>
                <w:sz w:val="16"/>
                <w:szCs w:val="16"/>
                <w:color w:val="auto"/>
              </w:rPr>
              <w:t>Net</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cash used in financing activities</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10,315)</w:t>
            </w:r>
          </w:p>
        </w:tc>
        <w:tc>
          <w:tcPr>
            <w:tcW w:w="7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19,512)</w:t>
            </w:r>
          </w:p>
        </w:tc>
      </w:tr>
      <w:tr>
        <w:trPr>
          <w:trHeight w:val="183"/>
        </w:trPr>
        <w:tc>
          <w:tcPr>
            <w:tcW w:w="14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7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8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Net (decrease) increase in cash and cash equivalents</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31,517)</w:t>
            </w:r>
          </w:p>
        </w:tc>
        <w:tc>
          <w:tcPr>
            <w:tcW w:w="7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223</w:t>
            </w:r>
          </w:p>
        </w:tc>
      </w:tr>
      <w:tr>
        <w:trPr>
          <w:trHeight w:val="183"/>
        </w:trPr>
        <w:tc>
          <w:tcPr>
            <w:tcW w:w="1480" w:type="dxa"/>
            <w:vAlign w:val="bottom"/>
          </w:tcPr>
          <w:p>
            <w:pPr>
              <w:ind w:left="660"/>
              <w:spacing w:after="0"/>
              <w:rPr>
                <w:sz w:val="20"/>
                <w:szCs w:val="20"/>
                <w:color w:val="auto"/>
              </w:rPr>
            </w:pPr>
            <w:r>
              <w:rPr>
                <w:rFonts w:ascii="Courier New" w:cs="Courier New" w:eastAsia="Courier New" w:hAnsi="Courier New"/>
                <w:sz w:val="16"/>
                <w:szCs w:val="16"/>
                <w:color w:val="auto"/>
              </w:rPr>
              <w:t>Cash and</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cash equivalents at beginning of period</w:t>
            </w:r>
          </w:p>
        </w:tc>
        <w:tc>
          <w:tcPr>
            <w:tcW w:w="42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38,778</w:t>
            </w:r>
          </w:p>
        </w:tc>
        <w:tc>
          <w:tcPr>
            <w:tcW w:w="7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24,214</w:t>
            </w:r>
          </w:p>
        </w:tc>
      </w:tr>
      <w:tr>
        <w:trPr>
          <w:trHeight w:val="183"/>
        </w:trPr>
        <w:tc>
          <w:tcPr>
            <w:tcW w:w="14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7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1480" w:type="dxa"/>
            <w:vAlign w:val="bottom"/>
          </w:tcPr>
          <w:p>
            <w:pPr>
              <w:ind w:left="660"/>
              <w:spacing w:after="0"/>
              <w:rPr>
                <w:sz w:val="20"/>
                <w:szCs w:val="20"/>
                <w:color w:val="auto"/>
              </w:rPr>
            </w:pPr>
            <w:r>
              <w:rPr>
                <w:rFonts w:ascii="Courier New" w:cs="Courier New" w:eastAsia="Courier New" w:hAnsi="Courier New"/>
                <w:sz w:val="16"/>
                <w:szCs w:val="16"/>
                <w:color w:val="auto"/>
              </w:rPr>
              <w:t>Cash and</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cash equivalents at end of period</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7,261</w:t>
            </w:r>
          </w:p>
        </w:tc>
        <w:tc>
          <w:tcPr>
            <w:tcW w:w="7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24,437</w:t>
            </w:r>
          </w:p>
        </w:tc>
      </w:tr>
      <w:tr>
        <w:trPr>
          <w:trHeight w:val="183"/>
        </w:trPr>
        <w:tc>
          <w:tcPr>
            <w:tcW w:w="14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7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6820" w:type="dxa"/>
            <w:vAlign w:val="bottom"/>
            <w:gridSpan w:val="2"/>
          </w:tcPr>
          <w:p>
            <w:pPr>
              <w:spacing w:after="0"/>
              <w:rPr>
                <w:sz w:val="20"/>
                <w:szCs w:val="20"/>
                <w:color w:val="auto"/>
              </w:rPr>
            </w:pPr>
            <w:r>
              <w:rPr>
                <w:rFonts w:ascii="Courier New" w:cs="Courier New" w:eastAsia="Courier New" w:hAnsi="Courier New"/>
                <w:sz w:val="16"/>
                <w:szCs w:val="16"/>
                <w:color w:val="auto"/>
              </w:rPr>
              <w:t>Supplemental disclosures of cash flow information:</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3"/>
        </w:trPr>
        <w:tc>
          <w:tcPr>
            <w:tcW w:w="68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6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Income tax payments</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w:t>
            </w:r>
          </w:p>
        </w:tc>
        <w:tc>
          <w:tcPr>
            <w:tcW w:w="7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w:t>
            </w:r>
          </w:p>
        </w:tc>
      </w:tr>
      <w:tr>
        <w:trPr>
          <w:trHeight w:val="367"/>
        </w:trPr>
        <w:tc>
          <w:tcPr>
            <w:tcW w:w="6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Dividends declared per share:</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3"/>
        </w:trPr>
        <w:tc>
          <w:tcPr>
            <w:tcW w:w="6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68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Class A non-voting common</w:t>
            </w:r>
          </w:p>
        </w:tc>
        <w:tc>
          <w:tcPr>
            <w:tcW w:w="42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0.153</w:t>
            </w:r>
          </w:p>
        </w:tc>
        <w:tc>
          <w:tcPr>
            <w:tcW w:w="7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0.135</w:t>
            </w:r>
          </w:p>
        </w:tc>
      </w:tr>
      <w:tr>
        <w:trPr>
          <w:trHeight w:val="183"/>
        </w:trPr>
        <w:tc>
          <w:tcPr>
            <w:tcW w:w="68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Class B common</w:t>
            </w:r>
          </w:p>
        </w:tc>
        <w:tc>
          <w:tcPr>
            <w:tcW w:w="42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22.88</w:t>
            </w:r>
          </w:p>
        </w:tc>
        <w:tc>
          <w:tcPr>
            <w:tcW w:w="7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20.25</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5" w:right="1440" w:bottom="1440" w:gutter="0" w:footer="0" w:header="0"/>
        </w:sectPr>
      </w:pPr>
    </w:p>
    <w:bookmarkStart w:id="7" w:name="page8"/>
    <w:bookmarkEnd w:id="7"/>
    <w:p>
      <w:pPr>
        <w:ind w:left="3040"/>
        <w:spacing w:after="0"/>
        <w:rPr>
          <w:sz w:val="20"/>
          <w:szCs w:val="20"/>
          <w:color w:val="auto"/>
        </w:rPr>
      </w:pPr>
      <w:r>
        <w:rPr>
          <w:rFonts w:ascii="Courier New" w:cs="Courier New" w:eastAsia="Courier New" w:hAnsi="Courier New"/>
          <w:sz w:val="16"/>
          <w:szCs w:val="16"/>
          <w:color w:val="auto"/>
        </w:rPr>
        <w:t>ERIE INDEMNITY COMPANY</w:t>
      </w:r>
    </w:p>
    <w:p>
      <w:pPr>
        <w:spacing w:after="0" w:line="18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NOTES TO CONSOLIDATED FINANCIAL STATEMENTS (UNAUDITED)</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All dollar amounts are in thousands except per share data</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A -- BASIS OF PRESENTATION</w:t>
      </w:r>
    </w:p>
    <w:p>
      <w:pPr>
        <w:spacing w:after="0" w:line="372"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The accompanying unaudited consolidated financial statements, which include the accounts of the Erie Indemnity Company and its' wholly owned subsidiaries Erie Insurance Company (EIC), Erie Insurance Company of New York (EINY) and Erie Insurance Property &amp; Casualty Company,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(GAAP) for complete financial statements. In the opinion of management, all adjustments (consisting of normal recurring accruals) considered necessary for a fair presentation have been included. Operating results for the three-month period ended March 31, 2001 are not necessarily indicative of the results that may be expected for the year ending December 31, 2001. For further information, refer to the consolidated financial statements and footnotes thereto included in the Company's Form 10-K for the year ended December 31, 2000.</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B -- EARNINGS PER SHARE</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Earnings per share is based on the weighted average number of Class A shares outstanding (64,048,234 and 64,932,010 at March 31, 2001 and 2000, respectively), giving effect to the conversion of the weighted average number of Class B shares outstanding (3,070 in 2001 and 2000) at a rate of 2,400 Class A shares for one Class B share. Weighted average equivalent shares outstanding totaled 71,416,234 for the quarter ended March 31, 2001 and 72,300,010 for the same period a year ago.</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C -- INVESTMENTS</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Management considers all fixed maturities and marketable equity securities available-for-sale. Marketable equity securities consist primarily of common and nonredeemable preferred stocks while fixed maturities consist of bonds, notes and redeemable preferred stock. Available-for-sale securities are stated at fair value, with the unrealized gains and losses, net of deferred tax, reported as a separate component of comprehensive income and shareholders' equity. Management determines the appropriate classification of fixed maturities at the time of purchase and reevaluates such designation as of each statement of financial position date.</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48"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NOTES TO CONSOLIDATED FINANCIAL STATEMENTS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C -- INVESTMENTS (Continued)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is a summary of available-for-sale securities: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Gross</w:t>
            </w:r>
          </w:p>
        </w:tc>
        <w:tc>
          <w:tcPr>
            <w:tcW w:w="580" w:type="dxa"/>
            <w:vAlign w:val="bottom"/>
          </w:tcPr>
          <w:p>
            <w:pPr>
              <w:spacing w:after="0"/>
              <w:rPr>
                <w:sz w:val="15"/>
                <w:szCs w:val="15"/>
                <w:color w:val="auto"/>
              </w:rPr>
            </w:pPr>
          </w:p>
        </w:tc>
        <w:tc>
          <w:tcPr>
            <w:tcW w:w="1280" w:type="dxa"/>
            <w:vAlign w:val="bottom"/>
          </w:tcPr>
          <w:p>
            <w:pPr>
              <w:ind w:left="80"/>
              <w:spacing w:after="0"/>
              <w:rPr>
                <w:sz w:val="20"/>
                <w:szCs w:val="20"/>
                <w:color w:val="auto"/>
              </w:rPr>
            </w:pPr>
            <w:r>
              <w:rPr>
                <w:rFonts w:ascii="Courier New" w:cs="Courier New" w:eastAsia="Courier New" w:hAnsi="Courier New"/>
                <w:sz w:val="16"/>
                <w:szCs w:val="16"/>
                <w:color w:val="auto"/>
              </w:rPr>
              <w:t>Gross</w:t>
            </w:r>
          </w:p>
        </w:tc>
        <w:tc>
          <w:tcPr>
            <w:tcW w:w="340" w:type="dxa"/>
            <w:vAlign w:val="bottom"/>
          </w:tcPr>
          <w:p>
            <w:pPr>
              <w:spacing w:after="0"/>
              <w:rPr>
                <w:sz w:val="15"/>
                <w:szCs w:val="15"/>
                <w:color w:val="auto"/>
              </w:rPr>
            </w:pPr>
          </w:p>
        </w:tc>
        <w:tc>
          <w:tcPr>
            <w:tcW w:w="1120" w:type="dxa"/>
            <w:vAlign w:val="bottom"/>
          </w:tcPr>
          <w:p>
            <w:pPr>
              <w:jc w:val="right"/>
              <w:ind w:right="181"/>
              <w:spacing w:after="0"/>
              <w:rPr>
                <w:sz w:val="20"/>
                <w:szCs w:val="20"/>
                <w:color w:val="auto"/>
              </w:rPr>
            </w:pPr>
            <w:r>
              <w:rPr>
                <w:rFonts w:ascii="Courier New" w:cs="Courier New" w:eastAsia="Courier New" w:hAnsi="Courier New"/>
                <w:sz w:val="16"/>
                <w:szCs w:val="16"/>
                <w:color w:val="auto"/>
                <w:w w:val="97"/>
              </w:rPr>
              <w:t>Estimated</w:t>
            </w:r>
          </w:p>
        </w:tc>
      </w:tr>
      <w:tr>
        <w:trPr>
          <w:trHeight w:val="183"/>
        </w:trPr>
        <w:tc>
          <w:tcPr>
            <w:tcW w:w="3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20" w:type="dxa"/>
            <w:vAlign w:val="bottom"/>
          </w:tcPr>
          <w:p>
            <w:pPr>
              <w:jc w:val="right"/>
              <w:ind w:right="601"/>
              <w:spacing w:after="0"/>
              <w:rPr>
                <w:sz w:val="20"/>
                <w:szCs w:val="20"/>
                <w:color w:val="auto"/>
              </w:rPr>
            </w:pPr>
            <w:r>
              <w:rPr>
                <w:rFonts w:ascii="Courier New" w:cs="Courier New" w:eastAsia="Courier New" w:hAnsi="Courier New"/>
                <w:sz w:val="16"/>
                <w:szCs w:val="16"/>
                <w:color w:val="auto"/>
                <w:w w:val="94"/>
              </w:rPr>
              <w:t>Amortized</w:t>
            </w:r>
          </w:p>
        </w:tc>
        <w:tc>
          <w:tcPr>
            <w:tcW w:w="20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Unrealized</w:t>
            </w:r>
          </w:p>
        </w:tc>
        <w:tc>
          <w:tcPr>
            <w:tcW w:w="186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Unrealized</w:t>
            </w:r>
          </w:p>
        </w:tc>
        <w:tc>
          <w:tcPr>
            <w:tcW w:w="340" w:type="dxa"/>
            <w:vAlign w:val="bottom"/>
          </w:tcPr>
          <w:p>
            <w:pPr>
              <w:spacing w:after="0"/>
              <w:rPr>
                <w:sz w:val="15"/>
                <w:szCs w:val="15"/>
                <w:color w:val="auto"/>
              </w:rPr>
            </w:pPr>
          </w:p>
        </w:tc>
        <w:tc>
          <w:tcPr>
            <w:tcW w:w="1120" w:type="dxa"/>
            <w:vAlign w:val="bottom"/>
          </w:tcPr>
          <w:p>
            <w:pPr>
              <w:ind w:left="280"/>
              <w:spacing w:after="0"/>
              <w:rPr>
                <w:sz w:val="20"/>
                <w:szCs w:val="20"/>
                <w:color w:val="auto"/>
              </w:rPr>
            </w:pPr>
            <w:r>
              <w:rPr>
                <w:rFonts w:ascii="Courier New" w:cs="Courier New" w:eastAsia="Courier New" w:hAnsi="Courier New"/>
                <w:sz w:val="16"/>
                <w:szCs w:val="16"/>
                <w:color w:val="auto"/>
              </w:rPr>
              <w:t>Fair</w:t>
            </w:r>
          </w:p>
        </w:tc>
      </w:tr>
      <w:tr>
        <w:trPr>
          <w:trHeight w:val="183"/>
        </w:trPr>
        <w:tc>
          <w:tcPr>
            <w:tcW w:w="3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Cost</w:t>
            </w:r>
          </w:p>
        </w:tc>
        <w:tc>
          <w:tcPr>
            <w:tcW w:w="560" w:type="dxa"/>
            <w:vAlign w:val="bottom"/>
          </w:tcPr>
          <w:p>
            <w:pPr>
              <w:spacing w:after="0"/>
              <w:rPr>
                <w:sz w:val="15"/>
                <w:szCs w:val="15"/>
                <w:color w:val="auto"/>
              </w:rPr>
            </w:pPr>
          </w:p>
        </w:tc>
        <w:tc>
          <w:tcPr>
            <w:tcW w:w="1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Gains</w:t>
            </w:r>
          </w:p>
        </w:tc>
        <w:tc>
          <w:tcPr>
            <w:tcW w:w="580" w:type="dxa"/>
            <w:vAlign w:val="bottom"/>
          </w:tcPr>
          <w:p>
            <w:pPr>
              <w:spacing w:after="0"/>
              <w:rPr>
                <w:sz w:val="15"/>
                <w:szCs w:val="15"/>
                <w:color w:val="auto"/>
              </w:rPr>
            </w:pPr>
          </w:p>
        </w:tc>
        <w:tc>
          <w:tcPr>
            <w:tcW w:w="1280" w:type="dxa"/>
            <w:vAlign w:val="bottom"/>
          </w:tcPr>
          <w:p>
            <w:pPr>
              <w:ind w:left="80"/>
              <w:spacing w:after="0"/>
              <w:rPr>
                <w:sz w:val="20"/>
                <w:szCs w:val="20"/>
                <w:color w:val="auto"/>
              </w:rPr>
            </w:pPr>
            <w:r>
              <w:rPr>
                <w:rFonts w:ascii="Courier New" w:cs="Courier New" w:eastAsia="Courier New" w:hAnsi="Courier New"/>
                <w:sz w:val="16"/>
                <w:szCs w:val="16"/>
                <w:color w:val="auto"/>
              </w:rPr>
              <w:t>Losses</w:t>
            </w:r>
          </w:p>
        </w:tc>
        <w:tc>
          <w:tcPr>
            <w:tcW w:w="340" w:type="dxa"/>
            <w:vAlign w:val="bottom"/>
          </w:tcPr>
          <w:p>
            <w:pPr>
              <w:spacing w:after="0"/>
              <w:rPr>
                <w:sz w:val="15"/>
                <w:szCs w:val="15"/>
                <w:color w:val="auto"/>
              </w:rPr>
            </w:pPr>
          </w:p>
        </w:tc>
        <w:tc>
          <w:tcPr>
            <w:tcW w:w="1120" w:type="dxa"/>
            <w:vAlign w:val="bottom"/>
          </w:tcPr>
          <w:p>
            <w:pPr>
              <w:ind w:left="280"/>
              <w:spacing w:after="0"/>
              <w:rPr>
                <w:sz w:val="20"/>
                <w:szCs w:val="20"/>
                <w:color w:val="auto"/>
              </w:rPr>
            </w:pPr>
            <w:r>
              <w:rPr>
                <w:rFonts w:ascii="Courier New" w:cs="Courier New" w:eastAsia="Courier New" w:hAnsi="Courier New"/>
                <w:sz w:val="16"/>
                <w:szCs w:val="16"/>
                <w:color w:val="auto"/>
              </w:rPr>
              <w:t>Value</w:t>
            </w:r>
          </w:p>
        </w:tc>
      </w:tr>
      <w:tr>
        <w:trPr>
          <w:trHeight w:val="183"/>
        </w:trPr>
        <w:tc>
          <w:tcPr>
            <w:tcW w:w="3340" w:type="dxa"/>
            <w:vAlign w:val="bottom"/>
          </w:tcPr>
          <w:p>
            <w:pPr>
              <w:spacing w:after="0"/>
              <w:rPr>
                <w:sz w:val="15"/>
                <w:szCs w:val="15"/>
                <w:color w:val="auto"/>
              </w:rPr>
            </w:pPr>
          </w:p>
        </w:tc>
        <w:tc>
          <w:tcPr>
            <w:tcW w:w="2860" w:type="dxa"/>
            <w:vAlign w:val="bottom"/>
            <w:gridSpan w:val="2"/>
          </w:tcPr>
          <w:p>
            <w:pPr>
              <w:ind w:left="1240"/>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340" w:type="dxa"/>
            <w:vAlign w:val="bottom"/>
          </w:tcPr>
          <w:p>
            <w:pPr>
              <w:spacing w:after="0"/>
              <w:rPr>
                <w:sz w:val="20"/>
                <w:szCs w:val="20"/>
                <w:color w:val="auto"/>
              </w:rPr>
            </w:pPr>
            <w:r>
              <w:rPr>
                <w:rFonts w:ascii="Courier New" w:cs="Courier New" w:eastAsia="Courier New" w:hAnsi="Courier New"/>
                <w:sz w:val="16"/>
                <w:szCs w:val="16"/>
                <w:color w:val="auto"/>
              </w:rPr>
              <w:t>March 31, 2001</w:t>
            </w: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7"/>
        </w:trPr>
        <w:tc>
          <w:tcPr>
            <w:tcW w:w="3340" w:type="dxa"/>
            <w:vAlign w:val="bottom"/>
          </w:tcPr>
          <w:p>
            <w:pPr>
              <w:spacing w:after="0"/>
              <w:rPr>
                <w:sz w:val="20"/>
                <w:szCs w:val="20"/>
                <w:color w:val="auto"/>
              </w:rPr>
            </w:pPr>
            <w:r>
              <w:rPr>
                <w:rFonts w:ascii="Courier New" w:cs="Courier New" w:eastAsia="Courier New" w:hAnsi="Courier New"/>
                <w:sz w:val="16"/>
                <w:szCs w:val="16"/>
                <w:color w:val="auto"/>
              </w:rPr>
              <w:t>Fixed Maturities:</w:t>
            </w: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U.S. treasuries &amp; government</w:t>
            </w: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3340" w:type="dxa"/>
            <w:vAlign w:val="bottom"/>
          </w:tcPr>
          <w:p>
            <w:pPr>
              <w:ind w:left="280"/>
              <w:spacing w:after="0"/>
              <w:rPr>
                <w:sz w:val="20"/>
                <w:szCs w:val="20"/>
                <w:color w:val="auto"/>
              </w:rPr>
            </w:pPr>
            <w:r>
              <w:rPr>
                <w:rFonts w:ascii="Courier New" w:cs="Courier New" w:eastAsia="Courier New" w:hAnsi="Courier New"/>
                <w:sz w:val="16"/>
                <w:szCs w:val="16"/>
                <w:color w:val="auto"/>
              </w:rPr>
              <w:t>agencies</w:t>
            </w:r>
          </w:p>
        </w:tc>
        <w:tc>
          <w:tcPr>
            <w:tcW w:w="1340" w:type="dxa"/>
            <w:vAlign w:val="bottom"/>
          </w:tcPr>
          <w:p>
            <w:pPr>
              <w:ind w:left="1240"/>
              <w:spacing w:after="0"/>
              <w:rPr>
                <w:sz w:val="20"/>
                <w:szCs w:val="20"/>
                <w:color w:val="auto"/>
              </w:rPr>
            </w:pPr>
            <w:r>
              <w:rPr>
                <w:rFonts w:ascii="Courier New" w:cs="Courier New" w:eastAsia="Courier New" w:hAnsi="Courier New"/>
                <w:sz w:val="16"/>
                <w:szCs w:val="16"/>
                <w:color w:val="auto"/>
                <w:w w:val="82"/>
              </w:rPr>
              <w:t>$</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11,215</w:t>
            </w:r>
          </w:p>
        </w:tc>
        <w:tc>
          <w:tcPr>
            <w:tcW w:w="5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514</w:t>
            </w:r>
          </w:p>
        </w:tc>
        <w:tc>
          <w:tcPr>
            <w:tcW w:w="5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11,720</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States &amp; political subdivisions</w:t>
            </w:r>
          </w:p>
        </w:tc>
        <w:tc>
          <w:tcPr>
            <w:tcW w:w="134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45,147</w:t>
            </w:r>
          </w:p>
        </w:tc>
        <w:tc>
          <w:tcPr>
            <w:tcW w:w="56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2,139</w:t>
            </w:r>
          </w:p>
        </w:tc>
        <w:tc>
          <w:tcPr>
            <w:tcW w:w="58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47,286</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Special revenue</w:t>
            </w:r>
          </w:p>
        </w:tc>
        <w:tc>
          <w:tcPr>
            <w:tcW w:w="134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111,768</w:t>
            </w:r>
          </w:p>
        </w:tc>
        <w:tc>
          <w:tcPr>
            <w:tcW w:w="56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4,356</w:t>
            </w:r>
          </w:p>
        </w:tc>
        <w:tc>
          <w:tcPr>
            <w:tcW w:w="58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116,124</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Public utilities</w:t>
            </w:r>
          </w:p>
        </w:tc>
        <w:tc>
          <w:tcPr>
            <w:tcW w:w="134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21,136</w:t>
            </w:r>
          </w:p>
        </w:tc>
        <w:tc>
          <w:tcPr>
            <w:tcW w:w="56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504</w:t>
            </w:r>
          </w:p>
        </w:tc>
        <w:tc>
          <w:tcPr>
            <w:tcW w:w="58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61</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21,579</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U.S. industrial &amp; miscellaneous</w:t>
            </w:r>
          </w:p>
        </w:tc>
        <w:tc>
          <w:tcPr>
            <w:tcW w:w="134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276,584</w:t>
            </w:r>
          </w:p>
        </w:tc>
        <w:tc>
          <w:tcPr>
            <w:tcW w:w="56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8,318</w:t>
            </w:r>
          </w:p>
        </w:tc>
        <w:tc>
          <w:tcPr>
            <w:tcW w:w="58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3,078</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281,824</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Foreign</w:t>
            </w:r>
          </w:p>
        </w:tc>
        <w:tc>
          <w:tcPr>
            <w:tcW w:w="134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30,082</w:t>
            </w:r>
          </w:p>
        </w:tc>
        <w:tc>
          <w:tcPr>
            <w:tcW w:w="56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274</w:t>
            </w:r>
          </w:p>
        </w:tc>
        <w:tc>
          <w:tcPr>
            <w:tcW w:w="58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183</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30,173</w:t>
            </w:r>
          </w:p>
        </w:tc>
      </w:tr>
      <w:tr>
        <w:trPr>
          <w:trHeight w:val="183"/>
        </w:trPr>
        <w:tc>
          <w:tcPr>
            <w:tcW w:w="3340" w:type="dxa"/>
            <w:vAlign w:val="bottom"/>
          </w:tcPr>
          <w:p>
            <w:pPr>
              <w:spacing w:after="0"/>
              <w:rPr>
                <w:sz w:val="15"/>
                <w:szCs w:val="15"/>
                <w:color w:val="auto"/>
              </w:rPr>
            </w:pPr>
          </w:p>
        </w:tc>
        <w:tc>
          <w:tcPr>
            <w:tcW w:w="28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340" w:type="dxa"/>
            <w:vAlign w:val="bottom"/>
          </w:tcPr>
          <w:p>
            <w:pPr>
              <w:ind w:left="480"/>
              <w:spacing w:after="0"/>
              <w:rPr>
                <w:sz w:val="20"/>
                <w:szCs w:val="20"/>
                <w:color w:val="auto"/>
              </w:rPr>
            </w:pPr>
            <w:r>
              <w:rPr>
                <w:rFonts w:ascii="Courier New" w:cs="Courier New" w:eastAsia="Courier New" w:hAnsi="Courier New"/>
                <w:sz w:val="16"/>
                <w:szCs w:val="16"/>
                <w:color w:val="auto"/>
              </w:rPr>
              <w:t>Total bonds</w:t>
            </w:r>
          </w:p>
        </w:tc>
        <w:tc>
          <w:tcPr>
            <w:tcW w:w="1340" w:type="dxa"/>
            <w:vAlign w:val="bottom"/>
          </w:tcPr>
          <w:p>
            <w:pPr>
              <w:ind w:left="1240"/>
              <w:spacing w:after="0"/>
              <w:rPr>
                <w:sz w:val="20"/>
                <w:szCs w:val="20"/>
                <w:color w:val="auto"/>
              </w:rPr>
            </w:pPr>
            <w:r>
              <w:rPr>
                <w:rFonts w:ascii="Courier New" w:cs="Courier New" w:eastAsia="Courier New" w:hAnsi="Courier New"/>
                <w:sz w:val="16"/>
                <w:szCs w:val="16"/>
                <w:color w:val="auto"/>
                <w:w w:val="82"/>
              </w:rPr>
              <w:t>$</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495,932</w:t>
            </w:r>
          </w:p>
        </w:tc>
        <w:tc>
          <w:tcPr>
            <w:tcW w:w="5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16,105</w:t>
            </w:r>
          </w:p>
        </w:tc>
        <w:tc>
          <w:tcPr>
            <w:tcW w:w="5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3,331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508,706</w:t>
            </w:r>
          </w:p>
        </w:tc>
      </w:tr>
      <w:tr>
        <w:trPr>
          <w:trHeight w:val="367"/>
        </w:trPr>
        <w:tc>
          <w:tcPr>
            <w:tcW w:w="3340" w:type="dxa"/>
            <w:vAlign w:val="bottom"/>
          </w:tcPr>
          <w:p>
            <w:pPr>
              <w:spacing w:after="0"/>
              <w:rPr>
                <w:sz w:val="20"/>
                <w:szCs w:val="20"/>
                <w:color w:val="auto"/>
              </w:rPr>
            </w:pPr>
            <w:r>
              <w:rPr>
                <w:rFonts w:ascii="Courier New" w:cs="Courier New" w:eastAsia="Courier New" w:hAnsi="Courier New"/>
                <w:sz w:val="16"/>
                <w:szCs w:val="16"/>
                <w:color w:val="auto"/>
              </w:rPr>
              <w:t>Redeemable preferred stock</w:t>
            </w:r>
          </w:p>
        </w:tc>
        <w:tc>
          <w:tcPr>
            <w:tcW w:w="1340" w:type="dxa"/>
            <w:vAlign w:val="bottom"/>
          </w:tcPr>
          <w:p>
            <w:pPr>
              <w:spacing w:after="0"/>
              <w:rPr>
                <w:sz w:val="24"/>
                <w:szCs w:val="24"/>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11,317</w:t>
            </w:r>
          </w:p>
        </w:tc>
        <w:tc>
          <w:tcPr>
            <w:tcW w:w="560" w:type="dxa"/>
            <w:vAlign w:val="bottom"/>
          </w:tcPr>
          <w:p>
            <w:pPr>
              <w:spacing w:after="0"/>
              <w:rPr>
                <w:sz w:val="24"/>
                <w:szCs w:val="24"/>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1,591</w:t>
            </w:r>
          </w:p>
        </w:tc>
        <w:tc>
          <w:tcPr>
            <w:tcW w:w="580" w:type="dxa"/>
            <w:vAlign w:val="bottom"/>
          </w:tcPr>
          <w:p>
            <w:pPr>
              <w:spacing w:after="0"/>
              <w:rPr>
                <w:sz w:val="24"/>
                <w:szCs w:val="24"/>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12,908</w:t>
            </w:r>
          </w:p>
        </w:tc>
      </w:tr>
      <w:tr>
        <w:trPr>
          <w:trHeight w:val="183"/>
        </w:trPr>
        <w:tc>
          <w:tcPr>
            <w:tcW w:w="3340" w:type="dxa"/>
            <w:vAlign w:val="bottom"/>
          </w:tcPr>
          <w:p>
            <w:pPr>
              <w:spacing w:after="0"/>
              <w:rPr>
                <w:sz w:val="15"/>
                <w:szCs w:val="15"/>
                <w:color w:val="auto"/>
              </w:rPr>
            </w:pPr>
          </w:p>
        </w:tc>
        <w:tc>
          <w:tcPr>
            <w:tcW w:w="28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340" w:type="dxa"/>
            <w:vAlign w:val="bottom"/>
          </w:tcPr>
          <w:p>
            <w:pPr>
              <w:ind w:left="480"/>
              <w:spacing w:after="0"/>
              <w:rPr>
                <w:sz w:val="20"/>
                <w:szCs w:val="20"/>
                <w:color w:val="auto"/>
              </w:rPr>
            </w:pPr>
            <w:r>
              <w:rPr>
                <w:rFonts w:ascii="Courier New" w:cs="Courier New" w:eastAsia="Courier New" w:hAnsi="Courier New"/>
                <w:sz w:val="16"/>
                <w:szCs w:val="16"/>
                <w:color w:val="auto"/>
              </w:rPr>
              <w:t>Total fixed maturities</w:t>
            </w:r>
          </w:p>
        </w:tc>
        <w:tc>
          <w:tcPr>
            <w:tcW w:w="1340" w:type="dxa"/>
            <w:vAlign w:val="bottom"/>
          </w:tcPr>
          <w:p>
            <w:pPr>
              <w:ind w:left="1240"/>
              <w:spacing w:after="0"/>
              <w:rPr>
                <w:sz w:val="20"/>
                <w:szCs w:val="20"/>
                <w:color w:val="auto"/>
              </w:rPr>
            </w:pPr>
            <w:r>
              <w:rPr>
                <w:rFonts w:ascii="Courier New" w:cs="Courier New" w:eastAsia="Courier New" w:hAnsi="Courier New"/>
                <w:sz w:val="16"/>
                <w:szCs w:val="16"/>
                <w:color w:val="auto"/>
                <w:w w:val="82"/>
              </w:rPr>
              <w:t>$</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507,249</w:t>
            </w:r>
          </w:p>
        </w:tc>
        <w:tc>
          <w:tcPr>
            <w:tcW w:w="5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17,696</w:t>
            </w:r>
          </w:p>
        </w:tc>
        <w:tc>
          <w:tcPr>
            <w:tcW w:w="5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3,331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521,614</w:t>
            </w:r>
          </w:p>
        </w:tc>
      </w:tr>
      <w:tr>
        <w:trPr>
          <w:trHeight w:val="183"/>
        </w:trPr>
        <w:tc>
          <w:tcPr>
            <w:tcW w:w="3340" w:type="dxa"/>
            <w:vAlign w:val="bottom"/>
          </w:tcPr>
          <w:p>
            <w:pPr>
              <w:spacing w:after="0"/>
              <w:rPr>
                <w:sz w:val="15"/>
                <w:szCs w:val="15"/>
                <w:color w:val="auto"/>
              </w:rPr>
            </w:pPr>
          </w:p>
        </w:tc>
        <w:tc>
          <w:tcPr>
            <w:tcW w:w="28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340" w:type="dxa"/>
            <w:vAlign w:val="bottom"/>
          </w:tcPr>
          <w:p>
            <w:pPr>
              <w:spacing w:after="0"/>
              <w:rPr>
                <w:sz w:val="20"/>
                <w:szCs w:val="20"/>
                <w:color w:val="auto"/>
              </w:rPr>
            </w:pPr>
            <w:r>
              <w:rPr>
                <w:rFonts w:ascii="Courier New" w:cs="Courier New" w:eastAsia="Courier New" w:hAnsi="Courier New"/>
                <w:sz w:val="16"/>
                <w:szCs w:val="16"/>
                <w:color w:val="auto"/>
              </w:rPr>
              <w:t>Equity securities:</w:t>
            </w: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3340" w:type="dxa"/>
            <w:vAlign w:val="bottom"/>
          </w:tcPr>
          <w:p>
            <w:pPr>
              <w:ind w:left="280"/>
              <w:spacing w:after="0"/>
              <w:rPr>
                <w:sz w:val="20"/>
                <w:szCs w:val="20"/>
                <w:color w:val="auto"/>
              </w:rPr>
            </w:pPr>
            <w:r>
              <w:rPr>
                <w:rFonts w:ascii="Courier New" w:cs="Courier New" w:eastAsia="Courier New" w:hAnsi="Courier New"/>
                <w:sz w:val="16"/>
                <w:szCs w:val="16"/>
                <w:color w:val="auto"/>
              </w:rPr>
              <w:t>U.S. banks, trusts &amp;</w:t>
            </w: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3340" w:type="dxa"/>
            <w:vAlign w:val="bottom"/>
          </w:tcPr>
          <w:p>
            <w:pPr>
              <w:ind w:left="480"/>
              <w:spacing w:after="0"/>
              <w:rPr>
                <w:sz w:val="20"/>
                <w:szCs w:val="20"/>
                <w:color w:val="auto"/>
              </w:rPr>
            </w:pPr>
            <w:r>
              <w:rPr>
                <w:rFonts w:ascii="Courier New" w:cs="Courier New" w:eastAsia="Courier New" w:hAnsi="Courier New"/>
                <w:sz w:val="16"/>
                <w:szCs w:val="16"/>
                <w:color w:val="auto"/>
              </w:rPr>
              <w:t>insurance companies</w:t>
            </w:r>
          </w:p>
        </w:tc>
        <w:tc>
          <w:tcPr>
            <w:tcW w:w="1340" w:type="dxa"/>
            <w:vAlign w:val="bottom"/>
          </w:tcPr>
          <w:p>
            <w:pPr>
              <w:ind w:left="1240"/>
              <w:spacing w:after="0"/>
              <w:rPr>
                <w:sz w:val="20"/>
                <w:szCs w:val="20"/>
                <w:color w:val="auto"/>
              </w:rPr>
            </w:pPr>
            <w:r>
              <w:rPr>
                <w:rFonts w:ascii="Courier New" w:cs="Courier New" w:eastAsia="Courier New" w:hAnsi="Courier New"/>
                <w:sz w:val="16"/>
                <w:szCs w:val="16"/>
                <w:color w:val="auto"/>
                <w:w w:val="82"/>
              </w:rPr>
              <w:t>$</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3,651</w:t>
            </w:r>
          </w:p>
        </w:tc>
        <w:tc>
          <w:tcPr>
            <w:tcW w:w="5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564</w:t>
            </w:r>
          </w:p>
        </w:tc>
        <w:tc>
          <w:tcPr>
            <w:tcW w:w="5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4,020</w:t>
            </w:r>
          </w:p>
        </w:tc>
      </w:tr>
      <w:tr>
        <w:trPr>
          <w:trHeight w:val="183"/>
        </w:trPr>
        <w:tc>
          <w:tcPr>
            <w:tcW w:w="3340" w:type="dxa"/>
            <w:vAlign w:val="bottom"/>
          </w:tcPr>
          <w:p>
            <w:pPr>
              <w:ind w:left="280"/>
              <w:spacing w:after="0"/>
              <w:rPr>
                <w:sz w:val="20"/>
                <w:szCs w:val="20"/>
                <w:color w:val="auto"/>
              </w:rPr>
            </w:pPr>
            <w:r>
              <w:rPr>
                <w:rFonts w:ascii="Courier New" w:cs="Courier New" w:eastAsia="Courier New" w:hAnsi="Courier New"/>
                <w:sz w:val="16"/>
                <w:szCs w:val="16"/>
                <w:color w:val="auto"/>
              </w:rPr>
              <w:t>U.S. industrial &amp;</w:t>
            </w: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3340" w:type="dxa"/>
            <w:vAlign w:val="bottom"/>
          </w:tcPr>
          <w:p>
            <w:pPr>
              <w:ind w:left="480"/>
              <w:spacing w:after="0"/>
              <w:rPr>
                <w:sz w:val="20"/>
                <w:szCs w:val="20"/>
                <w:color w:val="auto"/>
              </w:rPr>
            </w:pPr>
            <w:r>
              <w:rPr>
                <w:rFonts w:ascii="Courier New" w:cs="Courier New" w:eastAsia="Courier New" w:hAnsi="Courier New"/>
                <w:sz w:val="16"/>
                <w:szCs w:val="16"/>
                <w:color w:val="auto"/>
              </w:rPr>
              <w:t>miscellaneous</w:t>
            </w:r>
          </w:p>
        </w:tc>
        <w:tc>
          <w:tcPr>
            <w:tcW w:w="134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65,911</w:t>
            </w:r>
          </w:p>
        </w:tc>
        <w:tc>
          <w:tcPr>
            <w:tcW w:w="56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31,807</w:t>
            </w:r>
          </w:p>
        </w:tc>
        <w:tc>
          <w:tcPr>
            <w:tcW w:w="58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17,817</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79,901</w:t>
            </w:r>
          </w:p>
        </w:tc>
      </w:tr>
      <w:tr>
        <w:trPr>
          <w:trHeight w:val="183"/>
        </w:trPr>
        <w:tc>
          <w:tcPr>
            <w:tcW w:w="3340" w:type="dxa"/>
            <w:vAlign w:val="bottom"/>
          </w:tcPr>
          <w:p>
            <w:pPr>
              <w:ind w:left="280"/>
              <w:spacing w:after="0"/>
              <w:rPr>
                <w:sz w:val="20"/>
                <w:szCs w:val="20"/>
                <w:color w:val="auto"/>
              </w:rPr>
            </w:pPr>
            <w:r>
              <w:rPr>
                <w:rFonts w:ascii="Courier New" w:cs="Courier New" w:eastAsia="Courier New" w:hAnsi="Courier New"/>
                <w:sz w:val="16"/>
                <w:szCs w:val="16"/>
                <w:color w:val="auto"/>
              </w:rPr>
              <w:t>Foreign</w:t>
            </w:r>
          </w:p>
        </w:tc>
        <w:tc>
          <w:tcPr>
            <w:tcW w:w="134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6,892</w:t>
            </w:r>
          </w:p>
        </w:tc>
        <w:tc>
          <w:tcPr>
            <w:tcW w:w="56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539</w:t>
            </w:r>
          </w:p>
        </w:tc>
        <w:tc>
          <w:tcPr>
            <w:tcW w:w="58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2,838</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4,593</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Nonredeemable</w:t>
            </w: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3340" w:type="dxa"/>
            <w:vAlign w:val="bottom"/>
          </w:tcPr>
          <w:p>
            <w:pPr>
              <w:ind w:left="280"/>
              <w:spacing w:after="0"/>
              <w:rPr>
                <w:sz w:val="20"/>
                <w:szCs w:val="20"/>
                <w:color w:val="auto"/>
              </w:rPr>
            </w:pPr>
            <w:r>
              <w:rPr>
                <w:rFonts w:ascii="Courier New" w:cs="Courier New" w:eastAsia="Courier New" w:hAnsi="Courier New"/>
                <w:sz w:val="16"/>
                <w:szCs w:val="16"/>
                <w:color w:val="auto"/>
              </w:rPr>
              <w:t>preferred stock:</w:t>
            </w: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3340" w:type="dxa"/>
            <w:vAlign w:val="bottom"/>
          </w:tcPr>
          <w:p>
            <w:pPr>
              <w:ind w:left="280"/>
              <w:spacing w:after="0"/>
              <w:rPr>
                <w:sz w:val="20"/>
                <w:szCs w:val="20"/>
                <w:color w:val="auto"/>
              </w:rPr>
            </w:pPr>
            <w:r>
              <w:rPr>
                <w:rFonts w:ascii="Courier New" w:cs="Courier New" w:eastAsia="Courier New" w:hAnsi="Courier New"/>
                <w:sz w:val="16"/>
                <w:szCs w:val="16"/>
                <w:color w:val="auto"/>
              </w:rPr>
              <w:t>U.S. banks, trusts &amp;</w:t>
            </w: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3340" w:type="dxa"/>
            <w:vAlign w:val="bottom"/>
          </w:tcPr>
          <w:p>
            <w:pPr>
              <w:ind w:left="480"/>
              <w:spacing w:after="0"/>
              <w:rPr>
                <w:sz w:val="20"/>
                <w:szCs w:val="20"/>
                <w:color w:val="auto"/>
              </w:rPr>
            </w:pPr>
            <w:r>
              <w:rPr>
                <w:rFonts w:ascii="Courier New" w:cs="Courier New" w:eastAsia="Courier New" w:hAnsi="Courier New"/>
                <w:sz w:val="16"/>
                <w:szCs w:val="16"/>
                <w:color w:val="auto"/>
              </w:rPr>
              <w:t>insurance companies</w:t>
            </w:r>
          </w:p>
        </w:tc>
        <w:tc>
          <w:tcPr>
            <w:tcW w:w="134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23,020</w:t>
            </w:r>
          </w:p>
        </w:tc>
        <w:tc>
          <w:tcPr>
            <w:tcW w:w="56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444</w:t>
            </w:r>
          </w:p>
        </w:tc>
        <w:tc>
          <w:tcPr>
            <w:tcW w:w="58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166</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23,298</w:t>
            </w:r>
          </w:p>
        </w:tc>
      </w:tr>
      <w:tr>
        <w:trPr>
          <w:trHeight w:val="183"/>
        </w:trPr>
        <w:tc>
          <w:tcPr>
            <w:tcW w:w="3340" w:type="dxa"/>
            <w:vAlign w:val="bottom"/>
          </w:tcPr>
          <w:p>
            <w:pPr>
              <w:ind w:left="280"/>
              <w:spacing w:after="0"/>
              <w:rPr>
                <w:sz w:val="20"/>
                <w:szCs w:val="20"/>
                <w:color w:val="auto"/>
              </w:rPr>
            </w:pPr>
            <w:r>
              <w:rPr>
                <w:rFonts w:ascii="Courier New" w:cs="Courier New" w:eastAsia="Courier New" w:hAnsi="Courier New"/>
                <w:sz w:val="16"/>
                <w:szCs w:val="16"/>
                <w:color w:val="auto"/>
              </w:rPr>
              <w:t>U.S. industrial &amp;</w:t>
            </w: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3340" w:type="dxa"/>
            <w:vAlign w:val="bottom"/>
          </w:tcPr>
          <w:p>
            <w:pPr>
              <w:ind w:left="480"/>
              <w:spacing w:after="0"/>
              <w:rPr>
                <w:sz w:val="20"/>
                <w:szCs w:val="20"/>
                <w:color w:val="auto"/>
              </w:rPr>
            </w:pPr>
            <w:r>
              <w:rPr>
                <w:rFonts w:ascii="Courier New" w:cs="Courier New" w:eastAsia="Courier New" w:hAnsi="Courier New"/>
                <w:sz w:val="16"/>
                <w:szCs w:val="16"/>
                <w:color w:val="auto"/>
              </w:rPr>
              <w:t>miscellaneous</w:t>
            </w:r>
          </w:p>
        </w:tc>
        <w:tc>
          <w:tcPr>
            <w:tcW w:w="134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85,352</w:t>
            </w:r>
          </w:p>
        </w:tc>
        <w:tc>
          <w:tcPr>
            <w:tcW w:w="56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2,785</w:t>
            </w:r>
          </w:p>
        </w:tc>
        <w:tc>
          <w:tcPr>
            <w:tcW w:w="58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3,589</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84,548</w:t>
            </w:r>
          </w:p>
        </w:tc>
      </w:tr>
      <w:tr>
        <w:trPr>
          <w:trHeight w:val="183"/>
        </w:trPr>
        <w:tc>
          <w:tcPr>
            <w:tcW w:w="3340" w:type="dxa"/>
            <w:vAlign w:val="bottom"/>
          </w:tcPr>
          <w:p>
            <w:pPr>
              <w:ind w:left="280"/>
              <w:spacing w:after="0"/>
              <w:rPr>
                <w:sz w:val="20"/>
                <w:szCs w:val="20"/>
                <w:color w:val="auto"/>
              </w:rPr>
            </w:pPr>
            <w:r>
              <w:rPr>
                <w:rFonts w:ascii="Courier New" w:cs="Courier New" w:eastAsia="Courier New" w:hAnsi="Courier New"/>
                <w:sz w:val="16"/>
                <w:szCs w:val="16"/>
                <w:color w:val="auto"/>
              </w:rPr>
              <w:t>Foreign</w:t>
            </w:r>
          </w:p>
        </w:tc>
        <w:tc>
          <w:tcPr>
            <w:tcW w:w="134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27,447</w:t>
            </w:r>
          </w:p>
        </w:tc>
        <w:tc>
          <w:tcPr>
            <w:tcW w:w="56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899</w:t>
            </w:r>
          </w:p>
        </w:tc>
        <w:tc>
          <w:tcPr>
            <w:tcW w:w="58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379</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27,967</w:t>
            </w:r>
          </w:p>
        </w:tc>
      </w:tr>
      <w:tr>
        <w:trPr>
          <w:trHeight w:val="183"/>
        </w:trPr>
        <w:tc>
          <w:tcPr>
            <w:tcW w:w="3340" w:type="dxa"/>
            <w:vAlign w:val="bottom"/>
          </w:tcPr>
          <w:p>
            <w:pPr>
              <w:spacing w:after="0"/>
              <w:rPr>
                <w:sz w:val="15"/>
                <w:szCs w:val="15"/>
                <w:color w:val="auto"/>
              </w:rPr>
            </w:pPr>
          </w:p>
        </w:tc>
        <w:tc>
          <w:tcPr>
            <w:tcW w:w="28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340" w:type="dxa"/>
            <w:vAlign w:val="bottom"/>
          </w:tcPr>
          <w:p>
            <w:pPr>
              <w:ind w:left="480"/>
              <w:spacing w:after="0"/>
              <w:rPr>
                <w:sz w:val="20"/>
                <w:szCs w:val="20"/>
                <w:color w:val="auto"/>
              </w:rPr>
            </w:pPr>
            <w:r>
              <w:rPr>
                <w:rFonts w:ascii="Courier New" w:cs="Courier New" w:eastAsia="Courier New" w:hAnsi="Courier New"/>
                <w:sz w:val="16"/>
                <w:szCs w:val="16"/>
                <w:color w:val="auto"/>
              </w:rPr>
              <w:t>Total equity securities</w:t>
            </w:r>
          </w:p>
        </w:tc>
        <w:tc>
          <w:tcPr>
            <w:tcW w:w="1340" w:type="dxa"/>
            <w:vAlign w:val="bottom"/>
          </w:tcPr>
          <w:p>
            <w:pPr>
              <w:ind w:left="1240"/>
              <w:spacing w:after="0"/>
              <w:rPr>
                <w:sz w:val="20"/>
                <w:szCs w:val="20"/>
                <w:color w:val="auto"/>
              </w:rPr>
            </w:pPr>
            <w:r>
              <w:rPr>
                <w:rFonts w:ascii="Courier New" w:cs="Courier New" w:eastAsia="Courier New" w:hAnsi="Courier New"/>
                <w:sz w:val="16"/>
                <w:szCs w:val="16"/>
                <w:color w:val="auto"/>
                <w:w w:val="82"/>
              </w:rPr>
              <w:t>$</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212,273</w:t>
            </w:r>
          </w:p>
        </w:tc>
        <w:tc>
          <w:tcPr>
            <w:tcW w:w="5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37,038</w:t>
            </w:r>
          </w:p>
        </w:tc>
        <w:tc>
          <w:tcPr>
            <w:tcW w:w="5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24,984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224,327</w:t>
            </w:r>
          </w:p>
        </w:tc>
      </w:tr>
      <w:tr>
        <w:trPr>
          <w:trHeight w:val="183"/>
        </w:trPr>
        <w:tc>
          <w:tcPr>
            <w:tcW w:w="3340" w:type="dxa"/>
            <w:vAlign w:val="bottom"/>
          </w:tcPr>
          <w:p>
            <w:pPr>
              <w:spacing w:after="0"/>
              <w:rPr>
                <w:sz w:val="15"/>
                <w:szCs w:val="15"/>
                <w:color w:val="auto"/>
              </w:rPr>
            </w:pPr>
          </w:p>
        </w:tc>
        <w:tc>
          <w:tcPr>
            <w:tcW w:w="28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340" w:type="dxa"/>
            <w:vAlign w:val="bottom"/>
          </w:tcPr>
          <w:p>
            <w:pPr>
              <w:ind w:left="480"/>
              <w:spacing w:after="0"/>
              <w:rPr>
                <w:sz w:val="20"/>
                <w:szCs w:val="20"/>
                <w:color w:val="auto"/>
              </w:rPr>
            </w:pPr>
            <w:r>
              <w:rPr>
                <w:rFonts w:ascii="Courier New" w:cs="Courier New" w:eastAsia="Courier New" w:hAnsi="Courier New"/>
                <w:sz w:val="16"/>
                <w:szCs w:val="16"/>
                <w:color w:val="auto"/>
              </w:rPr>
              <w:t>Total available-for-sale</w:t>
            </w: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3340" w:type="dxa"/>
            <w:vAlign w:val="bottom"/>
          </w:tcPr>
          <w:p>
            <w:pPr>
              <w:ind w:left="760"/>
              <w:spacing w:after="0"/>
              <w:rPr>
                <w:sz w:val="20"/>
                <w:szCs w:val="20"/>
                <w:color w:val="auto"/>
              </w:rPr>
            </w:pPr>
            <w:r>
              <w:rPr>
                <w:rFonts w:ascii="Courier New" w:cs="Courier New" w:eastAsia="Courier New" w:hAnsi="Courier New"/>
                <w:sz w:val="16"/>
                <w:szCs w:val="16"/>
                <w:color w:val="auto"/>
              </w:rPr>
              <w:t>securities</w:t>
            </w:r>
          </w:p>
        </w:tc>
        <w:tc>
          <w:tcPr>
            <w:tcW w:w="1340" w:type="dxa"/>
            <w:vAlign w:val="bottom"/>
          </w:tcPr>
          <w:p>
            <w:pPr>
              <w:ind w:left="1240"/>
              <w:spacing w:after="0"/>
              <w:rPr>
                <w:sz w:val="20"/>
                <w:szCs w:val="20"/>
                <w:color w:val="auto"/>
              </w:rPr>
            </w:pPr>
            <w:r>
              <w:rPr>
                <w:rFonts w:ascii="Courier New" w:cs="Courier New" w:eastAsia="Courier New" w:hAnsi="Courier New"/>
                <w:sz w:val="16"/>
                <w:szCs w:val="16"/>
                <w:color w:val="auto"/>
                <w:w w:val="82"/>
              </w:rPr>
              <w:t>$</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719,522</w:t>
            </w:r>
          </w:p>
        </w:tc>
        <w:tc>
          <w:tcPr>
            <w:tcW w:w="5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54,734</w:t>
            </w:r>
          </w:p>
        </w:tc>
        <w:tc>
          <w:tcPr>
            <w:tcW w:w="5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28,315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745,941</w:t>
            </w:r>
          </w:p>
        </w:tc>
      </w:tr>
      <w:tr>
        <w:trPr>
          <w:trHeight w:val="183"/>
        </w:trPr>
        <w:tc>
          <w:tcPr>
            <w:tcW w:w="3340" w:type="dxa"/>
            <w:vAlign w:val="bottom"/>
          </w:tcPr>
          <w:p>
            <w:pPr>
              <w:spacing w:after="0"/>
              <w:rPr>
                <w:sz w:val="15"/>
                <w:szCs w:val="15"/>
                <w:color w:val="auto"/>
              </w:rPr>
            </w:pPr>
          </w:p>
        </w:tc>
        <w:tc>
          <w:tcPr>
            <w:tcW w:w="28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0"/>
        </w:trPr>
        <w:tc>
          <w:tcPr>
            <w:tcW w:w="3340" w:type="dxa"/>
            <w:vAlign w:val="bottom"/>
          </w:tcPr>
          <w:p>
            <w:pPr>
              <w:spacing w:after="0"/>
              <w:rPr>
                <w:sz w:val="24"/>
                <w:szCs w:val="24"/>
                <w:color w:val="auto"/>
              </w:rPr>
            </w:pPr>
          </w:p>
        </w:tc>
        <w:tc>
          <w:tcPr>
            <w:tcW w:w="1340" w:type="dxa"/>
            <w:vAlign w:val="bottom"/>
          </w:tcPr>
          <w:p>
            <w:pPr>
              <w:ind w:left="380"/>
              <w:spacing w:after="0"/>
              <w:rPr>
                <w:sz w:val="20"/>
                <w:szCs w:val="20"/>
                <w:color w:val="auto"/>
              </w:rPr>
            </w:pPr>
            <w:r>
              <w:rPr>
                <w:rFonts w:ascii="Courier New" w:cs="Courier New" w:eastAsia="Courier New" w:hAnsi="Courier New"/>
                <w:sz w:val="16"/>
                <w:szCs w:val="16"/>
                <w:color w:val="auto"/>
              </w:rPr>
              <w:t>9</w:t>
            </w: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520"/>
          </w:cols>
          <w:pgMar w:left="240" w:top="848" w:right="1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40" w:type="dxa"/>
            <w:vAlign w:val="bottom"/>
            <w:gridSpan w:val="4"/>
          </w:tcPr>
          <w:p>
            <w:pPr>
              <w:spacing w:after="0"/>
              <w:rPr>
                <w:sz w:val="20"/>
                <w:szCs w:val="20"/>
                <w:color w:val="auto"/>
              </w:rPr>
            </w:pPr>
            <w:r>
              <w:rPr>
                <w:rFonts w:ascii="Courier New" w:cs="Courier New" w:eastAsia="Courier New" w:hAnsi="Courier New"/>
                <w:sz w:val="16"/>
                <w:szCs w:val="16"/>
                <w:color w:val="auto"/>
              </w:rPr>
              <w:t>NOTES TO CONSOLIDATED FINANCIAL STATEMENTS (UNAUDITED)</w:t>
            </w:r>
          </w:p>
        </w:tc>
        <w:tc>
          <w:tcPr>
            <w:tcW w:w="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67"/>
        </w:trPr>
        <w:tc>
          <w:tcPr>
            <w:tcW w:w="1240" w:type="dxa"/>
            <w:vAlign w:val="bottom"/>
          </w:tcPr>
          <w:p>
            <w:pPr>
              <w:ind w:left="280"/>
              <w:spacing w:after="0"/>
              <w:rPr>
                <w:sz w:val="20"/>
                <w:szCs w:val="20"/>
                <w:color w:val="auto"/>
              </w:rPr>
            </w:pPr>
            <w:r>
              <w:rPr>
                <w:rFonts w:ascii="Courier New" w:cs="Courier New" w:eastAsia="Courier New" w:hAnsi="Courier New"/>
                <w:sz w:val="16"/>
                <w:szCs w:val="16"/>
                <w:color w:val="auto"/>
              </w:rPr>
              <w:t>NOTE C --</w:t>
            </w:r>
          </w:p>
        </w:tc>
        <w:tc>
          <w:tcPr>
            <w:tcW w:w="2720" w:type="dxa"/>
            <w:vAlign w:val="bottom"/>
          </w:tcPr>
          <w:p>
            <w:pPr>
              <w:spacing w:after="0"/>
              <w:rPr>
                <w:sz w:val="20"/>
                <w:szCs w:val="20"/>
                <w:color w:val="auto"/>
              </w:rPr>
            </w:pPr>
            <w:r>
              <w:rPr>
                <w:rFonts w:ascii="Courier New" w:cs="Courier New" w:eastAsia="Courier New" w:hAnsi="Courier New"/>
                <w:sz w:val="16"/>
                <w:szCs w:val="16"/>
                <w:color w:val="auto"/>
              </w:rPr>
              <w:t>INVESTMENTS (Continued)</w:t>
            </w: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34"/>
        </w:trPr>
        <w:tc>
          <w:tcPr>
            <w:tcW w:w="1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Gross</w:t>
            </w:r>
          </w:p>
        </w:tc>
        <w:tc>
          <w:tcPr>
            <w:tcW w:w="480" w:type="dxa"/>
            <w:vAlign w:val="bottom"/>
          </w:tcPr>
          <w:p>
            <w:pPr>
              <w:spacing w:after="0"/>
              <w:rPr>
                <w:sz w:val="24"/>
                <w:szCs w:val="2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6"/>
                <w:szCs w:val="16"/>
                <w:color w:val="auto"/>
              </w:rPr>
              <w:t>Gross</w:t>
            </w:r>
          </w:p>
        </w:tc>
        <w:tc>
          <w:tcPr>
            <w:tcW w:w="380" w:type="dxa"/>
            <w:vAlign w:val="bottom"/>
          </w:tcPr>
          <w:p>
            <w:pPr>
              <w:spacing w:after="0"/>
              <w:rPr>
                <w:sz w:val="24"/>
                <w:szCs w:val="24"/>
                <w:color w:val="auto"/>
              </w:rPr>
            </w:pP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Estimated</w:t>
            </w:r>
          </w:p>
        </w:tc>
      </w:tr>
      <w:tr>
        <w:trPr>
          <w:trHeight w:val="183"/>
        </w:trPr>
        <w:tc>
          <w:tcPr>
            <w:tcW w:w="12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Amortized</w:t>
            </w:r>
          </w:p>
        </w:tc>
        <w:tc>
          <w:tcPr>
            <w:tcW w:w="19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Unrealized</w:t>
            </w:r>
          </w:p>
        </w:tc>
        <w:tc>
          <w:tcPr>
            <w:tcW w:w="480" w:type="dxa"/>
            <w:vAlign w:val="bottom"/>
          </w:tcPr>
          <w:p>
            <w:pPr>
              <w:spacing w:after="0"/>
              <w:rPr>
                <w:sz w:val="15"/>
                <w:szCs w:val="15"/>
                <w:color w:val="auto"/>
              </w:rPr>
            </w:pP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7"/>
              </w:rPr>
              <w:t>Unrealized</w:t>
            </w:r>
          </w:p>
        </w:tc>
        <w:tc>
          <w:tcPr>
            <w:tcW w:w="380" w:type="dxa"/>
            <w:vAlign w:val="bottom"/>
          </w:tcPr>
          <w:p>
            <w:pPr>
              <w:spacing w:after="0"/>
              <w:rPr>
                <w:sz w:val="15"/>
                <w:szCs w:val="15"/>
                <w:color w:val="auto"/>
              </w:rPr>
            </w:pP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Fair</w:t>
            </w:r>
          </w:p>
        </w:tc>
      </w:tr>
      <w:tr>
        <w:trPr>
          <w:trHeight w:val="183"/>
        </w:trPr>
        <w:tc>
          <w:tcPr>
            <w:tcW w:w="12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Cost</w:t>
            </w:r>
          </w:p>
        </w:tc>
        <w:tc>
          <w:tcPr>
            <w:tcW w:w="520" w:type="dxa"/>
            <w:vAlign w:val="bottom"/>
          </w:tcPr>
          <w:p>
            <w:pPr>
              <w:spacing w:after="0"/>
              <w:rPr>
                <w:sz w:val="15"/>
                <w:szCs w:val="15"/>
                <w:color w:val="auto"/>
              </w:rPr>
            </w:pPr>
          </w:p>
        </w:tc>
        <w:tc>
          <w:tcPr>
            <w:tcW w:w="1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Gains</w:t>
            </w:r>
          </w:p>
        </w:tc>
        <w:tc>
          <w:tcPr>
            <w:tcW w:w="480" w:type="dxa"/>
            <w:vAlign w:val="bottom"/>
          </w:tcPr>
          <w:p>
            <w:pPr>
              <w:spacing w:after="0"/>
              <w:rPr>
                <w:sz w:val="15"/>
                <w:szCs w:val="15"/>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6"/>
                <w:szCs w:val="16"/>
                <w:color w:val="auto"/>
              </w:rPr>
              <w:t>Losses</w:t>
            </w:r>
          </w:p>
        </w:tc>
        <w:tc>
          <w:tcPr>
            <w:tcW w:w="380" w:type="dxa"/>
            <w:vAlign w:val="bottom"/>
          </w:tcPr>
          <w:p>
            <w:pPr>
              <w:spacing w:after="0"/>
              <w:rPr>
                <w:sz w:val="15"/>
                <w:szCs w:val="15"/>
                <w:color w:val="auto"/>
              </w:rPr>
            </w:pP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Value</w:t>
            </w:r>
          </w:p>
        </w:tc>
      </w:tr>
      <w:tr>
        <w:trPr>
          <w:trHeight w:val="183"/>
        </w:trPr>
        <w:tc>
          <w:tcPr>
            <w:tcW w:w="12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8"/>
              </w:rPr>
              <w:t>--------------</w:t>
            </w:r>
          </w:p>
        </w:tc>
        <w:tc>
          <w:tcPr>
            <w:tcW w:w="19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December 31, 2000</w:t>
            </w: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7"/>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Fixed maturities:</w:t>
            </w: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3"/>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U.S. treasuries &amp; government</w:t>
            </w: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1240" w:type="dxa"/>
            <w:vAlign w:val="bottom"/>
          </w:tcPr>
          <w:p>
            <w:pPr>
              <w:ind w:left="280"/>
              <w:spacing w:after="0"/>
              <w:rPr>
                <w:sz w:val="20"/>
                <w:szCs w:val="20"/>
                <w:color w:val="auto"/>
              </w:rPr>
            </w:pPr>
            <w:r>
              <w:rPr>
                <w:rFonts w:ascii="Courier New" w:cs="Courier New" w:eastAsia="Courier New" w:hAnsi="Courier New"/>
                <w:sz w:val="16"/>
                <w:szCs w:val="16"/>
                <w:color w:val="auto"/>
              </w:rPr>
              <w:t>agencies</w:t>
            </w:r>
          </w:p>
        </w:tc>
        <w:tc>
          <w:tcPr>
            <w:tcW w:w="27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11,216</w:t>
            </w:r>
          </w:p>
        </w:tc>
        <w:tc>
          <w:tcPr>
            <w:tcW w:w="5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420</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11,612</w:t>
            </w:r>
          </w:p>
        </w:tc>
      </w:tr>
      <w:tr>
        <w:trPr>
          <w:trHeight w:val="183"/>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States &amp; political subdivisions</w:t>
            </w:r>
          </w:p>
        </w:tc>
        <w:tc>
          <w:tcPr>
            <w:tcW w:w="620" w:type="dxa"/>
            <w:vAlign w:val="bottom"/>
          </w:tcPr>
          <w:p>
            <w:pPr>
              <w:spacing w:after="0"/>
              <w:rPr>
                <w:sz w:val="15"/>
                <w:szCs w:val="15"/>
                <w:color w:val="auto"/>
              </w:rPr>
            </w:pP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50,337</w:t>
            </w:r>
          </w:p>
        </w:tc>
        <w:tc>
          <w:tcPr>
            <w:tcW w:w="52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1,656</w:t>
            </w:r>
          </w:p>
        </w:tc>
        <w:tc>
          <w:tcPr>
            <w:tcW w:w="480" w:type="dxa"/>
            <w:vAlign w:val="bottom"/>
          </w:tcPr>
          <w:p>
            <w:pPr>
              <w:spacing w:after="0"/>
              <w:rPr>
                <w:sz w:val="15"/>
                <w:szCs w:val="15"/>
                <w:color w:val="auto"/>
              </w:rPr>
            </w:pP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34</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51,959</w:t>
            </w:r>
          </w:p>
        </w:tc>
      </w:tr>
      <w:tr>
        <w:trPr>
          <w:trHeight w:val="183"/>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Special revenue</w:t>
            </w:r>
          </w:p>
        </w:tc>
        <w:tc>
          <w:tcPr>
            <w:tcW w:w="620" w:type="dxa"/>
            <w:vAlign w:val="bottom"/>
          </w:tcPr>
          <w:p>
            <w:pPr>
              <w:spacing w:after="0"/>
              <w:rPr>
                <w:sz w:val="15"/>
                <w:szCs w:val="15"/>
                <w:color w:val="auto"/>
              </w:rPr>
            </w:pP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110,855</w:t>
            </w:r>
          </w:p>
        </w:tc>
        <w:tc>
          <w:tcPr>
            <w:tcW w:w="52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3,779</w:t>
            </w:r>
          </w:p>
        </w:tc>
        <w:tc>
          <w:tcPr>
            <w:tcW w:w="480" w:type="dxa"/>
            <w:vAlign w:val="bottom"/>
          </w:tcPr>
          <w:p>
            <w:pPr>
              <w:spacing w:after="0"/>
              <w:rPr>
                <w:sz w:val="15"/>
                <w:szCs w:val="15"/>
                <w:color w:val="auto"/>
              </w:rPr>
            </w:pP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68</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114,566</w:t>
            </w:r>
          </w:p>
        </w:tc>
      </w:tr>
      <w:tr>
        <w:trPr>
          <w:trHeight w:val="183"/>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Public utilities</w:t>
            </w:r>
          </w:p>
        </w:tc>
        <w:tc>
          <w:tcPr>
            <w:tcW w:w="620" w:type="dxa"/>
            <w:vAlign w:val="bottom"/>
          </w:tcPr>
          <w:p>
            <w:pPr>
              <w:spacing w:after="0"/>
              <w:rPr>
                <w:sz w:val="15"/>
                <w:szCs w:val="15"/>
                <w:color w:val="auto"/>
              </w:rPr>
            </w:pP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23,221</w:t>
            </w:r>
          </w:p>
        </w:tc>
        <w:tc>
          <w:tcPr>
            <w:tcW w:w="52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550</w:t>
            </w:r>
          </w:p>
        </w:tc>
        <w:tc>
          <w:tcPr>
            <w:tcW w:w="480" w:type="dxa"/>
            <w:vAlign w:val="bottom"/>
          </w:tcPr>
          <w:p>
            <w:pPr>
              <w:spacing w:after="0"/>
              <w:rPr>
                <w:sz w:val="15"/>
                <w:szCs w:val="15"/>
                <w:color w:val="auto"/>
              </w:rPr>
            </w:pP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207</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23,564</w:t>
            </w:r>
          </w:p>
        </w:tc>
      </w:tr>
      <w:tr>
        <w:trPr>
          <w:trHeight w:val="183"/>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U.S. industrial &amp; miscellaneous</w:t>
            </w:r>
          </w:p>
        </w:tc>
        <w:tc>
          <w:tcPr>
            <w:tcW w:w="620" w:type="dxa"/>
            <w:vAlign w:val="bottom"/>
          </w:tcPr>
          <w:p>
            <w:pPr>
              <w:spacing w:after="0"/>
              <w:rPr>
                <w:sz w:val="15"/>
                <w:szCs w:val="15"/>
                <w:color w:val="auto"/>
              </w:rPr>
            </w:pP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267,231</w:t>
            </w:r>
          </w:p>
        </w:tc>
        <w:tc>
          <w:tcPr>
            <w:tcW w:w="52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4,770</w:t>
            </w:r>
          </w:p>
        </w:tc>
        <w:tc>
          <w:tcPr>
            <w:tcW w:w="480" w:type="dxa"/>
            <w:vAlign w:val="bottom"/>
          </w:tcPr>
          <w:p>
            <w:pPr>
              <w:spacing w:after="0"/>
              <w:rPr>
                <w:sz w:val="15"/>
                <w:szCs w:val="15"/>
                <w:color w:val="auto"/>
              </w:rPr>
            </w:pP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5,940</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266,061</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rPr>
              <w:t>Foreign</w:t>
            </w:r>
          </w:p>
        </w:tc>
        <w:tc>
          <w:tcPr>
            <w:tcW w:w="2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30,082</w:t>
            </w:r>
          </w:p>
        </w:tc>
        <w:tc>
          <w:tcPr>
            <w:tcW w:w="52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238</w:t>
            </w:r>
          </w:p>
        </w:tc>
        <w:tc>
          <w:tcPr>
            <w:tcW w:w="480" w:type="dxa"/>
            <w:vAlign w:val="bottom"/>
          </w:tcPr>
          <w:p>
            <w:pPr>
              <w:spacing w:after="0"/>
              <w:rPr>
                <w:sz w:val="15"/>
                <w:szCs w:val="15"/>
                <w:color w:val="auto"/>
              </w:rPr>
            </w:pP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406</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29,914</w:t>
            </w:r>
          </w:p>
        </w:tc>
      </w:tr>
      <w:tr>
        <w:trPr>
          <w:trHeight w:val="183"/>
        </w:trPr>
        <w:tc>
          <w:tcPr>
            <w:tcW w:w="12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7"/>
              </w:rPr>
              <w:t>-------------</w:t>
            </w:r>
          </w:p>
        </w:tc>
        <w:tc>
          <w:tcPr>
            <w:tcW w:w="19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9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Total bonds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492,942</w:t>
            </w:r>
          </w:p>
        </w:tc>
        <w:tc>
          <w:tcPr>
            <w:tcW w:w="5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11,413</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6,679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497,676</w:t>
            </w:r>
          </w:p>
        </w:tc>
      </w:tr>
      <w:tr>
        <w:trPr>
          <w:trHeight w:val="367"/>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Redeemable preferred stock</w:t>
            </w:r>
          </w:p>
        </w:tc>
        <w:tc>
          <w:tcPr>
            <w:tcW w:w="620" w:type="dxa"/>
            <w:vAlign w:val="bottom"/>
          </w:tcPr>
          <w:p>
            <w:pPr>
              <w:spacing w:after="0"/>
              <w:rPr>
                <w:sz w:val="24"/>
                <w:szCs w:val="24"/>
                <w:color w:val="auto"/>
              </w:rPr>
            </w:pP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31,230</w:t>
            </w:r>
          </w:p>
        </w:tc>
        <w:tc>
          <w:tcPr>
            <w:tcW w:w="520" w:type="dxa"/>
            <w:vAlign w:val="bottom"/>
          </w:tcPr>
          <w:p>
            <w:pPr>
              <w:spacing w:after="0"/>
              <w:rPr>
                <w:sz w:val="24"/>
                <w:szCs w:val="24"/>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3,341</w:t>
            </w:r>
          </w:p>
        </w:tc>
        <w:tc>
          <w:tcPr>
            <w:tcW w:w="480" w:type="dxa"/>
            <w:vAlign w:val="bottom"/>
          </w:tcPr>
          <w:p>
            <w:pPr>
              <w:spacing w:after="0"/>
              <w:rPr>
                <w:sz w:val="24"/>
                <w:szCs w:val="24"/>
                <w:color w:val="auto"/>
              </w:rPr>
            </w:pP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701</w:t>
            </w: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33,870</w:t>
            </w:r>
          </w:p>
        </w:tc>
      </w:tr>
      <w:tr>
        <w:trPr>
          <w:trHeight w:val="183"/>
        </w:trPr>
        <w:tc>
          <w:tcPr>
            <w:tcW w:w="12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7"/>
              </w:rPr>
              <w:t>-------------</w:t>
            </w:r>
          </w:p>
        </w:tc>
        <w:tc>
          <w:tcPr>
            <w:tcW w:w="19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9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Total fixed maturities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524,172</w:t>
            </w:r>
          </w:p>
        </w:tc>
        <w:tc>
          <w:tcPr>
            <w:tcW w:w="5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14,754</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7,380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531,546</w:t>
            </w:r>
          </w:p>
        </w:tc>
      </w:tr>
      <w:tr>
        <w:trPr>
          <w:trHeight w:val="183"/>
        </w:trPr>
        <w:tc>
          <w:tcPr>
            <w:tcW w:w="12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2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Equity securities:</w:t>
            </w: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3"/>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Common stock:</w:t>
            </w:r>
          </w:p>
        </w:tc>
        <w:tc>
          <w:tcPr>
            <w:tcW w:w="2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39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U.S. banks, trusts &amp;</w:t>
            </w: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39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insurance companies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3,651</w:t>
            </w:r>
          </w:p>
        </w:tc>
        <w:tc>
          <w:tcPr>
            <w:tcW w:w="5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422</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3,798</w:t>
            </w:r>
          </w:p>
        </w:tc>
      </w:tr>
      <w:tr>
        <w:trPr>
          <w:trHeight w:val="183"/>
        </w:trPr>
        <w:tc>
          <w:tcPr>
            <w:tcW w:w="39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U.S. industrial &amp;</w:t>
            </w: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39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miscellaneous</w:t>
            </w:r>
          </w:p>
        </w:tc>
        <w:tc>
          <w:tcPr>
            <w:tcW w:w="620" w:type="dxa"/>
            <w:vAlign w:val="bottom"/>
          </w:tcPr>
          <w:p>
            <w:pPr>
              <w:spacing w:after="0"/>
              <w:rPr>
                <w:sz w:val="15"/>
                <w:szCs w:val="15"/>
                <w:color w:val="auto"/>
              </w:rPr>
            </w:pP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63,662</w:t>
            </w:r>
          </w:p>
        </w:tc>
        <w:tc>
          <w:tcPr>
            <w:tcW w:w="52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38,286</w:t>
            </w:r>
          </w:p>
        </w:tc>
        <w:tc>
          <w:tcPr>
            <w:tcW w:w="480" w:type="dxa"/>
            <w:vAlign w:val="bottom"/>
          </w:tcPr>
          <w:p>
            <w:pPr>
              <w:spacing w:after="0"/>
              <w:rPr>
                <w:sz w:val="15"/>
                <w:szCs w:val="15"/>
                <w:color w:val="auto"/>
              </w:rPr>
            </w:pP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15,343</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86,605</w:t>
            </w:r>
          </w:p>
        </w:tc>
      </w:tr>
      <w:tr>
        <w:trPr>
          <w:trHeight w:val="183"/>
        </w:trPr>
        <w:tc>
          <w:tcPr>
            <w:tcW w:w="1240" w:type="dxa"/>
            <w:vAlign w:val="bottom"/>
          </w:tcPr>
          <w:p>
            <w:pPr>
              <w:ind w:left="280"/>
              <w:spacing w:after="0"/>
              <w:rPr>
                <w:sz w:val="20"/>
                <w:szCs w:val="20"/>
                <w:color w:val="auto"/>
              </w:rPr>
            </w:pPr>
            <w:r>
              <w:rPr>
                <w:rFonts w:ascii="Courier New" w:cs="Courier New" w:eastAsia="Courier New" w:hAnsi="Courier New"/>
                <w:sz w:val="16"/>
                <w:szCs w:val="16"/>
                <w:color w:val="auto"/>
              </w:rPr>
              <w:t>Foreign</w:t>
            </w:r>
          </w:p>
        </w:tc>
        <w:tc>
          <w:tcPr>
            <w:tcW w:w="2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7,100</w:t>
            </w:r>
          </w:p>
        </w:tc>
        <w:tc>
          <w:tcPr>
            <w:tcW w:w="52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581</w:t>
            </w:r>
          </w:p>
        </w:tc>
        <w:tc>
          <w:tcPr>
            <w:tcW w:w="480" w:type="dxa"/>
            <w:vAlign w:val="bottom"/>
          </w:tcPr>
          <w:p>
            <w:pPr>
              <w:spacing w:after="0"/>
              <w:rPr>
                <w:sz w:val="15"/>
                <w:szCs w:val="15"/>
                <w:color w:val="auto"/>
              </w:rPr>
            </w:pP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2,719</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4,962</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Nonredeemable</w:t>
            </w:r>
          </w:p>
        </w:tc>
        <w:tc>
          <w:tcPr>
            <w:tcW w:w="2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39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preferred stock:</w:t>
            </w: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39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U.S. banks, trusts &amp;</w:t>
            </w: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39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insurance companies</w:t>
            </w:r>
          </w:p>
        </w:tc>
        <w:tc>
          <w:tcPr>
            <w:tcW w:w="620" w:type="dxa"/>
            <w:vAlign w:val="bottom"/>
          </w:tcPr>
          <w:p>
            <w:pPr>
              <w:spacing w:after="0"/>
              <w:rPr>
                <w:sz w:val="15"/>
                <w:szCs w:val="15"/>
                <w:color w:val="auto"/>
              </w:rPr>
            </w:pP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22,094</w:t>
            </w:r>
          </w:p>
        </w:tc>
        <w:tc>
          <w:tcPr>
            <w:tcW w:w="52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97</w:t>
            </w:r>
          </w:p>
        </w:tc>
        <w:tc>
          <w:tcPr>
            <w:tcW w:w="480" w:type="dxa"/>
            <w:vAlign w:val="bottom"/>
          </w:tcPr>
          <w:p>
            <w:pPr>
              <w:spacing w:after="0"/>
              <w:rPr>
                <w:sz w:val="15"/>
                <w:szCs w:val="15"/>
                <w:color w:val="auto"/>
              </w:rPr>
            </w:pP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22,125</w:t>
            </w:r>
          </w:p>
        </w:tc>
      </w:tr>
      <w:tr>
        <w:trPr>
          <w:trHeight w:val="183"/>
        </w:trPr>
        <w:tc>
          <w:tcPr>
            <w:tcW w:w="39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U.S. industrial &amp;</w:t>
            </w: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39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miscellaneous</w:t>
            </w:r>
          </w:p>
        </w:tc>
        <w:tc>
          <w:tcPr>
            <w:tcW w:w="620" w:type="dxa"/>
            <w:vAlign w:val="bottom"/>
          </w:tcPr>
          <w:p>
            <w:pPr>
              <w:spacing w:after="0"/>
              <w:rPr>
                <w:sz w:val="15"/>
                <w:szCs w:val="15"/>
                <w:color w:val="auto"/>
              </w:rPr>
            </w:pP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62,266</w:t>
            </w:r>
          </w:p>
        </w:tc>
        <w:tc>
          <w:tcPr>
            <w:tcW w:w="52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1,987</w:t>
            </w:r>
          </w:p>
        </w:tc>
        <w:tc>
          <w:tcPr>
            <w:tcW w:w="480" w:type="dxa"/>
            <w:vAlign w:val="bottom"/>
          </w:tcPr>
          <w:p>
            <w:pPr>
              <w:spacing w:after="0"/>
              <w:rPr>
                <w:sz w:val="15"/>
                <w:szCs w:val="15"/>
                <w:color w:val="auto"/>
              </w:rPr>
            </w:pP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3,119</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61,134</w:t>
            </w:r>
          </w:p>
        </w:tc>
      </w:tr>
      <w:tr>
        <w:trPr>
          <w:trHeight w:val="183"/>
        </w:trPr>
        <w:tc>
          <w:tcPr>
            <w:tcW w:w="1240" w:type="dxa"/>
            <w:vAlign w:val="bottom"/>
          </w:tcPr>
          <w:p>
            <w:pPr>
              <w:ind w:left="280"/>
              <w:spacing w:after="0"/>
              <w:rPr>
                <w:sz w:val="20"/>
                <w:szCs w:val="20"/>
                <w:color w:val="auto"/>
              </w:rPr>
            </w:pPr>
            <w:r>
              <w:rPr>
                <w:rFonts w:ascii="Courier New" w:cs="Courier New" w:eastAsia="Courier New" w:hAnsi="Courier New"/>
                <w:sz w:val="16"/>
                <w:szCs w:val="16"/>
                <w:color w:val="auto"/>
              </w:rPr>
              <w:t>Foreign</w:t>
            </w:r>
          </w:p>
        </w:tc>
        <w:tc>
          <w:tcPr>
            <w:tcW w:w="2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26,195</w:t>
            </w:r>
          </w:p>
        </w:tc>
        <w:tc>
          <w:tcPr>
            <w:tcW w:w="52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217</w:t>
            </w:r>
          </w:p>
        </w:tc>
        <w:tc>
          <w:tcPr>
            <w:tcW w:w="480" w:type="dxa"/>
            <w:vAlign w:val="bottom"/>
          </w:tcPr>
          <w:p>
            <w:pPr>
              <w:spacing w:after="0"/>
              <w:rPr>
                <w:sz w:val="15"/>
                <w:szCs w:val="15"/>
                <w:color w:val="auto"/>
              </w:rPr>
            </w:pP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590</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25,822</w:t>
            </w:r>
          </w:p>
        </w:tc>
      </w:tr>
      <w:tr>
        <w:trPr>
          <w:trHeight w:val="183"/>
        </w:trPr>
        <w:tc>
          <w:tcPr>
            <w:tcW w:w="12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7"/>
              </w:rPr>
              <w:t>-------------</w:t>
            </w:r>
          </w:p>
        </w:tc>
        <w:tc>
          <w:tcPr>
            <w:tcW w:w="19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9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Total equity securities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184,968</w:t>
            </w:r>
          </w:p>
        </w:tc>
        <w:tc>
          <w:tcPr>
            <w:tcW w:w="5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41,590</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22,112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204,446</w:t>
            </w:r>
          </w:p>
        </w:tc>
      </w:tr>
      <w:tr>
        <w:trPr>
          <w:trHeight w:val="183"/>
        </w:trPr>
        <w:tc>
          <w:tcPr>
            <w:tcW w:w="12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2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9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Total available-for-sale</w:t>
            </w: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396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securities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709,140</w:t>
            </w:r>
          </w:p>
        </w:tc>
        <w:tc>
          <w:tcPr>
            <w:tcW w:w="5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56,344</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29,492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735,992</w:t>
            </w:r>
          </w:p>
        </w:tc>
      </w:tr>
      <w:tr>
        <w:trPr>
          <w:trHeight w:val="183"/>
        </w:trPr>
        <w:tc>
          <w:tcPr>
            <w:tcW w:w="12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2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9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3900"/>
        <w:spacing w:after="0" w:line="242" w:lineRule="auto"/>
        <w:rPr>
          <w:sz w:val="20"/>
          <w:szCs w:val="20"/>
          <w:color w:val="auto"/>
        </w:rPr>
      </w:pPr>
      <w:r>
        <w:rPr>
          <w:rFonts w:ascii="Courier New" w:cs="Courier New" w:eastAsia="Courier New" w:hAnsi="Courier New"/>
          <w:sz w:val="16"/>
          <w:szCs w:val="16"/>
          <w:color w:val="auto"/>
        </w:rPr>
        <w:t>In the third quarter 2000, the Company began participating in a securities lending program whereby certain securities from its portfolio are loaned to other institutions for short periods of time through a lending agent. A fee is paid to the Company by the borrower. Collateral that exceeds the market value of the loaned securities is maintained by the lending agent. The Company has an indemnification agreement with the lending agents in the event a borrower becomes insolvent or fails to return securities. At March 31, 2001, the Company had loaned securities with a market value of $26.9 million secured by collateral of $28.1 million. The borrower of the securities is not permitted to sell or replace the security on loan.</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1520"/>
          </w:cols>
          <w:pgMar w:left="240" w:top="848" w:right="13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NOTES TO CONSOLIDATED FINANCIAL STATEMENTS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C -- INVESTMENTS (Continued)</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Limited partnerships include U.S. and foreign private equity, real estate and fixed income investments. The private equity limited partnerships invest in small-to medium-sized companies. The private equity limited partnerships are carried at estimated market value with unrealized gains and losses, net of deferred taxes, reflected in shareholders' equity in accumulated other comprehensive income. Investment income or loss is recognized on the sale of the equity investment. Real estate and fixed income limited partnerships are recorded using the equity method, which approximates the Company's share of the carrying value of the partnership. The components of equity in (losses) earnings of limited partnerships as reported on the Consolidated Statements of Operations are as follows: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81"/>
        </w:trPr>
        <w:tc>
          <w:tcPr>
            <w:tcW w:w="3860" w:type="dxa"/>
            <w:vAlign w:val="bottom"/>
          </w:tcPr>
          <w:p>
            <w:pPr>
              <w:spacing w:after="0"/>
              <w:rPr>
                <w:sz w:val="15"/>
                <w:szCs w:val="15"/>
                <w:color w:val="auto"/>
              </w:rPr>
            </w:pPr>
          </w:p>
        </w:tc>
        <w:tc>
          <w:tcPr>
            <w:tcW w:w="28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Three Months Ended March 31,</w:t>
            </w:r>
          </w:p>
        </w:tc>
      </w:tr>
      <w:tr>
        <w:trPr>
          <w:trHeight w:val="183"/>
        </w:trPr>
        <w:tc>
          <w:tcPr>
            <w:tcW w:w="3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2001</w:t>
            </w:r>
          </w:p>
        </w:tc>
        <w:tc>
          <w:tcPr>
            <w:tcW w:w="380" w:type="dxa"/>
            <w:vAlign w:val="bottom"/>
          </w:tcPr>
          <w:p>
            <w:pPr>
              <w:spacing w:after="0"/>
              <w:rPr>
                <w:sz w:val="15"/>
                <w:szCs w:val="15"/>
                <w:color w:val="auto"/>
              </w:rPr>
            </w:pP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3"/>
              </w:rPr>
              <w:t>2000</w:t>
            </w:r>
          </w:p>
        </w:tc>
      </w:tr>
      <w:tr>
        <w:trPr>
          <w:trHeight w:val="183"/>
        </w:trPr>
        <w:tc>
          <w:tcPr>
            <w:tcW w:w="3860" w:type="dxa"/>
            <w:vAlign w:val="bottom"/>
          </w:tcPr>
          <w:p>
            <w:pPr>
              <w:spacing w:after="0"/>
              <w:rPr>
                <w:sz w:val="15"/>
                <w:szCs w:val="15"/>
                <w:color w:val="auto"/>
              </w:rPr>
            </w:pPr>
          </w:p>
        </w:tc>
        <w:tc>
          <w:tcPr>
            <w:tcW w:w="14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Private equity</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1,673)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83</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Real estate</w:t>
            </w:r>
          </w:p>
        </w:tc>
        <w:tc>
          <w:tcPr>
            <w:tcW w:w="480" w:type="dxa"/>
            <w:vAlign w:val="bottom"/>
          </w:tcPr>
          <w:p>
            <w:pPr>
              <w:spacing w:after="0"/>
              <w:rPr>
                <w:sz w:val="15"/>
                <w:szCs w:val="15"/>
                <w:color w:val="auto"/>
              </w:rPr>
            </w:pP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262</w:t>
            </w:r>
          </w:p>
        </w:tc>
        <w:tc>
          <w:tcPr>
            <w:tcW w:w="38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209</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Fixed income</w:t>
            </w:r>
          </w:p>
        </w:tc>
        <w:tc>
          <w:tcPr>
            <w:tcW w:w="480" w:type="dxa"/>
            <w:vAlign w:val="bottom"/>
          </w:tcPr>
          <w:p>
            <w:pPr>
              <w:spacing w:after="0"/>
              <w:rPr>
                <w:sz w:val="15"/>
                <w:szCs w:val="15"/>
                <w:color w:val="auto"/>
              </w:rPr>
            </w:pP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w:t>
            </w:r>
          </w:p>
        </w:tc>
        <w:tc>
          <w:tcPr>
            <w:tcW w:w="38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700</w:t>
            </w:r>
          </w:p>
        </w:tc>
      </w:tr>
      <w:tr>
        <w:trPr>
          <w:trHeight w:val="183"/>
        </w:trPr>
        <w:tc>
          <w:tcPr>
            <w:tcW w:w="3860" w:type="dxa"/>
            <w:vAlign w:val="bottom"/>
          </w:tcPr>
          <w:p>
            <w:pPr>
              <w:spacing w:after="0"/>
              <w:rPr>
                <w:sz w:val="15"/>
                <w:szCs w:val="15"/>
                <w:color w:val="auto"/>
              </w:rPr>
            </w:pPr>
          </w:p>
        </w:tc>
        <w:tc>
          <w:tcPr>
            <w:tcW w:w="14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3860" w:type="dxa"/>
            <w:vAlign w:val="bottom"/>
          </w:tcPr>
          <w:p>
            <w:pPr>
              <w:ind w:left="300"/>
              <w:spacing w:after="0"/>
              <w:rPr>
                <w:sz w:val="20"/>
                <w:szCs w:val="20"/>
                <w:color w:val="auto"/>
              </w:rPr>
            </w:pPr>
            <w:r>
              <w:rPr>
                <w:rFonts w:ascii="Courier New" w:cs="Courier New" w:eastAsia="Courier New" w:hAnsi="Courier New"/>
                <w:sz w:val="16"/>
                <w:szCs w:val="16"/>
                <w:color w:val="auto"/>
              </w:rPr>
              <w:t>Total equity in (losses) earnings of</w:t>
            </w: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3860" w:type="dxa"/>
            <w:vAlign w:val="bottom"/>
          </w:tcPr>
          <w:p>
            <w:pPr>
              <w:ind w:left="300"/>
              <w:spacing w:after="0"/>
              <w:rPr>
                <w:sz w:val="20"/>
                <w:szCs w:val="20"/>
                <w:color w:val="auto"/>
              </w:rPr>
            </w:pPr>
            <w:r>
              <w:rPr>
                <w:rFonts w:ascii="Courier New" w:cs="Courier New" w:eastAsia="Courier New" w:hAnsi="Courier New"/>
                <w:sz w:val="16"/>
                <w:szCs w:val="16"/>
                <w:color w:val="auto"/>
              </w:rPr>
              <w:t>limited partnerships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1,403)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992</w:t>
            </w:r>
          </w:p>
        </w:tc>
      </w:tr>
      <w:tr>
        <w:trPr>
          <w:trHeight w:val="183"/>
        </w:trPr>
        <w:tc>
          <w:tcPr>
            <w:tcW w:w="38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The Company began using forward currency contracts to hedge the risks related to investments in partnerships in 2001. The Company recognized a loss on these contracts of $26 during 2001 which is included in the Consolidated Statements of Operations.</w:t>
      </w:r>
    </w:p>
    <w:p>
      <w:pPr>
        <w:spacing w:after="0" w:line="189"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Mortgage loans on commercial real estate are recorded at unpaid balances, adjusted for amortization of premium or discount. A valuation allowance would be provided for impairment in net realizable value based on periodic valuations as needed.</w:t>
      </w:r>
    </w:p>
    <w:p>
      <w:pPr>
        <w:spacing w:after="0" w:line="189"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Net purchases of investments as presented in the Consolidated Statements of Cash Flows consist of the following:</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3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80" w:type="dxa"/>
            <w:vAlign w:val="bottom"/>
            <w:gridSpan w:val="3"/>
          </w:tcPr>
          <w:p>
            <w:pPr>
              <w:jc w:val="right"/>
              <w:ind w:right="121"/>
              <w:spacing w:after="0"/>
              <w:rPr>
                <w:sz w:val="20"/>
                <w:szCs w:val="20"/>
                <w:color w:val="auto"/>
              </w:rPr>
            </w:pPr>
            <w:r>
              <w:rPr>
                <w:rFonts w:ascii="Courier New" w:cs="Courier New" w:eastAsia="Courier New" w:hAnsi="Courier New"/>
                <w:sz w:val="16"/>
                <w:szCs w:val="16"/>
                <w:color w:val="auto"/>
                <w:w w:val="98"/>
              </w:rPr>
              <w:t>Three Months Ended March 31,</w:t>
            </w:r>
          </w:p>
        </w:tc>
      </w:tr>
      <w:tr>
        <w:trPr>
          <w:trHeight w:val="183"/>
        </w:trPr>
        <w:tc>
          <w:tcPr>
            <w:tcW w:w="3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2001</w:t>
            </w:r>
          </w:p>
        </w:tc>
        <w:tc>
          <w:tcPr>
            <w:tcW w:w="560" w:type="dxa"/>
            <w:vAlign w:val="bottom"/>
          </w:tcPr>
          <w:p>
            <w:pPr>
              <w:spacing w:after="0"/>
              <w:rPr>
                <w:sz w:val="15"/>
                <w:szCs w:val="15"/>
                <w:color w:val="auto"/>
              </w:rPr>
            </w:pPr>
          </w:p>
        </w:tc>
        <w:tc>
          <w:tcPr>
            <w:tcW w:w="9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3240" w:type="dxa"/>
            <w:vAlign w:val="bottom"/>
          </w:tcPr>
          <w:p>
            <w:pPr>
              <w:spacing w:after="0"/>
              <w:rPr>
                <w:sz w:val="15"/>
                <w:szCs w:val="15"/>
                <w:color w:val="auto"/>
              </w:rPr>
            </w:pPr>
          </w:p>
        </w:tc>
        <w:tc>
          <w:tcPr>
            <w:tcW w:w="216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Purchase of investments:</w:t>
            </w:r>
          </w:p>
        </w:tc>
        <w:tc>
          <w:tcPr>
            <w:tcW w:w="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3240" w:type="dxa"/>
            <w:vAlign w:val="bottom"/>
          </w:tcPr>
          <w:p>
            <w:pPr>
              <w:ind w:left="380"/>
              <w:spacing w:after="0"/>
              <w:rPr>
                <w:sz w:val="20"/>
                <w:szCs w:val="20"/>
                <w:color w:val="auto"/>
              </w:rPr>
            </w:pPr>
            <w:r>
              <w:rPr>
                <w:rFonts w:ascii="Courier New" w:cs="Courier New" w:eastAsia="Courier New" w:hAnsi="Courier New"/>
                <w:sz w:val="16"/>
                <w:szCs w:val="16"/>
                <w:color w:val="auto"/>
              </w:rPr>
              <w:t>Fixed maturities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38,218)</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38,598)</w:t>
            </w:r>
          </w:p>
        </w:tc>
      </w:tr>
      <w:tr>
        <w:trPr>
          <w:trHeight w:val="183"/>
        </w:trPr>
        <w:tc>
          <w:tcPr>
            <w:tcW w:w="3240" w:type="dxa"/>
            <w:vAlign w:val="bottom"/>
          </w:tcPr>
          <w:p>
            <w:pPr>
              <w:ind w:left="380"/>
              <w:spacing w:after="0"/>
              <w:rPr>
                <w:sz w:val="20"/>
                <w:szCs w:val="20"/>
                <w:color w:val="auto"/>
              </w:rPr>
            </w:pPr>
            <w:r>
              <w:rPr>
                <w:rFonts w:ascii="Courier New" w:cs="Courier New" w:eastAsia="Courier New" w:hAnsi="Courier New"/>
                <w:sz w:val="16"/>
                <w:szCs w:val="16"/>
                <w:color w:val="auto"/>
              </w:rPr>
              <w:t>Equity securities</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15,322)</w:t>
            </w:r>
          </w:p>
        </w:tc>
        <w:tc>
          <w:tcPr>
            <w:tcW w:w="5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10,517)</w:t>
            </w:r>
          </w:p>
        </w:tc>
      </w:tr>
      <w:tr>
        <w:trPr>
          <w:trHeight w:val="183"/>
        </w:trPr>
        <w:tc>
          <w:tcPr>
            <w:tcW w:w="3240" w:type="dxa"/>
            <w:vAlign w:val="bottom"/>
          </w:tcPr>
          <w:p>
            <w:pPr>
              <w:ind w:left="380"/>
              <w:spacing w:after="0"/>
              <w:rPr>
                <w:sz w:val="20"/>
                <w:szCs w:val="20"/>
                <w:color w:val="auto"/>
              </w:rPr>
            </w:pPr>
            <w:r>
              <w:rPr>
                <w:rFonts w:ascii="Courier New" w:cs="Courier New" w:eastAsia="Courier New" w:hAnsi="Courier New"/>
                <w:sz w:val="16"/>
                <w:szCs w:val="16"/>
                <w:color w:val="auto"/>
              </w:rPr>
              <w:t>Limited partnerships</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7,415)</w:t>
            </w:r>
          </w:p>
        </w:tc>
        <w:tc>
          <w:tcPr>
            <w:tcW w:w="5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1,166)</w:t>
            </w:r>
          </w:p>
        </w:tc>
      </w:tr>
      <w:tr>
        <w:trPr>
          <w:trHeight w:val="183"/>
        </w:trPr>
        <w:tc>
          <w:tcPr>
            <w:tcW w:w="3240" w:type="dxa"/>
            <w:vAlign w:val="bottom"/>
          </w:tcPr>
          <w:p>
            <w:pPr>
              <w:spacing w:after="0"/>
              <w:rPr>
                <w:sz w:val="15"/>
                <w:szCs w:val="15"/>
                <w:color w:val="auto"/>
              </w:rPr>
            </w:pPr>
          </w:p>
        </w:tc>
        <w:tc>
          <w:tcPr>
            <w:tcW w:w="216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240" w:type="dxa"/>
            <w:vAlign w:val="bottom"/>
          </w:tcPr>
          <w:p>
            <w:pPr>
              <w:ind w:left="680"/>
              <w:spacing w:after="0"/>
              <w:rPr>
                <w:sz w:val="20"/>
                <w:szCs w:val="20"/>
                <w:color w:val="auto"/>
              </w:rPr>
            </w:pPr>
            <w:r>
              <w:rPr>
                <w:rFonts w:ascii="Courier New" w:cs="Courier New" w:eastAsia="Courier New" w:hAnsi="Courier New"/>
                <w:sz w:val="16"/>
                <w:szCs w:val="16"/>
                <w:color w:val="auto"/>
              </w:rPr>
              <w:t>Total purchases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60,955)</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50,281)</w:t>
            </w:r>
          </w:p>
        </w:tc>
      </w:tr>
      <w:tr>
        <w:trPr>
          <w:trHeight w:val="183"/>
        </w:trPr>
        <w:tc>
          <w:tcPr>
            <w:tcW w:w="3240" w:type="dxa"/>
            <w:vAlign w:val="bottom"/>
          </w:tcPr>
          <w:p>
            <w:pPr>
              <w:spacing w:after="0"/>
              <w:rPr>
                <w:sz w:val="15"/>
                <w:szCs w:val="15"/>
                <w:color w:val="auto"/>
              </w:rPr>
            </w:pPr>
          </w:p>
        </w:tc>
        <w:tc>
          <w:tcPr>
            <w:tcW w:w="216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Sales/maturities of investments:</w:t>
            </w:r>
          </w:p>
        </w:tc>
        <w:tc>
          <w:tcPr>
            <w:tcW w:w="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3240" w:type="dxa"/>
            <w:vAlign w:val="bottom"/>
          </w:tcPr>
          <w:p>
            <w:pPr>
              <w:ind w:left="380"/>
              <w:spacing w:after="0"/>
              <w:rPr>
                <w:sz w:val="20"/>
                <w:szCs w:val="20"/>
                <w:color w:val="auto"/>
              </w:rPr>
            </w:pPr>
            <w:r>
              <w:rPr>
                <w:rFonts w:ascii="Courier New" w:cs="Courier New" w:eastAsia="Courier New" w:hAnsi="Courier New"/>
                <w:sz w:val="16"/>
                <w:szCs w:val="16"/>
                <w:color w:val="auto"/>
              </w:rPr>
              <w:t>Sales of fixed maturities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7,871</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13,426</w:t>
            </w:r>
          </w:p>
        </w:tc>
      </w:tr>
      <w:tr>
        <w:trPr>
          <w:trHeight w:val="183"/>
        </w:trPr>
        <w:tc>
          <w:tcPr>
            <w:tcW w:w="3240" w:type="dxa"/>
            <w:vAlign w:val="bottom"/>
          </w:tcPr>
          <w:p>
            <w:pPr>
              <w:ind w:left="380"/>
              <w:spacing w:after="0"/>
              <w:rPr>
                <w:sz w:val="20"/>
                <w:szCs w:val="20"/>
                <w:color w:val="auto"/>
              </w:rPr>
            </w:pPr>
            <w:r>
              <w:rPr>
                <w:rFonts w:ascii="Courier New" w:cs="Courier New" w:eastAsia="Courier New" w:hAnsi="Courier New"/>
                <w:sz w:val="16"/>
                <w:szCs w:val="16"/>
                <w:color w:val="auto"/>
              </w:rPr>
              <w:t>Calls of fixed maturities</w:t>
            </w:r>
          </w:p>
        </w:tc>
        <w:tc>
          <w:tcPr>
            <w:tcW w:w="76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24,652</w:t>
            </w:r>
          </w:p>
        </w:tc>
        <w:tc>
          <w:tcPr>
            <w:tcW w:w="56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14,147</w:t>
            </w:r>
          </w:p>
        </w:tc>
      </w:tr>
      <w:tr>
        <w:trPr>
          <w:trHeight w:val="183"/>
        </w:trPr>
        <w:tc>
          <w:tcPr>
            <w:tcW w:w="3240" w:type="dxa"/>
            <w:vAlign w:val="bottom"/>
          </w:tcPr>
          <w:p>
            <w:pPr>
              <w:ind w:left="380"/>
              <w:spacing w:after="0"/>
              <w:rPr>
                <w:sz w:val="20"/>
                <w:szCs w:val="20"/>
                <w:color w:val="auto"/>
              </w:rPr>
            </w:pPr>
            <w:r>
              <w:rPr>
                <w:rFonts w:ascii="Courier New" w:cs="Courier New" w:eastAsia="Courier New" w:hAnsi="Courier New"/>
                <w:sz w:val="16"/>
                <w:szCs w:val="16"/>
                <w:color w:val="auto"/>
              </w:rPr>
              <w:t>Equity securities</w:t>
            </w:r>
          </w:p>
        </w:tc>
        <w:tc>
          <w:tcPr>
            <w:tcW w:w="76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11,408</w:t>
            </w:r>
          </w:p>
        </w:tc>
        <w:tc>
          <w:tcPr>
            <w:tcW w:w="56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12,988</w:t>
            </w:r>
          </w:p>
        </w:tc>
      </w:tr>
      <w:tr>
        <w:trPr>
          <w:trHeight w:val="183"/>
        </w:trPr>
        <w:tc>
          <w:tcPr>
            <w:tcW w:w="3240" w:type="dxa"/>
            <w:vAlign w:val="bottom"/>
          </w:tcPr>
          <w:p>
            <w:pPr>
              <w:ind w:left="380"/>
              <w:spacing w:after="0"/>
              <w:rPr>
                <w:sz w:val="20"/>
                <w:szCs w:val="20"/>
                <w:color w:val="auto"/>
              </w:rPr>
            </w:pPr>
            <w:r>
              <w:rPr>
                <w:rFonts w:ascii="Courier New" w:cs="Courier New" w:eastAsia="Courier New" w:hAnsi="Courier New"/>
                <w:sz w:val="16"/>
                <w:szCs w:val="16"/>
                <w:color w:val="auto"/>
              </w:rPr>
              <w:t>Mortgage loans</w:t>
            </w:r>
          </w:p>
        </w:tc>
        <w:tc>
          <w:tcPr>
            <w:tcW w:w="76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39</w:t>
            </w:r>
          </w:p>
        </w:tc>
        <w:tc>
          <w:tcPr>
            <w:tcW w:w="56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1,537</w:t>
            </w:r>
          </w:p>
        </w:tc>
      </w:tr>
      <w:tr>
        <w:trPr>
          <w:trHeight w:val="183"/>
        </w:trPr>
        <w:tc>
          <w:tcPr>
            <w:tcW w:w="3240" w:type="dxa"/>
            <w:vAlign w:val="bottom"/>
          </w:tcPr>
          <w:p>
            <w:pPr>
              <w:ind w:left="380"/>
              <w:spacing w:after="0"/>
              <w:rPr>
                <w:sz w:val="20"/>
                <w:szCs w:val="20"/>
                <w:color w:val="auto"/>
              </w:rPr>
            </w:pPr>
            <w:r>
              <w:rPr>
                <w:rFonts w:ascii="Courier New" w:cs="Courier New" w:eastAsia="Courier New" w:hAnsi="Courier New"/>
                <w:sz w:val="16"/>
                <w:szCs w:val="16"/>
                <w:color w:val="auto"/>
              </w:rPr>
              <w:t>Limited partnerships</w:t>
            </w:r>
          </w:p>
        </w:tc>
        <w:tc>
          <w:tcPr>
            <w:tcW w:w="76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2,215</w:t>
            </w:r>
          </w:p>
        </w:tc>
        <w:tc>
          <w:tcPr>
            <w:tcW w:w="56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1,151</w:t>
            </w:r>
          </w:p>
        </w:tc>
      </w:tr>
      <w:tr>
        <w:trPr>
          <w:trHeight w:val="183"/>
        </w:trPr>
        <w:tc>
          <w:tcPr>
            <w:tcW w:w="3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8"/>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240" w:type="dxa"/>
            <w:vAlign w:val="bottom"/>
          </w:tcPr>
          <w:p>
            <w:pPr>
              <w:ind w:left="680"/>
              <w:spacing w:after="0"/>
              <w:rPr>
                <w:sz w:val="20"/>
                <w:szCs w:val="20"/>
                <w:color w:val="auto"/>
              </w:rPr>
            </w:pPr>
            <w:r>
              <w:rPr>
                <w:rFonts w:ascii="Courier New" w:cs="Courier New" w:eastAsia="Courier New" w:hAnsi="Courier New"/>
                <w:sz w:val="16"/>
                <w:szCs w:val="16"/>
                <w:color w:val="auto"/>
              </w:rPr>
              <w:t>Total sales/maturities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46,185</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43,249</w:t>
            </w:r>
          </w:p>
        </w:tc>
      </w:tr>
      <w:tr>
        <w:trPr>
          <w:trHeight w:val="183"/>
        </w:trPr>
        <w:tc>
          <w:tcPr>
            <w:tcW w:w="3240" w:type="dxa"/>
            <w:vAlign w:val="bottom"/>
          </w:tcPr>
          <w:p>
            <w:pPr>
              <w:spacing w:after="0"/>
              <w:rPr>
                <w:sz w:val="15"/>
                <w:szCs w:val="15"/>
                <w:color w:val="auto"/>
              </w:rPr>
            </w:pPr>
          </w:p>
        </w:tc>
        <w:tc>
          <w:tcPr>
            <w:tcW w:w="216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Net purchase of investments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14,770)</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7,032)</w:t>
            </w:r>
          </w:p>
        </w:tc>
      </w:tr>
      <w:tr>
        <w:trPr>
          <w:trHeight w:val="183"/>
        </w:trPr>
        <w:tc>
          <w:tcPr>
            <w:tcW w:w="3240" w:type="dxa"/>
            <w:vAlign w:val="bottom"/>
          </w:tcPr>
          <w:p>
            <w:pPr>
              <w:spacing w:after="0"/>
              <w:rPr>
                <w:sz w:val="15"/>
                <w:szCs w:val="15"/>
                <w:color w:val="auto"/>
              </w:rPr>
            </w:pPr>
          </w:p>
        </w:tc>
        <w:tc>
          <w:tcPr>
            <w:tcW w:w="21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3240" w:type="dxa"/>
            <w:vAlign w:val="bottom"/>
          </w:tcPr>
          <w:p>
            <w:pPr>
              <w:spacing w:after="0"/>
              <w:rPr>
                <w:sz w:val="24"/>
                <w:szCs w:val="24"/>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w:t>
            </w: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19"/>
          </w:cols>
          <w:pgMar w:left="240" w:top="848"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NOTES TO CONSOLIDATED FINANCIAL STATEMENTS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D -- SUMMARIZED FINANCIAL STATEMENT INFORMATION OF AFFILIATE</w:t>
      </w:r>
    </w:p>
    <w:p>
      <w:pPr>
        <w:spacing w:after="0" w:line="188"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The Company has a 21.63% investment in Erie Family Life Insurance Company (EFL) and accounts for this investment using the equity method of accounting.</w:t>
      </w:r>
    </w:p>
    <w:p>
      <w:pPr>
        <w:spacing w:after="0" w:line="186"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6"/>
          <w:szCs w:val="16"/>
          <w:color w:val="auto"/>
        </w:rPr>
        <w:t>The following represents condensed financial statement</w:t>
      </w:r>
      <w:r>
        <w:rPr>
          <w:sz w:val="20"/>
          <w:szCs w:val="20"/>
          <w:color w:val="auto"/>
        </w:rPr>
        <w:tab/>
      </w:r>
      <w:r>
        <w:rPr>
          <w:rFonts w:ascii="Courier New" w:cs="Courier New" w:eastAsia="Courier New" w:hAnsi="Courier New"/>
          <w:sz w:val="15"/>
          <w:szCs w:val="15"/>
          <w:color w:val="auto"/>
        </w:rPr>
        <w:t>information for EFL on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GAAP basis: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Three</w:t>
            </w: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Months Ended March 31,</w:t>
            </w:r>
          </w:p>
        </w:tc>
      </w:tr>
      <w:tr>
        <w:trPr>
          <w:trHeight w:val="183"/>
        </w:trPr>
        <w:tc>
          <w:tcPr>
            <w:tcW w:w="4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3"/>
              </w:rPr>
              <w:t>2001</w:t>
            </w:r>
          </w:p>
        </w:tc>
        <w:tc>
          <w:tcPr>
            <w:tcW w:w="12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4820" w:type="dxa"/>
            <w:vAlign w:val="bottom"/>
          </w:tcPr>
          <w:p>
            <w:pPr>
              <w:spacing w:after="0"/>
              <w:rPr>
                <w:sz w:val="15"/>
                <w:szCs w:val="15"/>
                <w:color w:val="auto"/>
              </w:rPr>
            </w:pPr>
          </w:p>
        </w:tc>
        <w:tc>
          <w:tcPr>
            <w:tcW w:w="1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Revenues</w:t>
            </w:r>
          </w:p>
        </w:tc>
        <w:tc>
          <w:tcPr>
            <w:tcW w:w="1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$25,526</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$28,760</w:t>
            </w:r>
          </w:p>
        </w:tc>
      </w:tr>
      <w:tr>
        <w:trPr>
          <w:trHeight w:val="183"/>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Benefits and expenses</w:t>
            </w:r>
          </w:p>
        </w:tc>
        <w:tc>
          <w:tcPr>
            <w:tcW w:w="62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20,265</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18,812</w:t>
            </w:r>
          </w:p>
        </w:tc>
      </w:tr>
      <w:tr>
        <w:trPr>
          <w:trHeight w:val="183"/>
        </w:trPr>
        <w:tc>
          <w:tcPr>
            <w:tcW w:w="4820" w:type="dxa"/>
            <w:vAlign w:val="bottom"/>
          </w:tcPr>
          <w:p>
            <w:pPr>
              <w:spacing w:after="0"/>
              <w:rPr>
                <w:sz w:val="15"/>
                <w:szCs w:val="15"/>
                <w:color w:val="auto"/>
              </w:rPr>
            </w:pPr>
          </w:p>
        </w:tc>
        <w:tc>
          <w:tcPr>
            <w:tcW w:w="1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Income before income taxes</w:t>
            </w:r>
          </w:p>
        </w:tc>
        <w:tc>
          <w:tcPr>
            <w:tcW w:w="62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5,261</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9,948</w:t>
            </w:r>
          </w:p>
        </w:tc>
      </w:tr>
      <w:tr>
        <w:trPr>
          <w:trHeight w:val="183"/>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Income taxes</w:t>
            </w:r>
          </w:p>
        </w:tc>
        <w:tc>
          <w:tcPr>
            <w:tcW w:w="62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1,820</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3,442</w:t>
            </w:r>
          </w:p>
        </w:tc>
      </w:tr>
      <w:tr>
        <w:trPr>
          <w:trHeight w:val="183"/>
        </w:trPr>
        <w:tc>
          <w:tcPr>
            <w:tcW w:w="4820" w:type="dxa"/>
            <w:vAlign w:val="bottom"/>
          </w:tcPr>
          <w:p>
            <w:pPr>
              <w:spacing w:after="0"/>
              <w:rPr>
                <w:sz w:val="15"/>
                <w:szCs w:val="15"/>
                <w:color w:val="auto"/>
              </w:rPr>
            </w:pPr>
          </w:p>
        </w:tc>
        <w:tc>
          <w:tcPr>
            <w:tcW w:w="1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3,441</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$ 6,506</w:t>
            </w:r>
          </w:p>
        </w:tc>
      </w:tr>
      <w:tr>
        <w:trPr>
          <w:trHeight w:val="183"/>
        </w:trPr>
        <w:tc>
          <w:tcPr>
            <w:tcW w:w="4820" w:type="dxa"/>
            <w:vAlign w:val="bottom"/>
          </w:tcPr>
          <w:p>
            <w:pPr>
              <w:spacing w:after="0"/>
              <w:rPr>
                <w:sz w:val="15"/>
                <w:szCs w:val="15"/>
                <w:color w:val="auto"/>
              </w:rPr>
            </w:pPr>
          </w:p>
        </w:tc>
        <w:tc>
          <w:tcPr>
            <w:tcW w:w="1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Comprehensive income</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9,136</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$19,605</w:t>
            </w:r>
          </w:p>
        </w:tc>
      </w:tr>
      <w:tr>
        <w:trPr>
          <w:trHeight w:val="183"/>
        </w:trPr>
        <w:tc>
          <w:tcPr>
            <w:tcW w:w="4820" w:type="dxa"/>
            <w:vAlign w:val="bottom"/>
          </w:tcPr>
          <w:p>
            <w:pPr>
              <w:spacing w:after="0"/>
              <w:rPr>
                <w:sz w:val="15"/>
                <w:szCs w:val="15"/>
                <w:color w:val="auto"/>
              </w:rPr>
            </w:pPr>
          </w:p>
        </w:tc>
        <w:tc>
          <w:tcPr>
            <w:tcW w:w="1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Dividends paid to shareholders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1,701</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$ 1,559</w:t>
            </w:r>
          </w:p>
        </w:tc>
      </w:tr>
      <w:tr>
        <w:trPr>
          <w:trHeight w:val="183"/>
        </w:trPr>
        <w:tc>
          <w:tcPr>
            <w:tcW w:w="4820" w:type="dxa"/>
            <w:vAlign w:val="bottom"/>
          </w:tcPr>
          <w:p>
            <w:pPr>
              <w:spacing w:after="0"/>
              <w:rPr>
                <w:sz w:val="15"/>
                <w:szCs w:val="15"/>
                <w:color w:val="auto"/>
              </w:rPr>
            </w:pPr>
          </w:p>
        </w:tc>
        <w:tc>
          <w:tcPr>
            <w:tcW w:w="1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Net unrealized appreciation on investment</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4820" w:type="dxa"/>
            <w:vAlign w:val="bottom"/>
          </w:tcPr>
          <w:p>
            <w:pPr>
              <w:ind w:left="380"/>
              <w:spacing w:after="0"/>
              <w:rPr>
                <w:sz w:val="20"/>
                <w:szCs w:val="20"/>
                <w:color w:val="auto"/>
              </w:rPr>
            </w:pPr>
            <w:r>
              <w:rPr>
                <w:rFonts w:ascii="Courier New" w:cs="Courier New" w:eastAsia="Courier New" w:hAnsi="Courier New"/>
                <w:sz w:val="16"/>
                <w:szCs w:val="16"/>
                <w:color w:val="auto"/>
              </w:rPr>
              <w:t>securities at March 31, net of deferred taxes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9,382</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$10,755</w:t>
            </w:r>
          </w:p>
        </w:tc>
      </w:tr>
      <w:tr>
        <w:trPr>
          <w:trHeight w:val="183"/>
        </w:trPr>
        <w:tc>
          <w:tcPr>
            <w:tcW w:w="4820" w:type="dxa"/>
            <w:vAlign w:val="bottom"/>
          </w:tcPr>
          <w:p>
            <w:pPr>
              <w:spacing w:after="0"/>
              <w:rPr>
                <w:sz w:val="15"/>
                <w:szCs w:val="15"/>
                <w:color w:val="auto"/>
              </w:rPr>
            </w:pPr>
          </w:p>
        </w:tc>
        <w:tc>
          <w:tcPr>
            <w:tcW w:w="1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5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NOTE E -- NOTE RECEIVABLE FROM ERIE FAMILY LIFE INSURANCE</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COMPANY</w:t>
            </w:r>
          </w:p>
        </w:tc>
        <w:tc>
          <w:tcPr>
            <w:tcW w:w="1240" w:type="dxa"/>
            <w:vAlign w:val="bottom"/>
          </w:tcPr>
          <w:p>
            <w:pPr>
              <w:spacing w:after="0"/>
              <w:rPr>
                <w:sz w:val="24"/>
                <w:szCs w:val="24"/>
                <w:color w:val="auto"/>
              </w:rPr>
            </w:pPr>
          </w:p>
        </w:tc>
      </w:tr>
    </w:tbl>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The Company is due $15 million from EFL in the form of a surplus note. The note bears an annual interest rate of 6.45% and all payments of interest and principal of the note may be repaid only out of unassigned surplus of EFL and are subject to prior approval of the Pennsylvania Insurance Commissioner. Interest on the surplus note is scheduled to be paid semi-annually. The note will be payable on demand on or after December 31, 2005. EFL accrued $242 in the first quarters of 2001 and 2000 to be paid to the Company.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F -- TREASURY STOCK</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In December 1998 the Board of Directors of the Company approved a stock repurchase plan beginning January 1, 1999, under which the Company may repurchase as much as $120 million of its outstanding Class A common stock through December 31, 2002. At March 31, 2001 the Company had repurchased $86 million in stock. Treasury shares are recorded on the Consolidated Statements of Financial Position at cost.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G -- SEGMENT INFORMATION</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The Company operates its business as two reportable segments - management operations and property/casualty insurance operations. The Company's principal operations consist of serving as attorney-in-fact for the Erie Insurance Exchange (Exchange), which constitutes its management operations. The Company's property/casualty insurance operations arise through direct business of its subsidiaries and by virtue of a pooling agreement between its subsidiaries and the Exchange. The performance of the personal lines and commercial lines is evaluated based upon the underwriting results as determined under statutory accounting practices (SAP) for the total pooled business of the Group.</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48"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NOTES TO CONSOLIDATED FINANCIAL STATEMENTS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G - SEGMENT INFORMATION (CONTINUED)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Summarized financial information for these operations is presented below:</w:t>
      </w:r>
    </w:p>
    <w:p>
      <w:pPr>
        <w:spacing w:after="0" w:line="200" w:lineRule="exact"/>
        <w:rPr>
          <w:sz w:val="20"/>
          <w:szCs w:val="20"/>
          <w:color w:val="auto"/>
        </w:rPr>
      </w:pPr>
    </w:p>
    <w:p>
      <w:pPr>
        <w:spacing w:after="0" w:line="352" w:lineRule="exact"/>
        <w:rPr>
          <w:sz w:val="20"/>
          <w:szCs w:val="20"/>
          <w:color w:val="auto"/>
        </w:rPr>
      </w:pPr>
    </w:p>
    <w:tbl>
      <w:tblPr>
        <w:tblLayout w:type="fixed"/>
        <w:tblInd w:w="1520" w:type="dxa"/>
        <w:tblCellMar>
          <w:top w:w="0" w:type="dxa"/>
          <w:left w:w="0" w:type="dxa"/>
          <w:bottom w:w="0" w:type="dxa"/>
          <w:right w:w="0" w:type="dxa"/>
        </w:tblCellMar>
      </w:tblPr>
      <w:tr>
        <w:trPr>
          <w:trHeight w:val="181"/>
        </w:trPr>
        <w:tc>
          <w:tcPr>
            <w:tcW w:w="4780" w:type="dxa"/>
            <w:vAlign w:val="bottom"/>
          </w:tcPr>
          <w:p>
            <w:pPr>
              <w:spacing w:after="0"/>
              <w:rPr>
                <w:sz w:val="15"/>
                <w:szCs w:val="15"/>
                <w:color w:val="auto"/>
              </w:rPr>
            </w:pPr>
          </w:p>
        </w:tc>
        <w:tc>
          <w:tcPr>
            <w:tcW w:w="3520" w:type="dxa"/>
            <w:vAlign w:val="bottom"/>
            <w:gridSpan w:val="4"/>
          </w:tcPr>
          <w:p>
            <w:pPr>
              <w:ind w:left="660"/>
              <w:spacing w:after="0"/>
              <w:rPr>
                <w:sz w:val="20"/>
                <w:szCs w:val="20"/>
                <w:color w:val="auto"/>
              </w:rPr>
            </w:pPr>
            <w:r>
              <w:rPr>
                <w:rFonts w:ascii="Courier New" w:cs="Courier New" w:eastAsia="Courier New" w:hAnsi="Courier New"/>
                <w:sz w:val="16"/>
                <w:szCs w:val="16"/>
                <w:color w:val="auto"/>
              </w:rPr>
              <w:t>Three Months Ended March 31,</w:t>
            </w:r>
          </w:p>
        </w:tc>
      </w:tr>
      <w:tr>
        <w:trPr>
          <w:trHeight w:val="183"/>
        </w:trPr>
        <w:tc>
          <w:tcPr>
            <w:tcW w:w="4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2001</w:t>
            </w:r>
          </w:p>
        </w:tc>
        <w:tc>
          <w:tcPr>
            <w:tcW w:w="580" w:type="dxa"/>
            <w:vAlign w:val="bottom"/>
          </w:tcPr>
          <w:p>
            <w:pPr>
              <w:spacing w:after="0"/>
              <w:rPr>
                <w:sz w:val="15"/>
                <w:szCs w:val="15"/>
                <w:color w:val="auto"/>
              </w:rPr>
            </w:pPr>
          </w:p>
        </w:tc>
        <w:tc>
          <w:tcPr>
            <w:tcW w:w="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4780" w:type="dxa"/>
            <w:vAlign w:val="bottom"/>
          </w:tcPr>
          <w:p>
            <w:pPr>
              <w:spacing w:after="0"/>
              <w:rPr>
                <w:sz w:val="15"/>
                <w:szCs w:val="15"/>
                <w:color w:val="auto"/>
              </w:rPr>
            </w:pP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780" w:type="dxa"/>
            <w:vAlign w:val="bottom"/>
          </w:tcPr>
          <w:p>
            <w:pPr>
              <w:spacing w:after="0"/>
              <w:rPr>
                <w:sz w:val="20"/>
                <w:szCs w:val="20"/>
                <w:color w:val="auto"/>
              </w:rPr>
            </w:pPr>
            <w:r>
              <w:rPr>
                <w:rFonts w:ascii="Courier New" w:cs="Courier New" w:eastAsia="Courier New" w:hAnsi="Courier New"/>
                <w:sz w:val="16"/>
                <w:szCs w:val="16"/>
                <w:color w:val="auto"/>
              </w:rPr>
              <w:t>Management Operations:</w:t>
            </w: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47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4780" w:type="dxa"/>
            <w:vAlign w:val="bottom"/>
          </w:tcPr>
          <w:p>
            <w:pPr>
              <w:ind w:left="200"/>
              <w:spacing w:after="0"/>
              <w:rPr>
                <w:sz w:val="20"/>
                <w:szCs w:val="20"/>
                <w:color w:val="auto"/>
              </w:rPr>
            </w:pPr>
            <w:r>
              <w:rPr>
                <w:rFonts w:ascii="Courier New" w:cs="Courier New" w:eastAsia="Courier New" w:hAnsi="Courier New"/>
                <w:sz w:val="16"/>
                <w:szCs w:val="16"/>
                <w:color w:val="auto"/>
              </w:rPr>
              <w:t>Management fee revenue</w:t>
            </w:r>
          </w:p>
        </w:tc>
        <w:tc>
          <w:tcPr>
            <w:tcW w:w="8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145,669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129,099</w:t>
            </w:r>
          </w:p>
        </w:tc>
      </w:tr>
      <w:tr>
        <w:trPr>
          <w:trHeight w:val="183"/>
        </w:trPr>
        <w:tc>
          <w:tcPr>
            <w:tcW w:w="4780" w:type="dxa"/>
            <w:vAlign w:val="bottom"/>
          </w:tcPr>
          <w:p>
            <w:pPr>
              <w:ind w:left="200"/>
              <w:spacing w:after="0"/>
              <w:rPr>
                <w:sz w:val="20"/>
                <w:szCs w:val="20"/>
                <w:color w:val="auto"/>
              </w:rPr>
            </w:pPr>
            <w:r>
              <w:rPr>
                <w:rFonts w:ascii="Courier New" w:cs="Courier New" w:eastAsia="Courier New" w:hAnsi="Courier New"/>
                <w:sz w:val="16"/>
                <w:szCs w:val="16"/>
                <w:color w:val="auto"/>
              </w:rPr>
              <w:t>Service agreement revenue</w:t>
            </w:r>
          </w:p>
        </w:tc>
        <w:tc>
          <w:tcPr>
            <w:tcW w:w="86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6,412</w:t>
            </w:r>
          </w:p>
        </w:tc>
        <w:tc>
          <w:tcPr>
            <w:tcW w:w="5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5,233</w:t>
            </w:r>
          </w:p>
        </w:tc>
      </w:tr>
      <w:tr>
        <w:trPr>
          <w:trHeight w:val="183"/>
        </w:trPr>
        <w:tc>
          <w:tcPr>
            <w:tcW w:w="4780" w:type="dxa"/>
            <w:vAlign w:val="bottom"/>
          </w:tcPr>
          <w:p>
            <w:pPr>
              <w:spacing w:after="0"/>
              <w:rPr>
                <w:sz w:val="15"/>
                <w:szCs w:val="15"/>
                <w:color w:val="auto"/>
              </w:rPr>
            </w:pP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80" w:type="dxa"/>
            <w:vAlign w:val="bottom"/>
          </w:tcPr>
          <w:p>
            <w:pPr>
              <w:ind w:left="380"/>
              <w:spacing w:after="0"/>
              <w:rPr>
                <w:sz w:val="20"/>
                <w:szCs w:val="20"/>
                <w:color w:val="auto"/>
              </w:rPr>
            </w:pPr>
            <w:r>
              <w:rPr>
                <w:rFonts w:ascii="Courier New" w:cs="Courier New" w:eastAsia="Courier New" w:hAnsi="Courier New"/>
                <w:sz w:val="16"/>
                <w:szCs w:val="16"/>
                <w:color w:val="auto"/>
              </w:rPr>
              <w:t>Total revenue from management operations</w:t>
            </w:r>
          </w:p>
        </w:tc>
        <w:tc>
          <w:tcPr>
            <w:tcW w:w="86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152,081</w:t>
            </w:r>
          </w:p>
        </w:tc>
        <w:tc>
          <w:tcPr>
            <w:tcW w:w="5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134,332</w:t>
            </w:r>
          </w:p>
        </w:tc>
      </w:tr>
      <w:tr>
        <w:trPr>
          <w:trHeight w:val="183"/>
        </w:trPr>
        <w:tc>
          <w:tcPr>
            <w:tcW w:w="4780" w:type="dxa"/>
            <w:vAlign w:val="bottom"/>
          </w:tcPr>
          <w:p>
            <w:pPr>
              <w:ind w:left="380"/>
              <w:spacing w:after="0"/>
              <w:rPr>
                <w:sz w:val="20"/>
                <w:szCs w:val="20"/>
                <w:color w:val="auto"/>
              </w:rPr>
            </w:pPr>
            <w:r>
              <w:rPr>
                <w:rFonts w:ascii="Courier New" w:cs="Courier New" w:eastAsia="Courier New" w:hAnsi="Courier New"/>
                <w:sz w:val="16"/>
                <w:szCs w:val="16"/>
                <w:color w:val="auto"/>
              </w:rPr>
              <w:t>Net revenue from investment operations</w:t>
            </w:r>
          </w:p>
        </w:tc>
        <w:tc>
          <w:tcPr>
            <w:tcW w:w="86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7,703</w:t>
            </w:r>
          </w:p>
        </w:tc>
        <w:tc>
          <w:tcPr>
            <w:tcW w:w="5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15,217</w:t>
            </w:r>
          </w:p>
        </w:tc>
      </w:tr>
      <w:tr>
        <w:trPr>
          <w:trHeight w:val="183"/>
        </w:trPr>
        <w:tc>
          <w:tcPr>
            <w:tcW w:w="4780" w:type="dxa"/>
            <w:vAlign w:val="bottom"/>
          </w:tcPr>
          <w:p>
            <w:pPr>
              <w:spacing w:after="0"/>
              <w:rPr>
                <w:sz w:val="15"/>
                <w:szCs w:val="15"/>
                <w:color w:val="auto"/>
              </w:rPr>
            </w:pP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80" w:type="dxa"/>
            <w:vAlign w:val="bottom"/>
          </w:tcPr>
          <w:p>
            <w:pPr>
              <w:ind w:left="200"/>
              <w:spacing w:after="0"/>
              <w:rPr>
                <w:sz w:val="20"/>
                <w:szCs w:val="20"/>
                <w:color w:val="auto"/>
              </w:rPr>
            </w:pPr>
            <w:r>
              <w:rPr>
                <w:rFonts w:ascii="Courier New" w:cs="Courier New" w:eastAsia="Courier New" w:hAnsi="Courier New"/>
                <w:sz w:val="16"/>
                <w:szCs w:val="16"/>
                <w:color w:val="auto"/>
              </w:rPr>
              <w:t>Total revenue</w:t>
            </w:r>
          </w:p>
        </w:tc>
        <w:tc>
          <w:tcPr>
            <w:tcW w:w="8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159,784</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149,549</w:t>
            </w:r>
          </w:p>
        </w:tc>
      </w:tr>
      <w:tr>
        <w:trPr>
          <w:trHeight w:val="183"/>
        </w:trPr>
        <w:tc>
          <w:tcPr>
            <w:tcW w:w="4780" w:type="dxa"/>
            <w:vAlign w:val="bottom"/>
          </w:tcPr>
          <w:p>
            <w:pPr>
              <w:spacing w:after="0"/>
              <w:rPr>
                <w:sz w:val="15"/>
                <w:szCs w:val="15"/>
                <w:color w:val="auto"/>
              </w:rPr>
            </w:pP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80" w:type="dxa"/>
            <w:vAlign w:val="bottom"/>
          </w:tcPr>
          <w:p>
            <w:pPr>
              <w:spacing w:after="0"/>
              <w:rPr>
                <w:sz w:val="20"/>
                <w:szCs w:val="20"/>
                <w:color w:val="auto"/>
              </w:rPr>
            </w:pPr>
            <w:r>
              <w:rPr>
                <w:rFonts w:ascii="Courier New" w:cs="Courier New" w:eastAsia="Courier New" w:hAnsi="Courier New"/>
                <w:sz w:val="16"/>
                <w:szCs w:val="16"/>
                <w:color w:val="auto"/>
              </w:rPr>
              <w:t>Income before taxes</w:t>
            </w:r>
          </w:p>
        </w:tc>
        <w:tc>
          <w:tcPr>
            <w:tcW w:w="8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50,903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51,835</w:t>
            </w:r>
          </w:p>
        </w:tc>
      </w:tr>
      <w:tr>
        <w:trPr>
          <w:trHeight w:val="183"/>
        </w:trPr>
        <w:tc>
          <w:tcPr>
            <w:tcW w:w="4780" w:type="dxa"/>
            <w:vAlign w:val="bottom"/>
          </w:tcPr>
          <w:p>
            <w:pPr>
              <w:spacing w:after="0"/>
              <w:rPr>
                <w:sz w:val="15"/>
                <w:szCs w:val="15"/>
                <w:color w:val="auto"/>
              </w:rPr>
            </w:pP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8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34,064</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35,028</w:t>
            </w:r>
          </w:p>
        </w:tc>
      </w:tr>
      <w:tr>
        <w:trPr>
          <w:trHeight w:val="183"/>
        </w:trPr>
        <w:tc>
          <w:tcPr>
            <w:tcW w:w="4780" w:type="dxa"/>
            <w:vAlign w:val="bottom"/>
          </w:tcPr>
          <w:p>
            <w:pPr>
              <w:spacing w:after="0"/>
              <w:rPr>
                <w:sz w:val="15"/>
                <w:szCs w:val="15"/>
                <w:color w:val="auto"/>
              </w:rPr>
            </w:pP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780" w:type="dxa"/>
            <w:vAlign w:val="bottom"/>
          </w:tcPr>
          <w:p>
            <w:pPr>
              <w:spacing w:after="0"/>
              <w:rPr>
                <w:sz w:val="20"/>
                <w:szCs w:val="20"/>
                <w:color w:val="auto"/>
              </w:rPr>
            </w:pPr>
            <w:r>
              <w:rPr>
                <w:rFonts w:ascii="Courier New" w:cs="Courier New" w:eastAsia="Courier New" w:hAnsi="Courier New"/>
                <w:sz w:val="16"/>
                <w:szCs w:val="16"/>
                <w:color w:val="auto"/>
              </w:rPr>
              <w:t>Property/Casualty Operations:</w:t>
            </w: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47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4780" w:type="dxa"/>
            <w:vAlign w:val="bottom"/>
          </w:tcPr>
          <w:p>
            <w:pPr>
              <w:ind w:left="200"/>
              <w:spacing w:after="0"/>
              <w:rPr>
                <w:sz w:val="20"/>
                <w:szCs w:val="20"/>
                <w:color w:val="auto"/>
              </w:rPr>
            </w:pPr>
            <w:r>
              <w:rPr>
                <w:rFonts w:ascii="Courier New" w:cs="Courier New" w:eastAsia="Courier New" w:hAnsi="Courier New"/>
                <w:sz w:val="16"/>
                <w:szCs w:val="16"/>
                <w:color w:val="auto"/>
              </w:rPr>
              <w:t>Premiums earned:</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4780" w:type="dxa"/>
            <w:vAlign w:val="bottom"/>
          </w:tcPr>
          <w:p>
            <w:pPr>
              <w:ind w:left="380"/>
              <w:spacing w:after="0"/>
              <w:rPr>
                <w:sz w:val="20"/>
                <w:szCs w:val="20"/>
                <w:color w:val="auto"/>
              </w:rPr>
            </w:pPr>
            <w:r>
              <w:rPr>
                <w:rFonts w:ascii="Courier New" w:cs="Courier New" w:eastAsia="Courier New" w:hAnsi="Courier New"/>
                <w:sz w:val="16"/>
                <w:szCs w:val="16"/>
                <w:color w:val="auto"/>
              </w:rPr>
              <w:t>Commercial lines</w:t>
            </w:r>
          </w:p>
        </w:tc>
        <w:tc>
          <w:tcPr>
            <w:tcW w:w="8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7,934</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6,592</w:t>
            </w:r>
          </w:p>
        </w:tc>
      </w:tr>
      <w:tr>
        <w:trPr>
          <w:trHeight w:val="183"/>
        </w:trPr>
        <w:tc>
          <w:tcPr>
            <w:tcW w:w="4780" w:type="dxa"/>
            <w:vAlign w:val="bottom"/>
          </w:tcPr>
          <w:p>
            <w:pPr>
              <w:ind w:left="380"/>
              <w:spacing w:after="0"/>
              <w:rPr>
                <w:sz w:val="20"/>
                <w:szCs w:val="20"/>
                <w:color w:val="auto"/>
              </w:rPr>
            </w:pPr>
            <w:r>
              <w:rPr>
                <w:rFonts w:ascii="Courier New" w:cs="Courier New" w:eastAsia="Courier New" w:hAnsi="Courier New"/>
                <w:sz w:val="16"/>
                <w:szCs w:val="16"/>
                <w:color w:val="auto"/>
              </w:rPr>
              <w:t>Personal lines</w:t>
            </w:r>
          </w:p>
        </w:tc>
        <w:tc>
          <w:tcPr>
            <w:tcW w:w="86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23,096</w:t>
            </w:r>
          </w:p>
        </w:tc>
        <w:tc>
          <w:tcPr>
            <w:tcW w:w="5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21,856</w:t>
            </w:r>
          </w:p>
        </w:tc>
      </w:tr>
      <w:tr>
        <w:trPr>
          <w:trHeight w:val="183"/>
        </w:trPr>
        <w:tc>
          <w:tcPr>
            <w:tcW w:w="4780" w:type="dxa"/>
            <w:vAlign w:val="bottom"/>
          </w:tcPr>
          <w:p>
            <w:pPr>
              <w:ind w:left="380"/>
              <w:spacing w:after="0"/>
              <w:rPr>
                <w:sz w:val="20"/>
                <w:szCs w:val="20"/>
                <w:color w:val="auto"/>
              </w:rPr>
            </w:pPr>
            <w:r>
              <w:rPr>
                <w:rFonts w:ascii="Courier New" w:cs="Courier New" w:eastAsia="Courier New" w:hAnsi="Courier New"/>
                <w:sz w:val="16"/>
                <w:szCs w:val="16"/>
                <w:color w:val="auto"/>
              </w:rPr>
              <w:t>Reinsurance</w:t>
            </w:r>
          </w:p>
        </w:tc>
        <w:tc>
          <w:tcPr>
            <w:tcW w:w="86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2,286</w:t>
            </w:r>
          </w:p>
        </w:tc>
        <w:tc>
          <w:tcPr>
            <w:tcW w:w="5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2,273</w:t>
            </w:r>
          </w:p>
        </w:tc>
      </w:tr>
      <w:tr>
        <w:trPr>
          <w:trHeight w:val="183"/>
        </w:trPr>
        <w:tc>
          <w:tcPr>
            <w:tcW w:w="4780" w:type="dxa"/>
            <w:vAlign w:val="bottom"/>
          </w:tcPr>
          <w:p>
            <w:pPr>
              <w:spacing w:after="0"/>
              <w:rPr>
                <w:sz w:val="15"/>
                <w:szCs w:val="15"/>
                <w:color w:val="auto"/>
              </w:rPr>
            </w:pP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80" w:type="dxa"/>
            <w:vAlign w:val="bottom"/>
          </w:tcPr>
          <w:p>
            <w:pPr>
              <w:ind w:left="580"/>
              <w:spacing w:after="0"/>
              <w:rPr>
                <w:sz w:val="20"/>
                <w:szCs w:val="20"/>
                <w:color w:val="auto"/>
              </w:rPr>
            </w:pPr>
            <w:r>
              <w:rPr>
                <w:rFonts w:ascii="Courier New" w:cs="Courier New" w:eastAsia="Courier New" w:hAnsi="Courier New"/>
                <w:sz w:val="16"/>
                <w:szCs w:val="16"/>
                <w:color w:val="auto"/>
              </w:rPr>
              <w:t>Total premiums earned (SAP)</w:t>
            </w:r>
          </w:p>
        </w:tc>
        <w:tc>
          <w:tcPr>
            <w:tcW w:w="86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33,316</w:t>
            </w:r>
          </w:p>
        </w:tc>
        <w:tc>
          <w:tcPr>
            <w:tcW w:w="5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30,721</w:t>
            </w:r>
          </w:p>
        </w:tc>
      </w:tr>
      <w:tr>
        <w:trPr>
          <w:trHeight w:val="183"/>
        </w:trPr>
        <w:tc>
          <w:tcPr>
            <w:tcW w:w="4780" w:type="dxa"/>
            <w:vAlign w:val="bottom"/>
          </w:tcPr>
          <w:p>
            <w:pPr>
              <w:ind w:left="380"/>
              <w:spacing w:after="0"/>
              <w:rPr>
                <w:sz w:val="20"/>
                <w:szCs w:val="20"/>
                <w:color w:val="auto"/>
              </w:rPr>
            </w:pPr>
            <w:r>
              <w:rPr>
                <w:rFonts w:ascii="Courier New" w:cs="Courier New" w:eastAsia="Courier New" w:hAnsi="Courier New"/>
                <w:sz w:val="16"/>
                <w:szCs w:val="16"/>
                <w:color w:val="auto"/>
              </w:rPr>
              <w:t>GAAP adjustments</w:t>
            </w:r>
          </w:p>
        </w:tc>
        <w:tc>
          <w:tcPr>
            <w:tcW w:w="860" w:type="dxa"/>
            <w:vAlign w:val="bottom"/>
          </w:tcPr>
          <w:p>
            <w:pPr>
              <w:ind w:left="5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1,142)</w:t>
            </w:r>
          </w:p>
        </w:tc>
        <w:tc>
          <w:tcPr>
            <w:tcW w:w="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830)</w:t>
            </w:r>
          </w:p>
        </w:tc>
      </w:tr>
      <w:tr>
        <w:trPr>
          <w:trHeight w:val="183"/>
        </w:trPr>
        <w:tc>
          <w:tcPr>
            <w:tcW w:w="4780" w:type="dxa"/>
            <w:vAlign w:val="bottom"/>
          </w:tcPr>
          <w:p>
            <w:pPr>
              <w:spacing w:after="0"/>
              <w:rPr>
                <w:sz w:val="15"/>
                <w:szCs w:val="15"/>
                <w:color w:val="auto"/>
              </w:rPr>
            </w:pP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80" w:type="dxa"/>
            <w:vAlign w:val="bottom"/>
          </w:tcPr>
          <w:p>
            <w:pPr>
              <w:ind w:left="580"/>
              <w:spacing w:after="0"/>
              <w:rPr>
                <w:sz w:val="20"/>
                <w:szCs w:val="20"/>
                <w:color w:val="auto"/>
              </w:rPr>
            </w:pPr>
            <w:r>
              <w:rPr>
                <w:rFonts w:ascii="Courier New" w:cs="Courier New" w:eastAsia="Courier New" w:hAnsi="Courier New"/>
                <w:sz w:val="16"/>
                <w:szCs w:val="16"/>
                <w:color w:val="auto"/>
              </w:rPr>
              <w:t>Total premiums earned (GAAP)</w:t>
            </w:r>
          </w:p>
        </w:tc>
        <w:tc>
          <w:tcPr>
            <w:tcW w:w="86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32,174</w:t>
            </w:r>
          </w:p>
        </w:tc>
        <w:tc>
          <w:tcPr>
            <w:tcW w:w="5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29,891</w:t>
            </w:r>
          </w:p>
        </w:tc>
      </w:tr>
      <w:tr>
        <w:trPr>
          <w:trHeight w:val="183"/>
        </w:trPr>
        <w:tc>
          <w:tcPr>
            <w:tcW w:w="4780" w:type="dxa"/>
            <w:vAlign w:val="bottom"/>
          </w:tcPr>
          <w:p>
            <w:pPr>
              <w:spacing w:after="0"/>
              <w:rPr>
                <w:sz w:val="20"/>
                <w:szCs w:val="20"/>
                <w:color w:val="auto"/>
              </w:rPr>
            </w:pPr>
            <w:r>
              <w:rPr>
                <w:rFonts w:ascii="Courier New" w:cs="Courier New" w:eastAsia="Courier New" w:hAnsi="Courier New"/>
                <w:sz w:val="16"/>
                <w:szCs w:val="16"/>
                <w:color w:val="auto"/>
              </w:rPr>
              <w:t>Net revenue from investment operations</w:t>
            </w:r>
          </w:p>
        </w:tc>
        <w:tc>
          <w:tcPr>
            <w:tcW w:w="86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4,493</w:t>
            </w:r>
          </w:p>
        </w:tc>
        <w:tc>
          <w:tcPr>
            <w:tcW w:w="5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4,298</w:t>
            </w:r>
          </w:p>
        </w:tc>
      </w:tr>
      <w:tr>
        <w:trPr>
          <w:trHeight w:val="183"/>
        </w:trPr>
        <w:tc>
          <w:tcPr>
            <w:tcW w:w="4780" w:type="dxa"/>
            <w:vAlign w:val="bottom"/>
          </w:tcPr>
          <w:p>
            <w:pPr>
              <w:spacing w:after="0"/>
              <w:rPr>
                <w:sz w:val="15"/>
                <w:szCs w:val="15"/>
                <w:color w:val="auto"/>
              </w:rPr>
            </w:pP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80" w:type="dxa"/>
            <w:vAlign w:val="bottom"/>
          </w:tcPr>
          <w:p>
            <w:pPr>
              <w:spacing w:after="0"/>
              <w:rPr>
                <w:sz w:val="20"/>
                <w:szCs w:val="20"/>
                <w:color w:val="auto"/>
              </w:rPr>
            </w:pPr>
            <w:r>
              <w:rPr>
                <w:rFonts w:ascii="Courier New" w:cs="Courier New" w:eastAsia="Courier New" w:hAnsi="Courier New"/>
                <w:sz w:val="16"/>
                <w:szCs w:val="16"/>
                <w:color w:val="auto"/>
              </w:rPr>
              <w:t>Total revenue</w:t>
            </w:r>
          </w:p>
        </w:tc>
        <w:tc>
          <w:tcPr>
            <w:tcW w:w="8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36,667</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34,189</w:t>
            </w:r>
          </w:p>
        </w:tc>
      </w:tr>
      <w:tr>
        <w:trPr>
          <w:trHeight w:val="183"/>
        </w:trPr>
        <w:tc>
          <w:tcPr>
            <w:tcW w:w="4780" w:type="dxa"/>
            <w:vAlign w:val="bottom"/>
          </w:tcPr>
          <w:p>
            <w:pPr>
              <w:spacing w:after="0"/>
              <w:rPr>
                <w:sz w:val="15"/>
                <w:szCs w:val="15"/>
                <w:color w:val="auto"/>
              </w:rPr>
            </w:pP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780" w:type="dxa"/>
            <w:vAlign w:val="bottom"/>
          </w:tcPr>
          <w:p>
            <w:pPr>
              <w:ind w:left="200"/>
              <w:spacing w:after="0"/>
              <w:rPr>
                <w:sz w:val="20"/>
                <w:szCs w:val="20"/>
                <w:color w:val="auto"/>
              </w:rPr>
            </w:pPr>
            <w:r>
              <w:rPr>
                <w:rFonts w:ascii="Courier New" w:cs="Courier New" w:eastAsia="Courier New" w:hAnsi="Courier New"/>
                <w:sz w:val="16"/>
                <w:szCs w:val="16"/>
                <w:color w:val="auto"/>
              </w:rPr>
              <w:t>Losses and expenses:</w:t>
            </w: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4780" w:type="dxa"/>
            <w:vAlign w:val="bottom"/>
          </w:tcPr>
          <w:p>
            <w:pPr>
              <w:ind w:left="380"/>
              <w:spacing w:after="0"/>
              <w:rPr>
                <w:sz w:val="20"/>
                <w:szCs w:val="20"/>
                <w:color w:val="auto"/>
              </w:rPr>
            </w:pPr>
            <w:r>
              <w:rPr>
                <w:rFonts w:ascii="Courier New" w:cs="Courier New" w:eastAsia="Courier New" w:hAnsi="Courier New"/>
                <w:sz w:val="16"/>
                <w:szCs w:val="16"/>
                <w:color w:val="auto"/>
              </w:rPr>
              <w:t>Commercial lines</w:t>
            </w:r>
          </w:p>
        </w:tc>
        <w:tc>
          <w:tcPr>
            <w:tcW w:w="8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9,266</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8,010</w:t>
            </w:r>
          </w:p>
        </w:tc>
      </w:tr>
      <w:tr>
        <w:trPr>
          <w:trHeight w:val="183"/>
        </w:trPr>
        <w:tc>
          <w:tcPr>
            <w:tcW w:w="4780" w:type="dxa"/>
            <w:vAlign w:val="bottom"/>
          </w:tcPr>
          <w:p>
            <w:pPr>
              <w:ind w:left="380"/>
              <w:spacing w:after="0"/>
              <w:rPr>
                <w:sz w:val="20"/>
                <w:szCs w:val="20"/>
                <w:color w:val="auto"/>
              </w:rPr>
            </w:pPr>
            <w:r>
              <w:rPr>
                <w:rFonts w:ascii="Courier New" w:cs="Courier New" w:eastAsia="Courier New" w:hAnsi="Courier New"/>
                <w:sz w:val="16"/>
                <w:szCs w:val="16"/>
                <w:color w:val="auto"/>
              </w:rPr>
              <w:t>Personal lines</w:t>
            </w:r>
          </w:p>
        </w:tc>
        <w:tc>
          <w:tcPr>
            <w:tcW w:w="86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25,362</w:t>
            </w:r>
          </w:p>
        </w:tc>
        <w:tc>
          <w:tcPr>
            <w:tcW w:w="5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21,395</w:t>
            </w:r>
          </w:p>
        </w:tc>
      </w:tr>
      <w:tr>
        <w:trPr>
          <w:trHeight w:val="183"/>
        </w:trPr>
        <w:tc>
          <w:tcPr>
            <w:tcW w:w="4780" w:type="dxa"/>
            <w:vAlign w:val="bottom"/>
          </w:tcPr>
          <w:p>
            <w:pPr>
              <w:ind w:left="380"/>
              <w:spacing w:after="0"/>
              <w:rPr>
                <w:sz w:val="20"/>
                <w:szCs w:val="20"/>
                <w:color w:val="auto"/>
              </w:rPr>
            </w:pPr>
            <w:r>
              <w:rPr>
                <w:rFonts w:ascii="Courier New" w:cs="Courier New" w:eastAsia="Courier New" w:hAnsi="Courier New"/>
                <w:sz w:val="16"/>
                <w:szCs w:val="16"/>
                <w:color w:val="auto"/>
              </w:rPr>
              <w:t>Reinsurance</w:t>
            </w:r>
          </w:p>
        </w:tc>
        <w:tc>
          <w:tcPr>
            <w:tcW w:w="86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1,766</w:t>
            </w:r>
          </w:p>
        </w:tc>
        <w:tc>
          <w:tcPr>
            <w:tcW w:w="5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3,770</w:t>
            </w:r>
          </w:p>
        </w:tc>
      </w:tr>
      <w:tr>
        <w:trPr>
          <w:trHeight w:val="183"/>
        </w:trPr>
        <w:tc>
          <w:tcPr>
            <w:tcW w:w="4780" w:type="dxa"/>
            <w:vAlign w:val="bottom"/>
          </w:tcPr>
          <w:p>
            <w:pPr>
              <w:spacing w:after="0"/>
              <w:rPr>
                <w:sz w:val="15"/>
                <w:szCs w:val="15"/>
                <w:color w:val="auto"/>
              </w:rPr>
            </w:pP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80" w:type="dxa"/>
            <w:vAlign w:val="bottom"/>
          </w:tcPr>
          <w:p>
            <w:pPr>
              <w:ind w:left="580"/>
              <w:spacing w:after="0"/>
              <w:rPr>
                <w:sz w:val="20"/>
                <w:szCs w:val="20"/>
                <w:color w:val="auto"/>
              </w:rPr>
            </w:pPr>
            <w:r>
              <w:rPr>
                <w:rFonts w:ascii="Courier New" w:cs="Courier New" w:eastAsia="Courier New" w:hAnsi="Courier New"/>
                <w:sz w:val="16"/>
                <w:szCs w:val="16"/>
                <w:color w:val="auto"/>
              </w:rPr>
              <w:t>Total losses and loss expenses (SAP)</w:t>
            </w:r>
          </w:p>
        </w:tc>
        <w:tc>
          <w:tcPr>
            <w:tcW w:w="86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36,394</w:t>
            </w:r>
          </w:p>
        </w:tc>
        <w:tc>
          <w:tcPr>
            <w:tcW w:w="5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33,175</w:t>
            </w:r>
          </w:p>
        </w:tc>
      </w:tr>
      <w:tr>
        <w:trPr>
          <w:trHeight w:val="183"/>
        </w:trPr>
        <w:tc>
          <w:tcPr>
            <w:tcW w:w="4780" w:type="dxa"/>
            <w:vAlign w:val="bottom"/>
          </w:tcPr>
          <w:p>
            <w:pPr>
              <w:ind w:left="380"/>
              <w:spacing w:after="0"/>
              <w:rPr>
                <w:sz w:val="20"/>
                <w:szCs w:val="20"/>
                <w:color w:val="auto"/>
              </w:rPr>
            </w:pPr>
            <w:r>
              <w:rPr>
                <w:rFonts w:ascii="Courier New" w:cs="Courier New" w:eastAsia="Courier New" w:hAnsi="Courier New"/>
                <w:sz w:val="16"/>
                <w:szCs w:val="16"/>
                <w:color w:val="auto"/>
              </w:rPr>
              <w:t>GAAP adjustments</w:t>
            </w:r>
          </w:p>
        </w:tc>
        <w:tc>
          <w:tcPr>
            <w:tcW w:w="860" w:type="dxa"/>
            <w:vAlign w:val="bottom"/>
          </w:tcPr>
          <w:p>
            <w:pPr>
              <w:ind w:left="5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682)</w:t>
            </w:r>
          </w:p>
        </w:tc>
        <w:tc>
          <w:tcPr>
            <w:tcW w:w="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r>
      <w:tr>
        <w:trPr>
          <w:trHeight w:val="183"/>
        </w:trPr>
        <w:tc>
          <w:tcPr>
            <w:tcW w:w="4780" w:type="dxa"/>
            <w:vAlign w:val="bottom"/>
          </w:tcPr>
          <w:p>
            <w:pPr>
              <w:spacing w:after="0"/>
              <w:rPr>
                <w:sz w:val="15"/>
                <w:szCs w:val="15"/>
                <w:color w:val="auto"/>
              </w:rPr>
            </w:pP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80" w:type="dxa"/>
            <w:vAlign w:val="bottom"/>
          </w:tcPr>
          <w:p>
            <w:pPr>
              <w:ind w:left="580"/>
              <w:spacing w:after="0"/>
              <w:rPr>
                <w:sz w:val="20"/>
                <w:szCs w:val="20"/>
                <w:color w:val="auto"/>
              </w:rPr>
            </w:pPr>
            <w:r>
              <w:rPr>
                <w:rFonts w:ascii="Courier New" w:cs="Courier New" w:eastAsia="Courier New" w:hAnsi="Courier New"/>
                <w:sz w:val="16"/>
                <w:szCs w:val="16"/>
                <w:color w:val="auto"/>
              </w:rPr>
              <w:t>Total losses and loss expenses (GAAP)</w:t>
            </w:r>
          </w:p>
        </w:tc>
        <w:tc>
          <w:tcPr>
            <w:tcW w:w="8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35,712</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33,094</w:t>
            </w:r>
          </w:p>
        </w:tc>
      </w:tr>
      <w:tr>
        <w:trPr>
          <w:trHeight w:val="183"/>
        </w:trPr>
        <w:tc>
          <w:tcPr>
            <w:tcW w:w="4780" w:type="dxa"/>
            <w:vAlign w:val="bottom"/>
          </w:tcPr>
          <w:p>
            <w:pPr>
              <w:spacing w:after="0"/>
              <w:rPr>
                <w:sz w:val="15"/>
                <w:szCs w:val="15"/>
                <w:color w:val="auto"/>
              </w:rPr>
            </w:pP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80" w:type="dxa"/>
            <w:vAlign w:val="bottom"/>
          </w:tcPr>
          <w:p>
            <w:pPr>
              <w:spacing w:after="0"/>
              <w:rPr>
                <w:sz w:val="20"/>
                <w:szCs w:val="20"/>
                <w:color w:val="auto"/>
              </w:rPr>
            </w:pPr>
            <w:r>
              <w:rPr>
                <w:rFonts w:ascii="Courier New" w:cs="Courier New" w:eastAsia="Courier New" w:hAnsi="Courier New"/>
                <w:sz w:val="16"/>
                <w:szCs w:val="16"/>
                <w:color w:val="auto"/>
              </w:rPr>
              <w:t>Income before taxes</w:t>
            </w:r>
          </w:p>
        </w:tc>
        <w:tc>
          <w:tcPr>
            <w:tcW w:w="8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955</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1,095</w:t>
            </w:r>
          </w:p>
        </w:tc>
      </w:tr>
      <w:tr>
        <w:trPr>
          <w:trHeight w:val="183"/>
        </w:trPr>
        <w:tc>
          <w:tcPr>
            <w:tcW w:w="4780" w:type="dxa"/>
            <w:vAlign w:val="bottom"/>
          </w:tcPr>
          <w:p>
            <w:pPr>
              <w:spacing w:after="0"/>
              <w:rPr>
                <w:sz w:val="15"/>
                <w:szCs w:val="15"/>
                <w:color w:val="auto"/>
              </w:rPr>
            </w:pP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8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721</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1,157</w:t>
            </w:r>
          </w:p>
        </w:tc>
      </w:tr>
      <w:tr>
        <w:trPr>
          <w:trHeight w:val="183"/>
        </w:trPr>
        <w:tc>
          <w:tcPr>
            <w:tcW w:w="4780" w:type="dxa"/>
            <w:vAlign w:val="bottom"/>
          </w:tcPr>
          <w:p>
            <w:pPr>
              <w:spacing w:after="0"/>
              <w:rPr>
                <w:sz w:val="15"/>
                <w:szCs w:val="15"/>
                <w:color w:val="auto"/>
              </w:rPr>
            </w:pP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917"/>
        </w:trPr>
        <w:tc>
          <w:tcPr>
            <w:tcW w:w="4780" w:type="dxa"/>
            <w:vAlign w:val="bottom"/>
          </w:tcPr>
          <w:p>
            <w:pPr>
              <w:ind w:left="2200"/>
              <w:spacing w:after="0"/>
              <w:rPr>
                <w:sz w:val="20"/>
                <w:szCs w:val="20"/>
                <w:color w:val="auto"/>
              </w:rPr>
            </w:pPr>
            <w:r>
              <w:rPr>
                <w:rFonts w:ascii="Courier New" w:cs="Courier New" w:eastAsia="Courier New" w:hAnsi="Courier New"/>
                <w:sz w:val="16"/>
                <w:szCs w:val="16"/>
                <w:color w:val="auto"/>
              </w:rPr>
              <w:t>13</w:t>
            </w: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848" w:right="144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40" w:type="dxa"/>
            <w:vAlign w:val="bottom"/>
            <w:gridSpan w:val="2"/>
          </w:tcPr>
          <w:p>
            <w:pPr>
              <w:spacing w:after="0"/>
              <w:rPr>
                <w:sz w:val="20"/>
                <w:szCs w:val="20"/>
                <w:color w:val="auto"/>
              </w:rPr>
            </w:pPr>
            <w:r>
              <w:rPr>
                <w:rFonts w:ascii="Courier New" w:cs="Courier New" w:eastAsia="Courier New" w:hAnsi="Courier New"/>
                <w:sz w:val="16"/>
                <w:szCs w:val="16"/>
                <w:color w:val="auto"/>
              </w:rPr>
              <w:t>NOTES TO CONSOLIDATED FINANCIAL STATEMENTS (UNAUDITED)</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67"/>
        </w:trPr>
        <w:tc>
          <w:tcPr>
            <w:tcW w:w="4580" w:type="dxa"/>
            <w:vAlign w:val="bottom"/>
          </w:tcPr>
          <w:p>
            <w:pPr>
              <w:spacing w:after="0"/>
              <w:rPr>
                <w:sz w:val="20"/>
                <w:szCs w:val="20"/>
                <w:color w:val="auto"/>
              </w:rPr>
            </w:pPr>
            <w:r>
              <w:rPr>
                <w:rFonts w:ascii="Courier New" w:cs="Courier New" w:eastAsia="Courier New" w:hAnsi="Courier New"/>
                <w:sz w:val="16"/>
                <w:szCs w:val="16"/>
                <w:color w:val="auto"/>
              </w:rPr>
              <w:t>NOTE G - SEGMENT INFORMATION (CONTINUED)</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7"/>
        </w:trPr>
        <w:tc>
          <w:tcPr>
            <w:tcW w:w="6240" w:type="dxa"/>
            <w:vAlign w:val="bottom"/>
            <w:gridSpan w:val="2"/>
          </w:tcPr>
          <w:p>
            <w:pPr>
              <w:spacing w:after="0"/>
              <w:rPr>
                <w:sz w:val="20"/>
                <w:szCs w:val="20"/>
                <w:color w:val="auto"/>
              </w:rPr>
            </w:pPr>
            <w:r>
              <w:rPr>
                <w:rFonts w:ascii="Courier New" w:cs="Courier New" w:eastAsia="Courier New" w:hAnsi="Courier New"/>
                <w:sz w:val="16"/>
                <w:szCs w:val="16"/>
                <w:color w:val="auto"/>
                <w:w w:val="99"/>
              </w:rPr>
              <w:t>The following information further describes the financial results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w w:val="96"/>
              </w:rPr>
              <w:t>the Company</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by segment, as presented on the previous page.</w:t>
            </w:r>
          </w:p>
        </w:tc>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67"/>
        </w:trPr>
        <w:tc>
          <w:tcPr>
            <w:tcW w:w="4580" w:type="dxa"/>
            <w:vAlign w:val="bottom"/>
          </w:tcPr>
          <w:p>
            <w:pPr>
              <w:spacing w:after="0"/>
              <w:rPr>
                <w:sz w:val="20"/>
                <w:szCs w:val="20"/>
                <w:color w:val="auto"/>
              </w:rPr>
            </w:pPr>
            <w:r>
              <w:rPr>
                <w:rFonts w:ascii="Courier New" w:cs="Courier New" w:eastAsia="Courier New" w:hAnsi="Courier New"/>
                <w:sz w:val="16"/>
                <w:szCs w:val="16"/>
                <w:color w:val="auto"/>
              </w:rPr>
              <w:t>Management fee revenue by line of business:</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3"/>
        </w:trPr>
        <w:tc>
          <w:tcPr>
            <w:tcW w:w="458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 Ended</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March  31,</w:t>
            </w:r>
          </w:p>
        </w:tc>
      </w:tr>
      <w:tr>
        <w:trPr>
          <w:trHeight w:val="183"/>
        </w:trPr>
        <w:tc>
          <w:tcPr>
            <w:tcW w:w="4580" w:type="dxa"/>
            <w:vAlign w:val="bottom"/>
          </w:tcPr>
          <w:p>
            <w:pPr>
              <w:spacing w:after="0"/>
              <w:rPr>
                <w:sz w:val="15"/>
                <w:szCs w:val="15"/>
                <w:color w:val="auto"/>
              </w:rPr>
            </w:pP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2001</w:t>
            </w:r>
          </w:p>
        </w:tc>
        <w:tc>
          <w:tcPr>
            <w:tcW w:w="300" w:type="dxa"/>
            <w:vAlign w:val="bottom"/>
          </w:tcPr>
          <w:p>
            <w:pPr>
              <w:spacing w:after="0"/>
              <w:rPr>
                <w:sz w:val="15"/>
                <w:szCs w:val="15"/>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4580" w:type="dxa"/>
            <w:vAlign w:val="bottom"/>
          </w:tcPr>
          <w:p>
            <w:pPr>
              <w:spacing w:after="0"/>
              <w:rPr>
                <w:sz w:val="15"/>
                <w:szCs w:val="15"/>
                <w:color w:val="auto"/>
              </w:rPr>
            </w:pP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ind w:left="1520"/>
              <w:spacing w:after="0"/>
              <w:rPr>
                <w:sz w:val="20"/>
                <w:szCs w:val="20"/>
                <w:color w:val="auto"/>
              </w:rPr>
            </w:pPr>
            <w:r>
              <w:rPr>
                <w:rFonts w:ascii="Courier New" w:cs="Courier New" w:eastAsia="Courier New" w:hAnsi="Courier New"/>
                <w:sz w:val="16"/>
                <w:szCs w:val="16"/>
                <w:color w:val="auto"/>
              </w:rPr>
              <w:t>Private Passenger Auto</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79,969</w:t>
            </w:r>
          </w:p>
        </w:tc>
        <w:tc>
          <w:tcPr>
            <w:tcW w:w="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74,528</w:t>
            </w:r>
          </w:p>
        </w:tc>
      </w:tr>
      <w:tr>
        <w:trPr>
          <w:trHeight w:val="183"/>
        </w:trPr>
        <w:tc>
          <w:tcPr>
            <w:tcW w:w="4580" w:type="dxa"/>
            <w:vAlign w:val="bottom"/>
          </w:tcPr>
          <w:p>
            <w:pPr>
              <w:ind w:left="1520"/>
              <w:spacing w:after="0"/>
              <w:rPr>
                <w:sz w:val="20"/>
                <w:szCs w:val="20"/>
                <w:color w:val="auto"/>
              </w:rPr>
            </w:pPr>
            <w:r>
              <w:rPr>
                <w:rFonts w:ascii="Courier New" w:cs="Courier New" w:eastAsia="Courier New" w:hAnsi="Courier New"/>
                <w:sz w:val="16"/>
                <w:szCs w:val="16"/>
                <w:color w:val="auto"/>
              </w:rPr>
              <w:t>Commercial Auto</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13,108</w:t>
            </w:r>
          </w:p>
        </w:tc>
        <w:tc>
          <w:tcPr>
            <w:tcW w:w="300" w:type="dxa"/>
            <w:vAlign w:val="bottom"/>
          </w:tcPr>
          <w:p>
            <w:pPr>
              <w:spacing w:after="0"/>
              <w:rPr>
                <w:sz w:val="15"/>
                <w:szCs w:val="15"/>
                <w:color w:val="auto"/>
              </w:rPr>
            </w:pPr>
          </w:p>
        </w:tc>
        <w:tc>
          <w:tcPr>
            <w:tcW w:w="10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11,041</w:t>
            </w:r>
          </w:p>
        </w:tc>
      </w:tr>
      <w:tr>
        <w:trPr>
          <w:trHeight w:val="183"/>
        </w:trPr>
        <w:tc>
          <w:tcPr>
            <w:tcW w:w="4580" w:type="dxa"/>
            <w:vAlign w:val="bottom"/>
          </w:tcPr>
          <w:p>
            <w:pPr>
              <w:ind w:left="1520"/>
              <w:spacing w:after="0"/>
              <w:rPr>
                <w:sz w:val="20"/>
                <w:szCs w:val="20"/>
                <w:color w:val="auto"/>
              </w:rPr>
            </w:pPr>
            <w:r>
              <w:rPr>
                <w:rFonts w:ascii="Courier New" w:cs="Courier New" w:eastAsia="Courier New" w:hAnsi="Courier New"/>
                <w:sz w:val="16"/>
                <w:szCs w:val="16"/>
                <w:color w:val="auto"/>
              </w:rPr>
              <w:t>Homeowner</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19,181</w:t>
            </w:r>
          </w:p>
        </w:tc>
        <w:tc>
          <w:tcPr>
            <w:tcW w:w="300" w:type="dxa"/>
            <w:vAlign w:val="bottom"/>
          </w:tcPr>
          <w:p>
            <w:pPr>
              <w:spacing w:after="0"/>
              <w:rPr>
                <w:sz w:val="15"/>
                <w:szCs w:val="15"/>
                <w:color w:val="auto"/>
              </w:rPr>
            </w:pPr>
          </w:p>
        </w:tc>
        <w:tc>
          <w:tcPr>
            <w:tcW w:w="10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16,987</w:t>
            </w:r>
          </w:p>
        </w:tc>
      </w:tr>
      <w:tr>
        <w:trPr>
          <w:trHeight w:val="183"/>
        </w:trPr>
        <w:tc>
          <w:tcPr>
            <w:tcW w:w="4580" w:type="dxa"/>
            <w:vAlign w:val="bottom"/>
          </w:tcPr>
          <w:p>
            <w:pPr>
              <w:ind w:left="1520"/>
              <w:spacing w:after="0"/>
              <w:rPr>
                <w:sz w:val="20"/>
                <w:szCs w:val="20"/>
                <w:color w:val="auto"/>
              </w:rPr>
            </w:pPr>
            <w:r>
              <w:rPr>
                <w:rFonts w:ascii="Courier New" w:cs="Courier New" w:eastAsia="Courier New" w:hAnsi="Courier New"/>
                <w:sz w:val="16"/>
                <w:szCs w:val="16"/>
                <w:color w:val="auto"/>
              </w:rPr>
              <w:t>Commercial Multi-Peril</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15,555</w:t>
            </w:r>
          </w:p>
        </w:tc>
        <w:tc>
          <w:tcPr>
            <w:tcW w:w="300" w:type="dxa"/>
            <w:vAlign w:val="bottom"/>
          </w:tcPr>
          <w:p>
            <w:pPr>
              <w:spacing w:after="0"/>
              <w:rPr>
                <w:sz w:val="15"/>
                <w:szCs w:val="15"/>
                <w:color w:val="auto"/>
              </w:rPr>
            </w:pPr>
          </w:p>
        </w:tc>
        <w:tc>
          <w:tcPr>
            <w:tcW w:w="10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12,353</w:t>
            </w:r>
          </w:p>
        </w:tc>
      </w:tr>
      <w:tr>
        <w:trPr>
          <w:trHeight w:val="183"/>
        </w:trPr>
        <w:tc>
          <w:tcPr>
            <w:tcW w:w="4580" w:type="dxa"/>
            <w:vAlign w:val="bottom"/>
          </w:tcPr>
          <w:p>
            <w:pPr>
              <w:ind w:left="1520"/>
              <w:spacing w:after="0"/>
              <w:rPr>
                <w:sz w:val="20"/>
                <w:szCs w:val="20"/>
                <w:color w:val="auto"/>
              </w:rPr>
            </w:pPr>
            <w:r>
              <w:rPr>
                <w:rFonts w:ascii="Courier New" w:cs="Courier New" w:eastAsia="Courier New" w:hAnsi="Courier New"/>
                <w:sz w:val="16"/>
                <w:szCs w:val="16"/>
                <w:color w:val="auto"/>
              </w:rPr>
              <w:t>Worker's Compensation</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13,703</w:t>
            </w:r>
          </w:p>
        </w:tc>
        <w:tc>
          <w:tcPr>
            <w:tcW w:w="300" w:type="dxa"/>
            <w:vAlign w:val="bottom"/>
          </w:tcPr>
          <w:p>
            <w:pPr>
              <w:spacing w:after="0"/>
              <w:rPr>
                <w:sz w:val="15"/>
                <w:szCs w:val="15"/>
                <w:color w:val="auto"/>
              </w:rPr>
            </w:pPr>
          </w:p>
        </w:tc>
        <w:tc>
          <w:tcPr>
            <w:tcW w:w="10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10,649</w:t>
            </w:r>
          </w:p>
        </w:tc>
      </w:tr>
      <w:tr>
        <w:trPr>
          <w:trHeight w:val="183"/>
        </w:trPr>
        <w:tc>
          <w:tcPr>
            <w:tcW w:w="4580" w:type="dxa"/>
            <w:vAlign w:val="bottom"/>
          </w:tcPr>
          <w:p>
            <w:pPr>
              <w:ind w:left="1520"/>
              <w:spacing w:after="0"/>
              <w:rPr>
                <w:sz w:val="20"/>
                <w:szCs w:val="20"/>
                <w:color w:val="auto"/>
              </w:rPr>
            </w:pPr>
            <w:r>
              <w:rPr>
                <w:rFonts w:ascii="Courier New" w:cs="Courier New" w:eastAsia="Courier New" w:hAnsi="Courier New"/>
                <w:sz w:val="16"/>
                <w:szCs w:val="16"/>
                <w:color w:val="auto"/>
              </w:rPr>
              <w:t>All Other Lines of Business</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4,153</w:t>
            </w:r>
          </w:p>
        </w:tc>
        <w:tc>
          <w:tcPr>
            <w:tcW w:w="300" w:type="dxa"/>
            <w:vAlign w:val="bottom"/>
          </w:tcPr>
          <w:p>
            <w:pPr>
              <w:spacing w:after="0"/>
              <w:rPr>
                <w:sz w:val="15"/>
                <w:szCs w:val="15"/>
                <w:color w:val="auto"/>
              </w:rPr>
            </w:pPr>
          </w:p>
        </w:tc>
        <w:tc>
          <w:tcPr>
            <w:tcW w:w="10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3,541</w:t>
            </w:r>
          </w:p>
        </w:tc>
      </w:tr>
      <w:tr>
        <w:trPr>
          <w:trHeight w:val="183"/>
        </w:trPr>
        <w:tc>
          <w:tcPr>
            <w:tcW w:w="4580" w:type="dxa"/>
            <w:vAlign w:val="bottom"/>
          </w:tcPr>
          <w:p>
            <w:pPr>
              <w:spacing w:after="0"/>
              <w:rPr>
                <w:sz w:val="15"/>
                <w:szCs w:val="15"/>
                <w:color w:val="auto"/>
              </w:rPr>
            </w:pP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ind w:left="1520"/>
              <w:spacing w:after="0"/>
              <w:rPr>
                <w:sz w:val="20"/>
                <w:szCs w:val="20"/>
                <w:color w:val="auto"/>
              </w:rPr>
            </w:pPr>
            <w:r>
              <w:rPr>
                <w:rFonts w:ascii="Courier New" w:cs="Courier New" w:eastAsia="Courier New" w:hAnsi="Courier New"/>
                <w:sz w:val="16"/>
                <w:szCs w:val="16"/>
                <w:color w:val="auto"/>
              </w:rPr>
              <w:t>Total</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$ 145,669</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$ 129,099</w:t>
            </w:r>
          </w:p>
        </w:tc>
      </w:tr>
      <w:tr>
        <w:trPr>
          <w:trHeight w:val="183"/>
        </w:trPr>
        <w:tc>
          <w:tcPr>
            <w:tcW w:w="4580" w:type="dxa"/>
            <w:vAlign w:val="bottom"/>
          </w:tcPr>
          <w:p>
            <w:pPr>
              <w:spacing w:after="0"/>
              <w:rPr>
                <w:sz w:val="15"/>
                <w:szCs w:val="15"/>
                <w:color w:val="auto"/>
              </w:rPr>
            </w:pP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Policy counts for Erie Insurance Group property/casualty operations: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12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w w:val="98"/>
              </w:rPr>
              <w:t>Private</w:t>
            </w:r>
          </w:p>
        </w:tc>
        <w:tc>
          <w:tcPr>
            <w:tcW w:w="1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ind w:left="180"/>
              <w:spacing w:after="0"/>
              <w:rPr>
                <w:sz w:val="20"/>
                <w:szCs w:val="20"/>
                <w:color w:val="auto"/>
              </w:rPr>
            </w:pPr>
            <w:r>
              <w:rPr>
                <w:rFonts w:ascii="Courier New" w:cs="Courier New" w:eastAsia="Courier New" w:hAnsi="Courier New"/>
                <w:sz w:val="16"/>
                <w:szCs w:val="16"/>
                <w:color w:val="auto"/>
              </w:rPr>
              <w:t>All other</w:t>
            </w:r>
          </w:p>
        </w:tc>
        <w:tc>
          <w:tcPr>
            <w:tcW w:w="1280" w:type="dxa"/>
            <w:vAlign w:val="bottom"/>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w w:val="99"/>
              </w:rPr>
              <w:t>Passenger</w:t>
            </w:r>
          </w:p>
        </w:tc>
        <w:tc>
          <w:tcPr>
            <w:tcW w:w="1400" w:type="dxa"/>
            <w:vAlign w:val="bottom"/>
          </w:tcPr>
          <w:p>
            <w:pPr>
              <w:ind w:left="480"/>
              <w:spacing w:after="0"/>
              <w:rPr>
                <w:sz w:val="20"/>
                <w:szCs w:val="20"/>
                <w:color w:val="auto"/>
              </w:rPr>
            </w:pPr>
            <w:r>
              <w:rPr>
                <w:rFonts w:ascii="Courier New" w:cs="Courier New" w:eastAsia="Courier New" w:hAnsi="Courier New"/>
                <w:sz w:val="16"/>
                <w:szCs w:val="16"/>
                <w:color w:val="auto"/>
              </w:rPr>
              <w:t>CML*</w:t>
            </w:r>
          </w:p>
        </w:tc>
        <w:tc>
          <w:tcPr>
            <w:tcW w:w="1520" w:type="dxa"/>
            <w:vAlign w:val="bottom"/>
          </w:tcPr>
          <w:p>
            <w:pPr>
              <w:spacing w:after="0"/>
              <w:rPr>
                <w:sz w:val="15"/>
                <w:szCs w:val="15"/>
                <w:color w:val="auto"/>
              </w:rPr>
            </w:pPr>
          </w:p>
        </w:tc>
        <w:tc>
          <w:tcPr>
            <w:tcW w:w="1520" w:type="dxa"/>
            <w:vAlign w:val="bottom"/>
          </w:tcPr>
          <w:p>
            <w:pPr>
              <w:ind w:left="620"/>
              <w:spacing w:after="0"/>
              <w:rPr>
                <w:sz w:val="20"/>
                <w:szCs w:val="20"/>
                <w:color w:val="auto"/>
              </w:rPr>
            </w:pPr>
            <w:r>
              <w:rPr>
                <w:rFonts w:ascii="Courier New" w:cs="Courier New" w:eastAsia="Courier New" w:hAnsi="Courier New"/>
                <w:sz w:val="16"/>
                <w:szCs w:val="16"/>
                <w:color w:val="auto"/>
              </w:rPr>
              <w:t>CML*</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Worker's</w:t>
            </w: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Lines of</w:t>
            </w:r>
          </w:p>
        </w:tc>
        <w:tc>
          <w:tcPr>
            <w:tcW w:w="1280" w:type="dxa"/>
            <w:vAlign w:val="bottom"/>
          </w:tcPr>
          <w:p>
            <w:pPr>
              <w:spacing w:after="0"/>
              <w:rPr>
                <w:sz w:val="15"/>
                <w:szCs w:val="15"/>
                <w:color w:val="auto"/>
              </w:rPr>
            </w:pPr>
          </w:p>
        </w:tc>
      </w:tr>
      <w:tr>
        <w:trPr>
          <w:trHeight w:val="183"/>
        </w:trPr>
        <w:tc>
          <w:tcPr>
            <w:tcW w:w="1200" w:type="dxa"/>
            <w:vAlign w:val="bottom"/>
          </w:tcPr>
          <w:p>
            <w:pPr>
              <w:ind w:left="300"/>
              <w:spacing w:after="0"/>
              <w:rPr>
                <w:sz w:val="20"/>
                <w:szCs w:val="20"/>
                <w:color w:val="auto"/>
              </w:rPr>
            </w:pPr>
            <w:r>
              <w:rPr>
                <w:rFonts w:ascii="Courier New" w:cs="Courier New" w:eastAsia="Courier New" w:hAnsi="Courier New"/>
                <w:sz w:val="16"/>
                <w:szCs w:val="16"/>
                <w:color w:val="auto"/>
              </w:rPr>
              <w:t>Date</w:t>
            </w:r>
          </w:p>
        </w:tc>
        <w:tc>
          <w:tcPr>
            <w:tcW w:w="1180" w:type="dxa"/>
            <w:vAlign w:val="bottom"/>
          </w:tcPr>
          <w:p>
            <w:pPr>
              <w:ind w:left="320"/>
              <w:spacing w:after="0"/>
              <w:rPr>
                <w:sz w:val="20"/>
                <w:szCs w:val="20"/>
                <w:color w:val="auto"/>
              </w:rPr>
            </w:pPr>
            <w:r>
              <w:rPr>
                <w:rFonts w:ascii="Courier New" w:cs="Courier New" w:eastAsia="Courier New" w:hAnsi="Courier New"/>
                <w:sz w:val="16"/>
                <w:szCs w:val="16"/>
                <w:color w:val="auto"/>
              </w:rPr>
              <w:t>Auto</w:t>
            </w:r>
          </w:p>
        </w:tc>
        <w:tc>
          <w:tcPr>
            <w:tcW w:w="1400" w:type="dxa"/>
            <w:vAlign w:val="bottom"/>
          </w:tcPr>
          <w:p>
            <w:pPr>
              <w:ind w:left="480"/>
              <w:spacing w:after="0"/>
              <w:rPr>
                <w:sz w:val="20"/>
                <w:szCs w:val="20"/>
                <w:color w:val="auto"/>
              </w:rPr>
            </w:pPr>
            <w:r>
              <w:rPr>
                <w:rFonts w:ascii="Courier New" w:cs="Courier New" w:eastAsia="Courier New" w:hAnsi="Courier New"/>
                <w:sz w:val="16"/>
                <w:szCs w:val="16"/>
                <w:color w:val="auto"/>
              </w:rPr>
              <w:t>Auto</w:t>
            </w: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Homeowner</w:t>
            </w:r>
          </w:p>
        </w:tc>
        <w:tc>
          <w:tcPr>
            <w:tcW w:w="1520" w:type="dxa"/>
            <w:vAlign w:val="bottom"/>
          </w:tcPr>
          <w:p>
            <w:pPr>
              <w:ind w:left="340"/>
              <w:spacing w:after="0"/>
              <w:rPr>
                <w:sz w:val="20"/>
                <w:szCs w:val="20"/>
                <w:color w:val="auto"/>
              </w:rPr>
            </w:pPr>
            <w:r>
              <w:rPr>
                <w:rFonts w:ascii="Courier New" w:cs="Courier New" w:eastAsia="Courier New" w:hAnsi="Courier New"/>
                <w:sz w:val="16"/>
                <w:szCs w:val="16"/>
                <w:color w:val="auto"/>
              </w:rPr>
              <w:t>Multi-Peril</w:t>
            </w:r>
          </w:p>
        </w:tc>
        <w:tc>
          <w:tcPr>
            <w:tcW w:w="15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Comp.</w:t>
            </w: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Business</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Total</w:t>
            </w:r>
          </w:p>
        </w:tc>
      </w:tr>
      <w:tr>
        <w:trPr>
          <w:trHeight w:val="183"/>
        </w:trPr>
        <w:tc>
          <w:tcPr>
            <w:tcW w:w="1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w:t>
            </w:r>
          </w:p>
        </w:tc>
        <w:tc>
          <w:tcPr>
            <w:tcW w:w="1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1200" w:type="dxa"/>
            <w:vAlign w:val="bottom"/>
          </w:tcPr>
          <w:p>
            <w:pPr>
              <w:spacing w:after="0"/>
              <w:rPr>
                <w:sz w:val="20"/>
                <w:szCs w:val="20"/>
                <w:color w:val="auto"/>
              </w:rPr>
            </w:pPr>
            <w:r>
              <w:rPr>
                <w:rFonts w:ascii="Courier New" w:cs="Courier New" w:eastAsia="Courier New" w:hAnsi="Courier New"/>
                <w:sz w:val="16"/>
                <w:szCs w:val="16"/>
                <w:color w:val="auto"/>
              </w:rPr>
              <w:t>12/31/99</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w w:val="99"/>
              </w:rPr>
              <w:t>1,274,869</w:t>
            </w:r>
          </w:p>
        </w:tc>
        <w:tc>
          <w:tcPr>
            <w:tcW w:w="1400" w:type="dxa"/>
            <w:vAlign w:val="bottom"/>
          </w:tcPr>
          <w:p>
            <w:pPr>
              <w:ind w:left="480"/>
              <w:spacing w:after="0"/>
              <w:rPr>
                <w:sz w:val="20"/>
                <w:szCs w:val="20"/>
                <w:color w:val="auto"/>
              </w:rPr>
            </w:pPr>
            <w:r>
              <w:rPr>
                <w:rFonts w:ascii="Courier New" w:cs="Courier New" w:eastAsia="Courier New" w:hAnsi="Courier New"/>
                <w:sz w:val="16"/>
                <w:szCs w:val="16"/>
                <w:color w:val="auto"/>
              </w:rPr>
              <w:t>82,760</w:t>
            </w: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917,902</w:t>
            </w:r>
          </w:p>
        </w:tc>
        <w:tc>
          <w:tcPr>
            <w:tcW w:w="15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174,085</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43,508</w:t>
            </w: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196,725</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2,689,849</w:t>
            </w:r>
          </w:p>
        </w:tc>
      </w:tr>
      <w:tr>
        <w:trPr>
          <w:trHeight w:val="183"/>
        </w:trPr>
        <w:tc>
          <w:tcPr>
            <w:tcW w:w="1200" w:type="dxa"/>
            <w:vAlign w:val="bottom"/>
          </w:tcPr>
          <w:p>
            <w:pPr>
              <w:spacing w:after="0"/>
              <w:rPr>
                <w:sz w:val="20"/>
                <w:szCs w:val="20"/>
                <w:color w:val="auto"/>
              </w:rPr>
            </w:pPr>
            <w:r>
              <w:rPr>
                <w:rFonts w:ascii="Courier New" w:cs="Courier New" w:eastAsia="Courier New" w:hAnsi="Courier New"/>
                <w:sz w:val="16"/>
                <w:szCs w:val="16"/>
                <w:color w:val="auto"/>
              </w:rPr>
              <w:t>03/31/00</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w w:val="99"/>
              </w:rPr>
              <w:t>1,287,868</w:t>
            </w:r>
          </w:p>
        </w:tc>
        <w:tc>
          <w:tcPr>
            <w:tcW w:w="1400" w:type="dxa"/>
            <w:vAlign w:val="bottom"/>
          </w:tcPr>
          <w:p>
            <w:pPr>
              <w:ind w:left="480"/>
              <w:spacing w:after="0"/>
              <w:rPr>
                <w:sz w:val="20"/>
                <w:szCs w:val="20"/>
                <w:color w:val="auto"/>
              </w:rPr>
            </w:pPr>
            <w:r>
              <w:rPr>
                <w:rFonts w:ascii="Courier New" w:cs="Courier New" w:eastAsia="Courier New" w:hAnsi="Courier New"/>
                <w:sz w:val="16"/>
                <w:szCs w:val="16"/>
                <w:color w:val="auto"/>
              </w:rPr>
              <w:t>83,534</w:t>
            </w: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931,971</w:t>
            </w:r>
          </w:p>
        </w:tc>
        <w:tc>
          <w:tcPr>
            <w:tcW w:w="15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178,191</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44,235</w:t>
            </w: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199,580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2,725,379</w:t>
            </w:r>
          </w:p>
        </w:tc>
      </w:tr>
      <w:tr>
        <w:trPr>
          <w:trHeight w:val="183"/>
        </w:trPr>
        <w:tc>
          <w:tcPr>
            <w:tcW w:w="1200" w:type="dxa"/>
            <w:vAlign w:val="bottom"/>
          </w:tcPr>
          <w:p>
            <w:pPr>
              <w:spacing w:after="0"/>
              <w:rPr>
                <w:sz w:val="20"/>
                <w:szCs w:val="20"/>
                <w:color w:val="auto"/>
              </w:rPr>
            </w:pPr>
            <w:r>
              <w:rPr>
                <w:rFonts w:ascii="Courier New" w:cs="Courier New" w:eastAsia="Courier New" w:hAnsi="Courier New"/>
                <w:sz w:val="16"/>
                <w:szCs w:val="16"/>
                <w:color w:val="auto"/>
              </w:rPr>
              <w:t>06/30/00</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w w:val="99"/>
              </w:rPr>
              <w:t>1,305,888</w:t>
            </w:r>
          </w:p>
        </w:tc>
        <w:tc>
          <w:tcPr>
            <w:tcW w:w="1400" w:type="dxa"/>
            <w:vAlign w:val="bottom"/>
          </w:tcPr>
          <w:p>
            <w:pPr>
              <w:ind w:left="480"/>
              <w:spacing w:after="0"/>
              <w:rPr>
                <w:sz w:val="20"/>
                <w:szCs w:val="20"/>
                <w:color w:val="auto"/>
              </w:rPr>
            </w:pPr>
            <w:r>
              <w:rPr>
                <w:rFonts w:ascii="Courier New" w:cs="Courier New" w:eastAsia="Courier New" w:hAnsi="Courier New"/>
                <w:sz w:val="16"/>
                <w:szCs w:val="16"/>
                <w:color w:val="auto"/>
              </w:rPr>
              <w:t>85,089</w:t>
            </w: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952,325</w:t>
            </w:r>
          </w:p>
        </w:tc>
        <w:tc>
          <w:tcPr>
            <w:tcW w:w="15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184,913</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45,408</w:t>
            </w: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204,412</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2,778,035</w:t>
            </w:r>
          </w:p>
        </w:tc>
      </w:tr>
      <w:tr>
        <w:trPr>
          <w:trHeight w:val="183"/>
        </w:trPr>
        <w:tc>
          <w:tcPr>
            <w:tcW w:w="1200" w:type="dxa"/>
            <w:vAlign w:val="bottom"/>
          </w:tcPr>
          <w:p>
            <w:pPr>
              <w:spacing w:after="0"/>
              <w:rPr>
                <w:sz w:val="20"/>
                <w:szCs w:val="20"/>
                <w:color w:val="auto"/>
              </w:rPr>
            </w:pPr>
            <w:r>
              <w:rPr>
                <w:rFonts w:ascii="Courier New" w:cs="Courier New" w:eastAsia="Courier New" w:hAnsi="Courier New"/>
                <w:sz w:val="16"/>
                <w:szCs w:val="16"/>
                <w:color w:val="auto"/>
              </w:rPr>
              <w:t>09/30/00</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w w:val="99"/>
              </w:rPr>
              <w:t>1,324,104</w:t>
            </w:r>
          </w:p>
        </w:tc>
        <w:tc>
          <w:tcPr>
            <w:tcW w:w="1400" w:type="dxa"/>
            <w:vAlign w:val="bottom"/>
          </w:tcPr>
          <w:p>
            <w:pPr>
              <w:ind w:left="480"/>
              <w:spacing w:after="0"/>
              <w:rPr>
                <w:sz w:val="20"/>
                <w:szCs w:val="20"/>
                <w:color w:val="auto"/>
              </w:rPr>
            </w:pPr>
            <w:r>
              <w:rPr>
                <w:rFonts w:ascii="Courier New" w:cs="Courier New" w:eastAsia="Courier New" w:hAnsi="Courier New"/>
                <w:sz w:val="16"/>
                <w:szCs w:val="16"/>
                <w:color w:val="auto"/>
              </w:rPr>
              <w:t>86,592</w:t>
            </w: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971,213</w:t>
            </w:r>
          </w:p>
        </w:tc>
        <w:tc>
          <w:tcPr>
            <w:tcW w:w="15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190,120</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46,529</w:t>
            </w: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208,832</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2,827,390</w:t>
            </w:r>
          </w:p>
        </w:tc>
      </w:tr>
      <w:tr>
        <w:trPr>
          <w:trHeight w:val="183"/>
        </w:trPr>
        <w:tc>
          <w:tcPr>
            <w:tcW w:w="1200" w:type="dxa"/>
            <w:vAlign w:val="bottom"/>
          </w:tcPr>
          <w:p>
            <w:pPr>
              <w:spacing w:after="0"/>
              <w:rPr>
                <w:sz w:val="20"/>
                <w:szCs w:val="20"/>
                <w:color w:val="auto"/>
              </w:rPr>
            </w:pPr>
            <w:r>
              <w:rPr>
                <w:rFonts w:ascii="Courier New" w:cs="Courier New" w:eastAsia="Courier New" w:hAnsi="Courier New"/>
                <w:sz w:val="16"/>
                <w:szCs w:val="16"/>
                <w:color w:val="auto"/>
              </w:rPr>
              <w:t>12/31/00</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w w:val="99"/>
              </w:rPr>
              <w:t>1,337,280</w:t>
            </w:r>
          </w:p>
        </w:tc>
        <w:tc>
          <w:tcPr>
            <w:tcW w:w="1400" w:type="dxa"/>
            <w:vAlign w:val="bottom"/>
          </w:tcPr>
          <w:p>
            <w:pPr>
              <w:ind w:left="480"/>
              <w:spacing w:after="0"/>
              <w:rPr>
                <w:sz w:val="20"/>
                <w:szCs w:val="20"/>
                <w:color w:val="auto"/>
              </w:rPr>
            </w:pPr>
            <w:r>
              <w:rPr>
                <w:rFonts w:ascii="Courier New" w:cs="Courier New" w:eastAsia="Courier New" w:hAnsi="Courier New"/>
                <w:sz w:val="16"/>
                <w:szCs w:val="16"/>
                <w:color w:val="auto"/>
              </w:rPr>
              <w:t>87,567</w:t>
            </w: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986,654</w:t>
            </w:r>
          </w:p>
        </w:tc>
        <w:tc>
          <w:tcPr>
            <w:tcW w:w="15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195,137</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47,156</w:t>
            </w: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211,759</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2,865,553</w:t>
            </w:r>
          </w:p>
        </w:tc>
      </w:tr>
      <w:tr>
        <w:trPr>
          <w:trHeight w:val="183"/>
        </w:trPr>
        <w:tc>
          <w:tcPr>
            <w:tcW w:w="1200" w:type="dxa"/>
            <w:vAlign w:val="bottom"/>
          </w:tcPr>
          <w:p>
            <w:pPr>
              <w:spacing w:after="0"/>
              <w:rPr>
                <w:sz w:val="20"/>
                <w:szCs w:val="20"/>
                <w:color w:val="auto"/>
              </w:rPr>
            </w:pPr>
            <w:r>
              <w:rPr>
                <w:rFonts w:ascii="Courier New" w:cs="Courier New" w:eastAsia="Courier New" w:hAnsi="Courier New"/>
                <w:sz w:val="16"/>
                <w:szCs w:val="16"/>
                <w:color w:val="auto"/>
              </w:rPr>
              <w:t>03/31/01</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w w:val="99"/>
              </w:rPr>
              <w:t>1,356,651</w:t>
            </w:r>
          </w:p>
        </w:tc>
        <w:tc>
          <w:tcPr>
            <w:tcW w:w="1400" w:type="dxa"/>
            <w:vAlign w:val="bottom"/>
          </w:tcPr>
          <w:p>
            <w:pPr>
              <w:ind w:left="480"/>
              <w:spacing w:after="0"/>
              <w:rPr>
                <w:sz w:val="20"/>
                <w:szCs w:val="20"/>
                <w:color w:val="auto"/>
              </w:rPr>
            </w:pPr>
            <w:r>
              <w:rPr>
                <w:rFonts w:ascii="Courier New" w:cs="Courier New" w:eastAsia="Courier New" w:hAnsi="Courier New"/>
                <w:sz w:val="16"/>
                <w:szCs w:val="16"/>
                <w:color w:val="auto"/>
              </w:rPr>
              <w:t>89,388</w:t>
            </w: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1,003,517</w:t>
            </w:r>
          </w:p>
        </w:tc>
        <w:tc>
          <w:tcPr>
            <w:tcW w:w="15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200,671</w:t>
            </w: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48,104</w:t>
            </w: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215,747</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2,914,078</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Retention rates for Erie Insurance Group property/casualty operations: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60" w:type="dxa"/>
            <w:vAlign w:val="bottom"/>
          </w:tcPr>
          <w:p>
            <w:pPr>
              <w:spacing w:after="0"/>
              <w:rPr>
                <w:sz w:val="15"/>
                <w:szCs w:val="15"/>
                <w:color w:val="auto"/>
              </w:rPr>
            </w:pPr>
          </w:p>
        </w:tc>
        <w:tc>
          <w:tcPr>
            <w:tcW w:w="13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Private</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All other</w:t>
            </w:r>
          </w:p>
        </w:tc>
        <w:tc>
          <w:tcPr>
            <w:tcW w:w="1360" w:type="dxa"/>
            <w:vAlign w:val="bottom"/>
          </w:tcPr>
          <w:p>
            <w:pPr>
              <w:spacing w:after="0"/>
              <w:rPr>
                <w:sz w:val="15"/>
                <w:szCs w:val="15"/>
                <w:color w:val="auto"/>
              </w:rPr>
            </w:pPr>
          </w:p>
        </w:tc>
      </w:tr>
      <w:tr>
        <w:trPr>
          <w:trHeight w:val="183"/>
        </w:trPr>
        <w:tc>
          <w:tcPr>
            <w:tcW w:w="1660" w:type="dxa"/>
            <w:vAlign w:val="bottom"/>
          </w:tcPr>
          <w:p>
            <w:pPr>
              <w:spacing w:after="0"/>
              <w:rPr>
                <w:sz w:val="15"/>
                <w:szCs w:val="15"/>
                <w:color w:val="auto"/>
              </w:rPr>
            </w:pPr>
          </w:p>
        </w:tc>
        <w:tc>
          <w:tcPr>
            <w:tcW w:w="13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Passenger</w:t>
            </w:r>
          </w:p>
        </w:tc>
        <w:tc>
          <w:tcPr>
            <w:tcW w:w="1380" w:type="dxa"/>
            <w:vAlign w:val="bottom"/>
          </w:tcPr>
          <w:p>
            <w:pPr>
              <w:ind w:left="480"/>
              <w:spacing w:after="0"/>
              <w:rPr>
                <w:sz w:val="20"/>
                <w:szCs w:val="20"/>
                <w:color w:val="auto"/>
              </w:rPr>
            </w:pPr>
            <w:r>
              <w:rPr>
                <w:rFonts w:ascii="Courier New" w:cs="Courier New" w:eastAsia="Courier New" w:hAnsi="Courier New"/>
                <w:sz w:val="16"/>
                <w:szCs w:val="16"/>
                <w:color w:val="auto"/>
              </w:rPr>
              <w:t>CML*</w:t>
            </w:r>
          </w:p>
        </w:tc>
        <w:tc>
          <w:tcPr>
            <w:tcW w:w="1240" w:type="dxa"/>
            <w:vAlign w:val="bottom"/>
          </w:tcPr>
          <w:p>
            <w:pPr>
              <w:spacing w:after="0"/>
              <w:rPr>
                <w:sz w:val="15"/>
                <w:szCs w:val="15"/>
                <w:color w:val="auto"/>
              </w:rPr>
            </w:pPr>
          </w:p>
        </w:tc>
        <w:tc>
          <w:tcPr>
            <w:tcW w:w="1380" w:type="dxa"/>
            <w:vAlign w:val="bottom"/>
          </w:tcPr>
          <w:p>
            <w:pPr>
              <w:ind w:left="420"/>
              <w:spacing w:after="0"/>
              <w:rPr>
                <w:sz w:val="20"/>
                <w:szCs w:val="20"/>
                <w:color w:val="auto"/>
              </w:rPr>
            </w:pPr>
            <w:r>
              <w:rPr>
                <w:rFonts w:ascii="Courier New" w:cs="Courier New" w:eastAsia="Courier New" w:hAnsi="Courier New"/>
                <w:sz w:val="16"/>
                <w:szCs w:val="16"/>
                <w:color w:val="auto"/>
              </w:rPr>
              <w:t>CML*</w:t>
            </w:r>
          </w:p>
        </w:tc>
        <w:tc>
          <w:tcPr>
            <w:tcW w:w="1720" w:type="dxa"/>
            <w:vAlign w:val="bottom"/>
          </w:tcPr>
          <w:p>
            <w:pPr>
              <w:ind w:left="380"/>
              <w:spacing w:after="0"/>
              <w:rPr>
                <w:sz w:val="20"/>
                <w:szCs w:val="20"/>
                <w:color w:val="auto"/>
              </w:rPr>
            </w:pPr>
            <w:r>
              <w:rPr>
                <w:rFonts w:ascii="Courier New" w:cs="Courier New" w:eastAsia="Courier New" w:hAnsi="Courier New"/>
                <w:sz w:val="16"/>
                <w:szCs w:val="16"/>
                <w:color w:val="auto"/>
              </w:rPr>
              <w:t>Worker's</w:t>
            </w: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Lines of</w:t>
            </w:r>
          </w:p>
        </w:tc>
        <w:tc>
          <w:tcPr>
            <w:tcW w:w="1360" w:type="dxa"/>
            <w:vAlign w:val="bottom"/>
          </w:tcPr>
          <w:p>
            <w:pPr>
              <w:spacing w:after="0"/>
              <w:rPr>
                <w:sz w:val="15"/>
                <w:szCs w:val="15"/>
                <w:color w:val="auto"/>
              </w:rPr>
            </w:pPr>
          </w:p>
        </w:tc>
      </w:tr>
      <w:tr>
        <w:trPr>
          <w:trHeight w:val="183"/>
        </w:trPr>
        <w:tc>
          <w:tcPr>
            <w:tcW w:w="1660" w:type="dxa"/>
            <w:vAlign w:val="bottom"/>
          </w:tcPr>
          <w:p>
            <w:pPr>
              <w:ind w:left="580"/>
              <w:spacing w:after="0"/>
              <w:rPr>
                <w:sz w:val="20"/>
                <w:szCs w:val="20"/>
                <w:color w:val="auto"/>
              </w:rPr>
            </w:pPr>
            <w:r>
              <w:rPr>
                <w:rFonts w:ascii="Courier New" w:cs="Courier New" w:eastAsia="Courier New" w:hAnsi="Courier New"/>
                <w:sz w:val="16"/>
                <w:szCs w:val="16"/>
                <w:color w:val="auto"/>
              </w:rPr>
              <w:t>Date</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Auto</w:t>
            </w:r>
          </w:p>
        </w:tc>
        <w:tc>
          <w:tcPr>
            <w:tcW w:w="1380" w:type="dxa"/>
            <w:vAlign w:val="bottom"/>
          </w:tcPr>
          <w:p>
            <w:pPr>
              <w:ind w:left="480"/>
              <w:spacing w:after="0"/>
              <w:rPr>
                <w:sz w:val="20"/>
                <w:szCs w:val="20"/>
                <w:color w:val="auto"/>
              </w:rPr>
            </w:pPr>
            <w:r>
              <w:rPr>
                <w:rFonts w:ascii="Courier New" w:cs="Courier New" w:eastAsia="Courier New" w:hAnsi="Courier New"/>
                <w:sz w:val="16"/>
                <w:szCs w:val="16"/>
                <w:color w:val="auto"/>
              </w:rPr>
              <w:t>Auto</w:t>
            </w:r>
          </w:p>
        </w:tc>
        <w:tc>
          <w:tcPr>
            <w:tcW w:w="1240" w:type="dxa"/>
            <w:vAlign w:val="bottom"/>
          </w:tcPr>
          <w:p>
            <w:pPr>
              <w:ind w:left="140"/>
              <w:spacing w:after="0"/>
              <w:rPr>
                <w:sz w:val="20"/>
                <w:szCs w:val="20"/>
                <w:color w:val="auto"/>
              </w:rPr>
            </w:pPr>
            <w:r>
              <w:rPr>
                <w:rFonts w:ascii="Courier New" w:cs="Courier New" w:eastAsia="Courier New" w:hAnsi="Courier New"/>
                <w:sz w:val="16"/>
                <w:szCs w:val="16"/>
                <w:color w:val="auto"/>
              </w:rPr>
              <w:t>Homeowner</w:t>
            </w: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Multi-Peril</w:t>
            </w:r>
          </w:p>
        </w:tc>
        <w:tc>
          <w:tcPr>
            <w:tcW w:w="1720" w:type="dxa"/>
            <w:vAlign w:val="bottom"/>
          </w:tcPr>
          <w:p>
            <w:pPr>
              <w:ind w:left="480"/>
              <w:spacing w:after="0"/>
              <w:rPr>
                <w:sz w:val="20"/>
                <w:szCs w:val="20"/>
                <w:color w:val="auto"/>
              </w:rPr>
            </w:pPr>
            <w:r>
              <w:rPr>
                <w:rFonts w:ascii="Courier New" w:cs="Courier New" w:eastAsia="Courier New" w:hAnsi="Courier New"/>
                <w:sz w:val="16"/>
                <w:szCs w:val="16"/>
                <w:color w:val="auto"/>
              </w:rPr>
              <w:t>Comp.</w:t>
            </w:r>
          </w:p>
        </w:tc>
        <w:tc>
          <w:tcPr>
            <w:tcW w:w="1480" w:type="dxa"/>
            <w:vAlign w:val="bottom"/>
          </w:tcPr>
          <w:p>
            <w:pPr>
              <w:ind w:left="380"/>
              <w:spacing w:after="0"/>
              <w:rPr>
                <w:sz w:val="20"/>
                <w:szCs w:val="20"/>
                <w:color w:val="auto"/>
              </w:rPr>
            </w:pPr>
            <w:r>
              <w:rPr>
                <w:rFonts w:ascii="Courier New" w:cs="Courier New" w:eastAsia="Courier New" w:hAnsi="Courier New"/>
                <w:sz w:val="16"/>
                <w:szCs w:val="16"/>
                <w:color w:val="auto"/>
              </w:rPr>
              <w:t>Business</w:t>
            </w:r>
          </w:p>
        </w:tc>
        <w:tc>
          <w:tcPr>
            <w:tcW w:w="1360" w:type="dxa"/>
            <w:vAlign w:val="bottom"/>
          </w:tcPr>
          <w:p>
            <w:pPr>
              <w:ind w:left="620"/>
              <w:spacing w:after="0"/>
              <w:rPr>
                <w:sz w:val="20"/>
                <w:szCs w:val="20"/>
                <w:color w:val="auto"/>
              </w:rPr>
            </w:pPr>
            <w:r>
              <w:rPr>
                <w:rFonts w:ascii="Courier New" w:cs="Courier New" w:eastAsia="Courier New" w:hAnsi="Courier New"/>
                <w:sz w:val="16"/>
                <w:szCs w:val="16"/>
                <w:color w:val="auto"/>
              </w:rPr>
              <w:t>Total</w:t>
            </w:r>
          </w:p>
        </w:tc>
      </w:tr>
      <w:tr>
        <w:trPr>
          <w:trHeight w:val="183"/>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320"/>
              <w:spacing w:after="0"/>
              <w:rPr>
                <w:sz w:val="20"/>
                <w:szCs w:val="20"/>
                <w:color w:val="auto"/>
              </w:rPr>
            </w:pPr>
            <w:r>
              <w:rPr>
                <w:rFonts w:ascii="Courier New" w:cs="Courier New" w:eastAsia="Courier New" w:hAnsi="Courier New"/>
                <w:sz w:val="16"/>
                <w:szCs w:val="16"/>
                <w:color w:val="auto"/>
                <w:w w:val="96"/>
              </w:rPr>
              <w:t>-----------</w:t>
            </w:r>
          </w:p>
        </w:tc>
      </w:tr>
      <w:tr>
        <w:trPr>
          <w:trHeight w:val="367"/>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12/31/99</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91.58%</w:t>
            </w:r>
          </w:p>
        </w:tc>
        <w:tc>
          <w:tcPr>
            <w:tcW w:w="1380" w:type="dxa"/>
            <w:vAlign w:val="bottom"/>
          </w:tcPr>
          <w:p>
            <w:pPr>
              <w:ind w:left="180"/>
              <w:spacing w:after="0"/>
              <w:rPr>
                <w:sz w:val="20"/>
                <w:szCs w:val="20"/>
                <w:color w:val="auto"/>
              </w:rPr>
            </w:pPr>
            <w:r>
              <w:rPr>
                <w:rFonts w:ascii="Courier New" w:cs="Courier New" w:eastAsia="Courier New" w:hAnsi="Courier New"/>
                <w:sz w:val="16"/>
                <w:szCs w:val="16"/>
                <w:color w:val="auto"/>
              </w:rPr>
              <w:t>89.27%</w:t>
            </w:r>
          </w:p>
        </w:tc>
        <w:tc>
          <w:tcPr>
            <w:tcW w:w="1240" w:type="dxa"/>
            <w:vAlign w:val="bottom"/>
          </w:tcPr>
          <w:p>
            <w:pPr>
              <w:ind w:left="140"/>
              <w:spacing w:after="0"/>
              <w:rPr>
                <w:sz w:val="20"/>
                <w:szCs w:val="20"/>
                <w:color w:val="auto"/>
              </w:rPr>
            </w:pPr>
            <w:r>
              <w:rPr>
                <w:rFonts w:ascii="Courier New" w:cs="Courier New" w:eastAsia="Courier New" w:hAnsi="Courier New"/>
                <w:sz w:val="16"/>
                <w:szCs w:val="16"/>
                <w:color w:val="auto"/>
              </w:rPr>
              <w:t>90.47%</w:t>
            </w:r>
          </w:p>
        </w:tc>
        <w:tc>
          <w:tcPr>
            <w:tcW w:w="1380" w:type="dxa"/>
            <w:vAlign w:val="bottom"/>
          </w:tcPr>
          <w:p>
            <w:pPr>
              <w:ind w:left="520"/>
              <w:spacing w:after="0"/>
              <w:rPr>
                <w:sz w:val="20"/>
                <w:szCs w:val="20"/>
                <w:color w:val="auto"/>
              </w:rPr>
            </w:pPr>
            <w:r>
              <w:rPr>
                <w:rFonts w:ascii="Courier New" w:cs="Courier New" w:eastAsia="Courier New" w:hAnsi="Courier New"/>
                <w:sz w:val="16"/>
                <w:szCs w:val="16"/>
                <w:color w:val="auto"/>
              </w:rPr>
              <w:t>87.42%</w:t>
            </w:r>
          </w:p>
        </w:tc>
        <w:tc>
          <w:tcPr>
            <w:tcW w:w="1720" w:type="dxa"/>
            <w:vAlign w:val="bottom"/>
          </w:tcPr>
          <w:p>
            <w:pPr>
              <w:ind w:left="660"/>
              <w:spacing w:after="0"/>
              <w:rPr>
                <w:sz w:val="20"/>
                <w:szCs w:val="20"/>
                <w:color w:val="auto"/>
              </w:rPr>
            </w:pPr>
            <w:r>
              <w:rPr>
                <w:rFonts w:ascii="Courier New" w:cs="Courier New" w:eastAsia="Courier New" w:hAnsi="Courier New"/>
                <w:sz w:val="16"/>
                <w:szCs w:val="16"/>
                <w:color w:val="auto"/>
              </w:rPr>
              <w:t>87.59%</w:t>
            </w:r>
          </w:p>
        </w:tc>
        <w:tc>
          <w:tcPr>
            <w:tcW w:w="1480" w:type="dxa"/>
            <w:vAlign w:val="bottom"/>
          </w:tcPr>
          <w:p>
            <w:pPr>
              <w:ind w:left="380"/>
              <w:spacing w:after="0"/>
              <w:rPr>
                <w:sz w:val="20"/>
                <w:szCs w:val="20"/>
                <w:color w:val="auto"/>
              </w:rPr>
            </w:pPr>
            <w:r>
              <w:rPr>
                <w:rFonts w:ascii="Courier New" w:cs="Courier New" w:eastAsia="Courier New" w:hAnsi="Courier New"/>
                <w:sz w:val="16"/>
                <w:szCs w:val="16"/>
                <w:color w:val="auto"/>
              </w:rPr>
              <w:t>86.85%</w:t>
            </w:r>
          </w:p>
        </w:tc>
        <w:tc>
          <w:tcPr>
            <w:tcW w:w="1360" w:type="dxa"/>
            <w:vAlign w:val="bottom"/>
          </w:tcPr>
          <w:p>
            <w:pPr>
              <w:ind w:left="720"/>
              <w:spacing w:after="0"/>
              <w:rPr>
                <w:sz w:val="20"/>
                <w:szCs w:val="20"/>
                <w:color w:val="auto"/>
              </w:rPr>
            </w:pPr>
            <w:r>
              <w:rPr>
                <w:rFonts w:ascii="Courier New" w:cs="Courier New" w:eastAsia="Courier New" w:hAnsi="Courier New"/>
                <w:sz w:val="16"/>
                <w:szCs w:val="16"/>
                <w:color w:val="auto"/>
              </w:rPr>
              <w:t>90.45%</w:t>
            </w:r>
          </w:p>
        </w:tc>
      </w:tr>
      <w:tr>
        <w:trPr>
          <w:trHeight w:val="183"/>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03/31/00</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91.83</w:t>
            </w:r>
          </w:p>
        </w:tc>
        <w:tc>
          <w:tcPr>
            <w:tcW w:w="1380" w:type="dxa"/>
            <w:vAlign w:val="bottom"/>
          </w:tcPr>
          <w:p>
            <w:pPr>
              <w:ind w:left="180"/>
              <w:spacing w:after="0"/>
              <w:rPr>
                <w:sz w:val="20"/>
                <w:szCs w:val="20"/>
                <w:color w:val="auto"/>
              </w:rPr>
            </w:pPr>
            <w:r>
              <w:rPr>
                <w:rFonts w:ascii="Courier New" w:cs="Courier New" w:eastAsia="Courier New" w:hAnsi="Courier New"/>
                <w:sz w:val="16"/>
                <w:szCs w:val="16"/>
                <w:color w:val="auto"/>
              </w:rPr>
              <w:t>89.52</w:t>
            </w:r>
          </w:p>
        </w:tc>
        <w:tc>
          <w:tcPr>
            <w:tcW w:w="1240" w:type="dxa"/>
            <w:vAlign w:val="bottom"/>
          </w:tcPr>
          <w:p>
            <w:pPr>
              <w:ind w:left="140"/>
              <w:spacing w:after="0"/>
              <w:rPr>
                <w:sz w:val="20"/>
                <w:szCs w:val="20"/>
                <w:color w:val="auto"/>
              </w:rPr>
            </w:pPr>
            <w:r>
              <w:rPr>
                <w:rFonts w:ascii="Courier New" w:cs="Courier New" w:eastAsia="Courier New" w:hAnsi="Courier New"/>
                <w:sz w:val="16"/>
                <w:szCs w:val="16"/>
                <w:color w:val="auto"/>
              </w:rPr>
              <w:t>90.66</w:t>
            </w:r>
          </w:p>
        </w:tc>
        <w:tc>
          <w:tcPr>
            <w:tcW w:w="1380" w:type="dxa"/>
            <w:vAlign w:val="bottom"/>
          </w:tcPr>
          <w:p>
            <w:pPr>
              <w:ind w:left="520"/>
              <w:spacing w:after="0"/>
              <w:rPr>
                <w:sz w:val="20"/>
                <w:szCs w:val="20"/>
                <w:color w:val="auto"/>
              </w:rPr>
            </w:pPr>
            <w:r>
              <w:rPr>
                <w:rFonts w:ascii="Courier New" w:cs="Courier New" w:eastAsia="Courier New" w:hAnsi="Courier New"/>
                <w:sz w:val="16"/>
                <w:szCs w:val="16"/>
                <w:color w:val="auto"/>
              </w:rPr>
              <w:t>88.08</w:t>
            </w:r>
          </w:p>
        </w:tc>
        <w:tc>
          <w:tcPr>
            <w:tcW w:w="1720" w:type="dxa"/>
            <w:vAlign w:val="bottom"/>
          </w:tcPr>
          <w:p>
            <w:pPr>
              <w:ind w:left="660"/>
              <w:spacing w:after="0"/>
              <w:rPr>
                <w:sz w:val="20"/>
                <w:szCs w:val="20"/>
                <w:color w:val="auto"/>
              </w:rPr>
            </w:pPr>
            <w:r>
              <w:rPr>
                <w:rFonts w:ascii="Courier New" w:cs="Courier New" w:eastAsia="Courier New" w:hAnsi="Courier New"/>
                <w:sz w:val="16"/>
                <w:szCs w:val="16"/>
                <w:color w:val="auto"/>
              </w:rPr>
              <w:t>88.52</w:t>
            </w:r>
          </w:p>
        </w:tc>
        <w:tc>
          <w:tcPr>
            <w:tcW w:w="1480" w:type="dxa"/>
            <w:vAlign w:val="bottom"/>
          </w:tcPr>
          <w:p>
            <w:pPr>
              <w:ind w:left="380"/>
              <w:spacing w:after="0"/>
              <w:rPr>
                <w:sz w:val="20"/>
                <w:szCs w:val="20"/>
                <w:color w:val="auto"/>
              </w:rPr>
            </w:pPr>
            <w:r>
              <w:rPr>
                <w:rFonts w:ascii="Courier New" w:cs="Courier New" w:eastAsia="Courier New" w:hAnsi="Courier New"/>
                <w:sz w:val="16"/>
                <w:szCs w:val="16"/>
                <w:color w:val="auto"/>
              </w:rPr>
              <w:t>87.23</w:t>
            </w:r>
          </w:p>
        </w:tc>
        <w:tc>
          <w:tcPr>
            <w:tcW w:w="1360" w:type="dxa"/>
            <w:vAlign w:val="bottom"/>
          </w:tcPr>
          <w:p>
            <w:pPr>
              <w:ind w:left="720"/>
              <w:spacing w:after="0"/>
              <w:rPr>
                <w:sz w:val="20"/>
                <w:szCs w:val="20"/>
                <w:color w:val="auto"/>
              </w:rPr>
            </w:pPr>
            <w:r>
              <w:rPr>
                <w:rFonts w:ascii="Courier New" w:cs="Courier New" w:eastAsia="Courier New" w:hAnsi="Courier New"/>
                <w:sz w:val="16"/>
                <w:szCs w:val="16"/>
                <w:color w:val="auto"/>
              </w:rPr>
              <w:t>90.72</w:t>
            </w:r>
          </w:p>
        </w:tc>
      </w:tr>
      <w:tr>
        <w:trPr>
          <w:trHeight w:val="183"/>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06/30/00</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92.03</w:t>
            </w:r>
          </w:p>
        </w:tc>
        <w:tc>
          <w:tcPr>
            <w:tcW w:w="1380" w:type="dxa"/>
            <w:vAlign w:val="bottom"/>
          </w:tcPr>
          <w:p>
            <w:pPr>
              <w:ind w:left="180"/>
              <w:spacing w:after="0"/>
              <w:rPr>
                <w:sz w:val="20"/>
                <w:szCs w:val="20"/>
                <w:color w:val="auto"/>
              </w:rPr>
            </w:pPr>
            <w:r>
              <w:rPr>
                <w:rFonts w:ascii="Courier New" w:cs="Courier New" w:eastAsia="Courier New" w:hAnsi="Courier New"/>
                <w:sz w:val="16"/>
                <w:szCs w:val="16"/>
                <w:color w:val="auto"/>
              </w:rPr>
              <w:t>89.53</w:t>
            </w:r>
          </w:p>
        </w:tc>
        <w:tc>
          <w:tcPr>
            <w:tcW w:w="1240" w:type="dxa"/>
            <w:vAlign w:val="bottom"/>
          </w:tcPr>
          <w:p>
            <w:pPr>
              <w:ind w:left="140"/>
              <w:spacing w:after="0"/>
              <w:rPr>
                <w:sz w:val="20"/>
                <w:szCs w:val="20"/>
                <w:color w:val="auto"/>
              </w:rPr>
            </w:pPr>
            <w:r>
              <w:rPr>
                <w:rFonts w:ascii="Courier New" w:cs="Courier New" w:eastAsia="Courier New" w:hAnsi="Courier New"/>
                <w:sz w:val="16"/>
                <w:szCs w:val="16"/>
                <w:color w:val="auto"/>
              </w:rPr>
              <w:t>90.89</w:t>
            </w:r>
          </w:p>
        </w:tc>
        <w:tc>
          <w:tcPr>
            <w:tcW w:w="1380" w:type="dxa"/>
            <w:vAlign w:val="bottom"/>
          </w:tcPr>
          <w:p>
            <w:pPr>
              <w:ind w:left="520"/>
              <w:spacing w:after="0"/>
              <w:rPr>
                <w:sz w:val="20"/>
                <w:szCs w:val="20"/>
                <w:color w:val="auto"/>
              </w:rPr>
            </w:pPr>
            <w:r>
              <w:rPr>
                <w:rFonts w:ascii="Courier New" w:cs="Courier New" w:eastAsia="Courier New" w:hAnsi="Courier New"/>
                <w:sz w:val="16"/>
                <w:szCs w:val="16"/>
                <w:color w:val="auto"/>
              </w:rPr>
              <w:t>88.19</w:t>
            </w:r>
          </w:p>
        </w:tc>
        <w:tc>
          <w:tcPr>
            <w:tcW w:w="1720" w:type="dxa"/>
            <w:vAlign w:val="bottom"/>
          </w:tcPr>
          <w:p>
            <w:pPr>
              <w:ind w:left="660"/>
              <w:spacing w:after="0"/>
              <w:rPr>
                <w:sz w:val="20"/>
                <w:szCs w:val="20"/>
                <w:color w:val="auto"/>
              </w:rPr>
            </w:pPr>
            <w:r>
              <w:rPr>
                <w:rFonts w:ascii="Courier New" w:cs="Courier New" w:eastAsia="Courier New" w:hAnsi="Courier New"/>
                <w:sz w:val="16"/>
                <w:szCs w:val="16"/>
                <w:color w:val="auto"/>
              </w:rPr>
              <w:t>88.62</w:t>
            </w:r>
          </w:p>
        </w:tc>
        <w:tc>
          <w:tcPr>
            <w:tcW w:w="1480" w:type="dxa"/>
            <w:vAlign w:val="bottom"/>
          </w:tcPr>
          <w:p>
            <w:pPr>
              <w:ind w:left="380"/>
              <w:spacing w:after="0"/>
              <w:rPr>
                <w:sz w:val="20"/>
                <w:szCs w:val="20"/>
                <w:color w:val="auto"/>
              </w:rPr>
            </w:pPr>
            <w:r>
              <w:rPr>
                <w:rFonts w:ascii="Courier New" w:cs="Courier New" w:eastAsia="Courier New" w:hAnsi="Courier New"/>
                <w:sz w:val="16"/>
                <w:szCs w:val="16"/>
                <w:color w:val="auto"/>
              </w:rPr>
              <w:t>87.57</w:t>
            </w:r>
          </w:p>
        </w:tc>
        <w:tc>
          <w:tcPr>
            <w:tcW w:w="1360" w:type="dxa"/>
            <w:vAlign w:val="bottom"/>
          </w:tcPr>
          <w:p>
            <w:pPr>
              <w:ind w:left="720"/>
              <w:spacing w:after="0"/>
              <w:rPr>
                <w:sz w:val="20"/>
                <w:szCs w:val="20"/>
                <w:color w:val="auto"/>
              </w:rPr>
            </w:pPr>
            <w:r>
              <w:rPr>
                <w:rFonts w:ascii="Courier New" w:cs="Courier New" w:eastAsia="Courier New" w:hAnsi="Courier New"/>
                <w:sz w:val="16"/>
                <w:szCs w:val="16"/>
                <w:color w:val="auto"/>
              </w:rPr>
              <w:t>90.92</w:t>
            </w:r>
          </w:p>
        </w:tc>
      </w:tr>
      <w:tr>
        <w:trPr>
          <w:trHeight w:val="183"/>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09/30/00</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92.19</w:t>
            </w:r>
          </w:p>
        </w:tc>
        <w:tc>
          <w:tcPr>
            <w:tcW w:w="1380" w:type="dxa"/>
            <w:vAlign w:val="bottom"/>
          </w:tcPr>
          <w:p>
            <w:pPr>
              <w:ind w:left="180"/>
              <w:spacing w:after="0"/>
              <w:rPr>
                <w:sz w:val="20"/>
                <w:szCs w:val="20"/>
                <w:color w:val="auto"/>
              </w:rPr>
            </w:pPr>
            <w:r>
              <w:rPr>
                <w:rFonts w:ascii="Courier New" w:cs="Courier New" w:eastAsia="Courier New" w:hAnsi="Courier New"/>
                <w:sz w:val="16"/>
                <w:szCs w:val="16"/>
                <w:color w:val="auto"/>
              </w:rPr>
              <w:t>89.90</w:t>
            </w:r>
          </w:p>
        </w:tc>
        <w:tc>
          <w:tcPr>
            <w:tcW w:w="1240" w:type="dxa"/>
            <w:vAlign w:val="bottom"/>
          </w:tcPr>
          <w:p>
            <w:pPr>
              <w:ind w:left="140"/>
              <w:spacing w:after="0"/>
              <w:rPr>
                <w:sz w:val="20"/>
                <w:szCs w:val="20"/>
                <w:color w:val="auto"/>
              </w:rPr>
            </w:pPr>
            <w:r>
              <w:rPr>
                <w:rFonts w:ascii="Courier New" w:cs="Courier New" w:eastAsia="Courier New" w:hAnsi="Courier New"/>
                <w:sz w:val="16"/>
                <w:szCs w:val="16"/>
                <w:color w:val="auto"/>
              </w:rPr>
              <w:t>90.88</w:t>
            </w:r>
          </w:p>
        </w:tc>
        <w:tc>
          <w:tcPr>
            <w:tcW w:w="1380" w:type="dxa"/>
            <w:vAlign w:val="bottom"/>
          </w:tcPr>
          <w:p>
            <w:pPr>
              <w:ind w:left="520"/>
              <w:spacing w:after="0"/>
              <w:rPr>
                <w:sz w:val="20"/>
                <w:szCs w:val="20"/>
                <w:color w:val="auto"/>
              </w:rPr>
            </w:pPr>
            <w:r>
              <w:rPr>
                <w:rFonts w:ascii="Courier New" w:cs="Courier New" w:eastAsia="Courier New" w:hAnsi="Courier New"/>
                <w:sz w:val="16"/>
                <w:szCs w:val="16"/>
                <w:color w:val="auto"/>
              </w:rPr>
              <w:t>88.38</w:t>
            </w:r>
          </w:p>
        </w:tc>
        <w:tc>
          <w:tcPr>
            <w:tcW w:w="1720" w:type="dxa"/>
            <w:vAlign w:val="bottom"/>
          </w:tcPr>
          <w:p>
            <w:pPr>
              <w:ind w:left="660"/>
              <w:spacing w:after="0"/>
              <w:rPr>
                <w:sz w:val="20"/>
                <w:szCs w:val="20"/>
                <w:color w:val="auto"/>
              </w:rPr>
            </w:pPr>
            <w:r>
              <w:rPr>
                <w:rFonts w:ascii="Courier New" w:cs="Courier New" w:eastAsia="Courier New" w:hAnsi="Courier New"/>
                <w:sz w:val="16"/>
                <w:szCs w:val="16"/>
                <w:color w:val="auto"/>
              </w:rPr>
              <w:t>88.67</w:t>
            </w:r>
          </w:p>
        </w:tc>
        <w:tc>
          <w:tcPr>
            <w:tcW w:w="1480" w:type="dxa"/>
            <w:vAlign w:val="bottom"/>
          </w:tcPr>
          <w:p>
            <w:pPr>
              <w:ind w:left="380"/>
              <w:spacing w:after="0"/>
              <w:rPr>
                <w:sz w:val="20"/>
                <w:szCs w:val="20"/>
                <w:color w:val="auto"/>
              </w:rPr>
            </w:pPr>
            <w:r>
              <w:rPr>
                <w:rFonts w:ascii="Courier New" w:cs="Courier New" w:eastAsia="Courier New" w:hAnsi="Courier New"/>
                <w:sz w:val="16"/>
                <w:szCs w:val="16"/>
                <w:color w:val="auto"/>
              </w:rPr>
              <w:t>87.75</w:t>
            </w:r>
          </w:p>
        </w:tc>
        <w:tc>
          <w:tcPr>
            <w:tcW w:w="1360" w:type="dxa"/>
            <w:vAlign w:val="bottom"/>
          </w:tcPr>
          <w:p>
            <w:pPr>
              <w:ind w:left="720"/>
              <w:spacing w:after="0"/>
              <w:rPr>
                <w:sz w:val="20"/>
                <w:szCs w:val="20"/>
                <w:color w:val="auto"/>
              </w:rPr>
            </w:pPr>
            <w:r>
              <w:rPr>
                <w:rFonts w:ascii="Courier New" w:cs="Courier New" w:eastAsia="Courier New" w:hAnsi="Courier New"/>
                <w:sz w:val="16"/>
                <w:szCs w:val="16"/>
                <w:color w:val="auto"/>
              </w:rPr>
              <w:t>91.03</w:t>
            </w:r>
          </w:p>
        </w:tc>
      </w:tr>
      <w:tr>
        <w:trPr>
          <w:trHeight w:val="183"/>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12/31/00</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92.31</w:t>
            </w:r>
          </w:p>
        </w:tc>
        <w:tc>
          <w:tcPr>
            <w:tcW w:w="1380" w:type="dxa"/>
            <w:vAlign w:val="bottom"/>
          </w:tcPr>
          <w:p>
            <w:pPr>
              <w:ind w:left="180"/>
              <w:spacing w:after="0"/>
              <w:rPr>
                <w:sz w:val="20"/>
                <w:szCs w:val="20"/>
                <w:color w:val="auto"/>
              </w:rPr>
            </w:pPr>
            <w:r>
              <w:rPr>
                <w:rFonts w:ascii="Courier New" w:cs="Courier New" w:eastAsia="Courier New" w:hAnsi="Courier New"/>
                <w:sz w:val="16"/>
                <w:szCs w:val="16"/>
                <w:color w:val="auto"/>
              </w:rPr>
              <w:t>89.80</w:t>
            </w:r>
          </w:p>
        </w:tc>
        <w:tc>
          <w:tcPr>
            <w:tcW w:w="1240" w:type="dxa"/>
            <w:vAlign w:val="bottom"/>
          </w:tcPr>
          <w:p>
            <w:pPr>
              <w:ind w:left="140"/>
              <w:spacing w:after="0"/>
              <w:rPr>
                <w:sz w:val="20"/>
                <w:szCs w:val="20"/>
                <w:color w:val="auto"/>
              </w:rPr>
            </w:pPr>
            <w:r>
              <w:rPr>
                <w:rFonts w:ascii="Courier New" w:cs="Courier New" w:eastAsia="Courier New" w:hAnsi="Courier New"/>
                <w:sz w:val="16"/>
                <w:szCs w:val="16"/>
                <w:color w:val="auto"/>
              </w:rPr>
              <w:t>90.75</w:t>
            </w:r>
          </w:p>
        </w:tc>
        <w:tc>
          <w:tcPr>
            <w:tcW w:w="1380" w:type="dxa"/>
            <w:vAlign w:val="bottom"/>
          </w:tcPr>
          <w:p>
            <w:pPr>
              <w:ind w:left="520"/>
              <w:spacing w:after="0"/>
              <w:rPr>
                <w:sz w:val="20"/>
                <w:szCs w:val="20"/>
                <w:color w:val="auto"/>
              </w:rPr>
            </w:pPr>
            <w:r>
              <w:rPr>
                <w:rFonts w:ascii="Courier New" w:cs="Courier New" w:eastAsia="Courier New" w:hAnsi="Courier New"/>
                <w:sz w:val="16"/>
                <w:szCs w:val="16"/>
                <w:color w:val="auto"/>
              </w:rPr>
              <w:t>88.14</w:t>
            </w:r>
          </w:p>
        </w:tc>
        <w:tc>
          <w:tcPr>
            <w:tcW w:w="1720" w:type="dxa"/>
            <w:vAlign w:val="bottom"/>
          </w:tcPr>
          <w:p>
            <w:pPr>
              <w:ind w:left="660"/>
              <w:spacing w:after="0"/>
              <w:rPr>
                <w:sz w:val="20"/>
                <w:szCs w:val="20"/>
                <w:color w:val="auto"/>
              </w:rPr>
            </w:pPr>
            <w:r>
              <w:rPr>
                <w:rFonts w:ascii="Courier New" w:cs="Courier New" w:eastAsia="Courier New" w:hAnsi="Courier New"/>
                <w:sz w:val="16"/>
                <w:szCs w:val="16"/>
                <w:color w:val="auto"/>
              </w:rPr>
              <w:t>88.48</w:t>
            </w:r>
          </w:p>
        </w:tc>
        <w:tc>
          <w:tcPr>
            <w:tcW w:w="1480" w:type="dxa"/>
            <w:vAlign w:val="bottom"/>
          </w:tcPr>
          <w:p>
            <w:pPr>
              <w:ind w:left="380"/>
              <w:spacing w:after="0"/>
              <w:rPr>
                <w:sz w:val="20"/>
                <w:szCs w:val="20"/>
                <w:color w:val="auto"/>
              </w:rPr>
            </w:pPr>
            <w:r>
              <w:rPr>
                <w:rFonts w:ascii="Courier New" w:cs="Courier New" w:eastAsia="Courier New" w:hAnsi="Courier New"/>
                <w:sz w:val="16"/>
                <w:szCs w:val="16"/>
                <w:color w:val="auto"/>
              </w:rPr>
              <w:t>87.64</w:t>
            </w:r>
          </w:p>
        </w:tc>
        <w:tc>
          <w:tcPr>
            <w:tcW w:w="1360" w:type="dxa"/>
            <w:vAlign w:val="bottom"/>
          </w:tcPr>
          <w:p>
            <w:pPr>
              <w:ind w:left="720"/>
              <w:spacing w:after="0"/>
              <w:rPr>
                <w:sz w:val="20"/>
                <w:szCs w:val="20"/>
                <w:color w:val="auto"/>
              </w:rPr>
            </w:pPr>
            <w:r>
              <w:rPr>
                <w:rFonts w:ascii="Courier New" w:cs="Courier New" w:eastAsia="Courier New" w:hAnsi="Courier New"/>
                <w:sz w:val="16"/>
                <w:szCs w:val="16"/>
                <w:color w:val="auto"/>
              </w:rPr>
              <w:t>91.01</w:t>
            </w:r>
          </w:p>
        </w:tc>
      </w:tr>
      <w:tr>
        <w:trPr>
          <w:trHeight w:val="183"/>
        </w:trPr>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03/31/01</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92.24</w:t>
            </w:r>
          </w:p>
        </w:tc>
        <w:tc>
          <w:tcPr>
            <w:tcW w:w="1380" w:type="dxa"/>
            <w:vAlign w:val="bottom"/>
          </w:tcPr>
          <w:p>
            <w:pPr>
              <w:ind w:left="180"/>
              <w:spacing w:after="0"/>
              <w:rPr>
                <w:sz w:val="20"/>
                <w:szCs w:val="20"/>
                <w:color w:val="auto"/>
              </w:rPr>
            </w:pPr>
            <w:r>
              <w:rPr>
                <w:rFonts w:ascii="Courier New" w:cs="Courier New" w:eastAsia="Courier New" w:hAnsi="Courier New"/>
                <w:sz w:val="16"/>
                <w:szCs w:val="16"/>
                <w:color w:val="auto"/>
              </w:rPr>
              <w:t>90.29</w:t>
            </w:r>
          </w:p>
        </w:tc>
        <w:tc>
          <w:tcPr>
            <w:tcW w:w="1240" w:type="dxa"/>
            <w:vAlign w:val="bottom"/>
          </w:tcPr>
          <w:p>
            <w:pPr>
              <w:ind w:left="140"/>
              <w:spacing w:after="0"/>
              <w:rPr>
                <w:sz w:val="20"/>
                <w:szCs w:val="20"/>
                <w:color w:val="auto"/>
              </w:rPr>
            </w:pPr>
            <w:r>
              <w:rPr>
                <w:rFonts w:ascii="Courier New" w:cs="Courier New" w:eastAsia="Courier New" w:hAnsi="Courier New"/>
                <w:sz w:val="16"/>
                <w:szCs w:val="16"/>
                <w:color w:val="auto"/>
              </w:rPr>
              <w:t>90.71</w:t>
            </w:r>
          </w:p>
        </w:tc>
        <w:tc>
          <w:tcPr>
            <w:tcW w:w="1380" w:type="dxa"/>
            <w:vAlign w:val="bottom"/>
          </w:tcPr>
          <w:p>
            <w:pPr>
              <w:ind w:left="520"/>
              <w:spacing w:after="0"/>
              <w:rPr>
                <w:sz w:val="20"/>
                <w:szCs w:val="20"/>
                <w:color w:val="auto"/>
              </w:rPr>
            </w:pPr>
            <w:r>
              <w:rPr>
                <w:rFonts w:ascii="Courier New" w:cs="Courier New" w:eastAsia="Courier New" w:hAnsi="Courier New"/>
                <w:sz w:val="16"/>
                <w:szCs w:val="16"/>
                <w:color w:val="auto"/>
              </w:rPr>
              <w:t>88.59</w:t>
            </w:r>
          </w:p>
        </w:tc>
        <w:tc>
          <w:tcPr>
            <w:tcW w:w="1720" w:type="dxa"/>
            <w:vAlign w:val="bottom"/>
          </w:tcPr>
          <w:p>
            <w:pPr>
              <w:ind w:left="660"/>
              <w:spacing w:after="0"/>
              <w:rPr>
                <w:sz w:val="20"/>
                <w:szCs w:val="20"/>
                <w:color w:val="auto"/>
              </w:rPr>
            </w:pPr>
            <w:r>
              <w:rPr>
                <w:rFonts w:ascii="Courier New" w:cs="Courier New" w:eastAsia="Courier New" w:hAnsi="Courier New"/>
                <w:sz w:val="16"/>
                <w:szCs w:val="16"/>
                <w:color w:val="auto"/>
              </w:rPr>
              <w:t>89.06</w:t>
            </w:r>
          </w:p>
        </w:tc>
        <w:tc>
          <w:tcPr>
            <w:tcW w:w="1480" w:type="dxa"/>
            <w:vAlign w:val="bottom"/>
          </w:tcPr>
          <w:p>
            <w:pPr>
              <w:ind w:left="380"/>
              <w:spacing w:after="0"/>
              <w:rPr>
                <w:sz w:val="20"/>
                <w:szCs w:val="20"/>
                <w:color w:val="auto"/>
              </w:rPr>
            </w:pPr>
            <w:r>
              <w:rPr>
                <w:rFonts w:ascii="Courier New" w:cs="Courier New" w:eastAsia="Courier New" w:hAnsi="Courier New"/>
                <w:sz w:val="16"/>
                <w:szCs w:val="16"/>
                <w:color w:val="auto"/>
              </w:rPr>
              <w:t>87.75</w:t>
            </w:r>
          </w:p>
        </w:tc>
        <w:tc>
          <w:tcPr>
            <w:tcW w:w="1360" w:type="dxa"/>
            <w:vAlign w:val="bottom"/>
          </w:tcPr>
          <w:p>
            <w:pPr>
              <w:ind w:left="720"/>
              <w:spacing w:after="0"/>
              <w:rPr>
                <w:sz w:val="20"/>
                <w:szCs w:val="20"/>
                <w:color w:val="auto"/>
              </w:rPr>
            </w:pPr>
            <w:r>
              <w:rPr>
                <w:rFonts w:ascii="Courier New" w:cs="Courier New" w:eastAsia="Courier New" w:hAnsi="Courier New"/>
                <w:sz w:val="16"/>
                <w:szCs w:val="16"/>
                <w:color w:val="auto"/>
              </w:rPr>
              <w:t>91.03</w:t>
            </w:r>
          </w:p>
        </w:tc>
      </w:tr>
      <w:tr>
        <w:trPr>
          <w:trHeight w:val="734"/>
        </w:trPr>
        <w:tc>
          <w:tcPr>
            <w:tcW w:w="1660" w:type="dxa"/>
            <w:vAlign w:val="bottom"/>
          </w:tcPr>
          <w:p>
            <w:pPr>
              <w:spacing w:after="0"/>
              <w:rPr>
                <w:sz w:val="20"/>
                <w:szCs w:val="20"/>
                <w:color w:val="auto"/>
              </w:rPr>
            </w:pPr>
            <w:r>
              <w:rPr>
                <w:rFonts w:ascii="Courier New" w:cs="Courier New" w:eastAsia="Courier New" w:hAnsi="Courier New"/>
                <w:sz w:val="16"/>
                <w:szCs w:val="16"/>
                <w:color w:val="auto"/>
              </w:rPr>
              <w:t>*CML = Commercial</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917"/>
        </w:trPr>
        <w:tc>
          <w:tcPr>
            <w:tcW w:w="2960" w:type="dxa"/>
            <w:vAlign w:val="bottom"/>
            <w:gridSpan w:val="2"/>
          </w:tcPr>
          <w:p>
            <w:pPr>
              <w:spacing w:after="0"/>
              <w:rPr>
                <w:sz w:val="20"/>
                <w:szCs w:val="20"/>
                <w:color w:val="auto"/>
              </w:rPr>
            </w:pPr>
            <w:r>
              <w:rPr>
                <w:rFonts w:ascii="Courier New" w:cs="Courier New" w:eastAsia="Courier New" w:hAnsi="Courier New"/>
                <w:sz w:val="16"/>
                <w:szCs w:val="16"/>
                <w:color w:val="auto"/>
              </w:rPr>
              <w:t>NOTE H -- RECLASSIFICATIONS</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50"/>
        </w:trPr>
        <w:tc>
          <w:tcPr>
            <w:tcW w:w="5580" w:type="dxa"/>
            <w:vAlign w:val="bottom"/>
            <w:gridSpan w:val="4"/>
          </w:tcPr>
          <w:p>
            <w:pPr>
              <w:spacing w:after="0"/>
              <w:rPr>
                <w:sz w:val="20"/>
                <w:szCs w:val="20"/>
                <w:color w:val="auto"/>
              </w:rPr>
            </w:pPr>
            <w:r>
              <w:rPr>
                <w:rFonts w:ascii="Courier New" w:cs="Courier New" w:eastAsia="Courier New" w:hAnsi="Courier New"/>
                <w:sz w:val="16"/>
                <w:szCs w:val="16"/>
                <w:color w:val="auto"/>
                <w:w w:val="99"/>
              </w:rPr>
              <w:t>Certain amounts previously  reported in the 2000 financial</w:t>
            </w:r>
          </w:p>
        </w:tc>
        <w:tc>
          <w:tcPr>
            <w:tcW w:w="31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statements have been</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3"/>
        </w:trPr>
        <w:tc>
          <w:tcPr>
            <w:tcW w:w="6960" w:type="dxa"/>
            <w:vAlign w:val="bottom"/>
            <w:gridSpan w:val="5"/>
          </w:tcPr>
          <w:p>
            <w:pPr>
              <w:spacing w:after="0"/>
              <w:rPr>
                <w:sz w:val="20"/>
                <w:szCs w:val="20"/>
                <w:color w:val="auto"/>
              </w:rPr>
            </w:pPr>
            <w:r>
              <w:rPr>
                <w:rFonts w:ascii="Courier New" w:cs="Courier New" w:eastAsia="Courier New" w:hAnsi="Courier New"/>
                <w:sz w:val="16"/>
                <w:szCs w:val="16"/>
                <w:color w:val="auto"/>
              </w:rPr>
              <w:t>reclassified to conform to the current period's presentation.</w:t>
            </w: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550"/>
        </w:trPr>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ind w:left="760"/>
              <w:spacing w:after="0"/>
              <w:rPr>
                <w:sz w:val="20"/>
                <w:szCs w:val="20"/>
                <w:color w:val="auto"/>
              </w:rPr>
            </w:pPr>
            <w:r>
              <w:rPr>
                <w:rFonts w:ascii="Courier New" w:cs="Courier New" w:eastAsia="Courier New" w:hAnsi="Courier New"/>
                <w:sz w:val="16"/>
                <w:szCs w:val="16"/>
                <w:color w:val="auto"/>
              </w:rPr>
              <w:t>14</w:t>
            </w: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520"/>
          </w:cols>
          <w:pgMar w:left="240" w:top="664" w:right="139" w:bottom="1440" w:gutter="0" w:footer="0" w:header="0"/>
        </w:sectPr>
      </w:pPr>
    </w:p>
    <w:bookmarkStart w:id="14" w:name="page15"/>
    <w:bookmarkEnd w:id="14"/>
    <w:p>
      <w:pPr>
        <w:jc w:val="both"/>
        <w:ind w:left="860" w:right="2599" w:hanging="857"/>
        <w:spacing w:after="0" w:line="239" w:lineRule="auto"/>
        <w:tabs>
          <w:tab w:leader="none" w:pos="84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189"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The following information should be read in conjunction with the historical financial information and the notes thereto included in Item 1 of this Quarterly Report on Form 10-Q and Management's Discussion and Analysis of Financial Condition and Results of Operations contained in our Annual Report on Form 10-K for the year ended December 31, 2000 as filed with the Securities and Exchange Commission on March 23, 2001.</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Overview</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Operating income (net income less realized gains or losses net of related federal income taxes) increased 5.3%, or $1,715,737, to $34,322,780 in 2001 from $32,607,043 in 2000. Operating income per share increased 6.6% to $.48 per share from $.45 for the same period one year ago. Net income declined slightly as a result of decreased earnings from investments and decreased realized gains on investments. Management operations grew as a result of a 12.8% increase in direct written premiums. Insurance underwriting operations declined in the first quarter of 2001 compared to the same period in 2000 primarily as a result of increased losses in the Company's direct personal lines of business. Revenue from investment operations decreased as the result of a decline in realized gains caused by adverse market conditions as well as losses generated from private equity limited partnerships in 2001.</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Analysis of Management Operations</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Management fee revenue derived from the management operations of the Company, serving as attorney-in-fact for the Exchange, increased 12.8% to $145,669,105 for the three months ended March 31, 2001 from $129,098,508 for the three months ended March 31, 2000 (see also Note G, "Segment Information" which displays management fee revenue by line of business). The management fee rate charged the Exchange in the first quarters of 2001 and 2000 was 25%. The Company's Board of Directors has the authority to change the management fee rate at its discretion, but cannot exceed a rate of 25%.</w:t>
      </w:r>
    </w:p>
    <w:p>
      <w:pPr>
        <w:spacing w:after="0" w:line="189"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The property/casualty direct premium written by the Erie Insurance Group, upon which management fee revenue is based, grew 12.8% to $582,676,418 in the first quarter of 2001 from $516,394,026 for the same period in 2000. Continued improvement in policy retention rates and new policy growth drove the gains experienced in the Group's direct written premium.</w:t>
      </w:r>
    </w:p>
    <w:p>
      <w:pPr>
        <w:spacing w:after="0" w:line="190"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Policies in force increased an annualized 6.9% to 2,914,078 at March 31, 2001 from 2,725,379 at March 31, 2000. Policy retention (the percentage of current Policyholders who have renewed their policies) was 91.03% and 90.72% for the quarters ended March 31, 2001 and 2000, respectively, for all lines of business (see also Note G, "Segment Information" which contains additional rates by line of business).</w:t>
      </w:r>
    </w:p>
    <w:p>
      <w:pPr>
        <w:spacing w:after="0" w:line="187"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Service agreement revenue grew by 22.5% to $6,412,349 in the first quarter of 2001 from $5,232,919 for the same period in 2000. Included in service agreement revenue are service charges the Company collects from Policyholders for providing extended payment terms on policies written by the Group. Such service charges amounted to $3,662,245 and $2,303,055 for the quarters ended March 31, 2001 and 2000, respectively. During the second quarter 2000, this charge increased from $2 to $3 per installment for policies renewing in most states.</w:t>
      </w:r>
    </w:p>
    <w:p>
      <w:pPr>
        <w:spacing w:after="0" w:line="188" w:lineRule="exact"/>
        <w:rPr>
          <w:sz w:val="20"/>
          <w:szCs w:val="20"/>
          <w:color w:val="auto"/>
        </w:rPr>
      </w:pPr>
    </w:p>
    <w:p>
      <w:pPr>
        <w:jc w:val="both"/>
        <w:ind w:right="2599"/>
        <w:spacing w:after="0" w:line="263" w:lineRule="auto"/>
        <w:rPr>
          <w:sz w:val="20"/>
          <w:szCs w:val="20"/>
          <w:color w:val="auto"/>
        </w:rPr>
      </w:pPr>
      <w:r>
        <w:rPr>
          <w:rFonts w:ascii="Courier New" w:cs="Courier New" w:eastAsia="Courier New" w:hAnsi="Courier New"/>
          <w:sz w:val="15"/>
          <w:szCs w:val="15"/>
          <w:color w:val="auto"/>
        </w:rPr>
        <w:t>Also included in service agreement revenue is service income received from the Exchange as compensation for the management and administration of voluntary assumed reinsurance from non-affiliated insurers. The Company receives a service fee of 7.0% of non-affiliated assumed reinsurancepremiums. These fees totaled</w:t>
      </w:r>
    </w:p>
    <w:p>
      <w:pPr>
        <w:spacing w:after="0" w:line="35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1034" w:right="1440" w:bottom="1440" w:gutter="0" w:footer="0" w:header="0"/>
        </w:sectPr>
      </w:pPr>
    </w:p>
    <w:bookmarkStart w:id="15" w:name="page16"/>
    <w:bookmarkEnd w:id="15"/>
    <w:p>
      <w:pPr>
        <w:jc w:val="both"/>
        <w:ind w:left="580" w:right="2599" w:hanging="857"/>
        <w:spacing w:after="0" w:line="239" w:lineRule="auto"/>
        <w:tabs>
          <w:tab w:leader="none" w:pos="560" w:val="left"/>
        </w:tabs>
        <w:rPr>
          <w:sz w:val="20"/>
          <w:szCs w:val="20"/>
          <w:color w:val="auto"/>
        </w:rPr>
      </w:pPr>
      <w:r>
        <w:rPr>
          <w:rFonts w:ascii="Courier New" w:cs="Courier New" w:eastAsia="Courier New" w:hAnsi="Courier New"/>
          <w:sz w:val="16"/>
          <w:szCs w:val="16"/>
          <w:color w:val="auto"/>
        </w:rPr>
        <w:t>ITEM</w:t>
        <w:tab/>
        <w:t>2. MANAGEMENT'S DISCUSSION AND ANALYSIS OF FINANCIAL CONDITION AND RESULTS OF OPERATIONS (CONTINUED)</w:t>
      </w:r>
    </w:p>
    <w:p>
      <w:pPr>
        <w:spacing w:after="0" w:line="189" w:lineRule="exact"/>
        <w:rPr>
          <w:sz w:val="20"/>
          <w:szCs w:val="20"/>
          <w:color w:val="auto"/>
        </w:rPr>
      </w:pPr>
    </w:p>
    <w:p>
      <w:pPr>
        <w:jc w:val="both"/>
        <w:ind w:right="2599"/>
        <w:spacing w:after="0"/>
        <w:rPr>
          <w:sz w:val="20"/>
          <w:szCs w:val="20"/>
          <w:color w:val="auto"/>
        </w:rPr>
      </w:pPr>
      <w:r>
        <w:rPr>
          <w:rFonts w:ascii="Courier New" w:cs="Courier New" w:eastAsia="Courier New" w:hAnsi="Courier New"/>
          <w:sz w:val="16"/>
          <w:szCs w:val="16"/>
          <w:color w:val="auto"/>
        </w:rPr>
        <w:t>$2,750,104 and $2,929,864 for the three months ended March 31, 2001 and 2000 respectively, on net voluntary assumed reinsurance premiums of $39,287,202 and $41,855,200 for the first quarters of 2001 and 2000, respectively.</w:t>
      </w:r>
    </w:p>
    <w:p>
      <w:pPr>
        <w:spacing w:after="0" w:line="190"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The cost of management operations increased 11.4% for the first quarter of 2001 to $108,881,196 from $97,713,545 during the first quarter of 2000. Commissions to independent Agents are the largest component of the cost of management operations. Included in commission expenses are the cost of scheduled commissions earned by independent Agents on premiums written as well as promotional incentives for Agents and Agent contingency awards. Agent contingency awards are based upon a three-year average of the underwriting profitability of the direct business written and serviced by the independent Agent within the Erie Insurance Group of companies. Commission costs totaled $73,592,987 for the first quarter of 2001, an 11.8% increase over the $65,816,070 reported in the first quarter of 2000. The provision for Agent contingency awards totaled $3,675,000 and $4,850,000 in 2001 and 2000, respectively. Commission costs grew more slowly than the growth in direct premium written in the first quarter 2001 due to lower accruals for agent contingency awards relative to the first quarter 2001.</w:t>
      </w:r>
    </w:p>
    <w:p>
      <w:pPr>
        <w:spacing w:after="0" w:line="193"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The cost of management operations excluding commission costs, increased 10.6% for the three months ended March 31, 2001 to $35,288,209 from $31,897,475 recorded in the first quarter of 2000. Personnel costs, including salaries, employee benefits, and payroll taxes, are the second largest component in cost of operations. The Company's personnel costs totaled $21,165,209 for the three month period ended March 31, 2001, compared to $19,478,249 for the same period in 2000, an increase of 8.7%. Personnel costs increased in the first quarter 2001 due to staffing increases and employee pay rate increases. Also driving the increase were increases in both health plan employee benefit costs from increased claims experience when compared to the same period in 2000. The remaining increase in the cost of management operations during 2001 related primarily to information technology consulting expenditures increasing from the same period in 2000.</w:t>
      </w:r>
    </w:p>
    <w:p>
      <w:pPr>
        <w:spacing w:after="0" w:line="192"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Net revenue from the Company's management operations increased 18.0% to $43,200,258 for the three months ended March 31, 2001 from $36,617,882 for the same period in 2000. The gross margin from management operations (net revenue divided by total revenue) increased to 28.4% in the first quarter of 2001, compared to the gross margin of 27.3% reported in the first quarter of 2000.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Analysis of Insurance Underwriting Operations</w:t>
      </w:r>
    </w:p>
    <w:p>
      <w:pPr>
        <w:spacing w:after="0" w:line="188"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The insurance underwriting operations on the Company's property/casualty insurance subsidiaries, EIC and EINY, which together assume a 5.5% share of the underwriting results of the Erie Insurance Group under an intercompany pooling agreement, declined during the first quarter of 2001 when compared to the same period in 2000.</w:t>
      </w:r>
    </w:p>
    <w:p>
      <w:pPr>
        <w:spacing w:after="0" w:line="190"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The Company's insurance underwriting operations recorded underwriting losses of $3,537,907 and $3,202,914 in the first quarter of 2001 and 2000, respectively. The Company recognized premiums earned of $32,173,914 for the quarter ended March 31, 2001, a 7.6 percent increase over the $29,891,067 reported in the first quarter of 2000. The 2001 underwriting loss resulted from increased losses in the direct business of the Company's property/casualty subsidiaries, primarily in private passenger automobile and homeowners insurance and continued losses in commercial insurance.</w:t>
      </w:r>
    </w:p>
    <w:p>
      <w:pPr>
        <w:spacing w:after="0" w:line="189" w:lineRule="exact"/>
        <w:rPr>
          <w:sz w:val="20"/>
          <w:szCs w:val="20"/>
          <w:color w:val="auto"/>
        </w:rPr>
      </w:pPr>
    </w:p>
    <w:p>
      <w:pPr>
        <w:jc w:val="both"/>
        <w:ind w:right="2599"/>
        <w:spacing w:after="0"/>
        <w:rPr>
          <w:sz w:val="20"/>
          <w:szCs w:val="20"/>
          <w:color w:val="auto"/>
        </w:rPr>
      </w:pPr>
      <w:r>
        <w:rPr>
          <w:rFonts w:ascii="Courier New" w:cs="Courier New" w:eastAsia="Courier New" w:hAnsi="Courier New"/>
          <w:sz w:val="16"/>
          <w:szCs w:val="16"/>
          <w:color w:val="auto"/>
        </w:rPr>
        <w:t>EIC and EINY have in effect an all-lines aggregate excess of loss reinsurance agreement with the Exchange to limit their net retained share of ultimate net losses in any applicable accident year.</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851" w:right="1440" w:bottom="1440" w:gutter="0" w:footer="0" w:header="0"/>
        </w:sectPr>
      </w:pPr>
    </w:p>
    <w:bookmarkStart w:id="16" w:name="page17"/>
    <w:bookmarkEnd w:id="16"/>
    <w:p>
      <w:pPr>
        <w:jc w:val="both"/>
        <w:ind w:left="860" w:right="2599" w:hanging="857"/>
        <w:spacing w:after="0" w:line="239" w:lineRule="auto"/>
        <w:tabs>
          <w:tab w:leader="none" w:pos="84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 (CONTINUED)</w:t>
      </w:r>
    </w:p>
    <w:p>
      <w:pPr>
        <w:spacing w:after="0" w:line="189"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This reinsurance treaty is excluded from the intercompany pooling agreement. The annual premium paid to the Exchange for the agreement totaled $909,617 and $748,523 for the quarter ended March 31, 2001 and 2000, respectively. During the first quarter 2001, the Company's property/casualty insurance subsidiaries recorded loss recoveries through this excess of loss agreement with the Exchange amounting to $352,179. No amounts were recovered under this agreement for the year 2000.</w:t>
      </w:r>
    </w:p>
    <w:p>
      <w:pPr>
        <w:spacing w:after="0" w:line="188"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The GAAP combined ratio for the Company's property/casualty insurance operations was 111.0% for the three months ended March 31, 2001 compared to a ratio of 110.7% for the same period in 2000. The GAAP combined ratio represents the ratio of loss, loss adjustment, acquisition, and other underwriting expenses incurred to premiums earned.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Analysis of Investment Operations</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Net revenue from investment operations for the first quarter of 2001 decreased 37.5% to $12,196,084 from $19,514,795 in the first quarter of 2000. Realized gains on investments decreased $4,792,936 to $711,576 in 2001 primarily as the result of the Company taking advantage of favorable stock market conditions in the first quarter of 2000. Equity in earnings of limited partnerships decreased $2,395,019 in the first quarter of 2001 when compared with the same period in 2000 as a result of partnership losses in private equity limited partnerships.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CONDITION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The Company's investment strategy takes a long-term perspective emphasizing investment quality, diversification and superior investment returns. Investments are managed on a total return approach that focuses on current income and capital appreciation. The Company's investment strategy also provides for liquidity to meet the short- and long-term commitments of the Company. At March 31, 2001, the Company's investment portfolio of investment-grade bonds, common stock, preferred stock and cash and cash equivalents totaled $732.2 million, or 42.4%, of total assets. These investments provide the liquidity the Company requires to meet the demands on its funds.</w:t>
      </w:r>
    </w:p>
    <w:p>
      <w:pPr>
        <w:spacing w:after="0" w:line="189"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At March 31, 2001, 90.2% of total investments consist of fixed maturities and equity securities. Mortgage loans and limited partnerships, represented 9.8% of total investments at that date. Mortgage loans on real estate and limited partnerships have the potential for higher returns, but also carry more risk, including less liquidity and greater uncertainty in the rate of return. Fixed income and real estate limited partnerships at March 31, 2001, which comprise 29.8% of the total limited partnerships, produce a predictable earnings stream while private equity limited partnerships, which comprise 70.2% of the total limited partnerships at March 31, 2001, tend to provide a less predictable earnings stream.</w:t>
      </w:r>
    </w:p>
    <w:p>
      <w:pPr>
        <w:spacing w:after="0" w:line="190"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The Company's investments are subject to certain risks, including interest rate and price risk. The Company monitors exposure to interest rate risk through periodic reviews of asset and liability positions. Estimates of cash flows and the impact of interest rate fluctuations relating to the investment portfolio are monitored regularly.</w:t>
      </w:r>
    </w:p>
    <w:p>
      <w:pPr>
        <w:spacing w:after="0" w:line="188" w:lineRule="exact"/>
        <w:rPr>
          <w:sz w:val="20"/>
          <w:szCs w:val="20"/>
          <w:color w:val="auto"/>
        </w:rPr>
      </w:pPr>
    </w:p>
    <w:p>
      <w:pPr>
        <w:spacing w:after="0"/>
        <w:tabs>
          <w:tab w:leader="none" w:pos="4560" w:val="left"/>
        </w:tabs>
        <w:rPr>
          <w:sz w:val="20"/>
          <w:szCs w:val="20"/>
          <w:color w:val="auto"/>
        </w:rPr>
      </w:pPr>
      <w:r>
        <w:rPr>
          <w:rFonts w:ascii="Courier New" w:cs="Courier New" w:eastAsia="Courier New" w:hAnsi="Courier New"/>
          <w:sz w:val="16"/>
          <w:szCs w:val="16"/>
          <w:color w:val="auto"/>
        </w:rPr>
        <w:t>The Company's objective is to earn competitive</w:t>
      </w:r>
      <w:r>
        <w:rPr>
          <w:sz w:val="20"/>
          <w:szCs w:val="20"/>
          <w:color w:val="auto"/>
        </w:rPr>
        <w:tab/>
      </w:r>
      <w:r>
        <w:rPr>
          <w:rFonts w:ascii="Courier New" w:cs="Courier New" w:eastAsia="Courier New" w:hAnsi="Courier New"/>
          <w:sz w:val="15"/>
          <w:szCs w:val="15"/>
          <w:color w:val="auto"/>
        </w:rPr>
        <w:t>relative returns by investing in</w:t>
      </w:r>
    </w:p>
    <w:p>
      <w:pPr>
        <w:spacing w:after="0" w:line="5"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a diverse portfolio of high-quality, liquid securities. Portfolio characteristics are analyzed regularly and market risk is actively managed through a variety of techniques. Portfolio holdings are diversified across industries and concentrations in any one company or industry are limited by parameters established by management and the Company's Board of Directors.</w:t>
      </w: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67" w:right="1440" w:bottom="1440" w:gutter="0" w:footer="0" w:header="0"/>
        </w:sectPr>
      </w:pPr>
    </w:p>
    <w:bookmarkStart w:id="17" w:name="page18"/>
    <w:bookmarkEnd w:id="17"/>
    <w:p>
      <w:pPr>
        <w:jc w:val="both"/>
        <w:ind w:left="860" w:right="2599" w:hanging="857"/>
        <w:spacing w:after="0" w:line="239" w:lineRule="auto"/>
        <w:tabs>
          <w:tab w:leader="none" w:pos="84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 (CONTINUED)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8" w:lineRule="exact"/>
        <w:rPr>
          <w:sz w:val="20"/>
          <w:szCs w:val="20"/>
          <w:color w:val="auto"/>
        </w:rPr>
      </w:pPr>
    </w:p>
    <w:p>
      <w:pPr>
        <w:jc w:val="both"/>
        <w:ind w:right="2599"/>
        <w:spacing w:after="0" w:line="259" w:lineRule="auto"/>
        <w:rPr>
          <w:sz w:val="20"/>
          <w:szCs w:val="20"/>
          <w:color w:val="auto"/>
        </w:rPr>
      </w:pPr>
      <w:r>
        <w:rPr>
          <w:rFonts w:ascii="Courier New" w:cs="Courier New" w:eastAsia="Courier New" w:hAnsi="Courier New"/>
          <w:sz w:val="15"/>
          <w:szCs w:val="15"/>
          <w:color w:val="auto"/>
        </w:rPr>
        <w:t>Liquidity is a measure an entity's ability to secure enough cash to meet its contractual obligations and operating needs. Operating cash flows are generated from management operations as the attorney-in-fact for the Exchange, the net cash flow from the EIC's 5% and the EINY's .5% participation in the underwriting results of the reinsurance pool with the Exchange, and the Company's investment income from affiliated and non-affiliated investments. With respect to the management fee, funds are generally received from the Exchange on a premiums collected basis. The other receivable from Erie Insurance Exchange and affiliates represents the management fee receivable from premiums written but not yet collected as well as the management fee receivable on premiums collected in the current month, net of operating expenses paid by the Exchange. The amount of this receivable payable from the Exchange to the Company at March 31, 2001 was $17 million. The Company pays commissions on premiums collected rather than written premiums. Cash outflows are variable because of the fluctuations in settlement dates for liabilities for unpaid losses and because of the potential for large losses, either individually or in aggregate.</w:t>
      </w:r>
    </w:p>
    <w:p>
      <w:pPr>
        <w:spacing w:after="0" w:line="367"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The Company generates sufficient net positive cash flow from its operations to fund its commitments, repurchase its common stock, and build its investment portfolio, thereby increasing future investment returns. The Company also maintains a high degree of liquidity in its investment portfolio in the form of readily marketable fixed maturities, equity securities and short-term investments.</w:t>
      </w:r>
    </w:p>
    <w:p>
      <w:pPr>
        <w:spacing w:after="0" w:line="187"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Dividends declared and paid to shareholders in the three months ended March 31, 2001 and 2000, totaled $9,838,817 and $8,852,950, respectively. There are no regulatory restrictions on the payment of dividends to the Company's shareholders, although there are state law restrictions on the payment of dividends from the Company's insurance subsidiaries to the Company. Dividends from subsidiaries are not material to the Company's cash flows.</w:t>
      </w:r>
    </w:p>
    <w:p>
      <w:pPr>
        <w:spacing w:after="0" w:line="187"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Temporary differences between the financial statement carrying amounts and tax bases of assets and liabilities that give rise to deferred tax assets and liabilities resulted in net deferred tax liabilities at March 31, 2001 of $8,415,668 and at December 31, 2000 of $7,161,544. The primary reason for the increase in the deferred tax liability is an increase in unrealized gains from available-for-sale securities resulting in an increased deferred tax liability in 2001.</w:t>
      </w:r>
    </w:p>
    <w:p>
      <w:pPr>
        <w:spacing w:after="0" w:line="188"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At March 31, 2001 and December 31, 2000, the Company's receivables from its affiliates totaled $584,197,412 and $532,008,287, respectively. These receivables, primarily due from the Exchange, as a result of the management fee, expense reimbursements and the intercompany reinsurance pool, represent a concentration of credit risk.</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REPURCHASE PLAN</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Beginning in 1999, the Company established a stock repurchase program. The Company may repurchase as much as $120 million of its outstanding Class A common stock through December 31, 2002. During the first quarter of 2001, 17,100 shares were repurchased at a total cost of $476,294 or an average price of $27.85. The Company repurchased 352,750 shares at a total cost of $10,658,695 or an average price of $30.22 during the first quarter of 2000. The Company may purchase the shares from time to time in the open market or through privately negotiated transactions, depending on prevailing market conditions and alternative uses of the Company's capital.</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67" w:right="1440" w:bottom="1440" w:gutter="0" w:footer="0" w:header="0"/>
        </w:sectPr>
      </w:pPr>
    </w:p>
    <w:bookmarkStart w:id="18" w:name="page19"/>
    <w:bookmarkEnd w:id="18"/>
    <w:p>
      <w:pPr>
        <w:jc w:val="both"/>
        <w:ind w:left="860" w:right="2599" w:hanging="857"/>
        <w:spacing w:after="0" w:line="239" w:lineRule="auto"/>
        <w:tabs>
          <w:tab w:leader="none" w:pos="84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 (CONTINUED)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REDEMPTION PLAN</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On March 13, 2001, the Board of Directors approved the recommendation of the Executive Committee to terminate the Stock Redemption Plan. The Plan had entitled estates of qualified shareholders to cause the Company to redeem shares of stock of the Company at a price equal to the fair market value of the Stock at the time of redemption, subject to certain limitations. No shares were ever redeemed by the Company under the Plan.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FACTORS THAT MAY EFFECT FUTURE RESULTS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 Increases</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In 2000, the Erie Insurance Group filed for rate increases in its private passenger auto, commercial auto and workers' compensation insurance lines of business in Pennsylvania, Maryland and Indiana. These increases were sought to offset growing loss costs in these lines of business as discussed earlier. The requests will result in an estimated $18.9 million increase in written premium for 2001 for the Group, if they are approved by state regulators. These increases, if approved, will result in an additional $4.7 million in annual gross revenue from management operations, assuming no change in the current management fee rate.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Technology Costs</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In 2001, the Company began the development of several eCommerce initiatives in support of the Erie Insurance Group's business model of distributing insurance products exclusively through independent agents. The eCommerce program includes initiatives to replace property/casualty policy administration, rating and underwriting systems as well as customer interaction systems. The eCommerce program also includes significant information technology infrastructure expenditures. The program is intended to improve service and efficiency, as well as result in increased sales. Total five-year expenditures for the program are estimated at $150 to $175 million. The cost of these initiatives will be shared among several companies of the Erie Insurance Group, including the Company. Based on preliminary estimates, the after-tax effect on net income of the Company is estimated to reduce earnings per share between $0.08 and $0.12 for 2001 and between $0.05 and $0.07 per share for each of the next four years of the program.</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QUANTITATIVE AND QUALITATIVE DISCLOSURES ABOUT MARKET RISK</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The Company's exposure to market risk is primarily related to fluctuations in prices and interest rates. Quantitative and qualitative disclosures about market risk resulting from changes in prices and interest rates are included in Item 7A. in the Company's 2000 Annual Report on Form 10-K. There have been no material changes in such risks or the Company's periodic reviews of asset and liability positions during the three months ended March 31, 2001. The information contained in the Investments section of Management's Discussion and Analysis of Financial Condition and Results of Operations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Certain forward-looking statements contained herein involve risks and uncertainties. Many factors could cause future results to differ materially from those discussed. Examples of such factors include variations in catastrophe losses due to changes in weather patterns or other natural causes; changes in insurance regulations or legislation that disadvantage the members of the Group in the marketplace and recession, economic conditions or stock market changes affecting pricing or demand for insurance products or ability to generate investment income. Growth and profitability have been and will be potentially materially affected by these and other factors.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6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8"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Information concerning the legal proceedings of the Company is incorporated by reference to pages 20 through 22 in the section "Legal Proceedings" in the Company's definitive Proxy Statement with respect to the Company's Annual Meeting of Shareholders to be held on April 24, 2001 filed with the Securities and Exchange Commission on March 28, 2001.</w:t>
      </w:r>
    </w:p>
    <w:p>
      <w:pPr>
        <w:spacing w:after="0" w:line="190"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On April 5, 2001, a Stipulation among Mrs. Hagen, Bankers Trust, and the Company was filed with the Court whereby these three parties agreed to accept the April 24th Ruling as a final adjudication of this matter. As a consequence of this Stipulation agreement, Mrs. Hagen withdrew her Motion for Judgment on the Pleadings. The Company's execution of the Stipulation did not bind any other parties other than the signatories to the Stipulation. As a result of the Stipulation, the hearing scheduled for April 10, 2001 was ordered cancelled by the Court.</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8"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The Company did not file any exhibits or reports on Form 8-K during the three month period ended March 31, 2001.</w:t>
      </w:r>
    </w:p>
    <w:p>
      <w:pPr>
        <w:spacing w:after="0" w:line="186"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Item 11.</w:t>
      </w:r>
      <w:r>
        <w:rPr>
          <w:sz w:val="20"/>
          <w:szCs w:val="20"/>
          <w:color w:val="auto"/>
        </w:rPr>
        <w:tab/>
      </w:r>
      <w:r>
        <w:rPr>
          <w:rFonts w:ascii="Courier New" w:cs="Courier New" w:eastAsia="Courier New" w:hAnsi="Courier New"/>
          <w:sz w:val="15"/>
          <w:szCs w:val="15"/>
          <w:color w:val="auto"/>
        </w:rPr>
        <w:t>Statement Regarding Computation of Per Share Earnings: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Three Months Ended March 31,</w:t>
            </w:r>
          </w:p>
        </w:tc>
      </w:tr>
      <w:tr>
        <w:trPr>
          <w:trHeight w:val="183"/>
        </w:trPr>
        <w:tc>
          <w:tcPr>
            <w:tcW w:w="4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2001</w:t>
            </w:r>
          </w:p>
        </w:tc>
        <w:tc>
          <w:tcPr>
            <w:tcW w:w="340" w:type="dxa"/>
            <w:vAlign w:val="bottom"/>
          </w:tcPr>
          <w:p>
            <w:pPr>
              <w:spacing w:after="0"/>
              <w:rPr>
                <w:sz w:val="15"/>
                <w:szCs w:val="15"/>
                <w:color w:val="auto"/>
              </w:rPr>
            </w:pP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4200" w:type="dxa"/>
            <w:vAlign w:val="bottom"/>
          </w:tcPr>
          <w:p>
            <w:pPr>
              <w:spacing w:after="0"/>
              <w:rPr>
                <w:sz w:val="15"/>
                <w:szCs w:val="15"/>
                <w:color w:val="auto"/>
              </w:rPr>
            </w:pPr>
          </w:p>
        </w:tc>
        <w:tc>
          <w:tcPr>
            <w:tcW w:w="16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Class A weighted average common shares</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200" w:type="dxa"/>
            <w:vAlign w:val="bottom"/>
          </w:tcPr>
          <w:p>
            <w:pPr>
              <w:ind w:left="280"/>
              <w:spacing w:after="0"/>
              <w:rPr>
                <w:sz w:val="20"/>
                <w:szCs w:val="20"/>
                <w:color w:val="auto"/>
              </w:rPr>
            </w:pPr>
            <w:r>
              <w:rPr>
                <w:rFonts w:ascii="Courier New" w:cs="Courier New" w:eastAsia="Courier New" w:hAnsi="Courier New"/>
                <w:sz w:val="16"/>
                <w:szCs w:val="16"/>
                <w:color w:val="auto"/>
              </w:rPr>
              <w:t>outstanding (stated value $.0292)</w:t>
            </w:r>
          </w:p>
        </w:tc>
        <w:tc>
          <w:tcPr>
            <w:tcW w:w="38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64,048,234</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64,932,010</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Class B common shares outstanding</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200" w:type="dxa"/>
            <w:vAlign w:val="bottom"/>
          </w:tcPr>
          <w:p>
            <w:pPr>
              <w:ind w:left="280"/>
              <w:spacing w:after="0"/>
              <w:rPr>
                <w:sz w:val="20"/>
                <w:szCs w:val="20"/>
                <w:color w:val="auto"/>
              </w:rPr>
            </w:pPr>
            <w:r>
              <w:rPr>
                <w:rFonts w:ascii="Courier New" w:cs="Courier New" w:eastAsia="Courier New" w:hAnsi="Courier New"/>
                <w:sz w:val="16"/>
                <w:szCs w:val="16"/>
                <w:color w:val="auto"/>
              </w:rPr>
              <w:t>(stated value $70)</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200" w:type="dxa"/>
            <w:vAlign w:val="bottom"/>
          </w:tcPr>
          <w:p>
            <w:pPr>
              <w:ind w:left="480"/>
              <w:spacing w:after="0"/>
              <w:rPr>
                <w:sz w:val="20"/>
                <w:szCs w:val="20"/>
                <w:color w:val="auto"/>
              </w:rPr>
            </w:pPr>
            <w:r>
              <w:rPr>
                <w:rFonts w:ascii="Courier New" w:cs="Courier New" w:eastAsia="Courier New" w:hAnsi="Courier New"/>
                <w:sz w:val="16"/>
                <w:szCs w:val="16"/>
                <w:color w:val="auto"/>
              </w:rPr>
              <w:t>Conversion of Class B shares to</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200" w:type="dxa"/>
            <w:vAlign w:val="bottom"/>
          </w:tcPr>
          <w:p>
            <w:pPr>
              <w:ind w:left="480"/>
              <w:spacing w:after="0"/>
              <w:rPr>
                <w:sz w:val="20"/>
                <w:szCs w:val="20"/>
                <w:color w:val="auto"/>
              </w:rPr>
            </w:pPr>
            <w:r>
              <w:rPr>
                <w:rFonts w:ascii="Courier New" w:cs="Courier New" w:eastAsia="Courier New" w:hAnsi="Courier New"/>
                <w:sz w:val="16"/>
                <w:szCs w:val="16"/>
                <w:color w:val="auto"/>
              </w:rPr>
              <w:t>Class A shares (one share of Class B</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200" w:type="dxa"/>
            <w:vAlign w:val="bottom"/>
          </w:tcPr>
          <w:p>
            <w:pPr>
              <w:ind w:left="480"/>
              <w:spacing w:after="0"/>
              <w:rPr>
                <w:sz w:val="20"/>
                <w:szCs w:val="20"/>
                <w:color w:val="auto"/>
              </w:rPr>
            </w:pPr>
            <w:r>
              <w:rPr>
                <w:rFonts w:ascii="Courier New" w:cs="Courier New" w:eastAsia="Courier New" w:hAnsi="Courier New"/>
                <w:sz w:val="16"/>
                <w:szCs w:val="16"/>
                <w:color w:val="auto"/>
              </w:rPr>
              <w:t>for 2,400 shares of Class A)</w:t>
            </w:r>
          </w:p>
        </w:tc>
        <w:tc>
          <w:tcPr>
            <w:tcW w:w="38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7,368,000</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7,368,000</w:t>
            </w:r>
          </w:p>
        </w:tc>
      </w:tr>
      <w:tr>
        <w:trPr>
          <w:trHeight w:val="183"/>
        </w:trPr>
        <w:tc>
          <w:tcPr>
            <w:tcW w:w="4200" w:type="dxa"/>
            <w:vAlign w:val="bottom"/>
          </w:tcPr>
          <w:p>
            <w:pPr>
              <w:spacing w:after="0"/>
              <w:rPr>
                <w:sz w:val="15"/>
                <w:szCs w:val="15"/>
                <w:color w:val="auto"/>
              </w:rPr>
            </w:pPr>
          </w:p>
        </w:tc>
        <w:tc>
          <w:tcPr>
            <w:tcW w:w="16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Total weighted average shares outstanding</w:t>
            </w:r>
          </w:p>
        </w:tc>
        <w:tc>
          <w:tcPr>
            <w:tcW w:w="38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71,416,234</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72,300,010</w:t>
            </w:r>
          </w:p>
        </w:tc>
      </w:tr>
      <w:tr>
        <w:trPr>
          <w:trHeight w:val="183"/>
        </w:trPr>
        <w:tc>
          <w:tcPr>
            <w:tcW w:w="4200" w:type="dxa"/>
            <w:vAlign w:val="bottom"/>
          </w:tcPr>
          <w:p>
            <w:pPr>
              <w:spacing w:after="0"/>
              <w:rPr>
                <w:sz w:val="15"/>
                <w:szCs w:val="15"/>
                <w:color w:val="auto"/>
              </w:rPr>
            </w:pPr>
          </w:p>
        </w:tc>
        <w:tc>
          <w:tcPr>
            <w:tcW w:w="16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34,785,305</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36,184,976</w:t>
            </w:r>
          </w:p>
        </w:tc>
      </w:tr>
      <w:tr>
        <w:trPr>
          <w:trHeight w:val="183"/>
        </w:trPr>
        <w:tc>
          <w:tcPr>
            <w:tcW w:w="4200" w:type="dxa"/>
            <w:vAlign w:val="bottom"/>
          </w:tcPr>
          <w:p>
            <w:pPr>
              <w:spacing w:after="0"/>
              <w:rPr>
                <w:sz w:val="15"/>
                <w:szCs w:val="15"/>
                <w:color w:val="auto"/>
              </w:rPr>
            </w:pPr>
          </w:p>
        </w:tc>
        <w:tc>
          <w:tcPr>
            <w:tcW w:w="16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Net income per share</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3"/>
        </w:trPr>
        <w:tc>
          <w:tcPr>
            <w:tcW w:w="4200" w:type="dxa"/>
            <w:vAlign w:val="bottom"/>
          </w:tcPr>
          <w:p>
            <w:pPr>
              <w:spacing w:after="0"/>
              <w:rPr>
                <w:sz w:val="15"/>
                <w:szCs w:val="15"/>
                <w:color w:val="auto"/>
              </w:rPr>
            </w:pPr>
          </w:p>
        </w:tc>
        <w:tc>
          <w:tcPr>
            <w:tcW w:w="16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200" w:type="dxa"/>
            <w:vAlign w:val="bottom"/>
          </w:tcPr>
          <w:p>
            <w:pPr>
              <w:ind w:left="3720"/>
              <w:spacing w:after="0"/>
              <w:rPr>
                <w:sz w:val="20"/>
                <w:szCs w:val="20"/>
                <w:color w:val="auto"/>
              </w:rPr>
            </w:pPr>
            <w:r>
              <w:rPr>
                <w:rFonts w:ascii="Courier New" w:cs="Courier New" w:eastAsia="Courier New" w:hAnsi="Courier New"/>
                <w:sz w:val="16"/>
                <w:szCs w:val="16"/>
                <w:color w:val="auto"/>
              </w:rPr>
              <w:t>20</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848"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right="2599" w:firstLine="95"/>
        <w:spacing w:after="0" w:line="239" w:lineRule="auto"/>
        <w:rPr>
          <w:sz w:val="20"/>
          <w:szCs w:val="20"/>
          <w:color w:val="auto"/>
        </w:rPr>
      </w:pPr>
      <w:r>
        <w:rPr>
          <w:rFonts w:ascii="Courier New" w:cs="Courier New" w:eastAsia="Courier New" w:hAnsi="Courier New"/>
          <w:sz w:val="16"/>
          <w:szCs w:val="16"/>
          <w:color w:val="auto"/>
        </w:rPr>
        <w:t>Exchange Act of 1934, the signed on its behalf by the</w:t>
      </w:r>
    </w:p>
    <w:p>
      <w:pPr>
        <w:spacing w:after="0" w:line="382" w:lineRule="exact"/>
        <w:rPr>
          <w:sz w:val="20"/>
          <w:szCs w:val="20"/>
          <w:color w:val="auto"/>
        </w:rPr>
      </w:pPr>
    </w:p>
    <w:p>
      <w:pPr>
        <w:sectPr>
          <w:pgSz w:w="11900" w:h="16838" w:orient="portrait"/>
          <w:cols w:equalWidth="0" w:num="2">
            <w:col w:w="4760" w:space="100"/>
            <w:col w:w="5359"/>
          </w:cols>
          <w:pgMar w:left="240" w:top="848" w:right="1440" w:bottom="1440" w:gutter="0" w:footer="0" w:header="0"/>
        </w:sectPr>
      </w:pPr>
    </w:p>
    <w:p>
      <w:pPr>
        <w:spacing w:after="0" w:line="170"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Erie Indemnity Company</w:t>
      </w:r>
    </w:p>
    <w:p>
      <w:pPr>
        <w:spacing w:after="0" w:line="2"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(Registrant)</w:t>
      </w:r>
    </w:p>
    <w:p>
      <w:pPr>
        <w:spacing w:after="0" w:line="186"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Date:</w:t>
        <w:tab/>
        <w:t>April 19, 2001</w:t>
      </w:r>
    </w:p>
    <w:p>
      <w:pPr>
        <w:spacing w:after="0" w:line="2" w:lineRule="exact"/>
        <w:rPr>
          <w:sz w:val="20"/>
          <w:szCs w:val="20"/>
          <w:color w:val="auto"/>
        </w:rPr>
      </w:pPr>
    </w:p>
    <w:p>
      <w:pPr>
        <w:ind w:left="4000"/>
        <w:spacing w:after="0"/>
        <w:tabs>
          <w:tab w:leader="none" w:pos="456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6"/>
          <w:szCs w:val="16"/>
          <w:color w:val="auto"/>
        </w:rPr>
        <w:t>Stephen A. Milne</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Stephen A. Milne, President &amp; CEO</w:t>
      </w:r>
    </w:p>
    <w:p>
      <w:pPr>
        <w:spacing w:after="0" w:line="186" w:lineRule="exact"/>
        <w:rPr>
          <w:sz w:val="20"/>
          <w:szCs w:val="20"/>
          <w:color w:val="auto"/>
        </w:rPr>
      </w:pPr>
    </w:p>
    <w:p>
      <w:pPr>
        <w:ind w:left="4000"/>
        <w:spacing w:after="0"/>
        <w:tabs>
          <w:tab w:leader="none" w:pos="456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6"/>
          <w:szCs w:val="16"/>
          <w:color w:val="auto"/>
        </w:rPr>
        <w:t>Philip A. Garcia</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Philip A. Garcia, Executive Vice President &amp; CFO</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21</w:t>
      </w:r>
    </w:p>
    <w:sectPr>
      <w:pgSz w:w="11900" w:h="16838" w:orient="portrait"/>
      <w:cols w:equalWidth="0" w:num="1">
        <w:col w:w="10219"/>
      </w:cols>
      <w:pgMar w:left="240" w:top="84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2)"/>
      <w:numFmt w:val="decimal"/>
      <w:start w:val="81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2019-12-14T03:07:30Z</dcterms:created>
  <dcterms:modified xsi:type="dcterms:W3CDTF">2019-12-14T03:07:30Z</dcterms:modified>
</cp:coreProperties>
</file>