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UNITED STATES 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9" w:lineRule="exact"/>
        <w:rPr>
          <w:sz w:val="24"/>
          <w:szCs w:val="24"/>
          <w:color w:val="auto"/>
        </w:rPr>
      </w:pPr>
    </w:p>
    <w:p>
      <w:pPr>
        <w:jc w:val="center"/>
        <w:ind w:left="4160" w:right="1480" w:hanging="2614"/>
        <w:spacing w:after="0" w:line="266" w:lineRule="auto"/>
        <w:tabs>
          <w:tab w:leader="none" w:pos="178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2025</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OR</w:t>
      </w:r>
    </w:p>
    <w:p>
      <w:pPr>
        <w:spacing w:after="0" w:line="18" w:lineRule="exact"/>
        <w:rPr>
          <w:rFonts w:ascii="MS PGothic" w:cs="MS PGothic" w:eastAsia="MS PGothic" w:hAnsi="MS PGothic"/>
          <w:sz w:val="18"/>
          <w:szCs w:val="18"/>
          <w:color w:val="auto"/>
        </w:rPr>
      </w:pPr>
    </w:p>
    <w:p>
      <w:pPr>
        <w:ind w:left="1620" w:hanging="24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0-24000</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22225</wp:posOffset>
            </wp:positionV>
            <wp:extent cx="3291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880" w:type="dxa"/>
        <w:tblCellMar>
          <w:top w:w="0" w:type="dxa"/>
          <w:left w:w="0" w:type="dxa"/>
          <w:bottom w:w="0" w:type="dxa"/>
          <w:right w:w="0" w:type="dxa"/>
        </w:tblCellMar>
      </w:tblPr>
      <w:tr>
        <w:trPr>
          <w:trHeight w:val="223"/>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color w:val="auto"/>
              </w:rPr>
              <w:t>Pennsylvania</w:t>
            </w:r>
          </w:p>
        </w:tc>
        <w:tc>
          <w:tcPr>
            <w:tcW w:w="416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25-0466020</w:t>
            </w:r>
          </w:p>
        </w:tc>
      </w:tr>
      <w:tr>
        <w:trPr>
          <w:trHeight w:val="210"/>
        </w:trPr>
        <w:tc>
          <w:tcPr>
            <w:tcW w:w="4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0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41"/>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100 Erie Insurance Place,</w:t>
            </w:r>
          </w:p>
        </w:tc>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Erie,  Pennsylvania</w:t>
            </w:r>
          </w:p>
        </w:tc>
        <w:tc>
          <w:tcPr>
            <w:tcW w:w="416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16530</w:t>
            </w:r>
          </w:p>
        </w:tc>
      </w:tr>
      <w:tr>
        <w:trPr>
          <w:trHeight w:val="207"/>
        </w:trPr>
        <w:tc>
          <w:tcPr>
            <w:tcW w:w="4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00" w:type="dxa"/>
            <w:vAlign w:val="bottom"/>
          </w:tcPr>
          <w:p>
            <w:pPr>
              <w:spacing w:after="0"/>
              <w:rPr>
                <w:sz w:val="17"/>
                <w:szCs w:val="17"/>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814 870-2000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20320</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Class A common stock, stated value $0.0292 per share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ERIE</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207"/>
        </w:trPr>
        <w:tc>
          <w:tcPr>
            <w:tcW w:w="45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(Title of each class)</w:t>
            </w:r>
          </w:p>
        </w:tc>
        <w:tc>
          <w:tcPr>
            <w:tcW w:w="20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200" w:type="dxa"/>
            <w:vAlign w:val="bottom"/>
          </w:tcPr>
          <w:p>
            <w:pPr>
              <w:spacing w:after="0"/>
              <w:rPr>
                <w:sz w:val="17"/>
                <w:szCs w:val="17"/>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bl>
    <w:p>
      <w:pPr>
        <w:spacing w:after="0" w:line="7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14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ind w:right="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25" w:right="399" w:bottom="915" w:gutter="0" w:footer="0" w:header="0"/>
        </w:sectPr>
      </w:pPr>
    </w:p>
    <w:p>
      <w:pPr>
        <w:spacing w:after="0" w:line="28" w:lineRule="exact"/>
        <w:rPr>
          <w:sz w:val="24"/>
          <w:szCs w:val="24"/>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566" w:lineRule="exact"/>
        <w:rPr>
          <w:sz w:val="24"/>
          <w:szCs w:val="24"/>
          <w:color w:val="auto"/>
        </w:rPr>
      </w:pPr>
    </w:p>
    <w:p>
      <w:pPr>
        <w:sectPr>
          <w:pgSz w:w="11900" w:h="16838" w:orient="portrait"/>
          <w:cols w:equalWidth="0" w:num="6">
            <w:col w:w="1600" w:space="620"/>
            <w:col w:w="980" w:space="720"/>
            <w:col w:w="1580" w:space="640"/>
            <w:col w:w="980" w:space="720"/>
            <w:col w:w="1220" w:space="540"/>
            <w:col w:w="1580"/>
          </w:cols>
          <w:pgMar w:left="320" w:top="225" w:right="399" w:bottom="915" w:gutter="0" w:footer="0" w:header="0"/>
          <w:type w:val="continuous"/>
        </w:sectPr>
      </w:pPr>
    </w:p>
    <w:p>
      <w:pPr>
        <w:spacing w:after="0" w:line="57" w:lineRule="exact"/>
        <w:rPr>
          <w:sz w:val="24"/>
          <w:szCs w:val="24"/>
          <w:color w:val="auto"/>
        </w:r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2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5"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Aggregate market value of voting and non-voting common stock held by non-affiliates as of the last business day of the registrant's most recently completed second fiscal quarter: $8.7 billion of Class A non-voting common stock as of June 30, 2025. There is no active market for the Class B voting common stock. The Class B common stock is closely held by few shareholders.</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46,189,068 shares of Class A common stock and 2,542 shares of Class B common stock outstanding on February 17, 2026.</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6" w:lineRule="exact"/>
        <w:rPr>
          <w:sz w:val="24"/>
          <w:szCs w:val="24"/>
          <w:color w:val="auto"/>
        </w:rPr>
      </w:pPr>
    </w:p>
    <w:p>
      <w:pPr>
        <w:ind w:right="300"/>
        <w:spacing w:after="0" w:line="302" w:lineRule="auto"/>
        <w:rPr>
          <w:sz w:val="20"/>
          <w:szCs w:val="20"/>
          <w:color w:val="auto"/>
        </w:rPr>
      </w:pPr>
      <w:r>
        <w:rPr>
          <w:rFonts w:ascii="Times New Roman" w:cs="Times New Roman" w:eastAsia="Times New Roman" w:hAnsi="Times New Roman"/>
          <w:sz w:val="14"/>
          <w:szCs w:val="14"/>
          <w:color w:val="auto"/>
        </w:rPr>
        <w:t>Portions of Part III of this Form 10-K (Items 10, 11, 12, 13, and 14) are incorporated by reference to the information statement on Schedule 14C to be filed with the Securities and Exchange Commission no later than 120 days after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91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12"/>
          </w:tcPr>
          <w:p>
            <w:pPr>
              <w:jc w:val="center"/>
              <w:ind w:right="480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47"/>
        </w:trPr>
        <w:tc>
          <w:tcPr>
            <w:tcW w:w="20" w:type="dxa"/>
            <w:vAlign w:val="bottom"/>
          </w:tcPr>
          <w:p>
            <w:pPr>
              <w:spacing w:after="0"/>
              <w:rPr>
                <w:sz w:val="24"/>
                <w:szCs w:val="24"/>
                <w:color w:val="auto"/>
              </w:rPr>
            </w:pPr>
          </w:p>
        </w:tc>
        <w:tc>
          <w:tcPr>
            <w:tcW w:w="4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PART</w:t>
            </w:r>
          </w:p>
        </w:tc>
        <w:tc>
          <w:tcPr>
            <w:tcW w:w="720" w:type="dxa"/>
            <w:vAlign w:val="bottom"/>
          </w:tcPr>
          <w:p>
            <w:pPr>
              <w:spacing w:after="0"/>
              <w:rPr>
                <w:sz w:val="24"/>
                <w:szCs w:val="24"/>
                <w:color w:val="auto"/>
              </w:rPr>
            </w:pPr>
          </w:p>
        </w:tc>
        <w:tc>
          <w:tcPr>
            <w:tcW w:w="40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NUMBER AND CAPTION</w:t>
            </w:r>
          </w:p>
        </w:tc>
        <w:tc>
          <w:tcPr>
            <w:tcW w:w="640" w:type="dxa"/>
            <w:vAlign w:val="bottom"/>
            <w:tcBorders>
              <w:top w:val="single" w:sz="8" w:color="auto"/>
            </w:tcBorders>
            <w:gridSpan w:val="3"/>
          </w:tcPr>
          <w:p>
            <w:pPr>
              <w:spacing w:after="0"/>
              <w:rPr>
                <w:sz w:val="24"/>
                <w:szCs w:val="24"/>
                <w:color w:val="auto"/>
              </w:rPr>
            </w:pPr>
          </w:p>
        </w:tc>
        <w:tc>
          <w:tcPr>
            <w:tcW w:w="4800" w:type="dxa"/>
            <w:vAlign w:val="bottom"/>
            <w:gridSpan w:val="9"/>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668"/>
        </w:trPr>
        <w:tc>
          <w:tcPr>
            <w:tcW w:w="20" w:type="dxa"/>
            <w:vAlign w:val="bottom"/>
          </w:tcPr>
          <w:p>
            <w:pPr>
              <w:spacing w:after="0"/>
              <w:rPr>
                <w:sz w:val="24"/>
                <w:szCs w:val="24"/>
                <w:color w:val="auto"/>
              </w:rPr>
            </w:pPr>
          </w:p>
        </w:tc>
        <w:tc>
          <w:tcPr>
            <w:tcW w:w="48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u w:val="single" w:color="auto"/>
                <w:color w:val="0000FF"/>
              </w:rPr>
              <w:t>I</w:t>
            </w:r>
          </w:p>
        </w:tc>
        <w:tc>
          <w:tcPr>
            <w:tcW w:w="72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340" w:type="dxa"/>
            <w:vAlign w:val="bottom"/>
            <w:tcBorders>
              <w:top w:val="single" w:sz="8" w:color="auto"/>
            </w:tcBorders>
            <w:gridSpan w:val="6"/>
          </w:tcPr>
          <w:p>
            <w:pPr>
              <w:spacing w:after="0"/>
              <w:rPr>
                <w:sz w:val="24"/>
                <w:szCs w:val="24"/>
                <w:color w:val="auto"/>
              </w:rPr>
            </w:pPr>
          </w:p>
        </w:tc>
        <w:tc>
          <w:tcPr>
            <w:tcW w:w="1660" w:type="dxa"/>
            <w:vAlign w:val="bottom"/>
            <w:tcBorders>
              <w:top w:val="single" w:sz="8" w:color="auto"/>
            </w:tcBorders>
            <w:gridSpan w:val="9"/>
          </w:tcPr>
          <w:p>
            <w:pPr>
              <w:ind w:left="200"/>
              <w:spacing w:after="0"/>
              <w:rPr>
                <w:sz w:val="20"/>
                <w:szCs w:val="20"/>
                <w:color w:val="auto"/>
              </w:rPr>
            </w:pPr>
            <w:r>
              <w:rPr>
                <w:rFonts w:ascii="Times New Roman" w:cs="Times New Roman" w:eastAsia="Times New Roman" w:hAnsi="Times New Roman"/>
                <w:sz w:val="18"/>
                <w:szCs w:val="18"/>
                <w:color w:val="0000FF"/>
              </w:rPr>
              <w:t>Business</w:t>
            </w:r>
          </w:p>
        </w:tc>
        <w:tc>
          <w:tcPr>
            <w:tcW w:w="7020" w:type="dxa"/>
            <w:vAlign w:val="bottom"/>
            <w:gridSpan w:val="18"/>
          </w:tcPr>
          <w:p>
            <w:pPr>
              <w:spacing w:after="0"/>
              <w:rPr>
                <w:sz w:val="24"/>
                <w:szCs w:val="24"/>
                <w:color w:val="auto"/>
              </w:rPr>
            </w:pPr>
          </w:p>
        </w:tc>
        <w:tc>
          <w:tcPr>
            <w:tcW w:w="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Cybersecurity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3"/>
          </w:tcPr>
          <w:p>
            <w:pPr>
              <w:spacing w:after="0"/>
              <w:rPr>
                <w:sz w:val="18"/>
                <w:szCs w:val="18"/>
                <w:color w:val="auto"/>
              </w:rPr>
            </w:pPr>
          </w:p>
        </w:tc>
        <w:tc>
          <w:tcPr>
            <w:tcW w:w="200" w:type="dxa"/>
            <w:vAlign w:val="bottom"/>
            <w:gridSpan w:val="3"/>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Properties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0" w:type="dxa"/>
            <w:vAlign w:val="bottom"/>
          </w:tcPr>
          <w:p>
            <w:pPr>
              <w:spacing w:after="0"/>
              <w:rPr>
                <w:sz w:val="18"/>
                <w:szCs w:val="18"/>
                <w:color w:val="auto"/>
              </w:rPr>
            </w:pP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w:t>
            </w:r>
          </w:p>
        </w:tc>
        <w:tc>
          <w:tcPr>
            <w:tcW w:w="7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260" w:type="dxa"/>
            <w:vAlign w:val="bottom"/>
            <w:gridSpan w:val="5"/>
          </w:tcPr>
          <w:p>
            <w:pPr>
              <w:spacing w:after="0"/>
              <w:rPr>
                <w:sz w:val="24"/>
                <w:szCs w:val="24"/>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[RESERVED]</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7A.</w:t>
            </w: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1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340" w:type="dxa"/>
            <w:vAlign w:val="bottom"/>
            <w:gridSpan w:val="6"/>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9A.</w:t>
            </w: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III</w:t>
            </w:r>
          </w:p>
        </w:tc>
        <w:tc>
          <w:tcPr>
            <w:tcW w:w="72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200" w:type="dxa"/>
            <w:vAlign w:val="bottom"/>
            <w:gridSpan w:val="3"/>
          </w:tcPr>
          <w:p>
            <w:pPr>
              <w:spacing w:after="0"/>
              <w:rPr>
                <w:sz w:val="24"/>
                <w:szCs w:val="24"/>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220" w:type="dxa"/>
            <w:vAlign w:val="bottom"/>
            <w:gridSpan w:val="4"/>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220" w:type="dxa"/>
            <w:vAlign w:val="bottom"/>
            <w:gridSpan w:val="4"/>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220" w:type="dxa"/>
            <w:vAlign w:val="bottom"/>
            <w:gridSpan w:val="4"/>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IV</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4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260" w:type="dxa"/>
            <w:vAlign w:val="bottom"/>
            <w:gridSpan w:val="5"/>
          </w:tcPr>
          <w:p>
            <w:pPr>
              <w:spacing w:after="0"/>
              <w:rPr>
                <w:sz w:val="18"/>
                <w:szCs w:val="18"/>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Form 10-K Summary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80" w:type="dxa"/>
            <w:vAlign w:val="bottom"/>
            <w:gridSpan w:val="27"/>
          </w:tcPr>
          <w:p>
            <w:pPr>
              <w:ind w:left="200"/>
              <w:spacing w:after="0"/>
              <w:rPr>
                <w:sz w:val="20"/>
                <w:szCs w:val="20"/>
                <w:color w:val="auto"/>
              </w:rPr>
            </w:pPr>
            <w:r>
              <w:rPr>
                <w:rFonts w:ascii="Times New Roman" w:cs="Times New Roman" w:eastAsia="Times New Roman" w:hAnsi="Times New Roman"/>
                <w:sz w:val="18"/>
                <w:szCs w:val="18"/>
                <w:color w:val="0000FF"/>
              </w:rPr>
              <w:t>Signatures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4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20" w:type="dxa"/>
            <w:vAlign w:val="bottom"/>
            <w:gridSpan w:val="14"/>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The Exchange has wholly owned property and casualty insurance subsidiaries including: Erie Insurance Company, Erie Insurance Company of New York, Erie Insurance Property &amp; Casualty Company and Flagship City Insurance Company, and a wholly owned life insurance company, Erie Family Life Insurance Company ("EFL").</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not to exceed 25%, of the direct and affiliated assumed premiums written by the Exchange. The management fee rate is set at least annually by our Board of Directors.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operate under a single reportable segment: management operations. Financial information about this segment is set forth in and referenced to Item 8. “Financial Statements and Supplementary Data - Note 4, Segment Information, of Notes to Consolidated Financial Statements” contained within this report. Further discussion of financial results for our single operating segment is provided in and referenced to Item 7. “Management's Discussion and Analysis of Financial Condition and Results of Operations” contained within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71% of our 2025 policy issuance and renewal expenses. The underwriting services we provide include underwriting and policy processing and comprised approximately 8% of our 2025 policy issuance and renewal expenses. The remaining services we provide include customer service and administrative support. We also provide information technology services that support all the functions listed above that comprised approximately 10% of our 2025 policy issuance and renewal expenses. Included in these expenses are allocations of costs for departments that support these policy issuance and renewal functions.</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Erie Insurance Exchange</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As our primary purpose is to manage the affairs at the Exchange for the benefit of the subscribers (policyholders) through the policy issuance and renewal services and administrative services, the Exchange is our sole customer. Our earnings are largely generated from management fees based on the direct and affiliated assumed premiums written by the Exchange. We have no direct competition in providing these services to the Exchange.</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Exchange generates revenue by insuring preferred and standard risks, with personal lines comprising 71% of the 2025 direct and affiliated assumed written premiums and commercial lines comprising the remaining 29%. The principal personal lines products are private passenger automobile and homeowners. The principal commercial lines products are commercial multi-peril, commercial automobile, and workers compensation. Historically, due to policy renewal and sales patterns, the Exchange's direct and affiliated assumed written premiums tend to be greater in the second and third quarters than in the first and fourth quarters of the calendar year.</w:t>
      </w:r>
    </w:p>
    <w:p>
      <w:pPr>
        <w:spacing w:after="0" w:line="2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fees we receive. We also have an exposure to a concentration of credit risk related to the unsecured receivables due from the Exchange for net management fee and other reimbursements. See Part II, Item 8. "Financial Statements and Supplementary Data - Note 16, Concentrations of Credit Risk, of Notes to Consolidated Financial Statements" contained within this report. See the risk factors related to our dependency on the growth and financial condition of the Exchange in Item 1A. "Risk Factors" contained within this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 There are a limited number of companies that provide services under a reciprocal insurance exchange structure. We do not directly compete against other such companies, given we are appointed by the subscribers at the Exchange to provide these services.</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direct and affiliated assumed premiums written by the Exchange drive our management fee, which is our primary source of revenue. The property and casualty insurance industry is highly competitive. 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exists from large, well-capitalized national companies, some of which have broad distribution networks of employed or captive agents, by smaller regional insurers, and by large companies who market and sell personal lines products directly to consumers. Innovations by competitors or other market participants may also increase the level of competition in the industry. In addition, because the insurance products of the Exchange are marketed exclusively through independent insurance agents, the Exchange faces competition within its appointed agencies based upon ease of doing business, product, price, and service relationships.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profitability. Growth is a product of a company's ability to retain existing customers and to attract new customers, as well as movement in the average premium per policy.</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Exchange's business model is designed to provide the advantages of localized marketing and claims servicing with the economies of scale and low cost of operations from centralized support services. Indemnity, as part of its role managing and conducting the business and affairs of the Exchange, also carefully selects the independent agencies that represent the Exchange, which seeks to be the lead insurer with its agents in order to enhance the agency relationship and the likelihood of receiving the most desirable underwriting opportunities from its agents.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Exchange’s strategic focus as a reciprocal insurer is to employ a disciplined underwriting philosophy and to leverage its strong surplus position to generate higher risk adjusted investment returns. The goal is to produce acceptable returns, on a long-term basis, through careful risk selection, appropriate pricing and superior investment returns. This focus allows the Exchange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accomplish its mission of providing as near perfect protection, as near perfect service as is humanly possible at the lowest possible cost.</w:t>
      </w:r>
    </w:p>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Our human capital management strategy, including initiatives to shape our workforce and workplace, is designed to attract, retain, and develop talent to ensure we are well positioned for the future. Our partnership with our employees is one of the cornerstones of our success.</w:t>
      </w:r>
    </w:p>
    <w:p>
      <w:pPr>
        <w:spacing w:after="0" w:line="2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employee value proposition includes a culture that focuses on physical, financial, and emotional well-being. We strive to maintain a positive employee experience through a continuous listening approach that seeks employee feedback through various mechanisms such as periodic pulse surveys and all-employee engagement surveys and forums. We offer competitive pay with a signature and affordable benefits package including options designed to meet the unique needs of our employees and their families. Employees have access to an employee assistance plan, mental and emotional well-being resources, emergency child and elder care providers, adoption assistance, and infertility assistance, among others. We hold a shared responsibility view of retirement planning whereby we provide tools and resources that employees are expected to use to achieve their retirement goals. We set ourselves apart by offering both a 401(k) savings plan and a noncontributory defined benefit pension plan. We encourage a work/life balance for all employees and recognize the need for employee flexibility by offering an allowance of remote work days to use throughout the year.</w:t>
      </w:r>
    </w:p>
    <w:p>
      <w:pPr>
        <w:spacing w:after="0" w:line="2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 engaged workforce is necessary for accomplishing organizational objectives and our portfolio of employee experience initiatives demonstrates our commitment to provide employees an engaging environment throughout all stages of their careers. We offer professional development opportunities that are designed to prepare employees for future career growth. Employees have access to skills enhancement training and programs as well as a generous tuition reimbursement program for higher education. We also grow and develop our employees by offering talent mobility opportunities such as expanded leadership experience, job shadowing, cross-training, stretch assignments, and formal career development programs. We also have a comprehensive succession planning process designed to ensure continuity in critical roles as well as to support employee development.</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employees also share in our values to give back and make a positive difference in their communities. We offer a volunteer program that provides employees with an allotment of paid hours annually to volunteer with eligible nonprofit organizations. We also offer a matching gifts program for donations to eligible nonprofit organizations.</w:t>
      </w:r>
    </w:p>
    <w:p>
      <w:pPr>
        <w:spacing w:after="0" w:line="20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recognize the importance of unique backgrounds and experiences and are committed to providing equal employment opportunity for all employees. Our recruiting strategy includes access to multiple talent channels. We work to expand our pool of potential talent to include an array of skills, backgrounds, and experiences. We also offer a Future Focus internship program that provides opportunities for college students to gain relevant and real-world business experience in the insurance industry. Additionally, we foster a collaborative and welcoming workplace by offering nine voluntary affinity networks that are open to all employees, and five business resource groups. Affinity networks are employee-driven groups designed to foster greater awareness and a culture of inclusion. Business resource groups address business issues by aligning cross-functional teams of employees to our business strategy, providing a broader approach to problem-solving and innovation.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Workforce Metrics</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2025, our total workforce consists of 6,667 full-time employees, which includes approximately 50% of employees who provide claims and life insurance management services exclusively for the Exchange and its insurance subsidiaries. The Exchange and its insurance subsidiaries reimburse us monthly for the cost of these services.</w:t>
      </w:r>
    </w:p>
    <w:p>
      <w:pPr>
        <w:spacing w:after="0" w:line="2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average employee tenure in 2025 was 10.9 years with an overall voluntary turnover rate of 6.3%. We continue to monitor turnover trends to determine the appropriate actions to ensure we are well positioned for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Indemnity and the Exchange, and its wholly owned subsidiaries, meet the definition of an insurance holding company system.</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Exchange and its wholly owned subsidiaries at any time, and may require disclosure and/or prior approval of certain transactions with the insurers and us, as an insurance holding company.</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any amendments to those reports are available free of charge on our website at </w:t>
      </w:r>
      <w:r>
        <w:rPr>
          <w:rFonts w:ascii="Times New Roman" w:cs="Times New Roman" w:eastAsia="Times New Roman" w:hAnsi="Times New Roman"/>
          <w:sz w:val="18"/>
          <w:szCs w:val="18"/>
          <w:u w:val="single" w:color="auto"/>
          <w:color w:val="auto"/>
        </w:rPr>
        <w:t>www.erieinsurance.com</w:t>
      </w:r>
      <w:r>
        <w:rPr>
          <w:rFonts w:ascii="Times New Roman" w:cs="Times New Roman" w:eastAsia="Times New Roman" w:hAnsi="Times New Roman"/>
          <w:sz w:val="18"/>
          <w:szCs w:val="18"/>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 100 Erie Insurance Place, Erie, PA 16530, or calling (800) 458-0811.</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risks have been divided into the following categories:</w:t>
      </w:r>
    </w:p>
    <w:p>
      <w:pPr>
        <w:spacing w:after="0" w:line="24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Risks related to Erie Insurance Exchange </w:t>
      </w:r>
      <w:r>
        <w:rPr>
          <w:rFonts w:ascii="Times New Roman" w:cs="Times New Roman" w:eastAsia="Times New Roman" w:hAnsi="Times New Roman"/>
          <w:sz w:val="18"/>
          <w:szCs w:val="18"/>
          <w:color w:val="auto"/>
        </w:rPr>
        <w:t>– risks related to our dependence on our relationship with the Exchange associated with management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growth, and financial condition, as the Exchange is our sole customer and principal source of revenue</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risks </w:t>
      </w:r>
      <w:r>
        <w:rPr>
          <w:rFonts w:ascii="Times New Roman" w:cs="Times New Roman" w:eastAsia="Times New Roman" w:hAnsi="Times New Roman"/>
          <w:sz w:val="18"/>
          <w:szCs w:val="18"/>
          <w:color w:val="auto"/>
        </w:rPr>
        <w:t>– risks stemming from events or circumstances that directly or indirectly affect our operations, including our operations as attorney-in-fact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subscribers at the Exchange</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Capital, and Liquidity risks </w:t>
      </w:r>
      <w:r>
        <w:rPr>
          <w:rFonts w:ascii="Times New Roman" w:cs="Times New Roman" w:eastAsia="Times New Roman" w:hAnsi="Times New Roman"/>
          <w:sz w:val="18"/>
          <w:szCs w:val="18"/>
          <w:color w:val="auto"/>
        </w:rPr>
        <w:t>– risks that may impact the values or results of our investment portfolio, ability to meet financial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or obtain capital as necessary</w:t>
      </w:r>
    </w:p>
    <w:p>
      <w:pPr>
        <w:spacing w:after="0" w:line="1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Although we have organized risks generally according to these categories in the discussion below, risks may have impacts in more than one category and are included where the impact is most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Erie Insurance Exchange</w:t>
      </w:r>
    </w:p>
    <w:p>
      <w:pPr>
        <w:spacing w:after="0" w:line="25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If the management fee rate retained by Indemnity is reduced or if there is a significant decrease in the amount of direct and affiliated assumed premiums written by the Exchange, revenues and profitability could be materially adversely affected.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dependent upon management fees we retain, which represent our principal source of revenue. In accordance with the subscriber's agreement with the subscribers at the Exchange, we may retain up to 25% of all direct and affiliated assumed premiums written by the Exchange. Therefore, management fee revenue from the Exchange is calculated by multiplying the management fee rate by the direct and affiliated assumed premiums written by the Exchange. Accordingly, any reduction in direct and affiliated assumed premiums written by the Exchange and/or the management fee rate could decrease our revenues and net income.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management fee rate is set at least annually by our Board of Directors and may not exceed 25% of the direct and affiliated assumed premiums written by the Exchange.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 Regulatory or other third-party action affecting the management fee rate could also materially adversely affect our revenues and profitability.</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Serving as the attorney-in-fact for subscribers in the reciprocal insurance exchange structure with the Exchange being our sole customer, the growth of the Exchange could directly affect our operating revenue, which is largely generated from management fees based on the direct and affiliated assumed premiums written by the Exchange. If the Exchange's ability to grow or renew policies or implement rate changes were adversely impacted, the premium revenue of the Exchange could be adversely affected, which could reduce our management fee revenue. The circumstances or events that might impair the Exchange's ability to grow include, but are not limited to, the items discussed below.</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Unfavorable changes in macroeconomic conditions for any reason, including declining consumer confidence, inflation, high unemployment, lower demand for certain services, reduced personal income, and recession, among others, may lead the Exchange's customers to modify coverage, not renew policies, or even cancel policies, which could adversely affect the premium revenue of the Exchange, and consequently our management fee revenue.</w:t>
      </w:r>
    </w:p>
    <w:p>
      <w:pPr>
        <w:spacing w:after="0" w:line="2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direct written premium of the Exchange is impacted by the premium rates charged for policies. The Exchange writes policies almost exclusively with annual terms, therefore, premium rate actions take 12 months to be fully recognized in written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premium. The Exchange also writes certain personal auto policies with a rate locking feature. These product features generally extend the amount of time it takes for premium rate actions to be recognized related to these policies, affecting the premium revenue of the Exchange, and consequently our management fee revenue.</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offer lower rates, or introduce innovative services in response to evolving customer preferences, and the Exchange is unable to implement product or service improvements quickly enough to keep pace, its ability to grow and renew its business may be adversely impacted. In addition, due to the Exchange's premium concentration in the automobile and homeowners insurance markets, it may be more sensitive to trends that could affect auto and home insurance coverages and rates over time, for example changing vehicle types or usage, usage-based methods of determining premiums, ownership and driving patterns such as ride sharing or remote work, advancements in vehicle or home technology or safety features such as accident and loss prevention technologies, the development of autonomous vehicles, or residential occupancy patterns, among other factors. Innovations, including the use of artificial intelligence and machine learning to support underwriting or other decisions, by competitors or other market participants may increase the level of competition in the industry. If the Exchange fails to respond to those innovations on a timely basis, its competitive position and results may be materially adversely affected.</w:t>
      </w: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place business with competing insurers, or if the Exchange is unsuccessful in attracting or retaining agencies in its distribution system or maintaining its relationships with those agencies, the Exchange's ability to grow and renew its business may be adversely impacted. Additionally, shifting consumer behaviors toward increased digital interactions may cause the insurance industry as a whole to migrate to a delivery system other than independent agencies.</w:t>
      </w:r>
    </w:p>
    <w:p>
      <w:pPr>
        <w:spacing w:after="0" w:line="2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Exchange maintains a brand recognized for customer service, which is the result of Indemnity's management of the Exchange in accordance with the subscriber's agreement. The perceived performance, actions, conduct and behaviors of employees, independent insurance agency representatives, and third-party service providers may result in reputational harm to the Exchange's brand. Specific incidents which may cause harm include but are not limited to disputes, long customer wait times, errors in processing a claim, failure to protect sensitive customer data, and negative or inaccurate social media or traditional media communications. Likewise, an inability to match or exceed the service provided by competitors, who are increasingly relying on digital delivery and enhanced distribution technology, may impede the Exchange's ability to maintain and/or grow its customer base. If an extreme catastrophic event were to occur in a heavily concentrated geographic area of subscribers (policyholders), an extraordinarily high number of claims could have the potential to strain claims processing and affect the Exchange's ability to service its customers. If third-party service providers fail to perform as anticipated, the Exchange may experience operational difficulties, increased costs, and reputational damage. Similarly, the Exchange's brand could be tarnished by reactions to business practices, adverse financial developments, perceptions of our corporate governance, and how we address employee matters and concerns, the conduct of our employees, officers and directors, or environmental, social and governance (ESG) practices, including corporate diversity, equity and inclusion (DEI) initiatives. Failure to satisfy expectations in these areas may result in negative publicity or other adverse outcomes, which could be aggravated as the expectations of consumers, regulators and other stakeholders evolve and as social media and other forms of modern communication rapidly magnify reactions. Any reputational harm to the Exchange could have the potential to impair its ability to grow and renew its business.</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As the attorney-in-fact for subscribers in the reciprocal insurance exchange structure with the Exchange as our sole customer, we are dependent on the financial condition of the Exchange. If the Exchange were to fail to maintain acceptable financial strength ratings, its competitive position in the insurance industry could be adversely affected. If a rating downgrade led to customers not renewing or canceling policies, or impacted the Exchange's ability to attract new customers, the premium revenue of the Exchange could be adversely affected, which could reduce our management fee revenue. The circumstances or events that might impair the Exchange's financial condition include, but are not limited to, the items discussed below.</w:t>
      </w:r>
    </w:p>
    <w:p>
      <w:pPr>
        <w:spacing w:after="0" w:line="21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("Excellent"). AM Best periodically reviews the Exchange's ratings and changes their rating criteria; therefore, the Exchange's current rating may not be maintained in the future. A significant downgrade in the AM Best rating could reduce the competitive position of the Exchange, making it more difficult to</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attract profitable business in the highly competitive property and casualty insurance market and potentially result in reduced sales of its products and lower premium revenue.</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Additionally, a portion of the Exchange's common stock and limited partnership portfolios are exposed to foreign exchange rate risk, or the potential loss in estimated fair value resulting from adverse changes in foreign currency exchange rates.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transactions between affiliates, risk management, cybersecurity and data privacy, and ESG practices. Such regulation and supervision are primarily for the benefit and protection of policyholders. Changes in applicable insurance laws, tax statutes, cyber, privacy, and other laws and regulations, or changes in the way regulators administer those laws, tax statutes, or regulations could adversely impact the Exchange's business, cash flows, results of operations, financial condition, or operating environment and increase its exposure to loss or put it at a competitive disadvantage, which could result in reduced sales of its products and lower premium revenue.</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Property and casualty insurers face a significant risk of litigation and state and federal regulatory investigations, inquiries and actions in the ordinary course of operating their businesses, including the risk of class action lawsuits. Plaintiffs in class action and other lawsuits against the Exchange may seek large or indeterminate amounts of damages, including punitive and treble damages, the ultimate amounts of which may remain unknown for substantial periods of time.</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uncertainty of risks that emerge upon the occurrence of significant unexpected events, such as pandemics, or unexpected economic or social inflation caused by supply chain issues, changes in tariffs, societal trends, or otherwise, may cause additional challenges in the process of estimating loss and loss adjustment expense reserves or premiums to accommodate future claims and expenses. For example, the behavior of claimants and policyholders, including increased attorney involvement and third-party litigation financing, could result in higher jury awards. Furthermore, actions taken by governmental bodies, both legislative and regulatory, in reaction to significant unexpected events, and their related impacts, are hard to predict. Technology advancements, such as electric and autonomous vehicles, could impact frequency or severity of losses. The models that are used to determine appropriate premium levels, forecast future losses and expenses, estimate loss and loss adjustment expense reserves, and assess financial strength may be created or deployed in a manner that results in inaccurate predictions. Additionally, as the Exchange writes policies almost exclusively with annual terms, premium rate actions take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to be fully recognized in written premium and another 12 months to earn the increased or decreased premiums in full. The Exchange also writes</w:t>
      </w:r>
    </w:p>
    <w:p>
      <w:pPr>
        <w:spacing w:after="0" w:line="5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certain personal auto policies with a rate locking feature, which generally extends the amount of time it takes for premium rate actions to be recognized related to these policies. These risks may result in changes to the Exchange's estimated level of loss and loss adjustment expense reserves or impact the adequacy of premiums to accommodate future claims and expenses.</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insurance industry practices and legal, judicial, social and other environmental factors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 adversely affect the Exchange's business by either extending coverage beyond its underwriting intent or by increasing the number or size of claims. If there were legislative action in response to a pandemic or other significant unexpected event that retroactively mandated coverage irrespective of terms, exclusions or other conditions included in policies that would otherwise preclude coverage, it could have a material impact on the financial condition, results of operations and cash flows of the Exchange.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Exchange's insurance operations are exposed to claims arising out of catastrophes. Common natural catastrophic events in the Exchange's footprint include tropical cyclones, earthquakes, severe convective storms, and severe winter weather. Additional perils that the Exchange is exposed to through its assumed property reinsurance portfolio include wildfires, tsunamis, and floods. The frequency and severity of these catastrophes are inherently uncertain. Changing climate conditions have created additional uncertainty regarding the future trends in the frequency and severity of natural disasters. Increases in the insured value and geographic concentration of exposures, as well as the impact of inflation, may increase the severity of catastrophe losses. A single catastrophic occurrence or aggregation of multiple smaller occurrences within the geographical region of the Exchange or its assumed property reinsurance portfolio could adversely affect the financial condition of the Exchange. Man-made disasters such as terrorist attacks and riots could also cause losses from insurance claims related to the property and casualty insurance operations, which could adversely affect its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costs of providing services to the Exchange are not controlled, our profitability could be materially adversely affected.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subscriber's agreement, we perform policy issuance and renewal services for the subscribers at the Exchange and we serve as the attorney-in-fact on behalf of the subscribers at the Exchange with respect to administrative services. The most significant costs we incur in providing policy issuance and renewal services are commissions, employee costs, and technology costs.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Commissions to independent agents are our largest expense. Commissions include scheduled commissions to agents based upon premiums written as well as incentive compensation, which is earned by achieving certain targeted measures. Changes to commission rates or incentive programs may result in increased future costs and lower profitability. Our agent incentive compensation includes a property and casualty underwriting profitability component. Any significant decrease in claims frequency and loss expenses could improve the profitability component, resulting in increased agent compensation costs. Our second largest expense category includes employee costs such as salaries, healthcare, pension, and other benefit costs. Regulatory developments, provider relationships, and demographic and economic factors that are beyond our control, such as inflation and increased labor market competition, are indicators that employee costs could increase, which could reduce our profitability or impact our personnel strategy. The defined benefit pension plan we offer to our employees is affected by variable factors such as the interest rate used to discount pension liabilities, asset performance, and changes in retirement patterns, which are beyond our control, and any related future cost increases could reduce our profitability.</w:t>
      </w:r>
    </w:p>
    <w:p>
      <w:pPr>
        <w:spacing w:after="0" w:line="2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Technological development is necessary to facilitate ease of doing business for employees, agents, and customers. Our technological developments are focused on simplifying and improving the employee, agent, and customer experiences, increasing efficiencies, redesigning products, and addressing other potentially disruptive changes in the insurance industry, including the use of artificial intelligence. As we continue to develop technology initiatives in order to remain competitive, our profitability could be negatively impacted as we invest in system development.</w:t>
      </w:r>
    </w:p>
    <w:p>
      <w:pPr>
        <w:spacing w:after="0" w:line="20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attract, develop, retain, and protect talented executives, key managers, and employees our financial condition and results of operations could be adversely affected.</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success is largely dependent upon our ability to attract and retain talented executives and other key management. Talent is defined as people with the right skills, knowledge, abilities, character, and motivation. The loss of the services and leadership of certain key officers and the failure to plan for turnover or retirement or to attract and develop talented new executives and managers could prevent us from successfully communicating, implementing, and executing business strategies. Additionally, our executives and other key management may be subject to physical or cyber threats, which if realized, could adversely affect our business operations.</w:t>
      </w:r>
    </w:p>
    <w:p>
      <w:pPr>
        <w:spacing w:after="0" w:line="21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success also depends on our ability to attract, develop, and retain a talented employee base. The inability to staff all functions of our business with employees possessing the appropriate talent could have an adverse effect on our business performance. Additionally, failure to recognize, evaluate, and respond to changing workforce trends including current labor market conditions and managing hybrid work environments, or failure to execute proactive retention and replacement strategies could also have an adverse effect on our business performance. Furthermore, failure to instill appropriate cultural expectations and behavioral norms within our employees, particularly in a hybrid work environment, could damage our reputation. Staffing appropriately talented employees for the handling of claims and servicing of customers, rendering of disciplined underwriting, and effective sales and marketing are critical to the core functions of our business. In addition, talented employees with specialized skills in actuarial, finance, human resources, law, risk management and information technology, including artificial intelligence and data analytics, are also essential to support and grow our core functions.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effectively maintain system availability or manage technology initiatives, we may experience adverse financial consequences and/or may be unable to compete effectively.</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the effectiveness of our technology and information systems which support key functions of our core business operations, including processing applications and premium payments, providing customer support, performing actuarial and financial analysis, and maintaining key data. Additionally, the Exchange relies heavily on technology systems for processing claims. In order to support our business processes and strategic initiatives in a cost and resource efficient manner, we must maintain the effectiveness of existing technology systems and continue to identify and develop new, and enhance existing, technology systems. As we invest in the development of our systems, costs and completion times could exceed original estimates, and/or the project may not deliver the anticipated benefit or perform as expected. If we do not effectively and efficiently manage new technology initiatives, maintain existing systems, or attract and retain qualified information technology employees and contract personnel to support them, our ability to serve our customers and implement our strategic initiatives could be adversely impacted.</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we depend on a large amount of data to price policies appropriately, track exposures, perform financial analysis, report to regulatory bodies, and ultimately make business decisions. Should this data be inaccurate or insufficient, risk exposure may be underestimated and/or poor business decisions may be made. This may in turn lead to adverse operational or financial performance and adverse customer or investor confidence.</w:t>
      </w:r>
    </w:p>
    <w:p>
      <w:pPr>
        <w:spacing w:after="0" w:line="201"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If we experience difficulties with technology, data or network security, including those that could result from cyber attacks, third-party relationships or cloud-based relationships, our ability to conduct our business could be adversely impacted.</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collect, use, store and where appropriate, disclose data concerning individuals and businesses. We also conduct business using third parties who may provide software, data storage, cloud-based computing and other technology services. Our systems regularly face cyber threats, which can create significant risks such as destruction of systems or data, denial or interruption of service, disruption of transaction execution, loss or exposure of customer data, theft or exposure of our intellectual property, theft of funds or disruption of other important business functions. Even with appropriate governance and controls, the use of artificial intelligence may increase our exposure to cyber threats. Our interactions with, and reliance upon, third parties, including our independent agents, expose us to increased risk related to data security, service disruptions or effectiveness of our control system, particularly as we increase our reliance on cloud-based computing and software-as-a-service from third parties to operate our business. If we experience service disruptions or need to replace essential third-party software or services, we may not be able to find a viable alternative, or alternatives may be costly and/or require significant time and resources to integrate with our systems, which could negatively impact our operations or financial results.</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we are subject to numerous federal and state laws relating to the privacy and security of nonpublic personal information and other sensitive information of our customers, employees and others. The improper access, disclosure, misuse or mishandling of such information could result in legal liability, regulatory action and reputational damage. Third parties on whom we rely for certain business processing functions are also subject to these risks, and their failure to adhere to these laws and regulations could negatively impact us.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number, complexity, and sophistication of cyber threats continue to increase over time. Rapid technological advancements can also introduce new risks related to data security and operational efficiency. As we continue to adapt our internal processes and systems to these rapidly evolving threats, we may be required to make certain judgments about additional investments in these areas that we believe will protect us from cybersecurity risks, which may not be effective. While we also maintain cyber liability insurance to mitigate the financial risk around cyber incidents, such insurance may not cover all costs associated with the consequences of information or systems being compromised, and such insurance may become prohibitively expensive to maintain. Additionally, while we have dedicated resources with security incident response capabilities, our response process may not be adequate, may fail to accurately assess the severity of an incident, may not respond quickly enough or may fail to sufficiently remediate an incident. Similarly, if our third-party service providers experience a cyber incident, they may fail to report, or timely report, the incident to us. As a result, we may suffer significant legal, reputational, or financial losses, which could adversely affect our business, cash flows, financial condition or results of operations.</w:t>
      </w:r>
    </w:p>
    <w:p>
      <w:pPr>
        <w:spacing w:after="0" w:line="2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If events occurred causing interruption of our operations, facilities, systems or business functions, it could have a material adverse effect on our operations and financial results.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have established business continuity and disaster recovery plans to provide for the continuation of core business operations in the event that normal business operations could not be performed due to catastrophic or other events, including pandemics and cyber attacks. While we continue to test and assess our business continuity and disaster recovery plans to validate they</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meet the needs of our core business operations and address multiple business interruption events, there is no assurance that core business operations could be performed upon the occurrence of such an event. Employee absence, physical premises damage, systems failures or outages could compromise our ability to perform our business functions in a timely manner, which could harm our ability to conduct business and hurt our business and customer relationships. While we also maintain business interruption insurance to mitigate the financial risk around disruptions to our core business operations, such insurance may not cover all costs associated with a disruption, and such insurance may become prohibitively expensive to maintain. Our operational resiliency is also dependent on third-party personnel, infrastructure and systems on which we rely, including cloud-based technologies and software-as-a-service applications. Our operations and those of our third parties may become vulnerable to damage or disruption due to circumstances beyond our or their control, such as from catastrophic events, power anomalies or outages, natural disasters, pandemics, supply chain interruptions, network failures, and cyber attacks. Additionally, we are dependent on internet and telecommunications access and capabilities. Our workforce is largely concentrated in Erie, Pennsylvania. If a significant event affects the labor force in this area, it could impact the policy acquisition, underwriting, claims and/or support services provided to the policyholders and/or independent agents of the Exchange. Disruptions to our workforce or our operations for any reason could result in a material adverse effect on our business, cash flows, financial condition, or results of operations.</w:t>
      </w:r>
    </w:p>
    <w:p>
      <w:pPr>
        <w:spacing w:after="0" w:line="215" w:lineRule="exact"/>
        <w:rPr>
          <w:sz w:val="20"/>
          <w:szCs w:val="20"/>
          <w:color w:val="auto"/>
        </w:rPr>
      </w:pPr>
    </w:p>
    <w:p>
      <w:pPr>
        <w:jc w:val="both"/>
        <w:ind w:right="720"/>
        <w:spacing w:after="0" w:line="315" w:lineRule="auto"/>
        <w:rPr>
          <w:sz w:val="20"/>
          <w:szCs w:val="20"/>
          <w:color w:val="auto"/>
        </w:rPr>
      </w:pPr>
      <w:r>
        <w:rPr>
          <w:rFonts w:ascii="Times New Roman" w:cs="Times New Roman" w:eastAsia="Times New Roman" w:hAnsi="Times New Roman"/>
          <w:sz w:val="17"/>
          <w:szCs w:val="17"/>
          <w:i w:val="1"/>
          <w:iCs w:val="1"/>
          <w:color w:val="auto"/>
        </w:rPr>
        <w:t>We are subject to applicable insurance laws, tax statutes, and numerous other federal and state laws and regulations, as well as claims and legal proceedings, which, if determined unfavorably, could have a material adverse effect on our business, results of operations, or financial condition.</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activities are subject to extensive regulation under federal and state laws on matters as diverse as internal control over financial reporting and disclosure controls, securities regulation, data privacy and protection, cybersecurity, taxation, immigration, wage-and-hour standards and employment and labor relations. These laws and regulations are complex and evolving, and compliance with these laws requires significant resources. In some cases, these laws and regulations may increase our costs, negatively impact revenues, or impose operational limitations on our business. Further, there can be no assurance that we, our third-party service providers and our independent agents are in full compliance with all applicable laws and regulations at all times. Efforts at compliance with all laws and regulations are further complicated by new and evolving regulations regarding cybersecurity, artificial intelligence and ESG matters, including DEI-related items. For example, recent changes in the U.S. regulatory environment relating to ESG matters has increased scrutiny of corporate ESG practices. Failure to effectively address current and future ESG regulatory developments and stakeholder expectations may expose our business to litigation, fines, penalties, and damage to our reputation, which, if material could adversely affect our financial condition and results of operations.</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we face a significant risk of litigation and regulatory investigations and actions in the ordinary course of operating our businesses including the risk of class action lawsuits. We are, have been, or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whether by us or our third-party service providers. Plaintiffs in class action and other lawsuits against us may seek large or indeterminate amounts of damages, including punitive and treble damages, which may remain unknown for substantial periods of time. We are also subject to various regulatory inquiries, such as information requests, subpoenas, and books and record examinations from state and federal regulators and authorities. In addition, changes in the way regulators administer applicable laws, tax statutes, or regulations could adversely impact our business, cash flows, results of operations, or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Capital, and Liquidity risks</w:t>
      </w:r>
    </w:p>
    <w:p>
      <w:pPr>
        <w:spacing w:after="0" w:line="25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December 31, 2025, our investment portfolio consisted of approximately 85% fixed maturity securities, with the remaining 15% invested in equity securities and other investments.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economic conditions, geopolitical events, fiscal, trade, and monetary policy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our respective investment portfolios. This could reduce fair values of investments and generate significant unrealized losses or impairment charges which may adversely affect our financial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of the fixed maturity portfolio is subject to a number of risks including, but not limited to:</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 the risk of adverse changes in the value of fixed maturity securities as a result of increases in market interest rates.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credit risk - the risk that the value of certain investments may decrease due to the deterioration in financial condition of, or the liquidity available to, one or more issuers of those securities or, in the case of structured securities, due to the deterioration of the loans or other assets that underlie the securities, which, in each case, also includes the risk of permanent loss.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Sector/Concentration risk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184" w:lineRule="exact"/>
        <w:rPr>
          <w:rFonts w:ascii="Times New Roman" w:cs="Times New Roman" w:eastAsia="Times New Roman" w:hAnsi="Times New Roman"/>
          <w:sz w:val="17"/>
          <w:szCs w:val="17"/>
          <w:color w:val="auto"/>
        </w:rPr>
      </w:pPr>
    </w:p>
    <w:p>
      <w:pPr>
        <w:jc w:val="both"/>
        <w:ind w:left="660" w:right="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202"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risk - the possibility that the cash flows produced by an investment will have to be reinvested at a reduced rate of return. Approximately 30% of our fixed maturity portfolio is expected to mature over the next three years.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equity securities have exposure to price risk. Equity markets, sectors, industries, and individual securities may also be subject to some of the same risks that affect our fixed maturity portfolio, as discussed above.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of our fixed maturity and equity securities are subject to market volatility. To the extent that future market volatility negatively impacts our investments, our financial condition will be negatively impacted. We review the fixed maturity portfolio on a periodic basis to evaluate positions that are in an unrealized loss position to determine whether impairments are a result of credit loss or other factors. Inherent in management's evaluation of a security are assumptions and estimates about the operations of the issuer and its future earnings potential. As the process for determining impairments is highly subjective, changes in our assessments may have a material effect on our operating results and financial condition. See also Part II, Item 7A. "Quantitative and Qualitative Disclosures about Market Risk".</w:t>
      </w:r>
    </w:p>
    <w:p>
      <w:pPr>
        <w:spacing w:after="0" w:line="21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Sufficient liquidity and capital levels are required to pay operating expenses, income taxes, and to provide the necessary resources to fund future growth opportunities, satisfy certain financial covenants, pay dividends on common stock, and repurchase common stock. Management estimates the appropriate level of capital necessary based upon current and projected results, which includes evaluating potential risks. Failure to accurately estimate our capital needs may have a material adverse effect on our financial condition until additional sources of capital can be obtained. Further, a deteriorating financial condition may create a negative perception of us by third parties, including investors, and financial institutions, which could impact our ability to access capital in the debt or equity markets. Volatility in the financial markets could also limit our ability to sell certain fixed income securities or cause such investments to sell at deep discounts.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management fee revenue and cash flows generated from our investment portfolio. In the event these traditional sources of liquidity are not available, we may have to seek additional financing. Our access to funds will depend upon a number of factors including current market conditions, the availability of credit, market liquidity, and the timing of obtaining credit ratings. In deteriorating market conditions, there can be no assurance that we will obtain additional financing, or, if available, that the cost of financing will not substantially increase and affect our overall profitability.</w:t>
      </w: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maintain a cybersecurity program in alignment with our overall Enterprise Risk Management ("ERM") program. See Part II, Item 7. "Management's Discussion and Analysis of Financial Condition and Results of Operations" contained within this report for additional information on the ERM function. Our Privacy and Information Security Committee, comprised of officers and senior leaders, is responsible for overseeing the development and maintenance of information privacy and security policies and effective operation of our corporate information security and cybersecurity program in compliance with applicable state insurance regulations and other legal and regulatory requirements. This committee is sponsored by and reports directly to our Executive Council, which includes our Chief Executive Officer ("CEO"), Chief Financial Officer, executive vice presidents and certain senior vice presidents reporting directly to the CEO as applicable.</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cybersecurity program of technical, administrative, and physical controls is intended to reduce the risk of cyber threats and protect our information, as well as document processes to determine and make appropriate disclosures regarding potential material threats and incidents. Our cybersecurity philosophy and approach align to the National Institute of Standards and Technology Cybersecurity Framework and its core elements to govern, identify, protect, detect, respond, and recover from the various forms of cyber threats. Our practices include, but are not limited to, cybersecurity protocols and controls, system monitoring and detection, communication of incidents to appropriate management, third-party risk management, including assessments of emerging threats and vulnerabilities, and ongoing privacy and cybersecurity training for employees and contractors concerning cyber risk. A foundational element of our cybersecurity risk management processes is the annual Cybersecurity and Information Security Risk Assessment (CSRA), which includes an analysis of cybersecurity risks facing us and associated recommendations and action items to mitigate identified risks. We periodically utilize third parties to assess the effectiveness of our cybersecurity efforts through independent validations, verifications, and security assessments.</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has a process in place to monitor management’s oversight of cybersecurity. This is done primarily through regular reports to its Risk Committee as well as the full Board of Directors. Management provides reports on the emerging cybersecurity threat landscape and our cybersecurity risk management program, including our risk evaluation, the results of independent third-party security assessments, and our efforts to manage cyber related risks.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 core incident response team (Core Team) consisting of dedicated, skilled leadership representatives from our Information Security, Privacy and Law teams, responsible for analyzing and assessing cyber incidents and leading response efforts. Our Chief Information Security Officer (CISO), responsible for overseeing and managing information security incidents, has over 25 years of experience in information technology (IT), including over 20 years dedicated to practicing or leading cybersecurity functions. Our CISO is also a Certified Information Systems Security Professional (CISSP). Our Privacy leader, responsible for managing privacy incidents, has over 20 years of experience in IT risk management, including over 10 years in IT risk and control functions and the remaining time focused on privacy and cybersecurity related functions and holds several information privacy and risk certifications. Our Legal leader, responsible for providing guidance on legal and other regulatory obligations in the areas of privacy, cybersecurity, technology, data use and third-party risk management, holds a Juris Doctor degree, is licensed to practice law, and has over 20 years of legal experience, including over 10 years focused on privacy and cybersecurity and holds several information security and privacy certifications, including the CISSP. The Core Team leaders are members of various organizations that support cybersecurity or privacy intelligence, education, information sharing and networking, including among others the Financial Services Information Sharing and Analysis Center (FS-ISAC), Domestic Security Alliance Council (DSAC), InfraGard, and International Association of Privacy Professionals (IAPP).</w:t>
      </w: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Core Team members are augmented as needed by representatives from other internal groups, including subject matter experts from Information Security, Privacy, Finance and Law, as well as certain third parties that may need to participate in the incident response process. Depending on the severity and impact of the incident, third parties engaged may include outside counsel, forensics investigators, public relation firms, data breach resolution providers, and cyber insurance brokers and carriers. In conjunction with legal counsel, the Core Team evaluates notification requirements and as necessary will notify stakeholders depending on the nature and severity of the incident, including law enforcement, state attorneys general, regulators, external auditors, third party providers, and impacted individuals.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Core Team is informed of cyber incidents from diverse sources, including for example, internal monitoring systems, information sharing organizations, employees, and other external information sources. Depending upon the levels of access to our information and/or information systems, third party service providers are contractually obligated to report cybersecurity incidents within their environments. The Core Team performs incident analysis and triage to determine scope, severity, prioritization and required response plans to address an incident in a manner that is intended to minimize the impact to us, our assets, and our operations. In accordance with applicable legal and regulatory requirements, this analysis and triage step</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includes an assessment of the potential for material impact to us from a cybersecurity incident or a series of individually immaterial related incidents that are material when aggregated.</w:t>
      </w:r>
    </w:p>
    <w:p>
      <w:pPr>
        <w:spacing w:after="0" w:line="17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To date, we are not aware of any cybersecurity breach or other incident with respect to our systems or data that have materially affected, or that are reasonably likely to materially affect our business strategy, results of operations or financial condition. Additionally, we are not aware of any cybersecurity breach or other incident experienced by anyone with whom we have a third-party relationship that has had a material impact on our systems or data. However, there can be no guarantee that we will not experience any such incidents in the future. See Item 1A. "Risk Factors" for a discussion of cybersecurity risks.</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and the Exchange share a corporate home office campus in Erie, Pennsylvania, which comprises approximately one million square feet.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lease an office building and a warehouse facility from third parties and are charged rent for the related square footage we occupy.</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Indemnity and the Exchange also own or lease 24 field offices in 12 states used to primarily support claims-related activities. The Exchange owns five field offices and leases another 17 from third parties. Indemnity owns one field office and leases another from a third party. Commitments for properties leased from third parties expire periodically through 2031. We expect that most leases will be renewed or replaced upon expiration. Rental costs of shared facilities are allocated based upon square footage occupied.</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complaint seeks relief for alleged breaches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most recent complaint has the same allegation of breach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w:t>
      </w:r>
    </w:p>
    <w:p>
      <w:pPr>
        <w:spacing w:after="0" w:line="20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21, 2022, Indemnity filed a Petition for Rehearing requesting that the Third Circuit permit the appeal. By Order dated January 9, 2023, the Court granted the petition for rehearing and vacated the prior Order of October 7, 2022, denying permission to appeal. On April 20, 2023, argument was held before a three-judge panel of the Third Circuit. By Opinion dated May 22, 2023, the Court affirmed the decision of the District Court finding that there was no basis for federal court jurisdiction and that the matter had been properly remanded to state court. On June 5, 2023, Indemnity filed a Petition for Panel Rehearing or Rehearing En Banc. By Order dated June 22, 2023, the Court denied the Petition. The United States District Court thereafter extended its stay of the issuance of the remand order through the conclusion of any proceedings in the United States Supreme Court challenging the decision of the United States Court of Appeals for the Third Circuit that no federal jurisdiction exists in this case.</w:t>
      </w:r>
    </w:p>
    <w:p>
      <w:pPr>
        <w:spacing w:after="0" w:line="21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October 20, 2023, Indemnity filed a Petition for Writ of Certiorari with the Supreme Court of the United States. The Petition sought a determination from the Court that the lower courts improperly denied federal jurisdiction. By order dated February 26, 2024, the United States Supreme Court denied Indemnity's Petition for Writ of Certiorari.</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 claims and issues pertaining to the compensation practices that were the subject of the prior judgments. After the denial of certiorari, the district court, by Opinion and Order dated February 28, 2024, granted Indemnity's motion for a preliminary injunction under the All Writs Act after determining that the gravamen of the plaintiff's state court action “is the same” as two actions previously dismissed in federal court, that Indemnity would be irreparably harmed if it is forced to relitigate those same issues in state court, plaintiffs had a full and fair opportunity to litigate the same issues in prior litigation, and that an injunction would serve the public interest. The Court’s order preliminarily enjoined the named plaintiffs from pursuing the Erie Ins. Exch. v. Erie Indem. Co. action and enjoined the state court from conducting further proceedings in that action. The court ordered Indemnity to file a motion to convert the preliminary injunction into a permanent injunction. In the meantime, plaintiffs filed a Notice of Appeal with the United States Court of Appeals for the Third Circuit. As a result of the filing of the appeal, the trial court stayed the order issuing an injunction.</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October 14, 2025, the Third Circuit issued an Opinion and concluded that “the District Court abused its discretion in granting Indemnity’s motion for preliminary injunction.” The Court determined that the Complaint in Stephenson only sought to challenge the management fee established in December 2019 and 2020. The Court went on to conclude that the issues were not litigated in either Ritz or Beltz and, therefore, the Stephenson plaintiffs were not precluded from challenging the management fee for those years. On October 28, 2025, Indemnity filed a Petition for Reargument before the Court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12, 2025, the Third Circuit denied the Petition for Reargument. On January 12, 2026, Indemnity filed a Petition for Writ of Certiorari with the United States Supreme Court. The Petition is currently pending.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intends to vigorously defend against all allegations and requests for relief sought by plaintiffs.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on contingencies, see Part II, Item 8. "Financial Statements and Supplementary Data - Note 17, Commitment and Contingencies, of Notes to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180" w:lineRule="exact"/>
        <w:rPr>
          <w:sz w:val="20"/>
          <w:szCs w:val="20"/>
          <w:color w:val="auto"/>
        </w:rPr>
      </w:pPr>
    </w:p>
    <w:p>
      <w:pPr>
        <w:ind w:left="900" w:right="16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tab/>
        <w:t>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Market Prices and Dividends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Class A, non-voting common stock trades on The NASDAQ Stock Market</w:t>
      </w:r>
      <w:r>
        <w:rPr>
          <w:rFonts w:ascii="Times New Roman" w:cs="Times New Roman" w:eastAsia="Times New Roman" w:hAnsi="Times New Roman"/>
          <w:sz w:val="8"/>
          <w:szCs w:val="8"/>
          <w:color w:val="auto"/>
        </w:rPr>
        <w:t>SM</w:t>
      </w:r>
      <w:r>
        <w:rPr>
          <w:rFonts w:ascii="Times New Roman" w:cs="Times New Roman" w:eastAsia="Times New Roman" w:hAnsi="Times New Roman"/>
          <w:sz w:val="18"/>
          <w:szCs w:val="18"/>
          <w:color w:val="auto"/>
        </w:rPr>
        <w:t xml:space="preserve"> LLC under the symbol "ERIE". No established trading market exists for the Class B voting common stock. Broadridge Corporate Issuer Solutions, Inc. serves as our transfer agent and registrar. As of February 17, 2026, there were approximately 471 shareholders of record for the Class A non-voting common stock and 8 shareholders of record for the Class B voting common stock.</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21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2011 for $150 million, which was authorized with no time limitation.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and average price of our outstanding Class A nonvoting common stock shares purchased during the quarter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7"/>
                <w:szCs w:val="17"/>
                <w:color w:val="auto"/>
              </w:rPr>
            </w:pP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0"/>
              <w:spacing w:after="0" w:line="199" w:lineRule="exact"/>
              <w:rPr>
                <w:sz w:val="20"/>
                <w:szCs w:val="20"/>
                <w:color w:val="auto"/>
              </w:rPr>
            </w:pPr>
            <w:r>
              <w:rPr>
                <w:rFonts w:ascii="Times New Roman" w:cs="Times New Roman" w:eastAsia="Times New Roman" w:hAnsi="Times New Roman"/>
                <w:sz w:val="18"/>
                <w:szCs w:val="18"/>
                <w:color w:val="auto"/>
                <w:w w:val="98"/>
              </w:rPr>
              <w:t>Dollar value of shares that</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80" w:type="dxa"/>
            <w:vAlign w:val="bottom"/>
          </w:tcPr>
          <w:p>
            <w:pPr>
              <w:spacing w:after="0"/>
              <w:rPr>
                <w:sz w:val="15"/>
                <w:szCs w:val="15"/>
                <w:color w:val="auto"/>
              </w:rPr>
            </w:pPr>
          </w:p>
        </w:tc>
        <w:tc>
          <w:tcPr>
            <w:tcW w:w="2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may yet be purchased under</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announced program</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the program</w:t>
            </w:r>
          </w:p>
        </w:tc>
        <w:tc>
          <w:tcPr>
            <w:tcW w:w="0" w:type="dxa"/>
            <w:vAlign w:val="bottom"/>
          </w:tcPr>
          <w:p>
            <w:pPr>
              <w:spacing w:after="0"/>
              <w:rPr>
                <w:sz w:val="1"/>
                <w:szCs w:val="1"/>
                <w:color w:val="auto"/>
              </w:rPr>
            </w:pPr>
          </w:p>
        </w:tc>
      </w:tr>
      <w:tr>
        <w:trPr>
          <w:trHeight w:val="29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1–31, 2025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November 1–30, 2025 </w:t>
            </w:r>
            <w:r>
              <w:rPr>
                <w:rFonts w:ascii="Times New Roman" w:cs="Times New Roman" w:eastAsia="Times New Roman" w:hAnsi="Times New Roman"/>
                <w:sz w:val="23"/>
                <w:szCs w:val="23"/>
                <w:color w:val="auto"/>
                <w:vertAlign w:val="superscript"/>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160" w:type="dxa"/>
            <w:vAlign w:val="bottom"/>
          </w:tcPr>
          <w:p>
            <w:pPr>
              <w:spacing w:after="0"/>
              <w:rPr>
                <w:sz w:val="19"/>
                <w:szCs w:val="19"/>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December 1–31, 2025 </w:t>
            </w:r>
            <w:r>
              <w:rPr>
                <w:rFonts w:ascii="Times New Roman" w:cs="Times New Roman" w:eastAsia="Times New Roman" w:hAnsi="Times New Roman"/>
                <w:sz w:val="23"/>
                <w:szCs w:val="23"/>
                <w:color w:val="auto"/>
                <w:vertAlign w:val="superscript"/>
              </w:rPr>
              <w:t>(2)</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298.52</w:t>
            </w:r>
          </w:p>
        </w:tc>
        <w:tc>
          <w:tcPr>
            <w:tcW w:w="160" w:type="dxa"/>
            <w:vAlign w:val="bottom"/>
          </w:tcPr>
          <w:p>
            <w:pPr>
              <w:spacing w:after="0"/>
              <w:rPr>
                <w:sz w:val="20"/>
                <w:szCs w:val="20"/>
                <w:color w:val="auto"/>
              </w:rPr>
            </w:pP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60" w:type="dxa"/>
            <w:vAlign w:val="bottom"/>
          </w:tcPr>
          <w:p>
            <w:pPr>
              <w:spacing w:after="0"/>
              <w:rPr>
                <w:sz w:val="19"/>
                <w:szCs w:val="19"/>
                <w:color w:val="auto"/>
              </w:rPr>
            </w:pP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to fund the rabbi trust for the outside director deferred stock compensation plan.</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for stock-based awards in conjunction with our equity compensation plan.</w:t>
      </w:r>
    </w:p>
    <w:p>
      <w:pPr>
        <w:spacing w:after="0" w:line="200" w:lineRule="exact"/>
        <w:rPr>
          <w:sz w:val="20"/>
          <w:szCs w:val="20"/>
          <w:color w:val="auto"/>
        </w:rPr>
      </w:pPr>
    </w:p>
    <w:p>
      <w:pPr>
        <w:spacing w:after="0" w:line="36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11, Incentive and Deferred Compensation Plans, of Notes to Consolidated Financial Statements" contained within this report for additional information on shares purchased outside of this program.</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 This section of the Form 10-K generally discusses 2025 and 2024 results and year-to-year comparisons between 2025 and 2024. For a discussion of 2023 results and year-to-year comparisons between 2024 and 2023 refer to Item 7. "Management's Discussion and Analysis of Financial Condition and Results of Operations" for the year ended December 31, 2024 as contained in our Annual Report on Form 10-K filed with the Securities and Exchange Commission on February 27,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Page Number</w:t>
            </w:r>
          </w:p>
        </w:tc>
      </w:tr>
      <w:tr>
        <w:trPr>
          <w:trHeight w:val="161"/>
        </w:trPr>
        <w:tc>
          <w:tcPr>
            <w:tcW w:w="414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Cautionary Statement Regarding Forward-Looking Information</w:t>
            </w:r>
          </w:p>
        </w:tc>
        <w:tc>
          <w:tcPr>
            <w:tcW w:w="5540" w:type="dxa"/>
            <w:vAlign w:val="bottom"/>
          </w:tcPr>
          <w:p>
            <w:pPr>
              <w:spacing w:after="0"/>
              <w:rPr>
                <w:sz w:val="14"/>
                <w:szCs w:val="14"/>
                <w:color w:val="auto"/>
              </w:rPr>
            </w:pPr>
          </w:p>
        </w:tc>
        <w:tc>
          <w:tcPr>
            <w:tcW w:w="15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0000FF"/>
              </w:rPr>
              <w:t>18</w:t>
            </w:r>
          </w:p>
        </w:tc>
        <w:tc>
          <w:tcPr>
            <w:tcW w:w="20" w:type="dxa"/>
            <w:vAlign w:val="bottom"/>
          </w:tcPr>
          <w:p>
            <w:pPr>
              <w:spacing w:after="0"/>
              <w:rPr>
                <w:sz w:val="14"/>
                <w:szCs w:val="14"/>
                <w:color w:val="auto"/>
              </w:rPr>
            </w:pPr>
          </w:p>
        </w:tc>
      </w:tr>
      <w:tr>
        <w:trPr>
          <w:trHeight w:val="27"/>
        </w:trPr>
        <w:tc>
          <w:tcPr>
            <w:tcW w:w="1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6680" w:type="dxa"/>
            <w:vAlign w:val="bottom"/>
            <w:gridSpan w:val="2"/>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Recent Accounting Standards</w:t>
            </w:r>
          </w:p>
        </w:tc>
        <w:tc>
          <w:tcPr>
            <w:tcW w:w="774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19</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Operating Overview</w:t>
            </w:r>
          </w:p>
        </w:tc>
        <w:tc>
          <w:tcPr>
            <w:tcW w:w="640" w:type="dxa"/>
            <w:vAlign w:val="bottom"/>
            <w:gridSpan w:val="3"/>
          </w:tcPr>
          <w:p>
            <w:pPr>
              <w:spacing w:after="0"/>
              <w:rPr>
                <w:sz w:val="17"/>
                <w:szCs w:val="17"/>
                <w:color w:val="auto"/>
              </w:rPr>
            </w:pPr>
          </w:p>
        </w:tc>
        <w:tc>
          <w:tcPr>
            <w:tcW w:w="774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19</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Critical Accounting Estimates</w:t>
            </w:r>
          </w:p>
        </w:tc>
        <w:tc>
          <w:tcPr>
            <w:tcW w:w="774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774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Financial Condition</w:t>
            </w:r>
          </w:p>
        </w:tc>
        <w:tc>
          <w:tcPr>
            <w:tcW w:w="100" w:type="dxa"/>
            <w:vAlign w:val="bottom"/>
          </w:tcPr>
          <w:p>
            <w:pPr>
              <w:spacing w:after="0"/>
              <w:rPr>
                <w:sz w:val="17"/>
                <w:szCs w:val="17"/>
                <w:color w:val="auto"/>
              </w:rPr>
            </w:pPr>
          </w:p>
        </w:tc>
        <w:tc>
          <w:tcPr>
            <w:tcW w:w="8280" w:type="dxa"/>
            <w:vAlign w:val="bottom"/>
            <w:gridSpan w:val="6"/>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0000FF"/>
              </w:rPr>
              <w:t>Investments</w:t>
            </w:r>
          </w:p>
        </w:tc>
        <w:tc>
          <w:tcPr>
            <w:tcW w:w="380" w:type="dxa"/>
            <w:vAlign w:val="bottom"/>
          </w:tcPr>
          <w:p>
            <w:pPr>
              <w:spacing w:after="0"/>
              <w:rPr>
                <w:sz w:val="17"/>
                <w:szCs w:val="17"/>
                <w:color w:val="auto"/>
              </w:rPr>
            </w:pPr>
          </w:p>
        </w:tc>
        <w:tc>
          <w:tcPr>
            <w:tcW w:w="8380" w:type="dxa"/>
            <w:vAlign w:val="bottom"/>
            <w:gridSpan w:val="7"/>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Shareholders' Equity</w:t>
            </w:r>
          </w:p>
        </w:tc>
        <w:tc>
          <w:tcPr>
            <w:tcW w:w="8200" w:type="dxa"/>
            <w:vAlign w:val="bottom"/>
            <w:gridSpan w:val="5"/>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Liquidity and Capital Resources</w:t>
            </w:r>
          </w:p>
        </w:tc>
        <w:tc>
          <w:tcPr>
            <w:tcW w:w="758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0" w:type="dxa"/>
            <w:vAlign w:val="bottom"/>
          </w:tcPr>
          <w:p>
            <w:pPr>
              <w:spacing w:after="0"/>
              <w:rPr>
                <w:sz w:val="17"/>
                <w:szCs w:val="17"/>
                <w:color w:val="auto"/>
              </w:rPr>
            </w:pPr>
          </w:p>
        </w:tc>
      </w:tr>
      <w:tr>
        <w:trPr>
          <w:trHeight w:val="20"/>
        </w:trPr>
        <w:tc>
          <w:tcPr>
            <w:tcW w:w="2100" w:type="dxa"/>
            <w:vAlign w:val="bottom"/>
            <w:gridSpan w:val="7"/>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Transactions/Agreements with Related Parties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4380"/>
        <w:spacing w:after="0" w:line="411" w:lineRule="auto"/>
        <w:rPr>
          <w:sz w:val="20"/>
          <w:szCs w:val="20"/>
          <w:color w:val="auto"/>
        </w:rPr>
      </w:pPr>
      <w:r>
        <w:rPr>
          <w:rFonts w:ascii="Times New Roman" w:cs="Times New Roman" w:eastAsia="Times New Roman" w:hAnsi="Times New Roman"/>
          <w:sz w:val="17"/>
          <w:szCs w:val="17"/>
          <w:b w:val="1"/>
          <w:bCs w:val="1"/>
          <w:color w:val="auto"/>
        </w:rPr>
        <w:t>CAUTIONARY STATEMENT REGARDING FORWARD-LOOKING INFORMATION "Safe Harbor" Statement under the Private Securities Litigation Reform Act of 1995:</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4" w:lineRule="exact"/>
        <w:rPr>
          <w:sz w:val="20"/>
          <w:szCs w:val="20"/>
          <w:color w:val="auto"/>
        </w:rPr>
      </w:pPr>
    </w:p>
    <w:p>
      <w:pPr>
        <w:ind w:left="660" w:right="70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Erie Insurance Exchange ("Exchange") and the management fee under the agreement with the subscribers at the Exchange;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growth of the Exchange, including: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timing of premium rates charged for policies;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insurance industry competition, including technological innovations;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independent agency system;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our brand, including our reputation for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financial condition of the Exchange, including: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ability to maintain acceptable financial strength ratings;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the Exchange's investment portfolio;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the insurance industry;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significant unexpected events, including pandemics, economic or social inflation, and changes in tariff policies;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claims and coverage issues in the industry;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or other catastrophic losses, including terrorism;</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policy issuance and renewal services to the subscribers at the Exchange under the subscriber's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develop, retain, and protect talented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system availability and effectively manage technology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technology, data or network security breaches, including cyber attacks;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uninterrupted business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laws and regulations and outcome of pending and potential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our investment portfolio;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liquidity needs and access capital.</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2, Significant Accounting Policies, of Notes to Consolidated Financial Statements" contained within this report for a discussion of recently adopted and issued accounting standards and the impact on our consolidated financial statements if known.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Pennsylvania business corporation that since 1925 has been the managing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Exchange is a reciprocal insurance exchange, which is an unincorporated association of individuals, partnerships, and corporations that agree to insure one another. Each applicant for insurance (a subscriber) to the Exchange signs a subscriber's agreement, which contains an appointment of Indemnity as their attorney-in-fact to transact the business of the Exchange on their behalf.</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the subscriber's agreement for acting as attorney-in-fact in these two capacities, we retain a management fee. Management fee revenue is based upon all direct and affiliated assumed premiums written by the Exchange and the management fee rate, which is not to exceed 25%. Our Board of Directors sets the management fee rate at least annually, generally in December for the following year.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 The management fee rate was set at 25% for 2025 and 2024. Based on analysis of the foregoing factors, our Board of Directors set the 2026 management fee rate again at 25%.</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earnings are primarily driven by the management fee revenue generated for the services we provide on behalf of the subscribers at the Exchange. The policy issuance and renewal services we provide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71% of our 2025 policy issuance and renewal expenses. The underwriting services we provide include underwriting and policy processing and comprised approximately 8% of our 2025 policy issuance and renewal expenses. The remaining services we provide include customer service and administrative support. We also provide information technology services that support all the functions listed above that comprised approximately 10% of our 2025 policy issuance and renewal expenses. Included in these expenses are allocations of costs for departments that support these policy issuance and renewal functions.</w:t>
      </w:r>
    </w:p>
    <w:p>
      <w:pPr>
        <w:spacing w:after="0" w:line="21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 2025,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Consolidated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71% of the 2025 direct and affiliated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generate investment income from our fixed maturity and equity security portfolios. Our portfolios are managed with the objective of maximizing after-tax returns on a risk-adjusted basis. We actively evaluate the fixed maturity portfolios for securities in an unrealized loss position and record impairment write-downs on investments in instances where we have the intent to sell or it's more likely than not that we would be required to sell the security. Impairments resulting from a credit loss are recognized in earnings with a corresponding allowance on the Consolidated Statements of Financial Position.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security incident</w:t>
      </w:r>
    </w:p>
    <w:p>
      <w:pPr>
        <w:spacing w:after="0" w:line="1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Earlier in the year, we experienced an information security incident that has since been remediated and did not have a material impact on our consolidated financial condition, results of operations, or cash flows. As of December 31, 2025, we continue to pursue recovery of a portion of lost income due to business interruption and related expenses from our cybersecurity insurance policy.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4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717,184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676,455</w:t>
            </w:r>
          </w:p>
        </w:tc>
        <w:tc>
          <w:tcPr>
            <w:tcW w:w="38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520,256</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84,861</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69,260</w:t>
            </w:r>
          </w:p>
        </w:tc>
        <w:tc>
          <w:tcPr>
            <w:tcW w:w="3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NM</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380" w:type="dxa"/>
            <w:vAlign w:val="bottom"/>
          </w:tcPr>
          <w:p>
            <w:pPr>
              <w:spacing w:after="0"/>
              <w:rPr>
                <w:sz w:val="19"/>
                <w:szCs w:val="19"/>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to charitable foundation</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NM</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710,603</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757,279</w:t>
            </w:r>
          </w:p>
        </w:tc>
        <w:tc>
          <w:tcPr>
            <w:tcW w:w="38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34.8</w:t>
            </w: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561,936</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151,268</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156,965</w:t>
            </w:r>
          </w:p>
        </w:tc>
        <w:tc>
          <w:tcPr>
            <w:tcW w:w="380" w:type="dxa"/>
            <w:vAlign w:val="bottom"/>
          </w:tcPr>
          <w:p>
            <w:pPr>
              <w:spacing w:after="0"/>
              <w:rPr>
                <w:sz w:val="20"/>
                <w:szCs w:val="20"/>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35.5</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r>
      <w:tr>
        <w:trPr>
          <w:trHeight w:val="22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559,335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600,314</w:t>
            </w:r>
          </w:p>
        </w:tc>
        <w:tc>
          <w:tcPr>
            <w:tcW w:w="380" w:type="dxa"/>
            <w:vAlign w:val="bottom"/>
          </w:tcPr>
          <w:p>
            <w:pPr>
              <w:spacing w:after="0"/>
              <w:rPr>
                <w:sz w:val="19"/>
                <w:szCs w:val="19"/>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34.6</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446,061</w:t>
            </w:r>
          </w:p>
        </w:tc>
      </w:tr>
      <w:tr>
        <w:trPr>
          <w:trHeight w:val="21"/>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80" w:type="dxa"/>
            <w:vAlign w:val="bottom"/>
          </w:tcPr>
          <w:p>
            <w:pPr>
              <w:spacing w:after="0"/>
              <w:rPr>
                <w:sz w:val="19"/>
                <w:szCs w:val="19"/>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34.6</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income increased in 2025 compared to 2024 as operating revenue exceeded operating expenses. Operating income is primarily comprised of management fee revenue less the cost of policy issuance and renewal services. Management fee revenue is based upon the management fee rate we charge and the direct and affiliated assumed premiums written by the Exchange. The management fee rate was 25% for 2025 and 2024. The direct and affiliated assumed premiums written by the Exchange increased 8.9% to $13.0 billion in 2025.</w:t>
      </w:r>
    </w:p>
    <w:p>
      <w:pPr>
        <w:spacing w:after="0" w:line="20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Cost of operations for policy issuance and renewal services increased 8.7% to $2.5 billion in 2025 primarily due to higher scheduled commissions driven by direct and affiliated assumed written premium growth, increased agent incentive compensation due to improved profitability, and increased personnel and hardware and software costs.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fee revenue for administrative services increased 8.3% to $74.1 million in 2025. The administrative services reimbursement revenue and corresponding cost of operations increased both total operating revenue and total operating expenses by $836.6 million in 2025, but had no net impact on operating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investment income increased $15.6 million in 2025 primarily due to an increase in net investment income.</w:t>
      </w:r>
    </w:p>
    <w:p>
      <w:pPr>
        <w:spacing w:after="0" w:line="25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Net income in 2025 was reduced by $80.6 million, reflecting the after-tax impact of a $100 million charitable contribution made to the Erie Insurance Foundation. See Item 8. "Financial Statements and Supplementary Data - Note 15, Related Party, of Notes to Consolidated Financial Statements" for additional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Conditions and Trends Affecting Our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conditions</w:t>
      </w:r>
    </w:p>
    <w:p>
      <w:pPr>
        <w:spacing w:after="0" w:line="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revenue. Elevated inflation, supply chain disruptions, or changes in tariff policies could impact the Exchange's operations and our management fees. In particular, unanticipated increased inflation costs including medical cost inflation, building material cost inflation, auto repair and replacement cost inflation, and social inflation may impact adequacy of estimated loss reserves and future premium rates of the Exchange. If any of these items impacted the financial condition or operations of the Exchange, it could have an impact on our financial results. See Financial Condition, Liquidity and Capital Resources, and Part I, Item 1A. "Risk Factors" contained within this report for a discussion of potential impacts to our operations or those of the Exchange.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volatility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portfolio of available-for-sale and equity security investments is subject to market volatility, especially in periods of instability in the worldwide financial markets. Net investment income is impacted by the general level of interest rates, which impact reinvested cash flow from the portfolio and business operations. Depending upon market conditions, considerable fluctuation could occur in the fair value of our investment portfolio and reported total investment income, which could have an adverse impact on our consolidated financial condition, results of operations, and cash flows. Various ongoing geopolitical events, the uncertain tariff, inflationary, and interest rate environment, and a potential economic slowdown could have a significant impact on the global financial markets with the potential for future losses and/or impairments on our investment portfolio.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Consolidated Statements of Operations or Financial Position.</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We make estimates concerning the fair value of our investments using valuation techniques to derive the fair value of the fixed maturity and equity investments we hold. Fair value is the price that would be received to sell an asset in an orderly transaction between willing market participants at the measurement date.</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 Our investments are categorized into a three-level fair value hierarchy which assigns a Level 1 for highly observable inputs and a Level 3 to unobservable inputs. We continually assess whether or not an active market exists for all of our investments and as of each reporting date we re-evaluate their classification in the fair value hierarchy.</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While estimates of the fair values of our investment portfolio are obtained from outside pricing services, we ultimately determine whether the inputs used are observable or unobservable.</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2025, substantially all of the securities measured at fair value in our investment portfolio are classified as Level 2. Level 2 securities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At December 31, 2025, our investments classified as Level 3 were not significant.</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6, Fair Value, of Notes to Consolidated Financial Statements" contained within this report for additional details on the fair value measurement of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 for Employees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primary pension plan is a noncontributory defined benefit pension plan covering substantially all employees. Although we are the sponsor of this postretirement plan and record the funded status of the plan, there are reimbursements between us and the Exchange and its insurance subsidiaries for their allocated share of pension income or cost. See Item 8. "Financial Statements and Supplementary Data - Note 10, Postretirement Benefits, of Notes to Consolidated Financial Statements" contained within this report for additional details on these reimbursements.</w:t>
      </w:r>
    </w:p>
    <w:p>
      <w:pPr>
        <w:spacing w:after="0" w:line="21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pension obligation is developed from actuarial estimates. Several statistical and other factors, which attempt to anticipate future events, are used in calculating the expense and liability related to the plan.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15 years. This yield curve supported the selection of a 5.72% discount rate for the projected benefit obligation at December 31, 2025 and for the 2026 pension expense. The same methodology was used to develop the 5.87% and</w:t>
      </w:r>
    </w:p>
    <w:p>
      <w:pPr>
        <w:spacing w:after="0" w:line="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5.34% discount rates used to determine the projected benefit obligation for 2024 and 2023, respectively, and the pension cost (income) for 2025 and 2024, respectively. A 25 basis point decrease in the discount rate assumption, with other assumptions held constant, would increase pension cost in the following year by $4.0 million, of which our share would be approximately $1.6 million, and would increase the pension benefit obligation by $40.0 million.</w:t>
      </w:r>
    </w:p>
    <w:p>
      <w:pPr>
        <w:spacing w:after="0" w:line="2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13 years.</w:t>
      </w:r>
    </w:p>
    <w:p>
      <w:pPr>
        <w:spacing w:after="0" w:line="21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expected long-term rate of return for the pension plan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The expected long-term rate of return is generally less susceptible to annual revisions as there are typically no significant changes in the asset mix. Based on the current asset allocation and a review of the key factors and expectations of future asset performance as well as the current market environment, the expected return on asset assumption will remain at 7.00% for 2026. A change of 25 basis points in the expected long-term rate of return assumption, with other assumptions held constant, would have an estimated $2.8 million impact on net pension benefit cost in the following year, of which our share would be approximately $1.1 million.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 four-year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four-year period. The market-related asset experience during 2025 that related to the actual investment return being different from that assumed during the prior year was a gain of $10.1 million. Recognition of this gain will be deferred and recognized over a four-year period, consistent with the market-related asset value methodology. Once factored into the market-related asset value, these experience gains and losses will be amortized over a period of 13 years, which is the remaining service period of the employee group.</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recognized net pension benefit expense of $9.6 million in 2025 primarily driven by plan progression as well as demographic assumption updates from a 2024 experience study, partially offset by a higher discount rate, compared to 2024. We expect to recognize net pension benefit expense of $18.0 million in 2026. The estimated increase from 2025 is primarily driven by anticipated plan progression and a decrease in the discount rate. Our share of the net pension benefit expense after reimbursements was $3.7 million in 2025. We expect our share of the net pension benefit expense to be approximately $7.0 million in 2026, of which expense of $14.5 million will be recorded in operating expense and income of $7.5 million will be recorded in other income.</w:t>
      </w:r>
    </w:p>
    <w:p>
      <w:pPr>
        <w:spacing w:after="0" w:line="21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consolidated financial position, results of operations, or cash flows. See Item 8. "Financial Statements and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Supplementary Data - Note 10, Postretirement Benefits, of Notes to Consolidated Financial Statements" contained within this report for additional details on the pension plan.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fee revenue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two performance obligations in the subscriber's agreement, providing policy issuance and renewal services and acting as attorney-in-fact for the subscribers at the Exchange, as well as the service provider for the Exchange's insurance subsidiaries, with respect to all administrative services. We retain management fees for acting as the attorney-in-fact for the subscribers at the Exchange in these two capacities and allocate our revenues between our performance obligations.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management fee is calculated by multiplying all direct and affiliated assumed premiums written by the Exchange by the management fee rate, which is set by our Board of Directors at least annually. The management fee rate was set at 25% for 2025 and 2024.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transaction price allocation review resulted in a minor change in the allocation between the two performance obligations in 2025 compared to 2024, which did not have a material impact on our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and disaggregation of revenue for our two performance obligations: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367"/>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 and affiliated assumed premiums written by the</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12,957,469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11,903,759</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10,056,484</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24.30 %</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3,157,735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2,904,517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2,443,726</w:t>
            </w: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estimate for management fee returned on</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cancelled policies </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(25,929)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(10,443)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55"/>
        </w:trPr>
        <w:tc>
          <w:tcPr>
            <w:tcW w:w="4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Management fee revenue - policy issuance and renewal</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3,131,806</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2,894,074</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2,442,073</w:t>
            </w:r>
          </w:p>
        </w:tc>
        <w:tc>
          <w:tcPr>
            <w:tcW w:w="0" w:type="dxa"/>
            <w:vAlign w:val="bottom"/>
          </w:tcPr>
          <w:p>
            <w:pPr>
              <w:spacing w:after="0"/>
              <w:rPr>
                <w:sz w:val="1"/>
                <w:szCs w:val="1"/>
                <w:color w:val="auto"/>
              </w:rPr>
            </w:pP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4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 and affiliated assumed premiums written by the</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12,957,469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11,903,759</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10,056,484</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71,423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70,395</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Change in contract liability </w:t>
            </w:r>
            <w:r>
              <w:rPr>
                <w:rFonts w:ascii="Times New Roman" w:cs="Times New Roman" w:eastAsia="Times New Roman" w:hAnsi="Times New Roman"/>
                <w:sz w:val="9"/>
                <w:szCs w:val="9"/>
                <w:color w:val="auto"/>
              </w:rPr>
              <w:t>(2)</w:t>
            </w:r>
          </w:p>
        </w:tc>
        <w:tc>
          <w:tcPr>
            <w:tcW w:w="3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estimate for management fee returned on</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cancelled policies </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74,058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68,355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63,669</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836,639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806,336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737,139</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910,697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874,691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800,808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56" w:lineRule="exact"/>
        <w:rPr>
          <w:sz w:val="20"/>
          <w:szCs w:val="20"/>
          <w:color w:val="auto"/>
        </w:rPr>
      </w:pPr>
    </w:p>
    <w:p>
      <w:pPr>
        <w:ind w:left="660" w:right="260" w:hanging="328"/>
        <w:spacing w:after="0" w:line="291" w:lineRule="auto"/>
        <w:tabs>
          <w:tab w:leader="none" w:pos="645"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 w:lineRule="exact"/>
        <w:rPr>
          <w:rFonts w:ascii="Times New Roman" w:cs="Times New Roman" w:eastAsia="Times New Roman" w:hAnsi="Times New Roman"/>
          <w:sz w:val="14"/>
          <w:szCs w:val="14"/>
          <w:i w:val="1"/>
          <w:iCs w:val="1"/>
          <w:color w:val="auto"/>
        </w:rPr>
      </w:pPr>
    </w:p>
    <w:p>
      <w:pPr>
        <w:ind w:left="660" w:right="120" w:hanging="328"/>
        <w:spacing w:after="0" w:line="305" w:lineRule="auto"/>
        <w:tabs>
          <w:tab w:leader="none" w:pos="648"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fee revenue - administrative services is recognized over time as the services are provided. See Item 8. "Financial Statements - Note 3, Revenue, of Notes to Consolidated Financial Statements" contained within this report.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and affiliated assumed premiums written by the Exchange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8.9% to $13.0 billion in 2025, from $11.9 billion in 2024, primarily driven by increased personal lines and commercial multi-peril premiums written. The year-over-year average premium per policy for all lines of business increased 9.6% at December 31, 2025 compared to 13.4% at December 31, 2024. Year-over-year policies in force for all lines of business decreased 1.1% in 2025 as a result of a decrease in new business policies written.</w:t>
      </w:r>
    </w:p>
    <w:p>
      <w:pPr>
        <w:spacing w:after="0" w:line="20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Premiums generated from new business decreased 17.8% to $1.5 billion in 2025. Contributing to this change was a 22.8% decrease in new business policies written, partially offset by a 6.5% increase in year-over-year average premium per policy on new business at December 31, 2025.</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Premiums generated from renewal business increased 13.4% to $11.5 billion in 2025, resulting from an increase in year-over-year average premium per policy of 10.3% at December 31, 2025, as well as an increase in year-over-year policies in force of 2.4% in 2025.</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Exchange implements rate changes in order to meet loss cost expectations. In 2022 through 2024, the Exchange implemented rate increases primarily in response to inflation-driven severity trends in order to restore rate adequacy. As these cumulative rate actions have been recognized into earned premium, the Exchange implemented more moderate rate increases in 2025, reflecting alignment between pricing and underlying loss costs while continuing to monitor loss trends. As the Exchange writes policies almost exclusively with annual terms, premium rate actions take 12 months to be fully recognized in written premium and 24 months to be recognized in earned premiums. Since rate changes are realized at renewal, it takes 12 months to implement a rate change to all policyholders and another 12 months to earn the increased or decreased premiums in full. As a result, certain rate changes approved in 2024 were reflected in 2025, and a portion of the premium rate actions approved in 2025 will be reflected in 2026. Furthermore, the Exchange writes certain personal auto policies with a rate locking feature, which generally extends the amount of time it takes for premium rate actions to be recognized related to these policies. The Exchange continuously evaluates pricing and product offerings to maintain rate adequacy while meeting consumer demands.</w:t>
      </w:r>
    </w:p>
    <w:p>
      <w:pPr>
        <w:spacing w:after="0" w:line="21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Personal lines </w:t>
      </w:r>
      <w:r>
        <w:rPr>
          <w:rFonts w:ascii="Times New Roman" w:cs="Times New Roman" w:eastAsia="Times New Roman" w:hAnsi="Times New Roman"/>
          <w:sz w:val="18"/>
          <w:szCs w:val="18"/>
          <w:color w:val="auto"/>
        </w:rPr>
        <w:t>– Total personal lines premiums written increased 8.3% to $9.2 billion in 2025, from $8.5 billion in 2024, driven by a 9.4% increase in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lines year-over-year average premium per policy, partially offset by a 1.5% decrease in total personal lines policies in force.</w:t>
      </w:r>
    </w:p>
    <w:p>
      <w:pPr>
        <w:spacing w:after="0" w:line="19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Commercial lines </w:t>
      </w:r>
      <w:r>
        <w:rPr>
          <w:rFonts w:ascii="Times New Roman" w:cs="Times New Roman" w:eastAsia="Times New Roman" w:hAnsi="Times New Roman"/>
          <w:sz w:val="18"/>
          <w:szCs w:val="18"/>
          <w:color w:val="auto"/>
        </w:rPr>
        <w:t>– Total commercial lines premiums written increased 10.1% to $3.8 billion in 2025, from $3.4 billion in 2024, driven by a 7.7%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total commercial lines year-over-year average premium per policy and a 2.2% increase in total commercial lines policies in force.</w:t>
      </w:r>
    </w:p>
    <w:p>
      <w:pPr>
        <w:spacing w:after="0" w:line="18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Future trends-premium revenue </w:t>
      </w:r>
      <w:r>
        <w:rPr>
          <w:rFonts w:ascii="Times New Roman" w:cs="Times New Roman" w:eastAsia="Times New Roman" w:hAnsi="Times New Roman"/>
          <w:sz w:val="18"/>
          <w:szCs w:val="18"/>
          <w:color w:val="auto"/>
        </w:rPr>
        <w:t>– Through a careful agency selection and monitoring process, the Exchange plans to continue efforts to utilize its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to increase market penetration in existing operating territories to contribute to future growth.</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Changes in premium levels attributable to the growth in policies in force directly affect the profitability of the Exchange and have a direct bearing on our management fee revenue. Our continued focus on underwriting discipline and the maturing of pricing sophistication models support risk selection and long-term rate adequacy. In 2025, policy retention declined slightly compared to prior periods, primarily reflecting competitive market conditions. The continued growth of the Exchange's policy base is dependent upon its ability to retain existing and attract new subscribers (policyholders). A lack of new policy growth or the inability to retain existing customers could have an adverse effect on the Exchange's premium level growth, and consequently our management fee revenue.</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Changes in premium levels attributable to rate changes also directly affect the profitability of the Exchange and have a direct bearing on our management fee revenue. Pricing actions contemplated or taken by the Exchange are subject to various regulatory requirements of the states in which it operates. Future premiums could be impacted by potential changes in regulation, inflationary trends, and tariff policies, among others. The pricing actions already implemented, or to be implemented, have an effect on the market competitiveness of the Exchange's insurance products. Such pricing actions, and those of the Exchange's competitors, could affect the ability of the Exchange's agents to retain and attract new business. We expect the Exchange's pricing actions in 2025 to result in an increase in direct written premiums in 2026; however, exposure reductions and/or changes in mix of business as a result of economic conditions could impact the average direct and affiliated assumed premium written by the Exchange, as customers may reduce coverages. See also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67"/>
        </w:trPr>
        <w:tc>
          <w:tcPr>
            <w:tcW w:w="28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Years ended December 31,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372"/>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 fee revenue - policy issuance and renewal</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3,131,806</w:t>
            </w: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2,894,074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2,442,073</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(6.1)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r>
      <w:tr>
        <w:trPr>
          <w:trHeight w:val="218"/>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3,156,561</w:t>
            </w: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2,468,132</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2,513,435</w:t>
            </w: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8.7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2,312,324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2,011,545</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 -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643,126</w:t>
            </w:r>
          </w:p>
        </w:tc>
        <w:tc>
          <w:tcPr>
            <w:tcW w:w="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456,587</w:t>
            </w:r>
          </w:p>
        </w:tc>
      </w:tr>
      <w:tr>
        <w:trPr>
          <w:trHeight w:val="21"/>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issuance and renewal services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management fee revenue allocated for providing policy issuance and renewal services was 24.37% and 24.40% of the direct and affiliated assumed premiums written by the Exchange in 2025 and 2024, respectively.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agreement revenue</w:t>
      </w:r>
    </w:p>
    <w:p>
      <w:pPr>
        <w:spacing w:after="0" w:line="2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Service agreement revenue primarily consists of service charges we collect from subscribers (policyholders) for providing multiple payment plans on policies written by the Exchange and its property and casualty subsidiaries and also includes late payment and policy reinstatement fees. The service charges are fixed dollar amounts per billed installment. Service agreement revenue also includes fees received from the Exchange for the use of shared office space.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policy issuance and renewal services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2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25"/>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Commissions:</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1,777,043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1,601,401</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1,348,530</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commissions</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Non-commission expense: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204,245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181,003</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239,789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advertising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w:t>
            </w: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171,970</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736,392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663,015</w:t>
            </w:r>
          </w:p>
        </w:tc>
        <w:tc>
          <w:tcPr>
            <w:tcW w:w="0" w:type="dxa"/>
            <w:vAlign w:val="bottom"/>
          </w:tcPr>
          <w:p>
            <w:pPr>
              <w:spacing w:after="0"/>
              <w:rPr>
                <w:sz w:val="1"/>
                <w:szCs w:val="1"/>
                <w:color w:val="auto"/>
              </w:rPr>
            </w:pPr>
          </w:p>
        </w:tc>
      </w:tr>
      <w:tr>
        <w:trPr>
          <w:trHeight w:val="155"/>
        </w:trPr>
        <w:tc>
          <w:tcPr>
            <w:tcW w:w="462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cost of operations - policy issuance and renewal</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2,513,435</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2,312,324</w:t>
            </w: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2,011,545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 Commissions increased $175.6 million in 2025 compared to 2024, primarily driven by the growth in direct and affiliated assumed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and an increase in agent incentive compensation due to improved property and casualty underwriting profitability for the three-year period ended 2025 compared to the three-year period ended 2024.</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Non-commission expense </w:t>
      </w:r>
      <w:r>
        <w:rPr>
          <w:rFonts w:ascii="Times New Roman" w:cs="Times New Roman" w:eastAsia="Times New Roman" w:hAnsi="Times New Roman"/>
          <w:sz w:val="18"/>
          <w:szCs w:val="18"/>
          <w:color w:val="auto"/>
        </w:rPr>
        <w:t>– Non-commission expense increased $25.5 million in 2025 compared to 2024. Underwriting and policy processing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$4.8 million primarily due to increased postage and personnel costs, partially offset by a decrease in underwriting report costs. Information technology costs increased $24.3 million primarily due to an increase in personnel costs and hardware and software costs. Customer service costs increased $3.5 million primarily due to increased credit card processing fees and personnel costs. Administrative and other costs decreased $7.1 million primarily due to decreased professional fees and personnel costs.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Personnel costs in all expense categories in 2025 were impacted by increased healthcare costs compared to 2024. Personnel costs in 2025 were also impacted by decreased incentive compensation compared to 2024. Decreases in incentive plan costs were primarily driven by lower performance metrics compared to 2024 and a decrease in company stock price during 2025 compared to an increase during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67"/>
        </w:trPr>
        <w:tc>
          <w:tcPr>
            <w:tcW w:w="18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421"/>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63,669</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836,639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806,336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737,139</w:t>
            </w:r>
          </w:p>
        </w:tc>
      </w:tr>
      <w:tr>
        <w:trPr>
          <w:trHeight w:val="218"/>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revenue allocated to administrative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910,697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800,808</w:t>
            </w:r>
          </w:p>
        </w:tc>
      </w:tr>
      <w:tr>
        <w:trPr>
          <w:trHeight w:val="229"/>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Claims handling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735,330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635,043</w:t>
            </w:r>
          </w:p>
        </w:tc>
      </w:tr>
      <w:tr>
        <w:trPr>
          <w:trHeight w:val="229"/>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management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34,958</w:t>
            </w: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67,138</w:t>
            </w:r>
          </w:p>
        </w:tc>
      </w:tr>
      <w:tr>
        <w:trPr>
          <w:trHeight w:val="223"/>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income - administrative services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63,669</w:t>
            </w:r>
          </w:p>
        </w:tc>
      </w:tr>
      <w:tr>
        <w:trPr>
          <w:trHeight w:val="20"/>
        </w:trPr>
        <w:tc>
          <w:tcPr>
            <w:tcW w:w="1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management fee revenue allocated to administrative services was 0.63% and 0.60% of the direct and affiliated assumed premiums written by the Exchange in 2025 and 2024, respectively.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Consolidated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administrative services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our investment operations is as follows for the years ended December 31:</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85,837</w:t>
            </w:r>
          </w:p>
        </w:tc>
        <w:tc>
          <w:tcPr>
            <w:tcW w:w="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w:t>
            </w:r>
          </w:p>
        </w:tc>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44,572</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(5,838)</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(9,766)</w:t>
            </w:r>
          </w:p>
        </w:tc>
      </w:tr>
      <w:tr>
        <w:trPr>
          <w:trHeight w:val="22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84,861</w:t>
            </w:r>
          </w:p>
        </w:tc>
        <w:tc>
          <w:tcPr>
            <w:tcW w:w="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69,260</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NM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28,968</w:t>
            </w:r>
          </w:p>
        </w:tc>
      </w:tr>
      <w:tr>
        <w:trPr>
          <w:trHeight w:val="21"/>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Net investment income includes interest and dividends on our fixed maturity and equity security portfolios and the results of our limited partnership investments, net of investment expenses. Net investment income increased $15.7 million in 2025, compared to 2024, primarily due to an increase in bond and cash and cash equivalent income as a result of higher average holdings and bond yields.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gains (losses)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our net realized and unrealized investment gains (losses) is as follows for the years ended December 31:</w:t>
      </w:r>
    </w:p>
    <w:p>
      <w:pPr>
        <w:sectPr>
          <w:pgSz w:w="11900" w:h="16838" w:orient="portrait"/>
          <w:cols w:equalWidth="0" w:num="1">
            <w:col w:w="11240"/>
          </w:cols>
          <w:pgMar w:left="320" w:top="118" w:right="339" w:bottom="1440" w:gutter="0" w:footer="0" w:header="0"/>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sold: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20" w:right="2640"/>
        <w:spacing w:after="0" w:line="286" w:lineRule="auto"/>
        <w:rPr>
          <w:sz w:val="20"/>
          <w:szCs w:val="20"/>
          <w:color w:val="auto"/>
        </w:rPr>
      </w:pPr>
      <w:r>
        <w:rPr>
          <w:rFonts w:ascii="Times New Roman" w:cs="Times New Roman" w:eastAsia="Times New Roman" w:hAnsi="Times New Roman"/>
          <w:sz w:val="18"/>
          <w:szCs w:val="18"/>
          <w:color w:val="auto"/>
        </w:rPr>
        <w:t>Change in fair value on remaining equity securities Miscellaneous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realized and unrealized investment gains (losses)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43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30"/>
        </w:trPr>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2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34"/>
        </w:trPr>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80"/>
          </w:cols>
          <w:pgMar w:left="320" w:top="118" w:right="33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recognized in earnings</w:t>
      </w:r>
    </w:p>
    <w:p>
      <w:pPr>
        <w:spacing w:after="0" w:line="2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Net impairment losses of $3.3 million in 2025 primarily included both credit-related and intent to sell impairments on available-for-sale securities and current expected credit losses on other loans receivable. Impairment losses of $4.1 million in 2024 primarily included current expected credit losses on held-to-maturity securities and other loans receivable . See "Other assets" in Item 8. "Financial Statements and Supplementary Data - Note 2, Significant Accounting Policies, of Notes to Consolidated Financial Statements" for additional information on other loans receivable and held-to-maturity securities.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of Erie Insurance Exchange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Serving in the capacity of attorney-in-fact for the subscribers at the Exchange, we are dependent on the growth and financial condition of the Exchange, who is our sole customer. The strength of the Exchange and its wholly owned subsidiaries is rated annually by AM Best through assessing its financial stability and ability to pay claims. The ratings are generally based upon factors relevant to policyholders and are not directed toward return to investors. On September 5, 2025, the Exchange and each of its property and casualty insurance subsidiaries were downgraded from A+ "Superior" to A "Excellent" and its financial strength rating was revised from negative to stable. The A "Excellent" rating is the third highest financial strength rating assigned to companies that have achieved excellent overall performance when compared to the standards established by AM Best and have an excellent ability to meet obligations to policyholders over the long term. While the Exchange's policyholder surplus continues to be classified in AM Best's strongest category, the downgrade was primarily driven by the Exchange's large underwriting losses in recent years, driven by elevated weather-related events and increased severity in the auto and homeowners' segments. The stable financial strength rating reflects the expectation that the Exchange's profitability initiatives will accelerate and stabilize operating results over the near term. Furthermore, the stable outlook reflects the strongest level of balance sheet strength as assessed by AM Best.</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insurance subsidiaries grew 8.9% to $13.0 billion in 2025 from $11.9 billion in 2024. These premiums, along with investment income, are the major sources of cash that support the operations of the Exchange. Policyholders' surplus, determined under statutory accounting principles, was $10.1 billion and $9.3 billion at December 31, 2025 and 2024, respectively. The Exchange and its wholly owned property and casualty insurance subsidiaries' year-over-year policy retention ratio continues to be high at 88.4% at December 31, 2025 and 90.4% at December 31, 2024.</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prepared our consolidated financial statements considering the financial strength of the Exchange based on its AM Best rating and strong level of surplus. See Part I, Item 1A. "Risk Factors" for possible outcomes that could impact that determination.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investment portfolio is managed with the objective of maximizing after-tax returns on a risk-adjusted basis. The following table presents the carrying value of our investments as of December 31:</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to total</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to total</w:t>
            </w:r>
          </w:p>
        </w:tc>
      </w:tr>
      <w:tr>
        <w:trPr>
          <w:trHeight w:val="21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9"/>
                <w:szCs w:val="9"/>
                <w:color w:val="auto"/>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1,364,828</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85 %</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1,043,615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9"/>
                <w:szCs w:val="9"/>
                <w:color w:val="auto"/>
              </w:rPr>
              <w:t>(2)</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90,763</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85,891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9"/>
                <w:szCs w:val="9"/>
                <w:color w:val="auto"/>
              </w:rPr>
              <w:t>(3)</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109,331</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92,731</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9"/>
                <w:szCs w:val="9"/>
                <w:color w:val="auto"/>
              </w:rPr>
              <w:t>(4)</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37,342</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29,610</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1,602,264</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1,251,847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$44.4 million and $7.3 million of securities lent under a securities lending agreement as of December 31, 2025 and 2024, respectively.</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$20.1 million of securities lent under a securities lending agreement as of December 31, 2025.</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55" w:lineRule="exact"/>
        <w:rPr>
          <w:rFonts w:ascii="Times New Roman" w:cs="Times New Roman" w:eastAsia="Times New Roman" w:hAnsi="Times New Roman"/>
          <w:sz w:val="14"/>
          <w:szCs w:val="14"/>
          <w:i w:val="1"/>
          <w:iCs w:val="1"/>
          <w:color w:val="auto"/>
        </w:rPr>
      </w:pPr>
    </w:p>
    <w:p>
      <w:pPr>
        <w:ind w:left="660" w:right="300" w:hanging="328"/>
        <w:spacing w:after="0" w:line="305" w:lineRule="auto"/>
        <w:tabs>
          <w:tab w:leader="none" w:pos="65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investments are included in the line items "Prepaid expenses and other current assets, net" and "Other assets, net", respectively, in the Consolidated Statements of Financial Position.</w:t>
      </w:r>
    </w:p>
    <w:p>
      <w:pPr>
        <w:spacing w:after="0" w:line="200" w:lineRule="exact"/>
        <w:rPr>
          <w:sz w:val="20"/>
          <w:szCs w:val="20"/>
          <w:color w:val="auto"/>
        </w:rPr>
      </w:pPr>
    </w:p>
    <w:p>
      <w:pPr>
        <w:spacing w:after="0" w:line="2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continually review our investment portfolio for impairment and determine whether the impairment is a result of credit loss or other factors. We analyze all positions with an emphasis on those in a significant unrealized loss position. If we have the intent to sell or it's more likely than not that we would be required to sell the security before recovery of the amortized cost basis, the entire impairment is recognized in earnings.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Impairment resulting from credit loss is recognized in earnings with a corresponding allowance on the Consolidated Statements of Financial Position. We believe our investment valuation philosophy and accounting practices result in appropriate and timely measurement of fair value and recognition of impairment.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Available-for-sale securities</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Under our investment strategy, we maintain an available-for-sale portfolio that is of high quality and well diversified within each market sector. This investment strategy also achieves a balanced maturity schedule. Our available-for-sale portfolio is managed with the goal of achieving reasonable returns while limiting exposure to risk.</w:t>
      </w:r>
    </w:p>
    <w:p>
      <w:pPr>
        <w:spacing w:after="0" w:line="21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net of deferred taxes, included in shareholders' equity. Net unrealized gains on available-for-sale securities, net of deferred taxes, totaled $1.3 million at December 31, 2025, compared to unrealized losses of $17.6 million at December 31, 2024. Our evaluation of deferred tax assets and the need for a valuation allowance included available tax planning strategies that could be implemented, if necessary, to support the realizability of deferred tax assets. We believe those tax strategies are feasible and prudent.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 breakdown of the fair value of our available-for-sale portfolio by industry sector and rating as of December 31, 2025: </w:t>
      </w:r>
      <w:r>
        <w:rPr>
          <w:rFonts w:ascii="Times New Roman" w:cs="Times New Roman" w:eastAsia="Times New Roman" w:hAnsi="Times New Roman"/>
          <w:sz w:val="9"/>
          <w:szCs w:val="9"/>
          <w:color w:val="auto"/>
        </w:rPr>
        <w:t>(1)</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Non-</w:t>
            </w:r>
          </w:p>
        </w:tc>
        <w:tc>
          <w:tcPr>
            <w:tcW w:w="360" w:type="dxa"/>
            <w:vAlign w:val="bottom"/>
          </w:tcPr>
          <w:p>
            <w:pPr>
              <w:spacing w:after="0"/>
              <w:rPr>
                <w:sz w:val="17"/>
                <w:szCs w:val="17"/>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investment</w:t>
            </w:r>
          </w:p>
        </w:tc>
        <w:tc>
          <w:tcPr>
            <w:tcW w:w="3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AAA</w:t>
            </w:r>
          </w:p>
        </w:tc>
        <w:tc>
          <w:tcPr>
            <w:tcW w:w="420" w:type="dxa"/>
            <w:vAlign w:val="bottom"/>
          </w:tcPr>
          <w:p>
            <w:pPr>
              <w:spacing w:after="0"/>
              <w:rPr>
                <w:sz w:val="21"/>
                <w:szCs w:val="21"/>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AA</w:t>
            </w:r>
          </w:p>
        </w:tc>
        <w:tc>
          <w:tcPr>
            <w:tcW w:w="420" w:type="dxa"/>
            <w:vAlign w:val="bottom"/>
          </w:tcPr>
          <w:p>
            <w:pPr>
              <w:spacing w:after="0"/>
              <w:rPr>
                <w:sz w:val="21"/>
                <w:szCs w:val="21"/>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BBB</w:t>
            </w:r>
          </w:p>
        </w:tc>
        <w:tc>
          <w:tcPr>
            <w:tcW w:w="320" w:type="dxa"/>
            <w:vAlign w:val="bottom"/>
          </w:tcPr>
          <w:p>
            <w:pPr>
              <w:spacing w:after="0"/>
              <w:rPr>
                <w:sz w:val="21"/>
                <w:szCs w:val="21"/>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grade</w:t>
            </w:r>
          </w:p>
        </w:tc>
        <w:tc>
          <w:tcPr>
            <w:tcW w:w="36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1,531</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4,899</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7,230</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3,055</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15,684</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7,782</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19,627</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8,971</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50,525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76,566</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51,938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908</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5,666</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42,493</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20,293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69,360</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134,221</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173,493</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20,769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328,483</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15,277</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29,104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38,082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83,483</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Structured securities </w:t>
            </w:r>
            <w:r>
              <w:rPr>
                <w:rFonts w:ascii="Times New Roman" w:cs="Times New Roman" w:eastAsia="Times New Roman" w:hAnsi="Times New Roman"/>
                <w:sz w:val="9"/>
                <w:szCs w:val="9"/>
                <w:color w:val="auto"/>
              </w:rPr>
              <w:t>(2)</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203,375</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247,121</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21,547</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13,827</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487,098</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1,985</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15,419</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15,679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24,163</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12,903</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56,778</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19,006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88,687</w:t>
            </w:r>
          </w:p>
        </w:tc>
        <w:tc>
          <w:tcPr>
            <w:tcW w:w="0" w:type="dxa"/>
            <w:vAlign w:val="bottom"/>
          </w:tcPr>
          <w:p>
            <w:pPr>
              <w:spacing w:after="0"/>
              <w:rPr>
                <w:sz w:val="1"/>
                <w:szCs w:val="1"/>
                <w:color w:val="auto"/>
              </w:rPr>
            </w:pPr>
          </w:p>
        </w:tc>
      </w:tr>
      <w:tr>
        <w:trPr>
          <w:trHeight w:val="223"/>
        </w:trPr>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205,360</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285,238</w:t>
            </w: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257,354</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421,408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195,468</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1,364,828</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 The table is based upon the lowest rating for each security.</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Structured securities include residential and commercial mortgage-backed securities, collateralized debt obligations, and asset-backed securities.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Equity securities primarily include nonredeemable preferred stocks and are carried at fair value in the Consolidated Statements of Financial Position with all changes in unrealized gains and losses reflected 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fair value of our equity securities by sector as of December 31: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74,614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69,930</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5,563</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90,763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85,891</w:t>
            </w: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Postretirement benefit plans</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funded status of our postretirement benefit plans is recognized in the Consolidated Statements of Financial Position, with a corresponding adjustment to accumulated other comprehensive income (loss), net of tax. At December 31, 2025, shareholders' equity amounts related to these postretirement plans decreased by $23.3 million, net of tax, of which $1.1 million primarily represents amortization of net actuarial gain and $22.2 million primarily represents the current period actuarial loss. The 2025 actuarial loss was driven primarily by the lower discount rate used to measure the future benefit obligations, partially offset by higher than expected return on plan assets. Although we are the sponsor of these postretirement plans and record the funded status of these plans, there are reimbursements between us and the Exchange and its insurance subsidiaries for their allocated share of pension income or cost. See Item 8. "Financial Statements and Supplementary Data - Note 10, Postretirement Benefits, of Notes to Consolidated Financial Statements" contained within this report for additional details on these reimbursements.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continue to monitor the sufficiency of our liquidity and capital resources given the potential impact of current economic conditions, including the uncertain tariff, inflationary, and interest rate environment. While we did not see a significant impact on our sources or uses of cash in 2025, future market disruptions could occur which may affect our liquidity position. If our normal operating and investing cash activities were to become insufficient to meet future funding requirements, we believe we have sufficient access to liquidity through our cash position, diverse liquid marketable securities, and our $100 million bank revolving line of credit that does not expire until November 2029. See broader discussions of potential risks to our operations in Operating Overview and Part I, Item 1A. "Risk Factors" contained within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2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certain obligations and commitments to make future payments under various agreements. Cash requirements within the next twelve months include accounts payable, accrued liabilities, and other current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cash requirements under various contractual obligations and commitments include:</w:t>
      </w:r>
    </w:p>
    <w:p>
      <w:pPr>
        <w:spacing w:after="0" w:line="250" w:lineRule="exact"/>
        <w:rPr>
          <w:sz w:val="20"/>
          <w:szCs w:val="20"/>
          <w:color w:val="auto"/>
        </w:rPr>
      </w:pPr>
    </w:p>
    <w:p>
      <w:pPr>
        <w:ind w:left="500" w:right="80" w:hanging="330"/>
        <w:spacing w:after="0" w:line="26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Pension </w:t>
      </w:r>
      <w:r>
        <w:rPr>
          <w:rFonts w:ascii="Times New Roman" w:cs="Times New Roman" w:eastAsia="Times New Roman" w:hAnsi="Times New Roman"/>
          <w:sz w:val="18"/>
          <w:szCs w:val="18"/>
          <w:color w:val="auto"/>
        </w:rPr>
        <w:t>– We have a funded noncontributory defined benefit pension plan covering substantially all employees and an unfunded SERP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executive and senior management. See Item 8. "Financial Statements and Supplementary Data - Note 10, Postretirement Benefits, of Notes to Consolidated Financial Statements" for the funding policy and related contributions for our defined benefit pension plan, and accumulated benefit obligation for our unfunded SERP.</w:t>
      </w:r>
    </w:p>
    <w:p>
      <w:pPr>
        <w:spacing w:after="0" w:line="206" w:lineRule="exact"/>
        <w:rPr>
          <w:rFonts w:ascii="Times New Roman" w:cs="Times New Roman" w:eastAsia="Times New Roman" w:hAnsi="Times New Roman"/>
          <w:sz w:val="18"/>
          <w:szCs w:val="18"/>
          <w:color w:val="auto"/>
        </w:rPr>
      </w:pPr>
    </w:p>
    <w:p>
      <w:pPr>
        <w:ind w:left="500" w:right="20" w:hanging="330"/>
        <w:spacing w:after="0" w:line="290" w:lineRule="auto"/>
        <w:tabs>
          <w:tab w:leader="none" w:pos="4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Deferred compensation </w:t>
      </w:r>
      <w:r>
        <w:rPr>
          <w:rFonts w:ascii="Times New Roman" w:cs="Times New Roman" w:eastAsia="Times New Roman" w:hAnsi="Times New Roman"/>
          <w:sz w:val="17"/>
          <w:szCs w:val="17"/>
          <w:color w:val="auto"/>
        </w:rPr>
        <w:t>– We have two deferred compensation plans for our executives, senior vice presidents and other selected officers, and two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compensation plans for our outside directors. See Item 8. "Financial Statements and Supplementary Data - Note 11, Incentive and Deferred Compensation Plans, of Notes to Consolidated Financial Statements" for additional details of these obligations and estimated future payments.</w:t>
      </w:r>
    </w:p>
    <w:p>
      <w:pPr>
        <w:spacing w:after="0" w:line="182" w:lineRule="exact"/>
        <w:rPr>
          <w:rFonts w:ascii="Times New Roman" w:cs="Times New Roman" w:eastAsia="Times New Roman" w:hAnsi="Times New Roman"/>
          <w:sz w:val="17"/>
          <w:szCs w:val="17"/>
          <w:color w:val="auto"/>
        </w:rPr>
      </w:pPr>
    </w:p>
    <w:p>
      <w:pPr>
        <w:ind w:left="500" w:right="40" w:hanging="330"/>
        <w:spacing w:after="0" w:line="258"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office renovations </w:t>
      </w:r>
      <w:r>
        <w:rPr>
          <w:rFonts w:ascii="Times New Roman" w:cs="Times New Roman" w:eastAsia="Times New Roman" w:hAnsi="Times New Roman"/>
          <w:sz w:val="18"/>
          <w:szCs w:val="18"/>
          <w:color w:val="auto"/>
        </w:rPr>
        <w:t>– We have agreements with external contracting firms for renovations to office buildings that are part of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 Remaining commitments related to the underlying contracts total $77.5 million at December 31, 2025, of which the majority is due in the next 12 months. Additional contracts will be executed as we begin each new phase of the overall renovation projects and will be funded using our working capital. See Item 8. "Financial Statements and Supplementary Data - Note 8, Fixed Assets, of Notes to Consolidated Financial Statements" for additional details on construction in progress costs and expected completion date.</w:t>
      </w:r>
    </w:p>
    <w:p>
      <w:pPr>
        <w:spacing w:after="0" w:line="210" w:lineRule="exact"/>
        <w:rPr>
          <w:rFonts w:ascii="Times New Roman" w:cs="Times New Roman" w:eastAsia="Times New Roman" w:hAnsi="Times New Roman"/>
          <w:sz w:val="18"/>
          <w:szCs w:val="18"/>
          <w:color w:val="auto"/>
        </w:rPr>
      </w:pPr>
    </w:p>
    <w:p>
      <w:pPr>
        <w:ind w:left="500" w:right="100" w:hanging="330"/>
        <w:spacing w:after="0" w:line="257"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commitments </w:t>
      </w:r>
      <w:r>
        <w:rPr>
          <w:rFonts w:ascii="Times New Roman" w:cs="Times New Roman" w:eastAsia="Times New Roman" w:hAnsi="Times New Roman"/>
          <w:sz w:val="18"/>
          <w:szCs w:val="18"/>
          <w:color w:val="auto"/>
        </w:rPr>
        <w:t>– We have commitments for approximately $473 million which include agreements for various services, including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support and maintenance obligations, operating leases for equipment, vehicles, and real estate, and other obligations in the ordinary course of business. We expect to make future cash payments according to the contract terms. These agreements are enforceable and legally binding and specify fixed amounts or minimum quantities to be purchased. Some agreements may contain cancellation provisions, some of which may require us to pay a termination fee. Approximately two-thirds of these commitments are due in the next 12 months. We are reimbursed from the Exchange and its insurance subsidiaries for the portion of these costs related to administrative services.</w:t>
      </w:r>
    </w:p>
    <w:p>
      <w:pPr>
        <w:spacing w:after="0" w:line="2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 relationships and cash balances at diversified and well-capitalized financial institutions and have established processes to monitor them. We believe that our current cash, cash equivalents and marketable securities and cash generated from operations will be sufficient to meet our current and future cash requirements.</w:t>
      </w:r>
    </w:p>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Volatility in the financial markets presents challenges to us as we occasionally access our investment portfolio as a source of cash. Some of our fixed income investments, despite being publicly traded, may be illiquid. Additionally, if we require significant amounts of cash on short notice in excess of anticipated cash requirements, or if we are required to return cash</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collateral in connection with our securities lending program, we may have difficulty selling investments in a timely manner, or be forced to sell at deep discounts. We believe we have sufficient liquidity to meet our needs from sources other than the liquidation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condensed cash flow information for the years ended December 31:</w:t>
      </w:r>
    </w:p>
    <w:p>
      <w:pPr>
        <w:sectPr>
          <w:pgSz w:w="11900" w:h="16838" w:orient="portrait"/>
          <w:cols w:equalWidth="0" w:num="1">
            <w:col w:w="11220"/>
          </w:cols>
          <w:pgMar w:left="320" w:top="118" w:right="359" w:bottom="1440" w:gutter="0" w:footer="0" w:header="0"/>
        </w:sectPr>
      </w:pP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686,657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611,249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381,205</w:t>
            </w:r>
          </w:p>
        </w:tc>
      </w:tr>
      <w:tr>
        <w:trPr>
          <w:trHeight w:val="229"/>
        </w:trPr>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(439,328)</w:t>
            </w:r>
          </w:p>
        </w:tc>
        <w:tc>
          <w:tcPr>
            <w:tcW w:w="400" w:type="dxa"/>
            <w:vAlign w:val="bottom"/>
          </w:tcPr>
          <w:p>
            <w:pPr>
              <w:spacing w:after="0"/>
              <w:rPr>
                <w:sz w:val="19"/>
                <w:szCs w:val="19"/>
                <w:color w:val="auto"/>
              </w:rPr>
            </w:pPr>
          </w:p>
        </w:tc>
        <w:tc>
          <w:tcPr>
            <w:tcW w:w="12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(226,912)</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(157,565)</w:t>
            </w:r>
          </w:p>
        </w:tc>
      </w:tr>
      <w:tr>
        <w:trPr>
          <w:trHeight w:val="234"/>
        </w:trPr>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(199,852)</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(229,995)</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(221,675)</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47,477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154,342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720"/>
            <w:col w:w="4780"/>
          </w:cols>
          <w:pgMar w:left="320" w:top="118" w:right="359" w:bottom="1440" w:gutter="0" w:footer="0" w:header="0"/>
          <w:type w:val="continuous"/>
        </w:sect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$686.7 million in 2025, compared to $611.2 million in 2024. Increased cash provided by operating activities in 2025, compared to 2024, was primarily due to an increase in management fees received of $311.1 million driven by growth in direct and affiliated assumed premiums written by the Exchange and a decrease in income taxes paid of $55.9 million driven by lower taxable income compared to 2024, resulting from changes in tax legislation and increased charitable contributions. This was partially offset by increases in cash paid for agent commissions of $165.3 million driven by premium growth, and the charitable contribution to the Erie Insurance Foundation of $100 million.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$439.3 million in 2025, compared to $226.9 million in 2024. Increased cash used in investing activities was primarily due to an increase in purchases, net of sales and maturities/calls, of available-for-sale securities of $226.7 million.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$199.9 million in 2025, compared to $230.0 million in 2024. Decreased cash used in financing activities was primarily due to increased cash collateral received related to increased lending of securities under our securities lending program. This was partially offset by increased dividends paid to shareholders. We increased both our Class A and Class B shareholder regular quarterly dividends by 7.1% for 2025, compared to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Outlook</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of our normal operating and investing cash activities, future funding requirements could be met through: 1) unrestricted and unpledged cash and cash equivalents, which totaled approximately $315.0 million at December 31, 2025, 2) $100 million available bank revolving line of credit, and 3) liquidation of unrestricted and unpledged assets held in our investment portfolio, including equity securities and investment grade bonds, which totaled approximately $1.1 billion at December 31, 2025. Volatility in the financial markets could impair our ability to sell certain fixed income securities or cause such securities to sell at deep discounts. Additionally, we have the ability to curtail or modify discretionary cash outlays such as those related to shareholder dividends and share repurchase activities. See Item 8. "Financial Statements and Supplementary Data - Note 9, Bank Line of Credit, of Notes to Consolidated Financial Statements" for additional information related to our bank revolving line of credit.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entered into certain contingent obligations for guarantees. See Item 8. "Financial Statements and Supplementary Data - Note 17, Commitments and Contingencies, of Notes to Consolidated Financial Statements" for additional information. We do not believe that these obligations will have a material current or future effect on our consolidated financial condition, results of operations, or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all our companies and facilitates implementation of risk responses to mitigate potential impacts. See Part I, Item 1A. "Risk Factors" contained in this report for a list of risk factors.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ERM program is founded on a governance framework that includes oversight at multiple levels of our organization, including our Board of Directors and executive management. Accountability to identify, manage, and mitigate risk is</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embedded within all functions and areas of our business. We establish risk tolerance ranges to monitor and manage significant risks.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TRANSACTIONS/AGREEMENTS WITH RELATED PARTIES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Board of Directors has a broad oversight responsibility over our intercompany relationships with the Exchange. Thus, our Board of Directors may be required to make decisions or take actions that may benefit subscribers at the Exchange and the overall health of the Exchange. These actions may ultimately benefit our shareholders.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Holding Company System</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The Exchange has the following wholly owned property and casualty insurance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certain transactions affecting the members within a holding company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Agreements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Subscriber's and services agreements</w:t>
      </w:r>
    </w:p>
    <w:p>
      <w:pPr>
        <w:spacing w:after="0" w:line="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serve as attorney-in-fact for the subscribers at the Exchange, a reciprocal insurance exchange. Each applicant for insurance to a reciprocal insurance exchange (a subscriber) signs a subscriber's agreement that contains an appointment of an attorney-in-fact. Through the designation of attorney-in-fact, we are required to provide policy issuance and renewal services and act as the attorney-in-fact for the subscribers at the Exchange with respect to all administrative services, as discussed previously. In accordance with the subscriber's agreement, we retain a management fee for these services calculated as a percentage of the direct and affiliated assumed premiums written by the Exchange. Consistent with its legal structure as a reciprocal insurer, the Exchange does not have any employees or officers. Therefore, it enters into contractual relationships by and through the subscribers' attorney-in-fact. The Exchange's insurance subsidiaries also utilize Indemnity for all administrative services in accordance with the service agreements between each of the subsidiaries and Indemnity.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Shared facilities</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Exchange and its insurance subsidiaries have a service agreement with Indemnity to use space in Indemnity-owned properties. See Item 8. "Financial Statements and Supplementary Data - Note 15, Related Party, of Notes to Consolidated Financial Statements" for additional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Allocation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allocation of costs affects our consolidated financial condition and that of the Exchange and its wholly owned insurance subsidiaries. Management's role is to determine that allocations are consistently made in accordance with the subscriber's agreement with the subscribers at the Exchange, intercompany service agreements, and applicable insurance laws and regulations. Allocation of costs under these various agreements requires judgment and interpretation by Indemnity, and such allocations are performed using a consistent methodology, which is intended to adhere to the terms and intentions of the underlying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Receivables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significant receivables from the Exchange and its affiliates that result in a concentration of credit risk. These receivables include management fees due for policy issuance and renewal services performed by us under the subscriber's agreement, and certain costs we incur acting as the attorney-in-fact on behalf of the subscribers at the Exchange as well as the service provider for the Exchange's insurance subsidiaries with respect to all administrative services, as discussed previously.</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16, Concentrations of Credit Risk, of Notes to Consolidated Financial Statements" for additional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Loans Receivable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2023, we issued two senior secured loans totaling $13.6 million to fund a real estate development project supporting revitalization efforts in our community. Ownership in the project includes related party and unrelated investors. See Item 8. "Financial Statements and Supplementary Data - Note 15, Related Party, of Notes to Consolidated Financial Statements" for additional details.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Erie Insurance Foundation</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2025, we made a $100 million charitable contribution to the Erie Insurance Foundation (the "Foundation"). Certain of Indemnity's directors and employees serve as directors and officers of the Foundation. See Item 8. "Financial Statements and Supplementary Data - Note 15, Related Party, of Notes to Consolidated Financial Statements" for additional details.</w:t>
      </w:r>
    </w:p>
    <w:p>
      <w:pPr>
        <w:spacing w:after="0" w:line="200" w:lineRule="exact"/>
        <w:rPr>
          <w:sz w:val="20"/>
          <w:szCs w:val="20"/>
          <w:color w:val="auto"/>
        </w:rPr>
      </w:pP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invest primarily in fixed maturity investments, which comprised 85% of our invested assets at December 31, 2025.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at least quarterly to ensure that it remains in the targeted range.</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sensitivity analysis is used to measure the potential loss in future earnings, fair values, or cash flows of interest-sensitive instruments resulting from one or more selected hypothetical changes in interest rates and other market rates or prices over a selected period. The following pro forma information is presented assuming a 100-basis point parallel increase in interest rates across the yield curve at December 31 of each year and reflects the estimated effect on the fair value of our fixed maturity portfolio.</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fixed maturity portfolio</w:t>
            </w:r>
          </w:p>
        </w:tc>
        <w:tc>
          <w:tcPr>
            <w:tcW w:w="28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1,369,691</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1,048,549</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assuming 100-basis point rise in interest rates</w:t>
            </w:r>
          </w:p>
        </w:tc>
        <w:tc>
          <w:tcPr>
            <w:tcW w:w="3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1,327,076</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1,018,957</w:t>
            </w: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duration (as a percentage)</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621"/>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8"/>
        </w:trPr>
        <w:tc>
          <w:tcPr>
            <w:tcW w:w="4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While the fixed maturity portfolio is sensitive to interest rates, the future principal cash flows that will be received by contractual maturity date are presented below at December 31, 2025. Actual cash flows may differ from those stated as a result of calls, prepayments, or defaults.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53"/>
        </w:trPr>
        <w:tc>
          <w:tcPr>
            <w:tcW w:w="7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Year ending December 31,</w:t>
            </w:r>
          </w:p>
        </w:tc>
        <w:tc>
          <w:tcPr>
            <w:tcW w:w="260" w:type="dxa"/>
            <w:vAlign w:val="bottom"/>
          </w:tcPr>
          <w:p>
            <w:pPr>
              <w:spacing w:after="0"/>
              <w:rPr>
                <w:sz w:val="22"/>
                <w:szCs w:val="22"/>
                <w:color w:val="auto"/>
              </w:rPr>
            </w:pPr>
          </w:p>
        </w:tc>
        <w:tc>
          <w:tcPr>
            <w:tcW w:w="2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Future Principal Cash Flows</w:t>
            </w:r>
          </w:p>
        </w:tc>
      </w:tr>
      <w:tr>
        <w:trPr>
          <w:trHeight w:val="218"/>
        </w:trPr>
        <w:tc>
          <w:tcPr>
            <w:tcW w:w="24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37,516</w:t>
            </w:r>
          </w:p>
        </w:tc>
      </w:tr>
      <w:tr>
        <w:trPr>
          <w:trHeight w:val="229"/>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92,251</w:t>
            </w:r>
          </w:p>
        </w:tc>
      </w:tr>
      <w:tr>
        <w:trPr>
          <w:trHeight w:val="230"/>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140,182</w:t>
            </w:r>
          </w:p>
        </w:tc>
      </w:tr>
      <w:tr>
        <w:trPr>
          <w:trHeight w:val="229"/>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159,425</w:t>
            </w:r>
          </w:p>
        </w:tc>
      </w:tr>
      <w:tr>
        <w:trPr>
          <w:trHeight w:val="229"/>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4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160,742</w:t>
            </w:r>
          </w:p>
        </w:tc>
      </w:tr>
      <w:tr>
        <w:trPr>
          <w:trHeight w:val="234"/>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786,143</w:t>
            </w:r>
          </w:p>
        </w:tc>
      </w:tr>
      <w:tr>
        <w:trPr>
          <w:trHeight w:val="223"/>
        </w:trPr>
        <w:tc>
          <w:tcPr>
            <w:tcW w:w="7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1,376,259</w:t>
            </w:r>
          </w:p>
        </w:tc>
      </w:tr>
      <w:tr>
        <w:trPr>
          <w:trHeight w:val="223"/>
        </w:trPr>
        <w:tc>
          <w:tcPr>
            <w:tcW w:w="7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1,369,691</w:t>
            </w:r>
          </w:p>
        </w:tc>
      </w:tr>
      <w:tr>
        <w:trPr>
          <w:trHeight w:val="20"/>
        </w:trPr>
        <w:tc>
          <w:tcPr>
            <w:tcW w:w="2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Credit Risk</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objective is to earn competitive returns by investing in a diversified portfolio of securities. Our portfolios of fixed maturity securities, equity securities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portfolio in total. We do not hedge the credit risk inherent in our fixed maturity and equity securities investments.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Generally, the fixed maturities in our portfolio are rated by external rating agencies. If not externally rated, we rate them internally on a basis consistent with that used by the rating agencies. We classify the vast majority of our fixed maturities as available-for-sale securities, allowing us to meet our liquidity needs and provide greater flexibility to appropriately respond to changes in market conditions.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tables show our fixed maturity investments by rating </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3"/>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At December 31, 2025</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Percent of total</w:t>
            </w: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 AA, A</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753,052</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747,952</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18"/>
                <w:szCs w:val="18"/>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415,499</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421,408</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1,168,551</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1,169,360</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106,369</w:t>
            </w:r>
          </w:p>
        </w:tc>
        <w:tc>
          <w:tcPr>
            <w:tcW w:w="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108,067</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70,593</w:t>
            </w:r>
          </w:p>
        </w:tc>
        <w:tc>
          <w:tcPr>
            <w:tcW w:w="34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70,486</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CCC, CC, C, and below</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22,548</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21,778</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199,510</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200,331</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23"/>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1,368,061</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1,369,691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3"/>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December 31, 2024</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Percent of total</w:t>
            </w:r>
          </w:p>
        </w:tc>
      </w:tr>
      <w:tr>
        <w:trPr>
          <w:trHeight w:val="218"/>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AAA, AA, A</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584,600</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564,443</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34"/>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328,561</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326,990</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913,161</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891,433</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tcPr>
          <w:p>
            <w:pPr>
              <w:spacing w:after="0"/>
              <w:rPr>
                <w:sz w:val="19"/>
                <w:szCs w:val="19"/>
                <w:color w:val="auto"/>
              </w:rPr>
            </w:pPr>
          </w:p>
        </w:tc>
      </w:tr>
      <w:tr>
        <w:trPr>
          <w:trHeight w:val="218"/>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34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70,845</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30"/>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68,944</w:t>
            </w:r>
          </w:p>
        </w:tc>
        <w:tc>
          <w:tcPr>
            <w:tcW w:w="340" w:type="dxa"/>
            <w:vAlign w:val="bottom"/>
          </w:tcPr>
          <w:p>
            <w:pPr>
              <w:spacing w:after="0"/>
              <w:rPr>
                <w:sz w:val="19"/>
                <w:szCs w:val="19"/>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69,068</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r>
        <w:trPr>
          <w:trHeight w:val="234"/>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CCC, CC, C, and below</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17,203</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157,628</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157,116</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1,070,789</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1,048,549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ind w:left="680" w:hanging="330"/>
        <w:spacing w:after="0"/>
        <w:tabs>
          <w:tab w:leader="none" w:pos="68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with the exception of held-to-maturity securities, which are unrated. The table is based upon the lowest rating for each security.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also exposed to a concentration of credit risk with the Exchange. See the "Transactions/Agreements with Related Parties, Intercompany Receivables" section of Item 7. "Management's Discussion and Analysis of Financial Condition and Results of Operations" contained within this report for further discussion of this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of volatility in the financial markets can create conditions where fixed maturity investments, despite being publicly traded, can become illiquid.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actively manage the maturity profile of our fixed maturity portfolio such that scheduled repayments of principal occur on a regular basis.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portfolio of equity securities, which primarily includes nonredeemable preferred stock, is carried on the Consolidated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Page Number</w:t>
            </w:r>
          </w:p>
        </w:tc>
      </w:tr>
      <w:tr>
        <w:trPr>
          <w:trHeight w:val="161"/>
        </w:trPr>
        <w:tc>
          <w:tcPr>
            <w:tcW w:w="47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(PCAOB ID:</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6"/>
                <w:szCs w:val="16"/>
                <w:color w:val="3051F2"/>
                <w:w w:val="93"/>
              </w:rPr>
              <w:t>42</w:t>
            </w:r>
            <w:r>
              <w:rPr>
                <w:rFonts w:ascii="Times New Roman" w:cs="Times New Roman" w:eastAsia="Times New Roman" w:hAnsi="Times New Roman"/>
                <w:sz w:val="16"/>
                <w:szCs w:val="16"/>
                <w:u w:val="single" w:color="auto"/>
                <w:color w:val="0000FF"/>
                <w:w w:val="93"/>
              </w:rPr>
              <w:t>)</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rPr>
              <w:t>38</w:t>
            </w:r>
          </w:p>
        </w:tc>
        <w:tc>
          <w:tcPr>
            <w:tcW w:w="20" w:type="dxa"/>
            <w:vAlign w:val="bottom"/>
          </w:tcPr>
          <w:p>
            <w:pPr>
              <w:spacing w:after="0"/>
              <w:rPr>
                <w:sz w:val="14"/>
                <w:szCs w:val="14"/>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2025, 2024 and 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16"/>
                <w:szCs w:val="16"/>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Years Ended December 31, 2025, 2024 and 2023</w:t>
            </w:r>
          </w:p>
        </w:tc>
        <w:tc>
          <w:tcPr>
            <w:tcW w:w="26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17"/>
                <w:szCs w:val="17"/>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Financial Position - December 31, 2025 and 2024</w:t>
            </w:r>
          </w:p>
        </w:tc>
        <w:tc>
          <w:tcPr>
            <w:tcW w:w="26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17"/>
                <w:szCs w:val="17"/>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Shareholders' Equity for the Years ended December 31, 2025, 2024 and 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17"/>
                <w:szCs w:val="17"/>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2860" w:type="dxa"/>
            <w:vAlign w:val="bottom"/>
            <w:gridSpan w:val="2"/>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20" w:type="dxa"/>
            <w:vAlign w:val="bottom"/>
          </w:tcPr>
          <w:p>
            <w:pPr>
              <w:spacing w:after="0"/>
              <w:rPr>
                <w:sz w:val="17"/>
                <w:szCs w:val="17"/>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 December 31, 2025</w:t>
            </w:r>
          </w:p>
        </w:tc>
        <w:tc>
          <w:tcPr>
            <w:tcW w:w="346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45</w:t>
            </w:r>
          </w:p>
        </w:tc>
        <w:tc>
          <w:tcPr>
            <w:tcW w:w="20" w:type="dxa"/>
            <w:vAlign w:val="bottom"/>
          </w:tcPr>
          <w:p>
            <w:pPr>
              <w:spacing w:after="0"/>
              <w:rPr>
                <w:sz w:val="17"/>
                <w:szCs w:val="17"/>
                <w:color w:val="auto"/>
              </w:rPr>
            </w:pPr>
          </w:p>
        </w:tc>
      </w:tr>
      <w:tr>
        <w:trPr>
          <w:trHeight w:val="20"/>
        </w:trPr>
        <w:tc>
          <w:tcPr>
            <w:tcW w:w="4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Erie Indemnity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Erie Indemnity Company (the Company) as of December 31, 2025 and 2024, the related consolidated statements of operations,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23,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Cost of Operations - administrative services</w:t>
      </w:r>
    </w:p>
    <w:p>
      <w:pPr>
        <w:spacing w:after="0" w:line="281"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For the year ended December 31, 2025, the Company’s cost of operations – administrative services totaled $836.6</w:t>
      </w:r>
    </w:p>
    <w:p>
      <w:pPr>
        <w:spacing w:after="0" w:line="29" w:lineRule="exact"/>
        <w:rPr>
          <w:sz w:val="20"/>
          <w:szCs w:val="20"/>
          <w:color w:val="auto"/>
        </w:rPr>
      </w:pPr>
    </w:p>
    <w:p>
      <w:pPr>
        <w:jc w:val="both"/>
        <w:ind w:left="1860" w:right="1040" w:hanging="1839"/>
        <w:spacing w:after="0" w:line="251" w:lineRule="auto"/>
        <w:tabs>
          <w:tab w:leader="none" w:pos="18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million. As explained in Note 2 of the consolidated financial statements, the Company serves as the attorney-in-fact on behalf of the subscribers at the Erie Insurance Exchange (Exchange) with respect to its administrative services as enumerated in the subscriber’s agreement. The Exchange’s insurance subsidiaries also utilize the Company for these services in accordance with the service agreements between the subsidiaries and the Company. Certain administrative services costs, which include costs associated with claims handling services, life insurance management services, and investment management services incurred by the Company on behalf of the Exchange and its insurance subsidiaries, are reimbursed to the Company at cost and recorded as administrative services reimbursement revenue based on relevant utilization statistics.</w:t>
      </w:r>
    </w:p>
    <w:p>
      <w:pPr>
        <w:spacing w:after="0" w:line="221" w:lineRule="exact"/>
        <w:rPr>
          <w:sz w:val="20"/>
          <w:szCs w:val="20"/>
          <w:color w:val="auto"/>
        </w:rPr>
      </w:pPr>
    </w:p>
    <w:p>
      <w:pPr>
        <w:jc w:val="both"/>
        <w:ind w:left="1860" w:right="1040"/>
        <w:spacing w:after="0" w:line="266" w:lineRule="auto"/>
        <w:rPr>
          <w:sz w:val="20"/>
          <w:szCs w:val="20"/>
          <w:color w:val="auto"/>
        </w:rPr>
      </w:pPr>
      <w:r>
        <w:rPr>
          <w:rFonts w:ascii="Times New Roman" w:cs="Times New Roman" w:eastAsia="Times New Roman" w:hAnsi="Times New Roman"/>
          <w:sz w:val="18"/>
          <w:szCs w:val="18"/>
          <w:color w:val="auto"/>
        </w:rPr>
        <w:t>Auditing management’s cost of operations – administrative services was complex due to the multiple costs that are allocated for reimbursement, the extensiveness of the allocation process, and the degree of auditor judgement needed to design the nature and extent of audit procedures required to address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w:t>
      </w:r>
    </w:p>
    <w:p>
      <w:pPr>
        <w:spacing w:after="0" w:line="29"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Company’s cost of operations – administrative services process. This included, among others, testing controls over</w:t>
      </w:r>
    </w:p>
    <w:p>
      <w:pPr>
        <w:spacing w:after="0" w:line="9" w:lineRule="exact"/>
        <w:rPr>
          <w:sz w:val="20"/>
          <w:szCs w:val="20"/>
          <w:color w:val="auto"/>
        </w:rPr>
      </w:pPr>
    </w:p>
    <w:p>
      <w:pPr>
        <w:ind w:left="1860" w:right="1040" w:hanging="1839"/>
        <w:spacing w:after="0" w:line="260" w:lineRule="auto"/>
        <w:tabs>
          <w:tab w:leader="none" w:pos="18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the determination of the utilization statistics and ultimate allocation of costs to the Exchange and its insurance subsidiaries.</w:t>
      </w:r>
    </w:p>
    <w:p>
      <w:pPr>
        <w:spacing w:after="0" w:line="208" w:lineRule="exact"/>
        <w:rPr>
          <w:sz w:val="20"/>
          <w:szCs w:val="20"/>
          <w:color w:val="auto"/>
        </w:rPr>
      </w:pPr>
    </w:p>
    <w:p>
      <w:pPr>
        <w:jc w:val="both"/>
        <w:ind w:left="1860" w:right="1040"/>
        <w:spacing w:after="0" w:line="258" w:lineRule="auto"/>
        <w:rPr>
          <w:sz w:val="20"/>
          <w:szCs w:val="20"/>
          <w:color w:val="auto"/>
        </w:rPr>
      </w:pPr>
      <w:r>
        <w:rPr>
          <w:rFonts w:ascii="Times New Roman" w:cs="Times New Roman" w:eastAsia="Times New Roman" w:hAnsi="Times New Roman"/>
          <w:sz w:val="18"/>
          <w:szCs w:val="18"/>
          <w:color w:val="auto"/>
        </w:rPr>
        <w:t>To test the Company’s cost of operations – administrative services, our procedures included, among others, evaluating that the costs included in the allocations are in accordance with the subscriber’s agreement and the service agreements with the Exchange and its insurance subsidiaries. We tested the completeness of the costs subjected to allocation by agreeing the costs recorded in the general ledger to the cost allocation calculation. We performed a test of details over a sample of cost allocations for accuracy.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5"/>
        </w:trPr>
        <w:tc>
          <w:tcPr>
            <w:tcW w:w="6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3,131,806</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2,894,074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2,442,073</w:t>
            </w: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74,058</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68,355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836,639</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806,336</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737,139</w:t>
            </w: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24,755</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26,350</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4,067,258</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3,795,115</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3,268,940</w:t>
            </w:r>
          </w:p>
        </w:tc>
        <w:tc>
          <w:tcPr>
            <w:tcW w:w="0" w:type="dxa"/>
            <w:vAlign w:val="bottom"/>
          </w:tcPr>
          <w:p>
            <w:pPr>
              <w:spacing w:after="0"/>
              <w:rPr>
                <w:sz w:val="1"/>
                <w:szCs w:val="1"/>
                <w:color w:val="auto"/>
              </w:rPr>
            </w:pPr>
          </w:p>
        </w:tc>
      </w:tr>
      <w:tr>
        <w:trPr>
          <w:trHeight w:val="421"/>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2,513,435</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2,312,324</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2,011,545</w:t>
            </w: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836,639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806,336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737,139</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3,350,074</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3,118,660</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2,748,684</w:t>
            </w:r>
          </w:p>
        </w:tc>
        <w:tc>
          <w:tcPr>
            <w:tcW w:w="0" w:type="dxa"/>
            <w:vAlign w:val="bottom"/>
          </w:tcPr>
          <w:p>
            <w:pPr>
              <w:spacing w:after="0"/>
              <w:rPr>
                <w:sz w:val="1"/>
                <w:szCs w:val="1"/>
                <w:color w:val="auto"/>
              </w:rPr>
            </w:pPr>
          </w:p>
        </w:tc>
      </w:tr>
      <w:tr>
        <w:trPr>
          <w:trHeight w:val="228"/>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717,184</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676,455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520,256</w:t>
            </w:r>
          </w:p>
        </w:tc>
        <w:tc>
          <w:tcPr>
            <w:tcW w:w="0" w:type="dxa"/>
            <w:vAlign w:val="bottom"/>
          </w:tcPr>
          <w:p>
            <w:pPr>
              <w:spacing w:after="0"/>
              <w:rPr>
                <w:sz w:val="1"/>
                <w:szCs w:val="1"/>
                <w:color w:val="auto"/>
              </w:rPr>
            </w:pPr>
          </w:p>
        </w:tc>
      </w:tr>
      <w:tr>
        <w:trPr>
          <w:trHeight w:val="43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85,837</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70,155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44,572</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2,336</w:t>
            </w:r>
          </w:p>
        </w:tc>
        <w:tc>
          <w:tcPr>
            <w:tcW w:w="4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3,229</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0" w:type="dxa"/>
            <w:vAlign w:val="bottom"/>
          </w:tcPr>
          <w:p>
            <w:pPr>
              <w:spacing w:after="0"/>
              <w:rPr>
                <w:sz w:val="1"/>
                <w:szCs w:val="1"/>
                <w:color w:val="auto"/>
              </w:rPr>
            </w:pPr>
          </w:p>
        </w:tc>
      </w:tr>
      <w:tr>
        <w:trPr>
          <w:trHeight w:val="223"/>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84,861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69,260</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0" w:type="dxa"/>
            <w:vAlign w:val="bottom"/>
          </w:tcPr>
          <w:p>
            <w:pPr>
              <w:spacing w:after="0"/>
              <w:rPr>
                <w:sz w:val="1"/>
                <w:szCs w:val="1"/>
                <w:color w:val="auto"/>
              </w:rPr>
            </w:pPr>
          </w:p>
        </w:tc>
      </w:tr>
      <w:tr>
        <w:trPr>
          <w:trHeight w:val="35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8,558</w:t>
            </w:r>
          </w:p>
        </w:tc>
        <w:tc>
          <w:tcPr>
            <w:tcW w:w="4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11,564</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to charitable foundation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710,603</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757,279</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561,936</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151,268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156,965</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0" w:type="dxa"/>
            <w:vAlign w:val="bottom"/>
          </w:tcPr>
          <w:p>
            <w:pPr>
              <w:spacing w:after="0"/>
              <w:rPr>
                <w:sz w:val="1"/>
                <w:szCs w:val="1"/>
                <w:color w:val="auto"/>
              </w:rPr>
            </w:pPr>
          </w:p>
        </w:tc>
      </w:tr>
      <w:tr>
        <w:trPr>
          <w:trHeight w:val="223"/>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559,335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600,314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446,061</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9"/>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10.69</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 – basic</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 – 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46,189,024</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46,189,044</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46,188,981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52,305,424</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52,306,266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52,299,411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14, "Accumulated Other Comprehensive Income (Loss)", for amounts reclassified out of accumulated other comprehensive income (loss) into the Consolidated Statements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559,335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600,314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446,061</w:t>
            </w:r>
          </w:p>
        </w:tc>
      </w:tr>
      <w:tr>
        <w:trPr>
          <w:trHeight w:val="43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holding gains on available-for-sale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18,920</w:t>
            </w:r>
          </w:p>
        </w:tc>
        <w:tc>
          <w:tcPr>
            <w:tcW w:w="3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w:t>
            </w:r>
          </w:p>
        </w:tc>
      </w:tr>
      <w:tr>
        <w:trPr>
          <w:trHeight w:val="234"/>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(41,270)</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w:t>
            </w:r>
          </w:p>
        </w:tc>
      </w:tr>
      <w:tr>
        <w:trPr>
          <w:trHeight w:val="223"/>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554,905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566,123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440,075</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14, "Accumulated Other Comprehensive Income (Loss)", for amounts reclassified out of accumulated other comprehensive income (loss) into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1"/>
        </w:trPr>
        <w:tc>
          <w:tcPr>
            <w:tcW w:w="8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(includes restricted cash of $30,189 and $23,559, respectively)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345,874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298,397</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33,902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lent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735,589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707,060</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66,061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0" w:type="dxa"/>
            <w:vAlign w:val="bottom"/>
          </w:tcPr>
          <w:p>
            <w:pPr>
              <w:spacing w:after="0"/>
              <w:rPr>
                <w:sz w:val="1"/>
                <w:szCs w:val="1"/>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14,311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1,199,173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1,145,032</w:t>
            </w:r>
          </w:p>
        </w:tc>
        <w:tc>
          <w:tcPr>
            <w:tcW w:w="0" w:type="dxa"/>
            <w:vAlign w:val="bottom"/>
          </w:tcPr>
          <w:p>
            <w:pPr>
              <w:spacing w:after="0"/>
              <w:rPr>
                <w:sz w:val="1"/>
                <w:szCs w:val="1"/>
                <w:color w:val="auto"/>
              </w:rPr>
            </w:pPr>
          </w:p>
        </w:tc>
      </w:tr>
      <w:tr>
        <w:trPr>
          <w:trHeight w:val="38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3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1,286,566</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991,726</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70,624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and equity securities lent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61,063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571,476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513,494</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93,953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80,597</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24,137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48,489</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43,278</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2,888,614</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8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408,309</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incentive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132,560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75,458</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200,701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190,028</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68,109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63,569</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47,561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0" w:type="dxa"/>
            <w:vAlign w:val="bottom"/>
          </w:tcPr>
          <w:p>
            <w:pPr>
              <w:spacing w:after="0"/>
              <w:rPr>
                <w:sz w:val="1"/>
                <w:szCs w:val="1"/>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61,936</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2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945,587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802,512</w:t>
            </w:r>
          </w:p>
        </w:tc>
        <w:tc>
          <w:tcPr>
            <w:tcW w:w="0" w:type="dxa"/>
            <w:vAlign w:val="bottom"/>
          </w:tcPr>
          <w:p>
            <w:pPr>
              <w:spacing w:after="0"/>
              <w:rPr>
                <w:sz w:val="1"/>
                <w:szCs w:val="1"/>
                <w:color w:val="auto"/>
              </w:rPr>
            </w:pPr>
          </w:p>
        </w:tc>
      </w:tr>
      <w:tr>
        <w:trPr>
          <w:trHeight w:val="38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3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33,410</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23,274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22,050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24,788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22,998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1,072,107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901,356</w:t>
            </w:r>
          </w:p>
        </w:tc>
        <w:tc>
          <w:tcPr>
            <w:tcW w:w="0" w:type="dxa"/>
            <w:vAlign w:val="bottom"/>
          </w:tcPr>
          <w:p>
            <w:pPr>
              <w:spacing w:after="0"/>
              <w:rPr>
                <w:sz w:val="1"/>
                <w:szCs w:val="1"/>
                <w:color w:val="auto"/>
              </w:rPr>
            </w:pPr>
          </w:p>
        </w:tc>
      </w:tr>
      <w:tr>
        <w:trPr>
          <w:trHeight w:val="367"/>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Class A common stock, stated value $0.0292 per share; 74,996,930 shares authorized; 68,299,200 shares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46,189,068 shares outstanding</w:t>
            </w: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80"/>
        </w:trPr>
        <w:tc>
          <w:tcPr>
            <w:tcW w:w="8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Class B common stock, convertible at a rate of 2,400 Class A shares for one Class B share, stated value $70</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 share; 3,070 shares authorized; 2,542 shares issued and outstanding</w:t>
            </w: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16,492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(47,591)</w:t>
            </w:r>
          </w:p>
        </w:tc>
        <w:tc>
          <w:tcPr>
            <w:tcW w:w="0" w:type="dxa"/>
            <w:vAlign w:val="bottom"/>
          </w:tcPr>
          <w:p>
            <w:pPr>
              <w:spacing w:after="0"/>
              <w:rPr>
                <w:sz w:val="1"/>
                <w:szCs w:val="1"/>
                <w:color w:val="auto"/>
              </w:rPr>
            </w:pPr>
          </w:p>
        </w:tc>
      </w:tr>
      <w:tr>
        <w:trPr>
          <w:trHeight w:val="234"/>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3,462,823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3,162,303</w:t>
            </w:r>
          </w:p>
        </w:tc>
        <w:tc>
          <w:tcPr>
            <w:tcW w:w="0" w:type="dxa"/>
            <w:vAlign w:val="bottom"/>
          </w:tcPr>
          <w:p>
            <w:pPr>
              <w:spacing w:after="0"/>
              <w:rPr>
                <w:sz w:val="1"/>
                <w:szCs w:val="1"/>
                <w:color w:val="auto"/>
              </w:rPr>
            </w:pPr>
          </w:p>
        </w:tc>
      </w:tr>
      <w:tr>
        <w:trPr>
          <w:trHeight w:val="21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contributed capital and retained earnings</w:t>
            </w: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3,429,464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3,133,348</w:t>
            </w:r>
          </w:p>
        </w:tc>
        <w:tc>
          <w:tcPr>
            <w:tcW w:w="0" w:type="dxa"/>
            <w:vAlign w:val="bottom"/>
          </w:tcPr>
          <w:p>
            <w:pPr>
              <w:spacing w:after="0"/>
              <w:rPr>
                <w:sz w:val="1"/>
                <w:szCs w:val="1"/>
                <w:color w:val="auto"/>
              </w:rPr>
            </w:pPr>
          </w:p>
        </w:tc>
      </w:tr>
      <w:tr>
        <w:trPr>
          <w:trHeight w:val="229"/>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22,110,132 shares held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(1,171,014)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(1,169,074)</w:t>
            </w:r>
          </w:p>
        </w:tc>
        <w:tc>
          <w:tcPr>
            <w:tcW w:w="0" w:type="dxa"/>
            <w:vAlign w:val="bottom"/>
          </w:tcPr>
          <w:p>
            <w:pPr>
              <w:spacing w:after="0"/>
              <w:rPr>
                <w:sz w:val="1"/>
                <w:szCs w:val="1"/>
                <w:color w:val="auto"/>
              </w:rPr>
            </w:pPr>
          </w:p>
        </w:tc>
      </w:tr>
      <w:tr>
        <w:trPr>
          <w:trHeight w:val="234"/>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24,924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2,283,374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1,987,258</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2,888,614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3"/>
                <w:szCs w:val="13"/>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13"/>
                <w:szCs w:val="13"/>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Additional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Accumulated other</w:t>
            </w:r>
          </w:p>
        </w:tc>
        <w:tc>
          <w:tcPr>
            <w:tcW w:w="1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3"/>
                <w:szCs w:val="13"/>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3"/>
                <w:szCs w:val="13"/>
                <w:color w:val="auto"/>
              </w:rPr>
            </w:pPr>
          </w:p>
        </w:tc>
        <w:tc>
          <w:tcPr>
            <w:tcW w:w="10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paid-in-capital</w:t>
            </w: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2,583,261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(1,168,949)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1,448,408</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446,061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446,061</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$4.845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(223,786)</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(223,786)</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$726.75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2,803,689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1,662,835</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600,314</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600,314</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(34,191)</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(34,191)</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$5.19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(239,721)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(239,721)</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$778.50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3,162,303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(1,169,074)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22,984</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1,987,258</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559,335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559,335</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$5.5575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(256,696)</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(256,696)</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$833.625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16,492</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(52,021)</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3,462,823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24,924</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2,283,374</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60" w:hanging="252"/>
        <w:spacing w:after="0" w:line="286" w:lineRule="auto"/>
        <w:tabs>
          <w:tab w:leader="none" w:pos="195" w:val="left"/>
        </w:tabs>
        <w:numPr>
          <w:ilvl w:val="0"/>
          <w:numId w:val="1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Net purchases of treasury stock in 2023, 2024 and 2025 include the purchase of our Class A common stock in the open market that were subsequently distributed to satisfy stock-based compensation awards. See Note 11, "Incentive and Deferred Compensation Plans".</w:t>
      </w:r>
    </w:p>
    <w:p>
      <w:pPr>
        <w:spacing w:after="0" w:line="8" w:lineRule="exact"/>
        <w:rPr>
          <w:rFonts w:ascii="Times New Roman" w:cs="Times New Roman" w:eastAsia="Times New Roman" w:hAnsi="Times New Roman"/>
          <w:sz w:val="13"/>
          <w:szCs w:val="13"/>
          <w:i w:val="1"/>
          <w:iCs w:val="1"/>
          <w:color w:val="auto"/>
        </w:rPr>
      </w:pPr>
    </w:p>
    <w:p>
      <w:pPr>
        <w:ind w:left="260" w:right="120" w:hanging="252"/>
        <w:spacing w:after="0" w:line="265" w:lineRule="auto"/>
        <w:tabs>
          <w:tab w:leader="none" w:pos="195" w:val="left"/>
        </w:tabs>
        <w:numPr>
          <w:ilvl w:val="0"/>
          <w:numId w:val="1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Distributions of our Class A shares were made from the rabbi trust to five incentive compensation deferral plan participants in both 2023 and 2024 and three incentive compensation plan deferral participants in 2025. See Note 11, "Incentive and Deferred Compensation Plans".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5"/>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3,209,511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2,898,367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2,420,192</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reimbursements received</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814,106</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776,150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721,928</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 received</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24,751</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26,346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78,699</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67,643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57,448</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paid to agents</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(1,608,605)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(1,443,296)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(1,200,014)</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compensation paid to agents</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(94,794)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(120,211)</w:t>
            </w: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wages paid</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(264,406)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(249,137)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(226,036)</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contribution and employee benefits paid</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(115,260)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(169,762)</w:t>
            </w:r>
          </w:p>
        </w:tc>
        <w:tc>
          <w:tcPr>
            <w:tcW w:w="0" w:type="dxa"/>
            <w:vAlign w:val="bottom"/>
          </w:tcPr>
          <w:p>
            <w:pPr>
              <w:spacing w:after="0"/>
              <w:rPr>
                <w:sz w:val="1"/>
                <w:szCs w:val="1"/>
                <w:color w:val="auto"/>
              </w:rPr>
            </w:pPr>
          </w:p>
        </w:tc>
      </w:tr>
      <w:tr>
        <w:trPr>
          <w:trHeight w:val="230"/>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operating expenses paid</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(316,643)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(308,273)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(293,857)</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expenses paid</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(836,702)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(791,050)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(730,129)</w:t>
            </w:r>
          </w:p>
        </w:tc>
        <w:tc>
          <w:tcPr>
            <w:tcW w:w="0" w:type="dxa"/>
            <w:vAlign w:val="bottom"/>
          </w:tcPr>
          <w:p>
            <w:pPr>
              <w:spacing w:after="0"/>
              <w:rPr>
                <w:sz w:val="1"/>
                <w:szCs w:val="1"/>
                <w:color w:val="auto"/>
              </w:rPr>
            </w:pPr>
          </w:p>
        </w:tc>
      </w:tr>
      <w:tr>
        <w:trPr>
          <w:trHeight w:val="22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to charitable foundation</w:t>
            </w:r>
          </w:p>
        </w:tc>
        <w:tc>
          <w:tcPr>
            <w:tcW w:w="2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(104,000)</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(104,372)</w:t>
            </w:r>
          </w:p>
        </w:tc>
        <w:tc>
          <w:tcPr>
            <w:tcW w:w="0" w:type="dxa"/>
            <w:vAlign w:val="bottom"/>
          </w:tcPr>
          <w:p>
            <w:pPr>
              <w:spacing w:after="0"/>
              <w:rPr>
                <w:sz w:val="1"/>
                <w:szCs w:val="1"/>
                <w:color w:val="auto"/>
              </w:rPr>
            </w:pPr>
          </w:p>
        </w:tc>
      </w:tr>
      <w:tr>
        <w:trPr>
          <w:trHeight w:val="223"/>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686,657</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611,249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381,205</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20"/>
          </w:cols>
          <w:pgMar w:left="320" w:top="118" w:right="35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investments: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investments: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 sales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 maturities/calls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Loans to agents and others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Collections on agent and other loans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Dividends paid to shareholders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changes in cash collateral for securities lent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43" w:lineRule="exact"/>
        <w:rPr>
          <w:sz w:val="20"/>
          <w:szCs w:val="20"/>
          <w:color w:val="auto"/>
        </w:rPr>
      </w:pPr>
    </w:p>
    <w:p>
      <w:pPr>
        <w:ind w:left="60" w:right="2000"/>
        <w:spacing w:after="0" w:line="304" w:lineRule="auto"/>
        <w:rPr>
          <w:sz w:val="20"/>
          <w:szCs w:val="20"/>
          <w:color w:val="auto"/>
        </w:rPr>
      </w:pPr>
      <w:r>
        <w:rPr>
          <w:rFonts w:ascii="Times New Roman" w:cs="Times New Roman" w:eastAsia="Times New Roman" w:hAnsi="Times New Roman"/>
          <w:sz w:val="17"/>
          <w:szCs w:val="17"/>
          <w:color w:val="auto"/>
        </w:rPr>
        <w:t>Net increase in cash, cash equivalents and restricted cash Cash, cash equivalents and restricted cash, beginning of year</w:t>
      </w:r>
    </w:p>
    <w:p>
      <w:pPr>
        <w:ind w:left="5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year</w:t>
      </w:r>
    </w:p>
    <w:p>
      <w:pPr>
        <w:spacing w:after="0" w:line="250" w:lineRule="exact"/>
        <w:rPr>
          <w:sz w:val="20"/>
          <w:szCs w:val="20"/>
          <w:color w:val="auto"/>
        </w:rPr>
      </w:pPr>
    </w:p>
    <w:p>
      <w:pPr>
        <w:ind w:left="180" w:right="2640" w:hanging="12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Supplemental disclosure of noncash transactions </w:t>
      </w:r>
      <w:r>
        <w:rPr>
          <w:rFonts w:ascii="Times New Roman" w:cs="Times New Roman" w:eastAsia="Times New Roman" w:hAnsi="Times New Roman"/>
          <w:sz w:val="17"/>
          <w:szCs w:val="17"/>
          <w:color w:val="auto"/>
        </w:rPr>
        <w:t>Liability incurred to purchase fixed assets</w:t>
      </w:r>
    </w:p>
    <w:p>
      <w:pPr>
        <w:ind w:left="180" w:right="1700"/>
        <w:spacing w:after="0" w:line="292" w:lineRule="auto"/>
        <w:rPr>
          <w:sz w:val="20"/>
          <w:szCs w:val="20"/>
          <w:color w:val="auto"/>
        </w:rPr>
      </w:pPr>
      <w:r>
        <w:rPr>
          <w:rFonts w:ascii="Times New Roman" w:cs="Times New Roman" w:eastAsia="Times New Roman" w:hAnsi="Times New Roman"/>
          <w:sz w:val="18"/>
          <w:szCs w:val="18"/>
          <w:color w:val="auto"/>
        </w:rPr>
        <w:t>Operating lease assets obtained in exchange for lease liabilities Receipt of donated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(693,066)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(473,647)</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(279,999)</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(36,926)</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w:t>
            </w:r>
          </w:p>
        </w:tc>
      </w:tr>
      <w:tr>
        <w:trPr>
          <w:trHeight w:val="234"/>
        </w:trPr>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54"/>
        </w:trPr>
        <w:tc>
          <w:tcPr>
            <w:tcW w:w="3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205,965</w:t>
            </w: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205,159</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160,614</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188,569</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196,641</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76,617</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34,339</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35,894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(115,692)</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(124,845)</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(92,647)</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(35,505)</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w:t>
            </w: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12,871</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w:t>
            </w:r>
          </w:p>
        </w:tc>
      </w:tr>
      <w:tr>
        <w:trPr>
          <w:trHeight w:val="223"/>
        </w:trPr>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(439,328)</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(157,565)</w:t>
            </w:r>
          </w:p>
        </w:tc>
      </w:tr>
      <w:tr>
        <w:trPr>
          <w:trHeight w:val="650"/>
        </w:trPr>
        <w:tc>
          <w:tcPr>
            <w:tcW w:w="3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(254,275)</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(237,508)</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(221,675)</w:t>
            </w: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54,423</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7,513</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(199,852)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(229,995)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(221,675)</w:t>
            </w:r>
          </w:p>
        </w:tc>
      </w:tr>
      <w:tr>
        <w:trPr>
          <w:trHeight w:val="421"/>
        </w:trPr>
        <w:tc>
          <w:tcPr>
            <w:tcW w:w="3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47,477</w:t>
            </w: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154,342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298,397</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144,055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345,874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298,397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26,361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15,254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r>
      <w:tr>
        <w:trPr>
          <w:trHeight w:val="23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4" w:lineRule="exact"/>
        <w:rPr>
          <w:sz w:val="20"/>
          <w:szCs w:val="20"/>
          <w:color w:val="auto"/>
        </w:rPr>
      </w:pPr>
    </w:p>
    <w:p>
      <w:pPr>
        <w:sectPr>
          <w:pgSz w:w="11900" w:h="16838" w:orient="portrait"/>
          <w:cols w:equalWidth="0" w:num="2">
            <w:col w:w="6420" w:space="720"/>
            <w:col w:w="4080"/>
          </w:cols>
          <w:pgMar w:left="320" w:top="118" w:right="359" w:bottom="1440" w:gutter="0" w:footer="0" w:header="0"/>
          <w:type w:val="continuous"/>
        </w:sectPr>
      </w:pPr>
    </w:p>
    <w:p>
      <w:pPr>
        <w:spacing w:after="0" w:line="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12, "Income Taxes", for additional information on income taxes paid. See Note 18, "Supplementary Data on Cash Flows", for additional supplemental cash flow information.</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of the direct and affiliated assumed premiums written by the Exchange.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71% of our 2025 policy issuance and renewal expenses. The underwriting services we provide include underwriting and policy processing and comprised approximately 8% of our 2025 policy issuance and renewal expenses. The remaining services we provide include customer service and administrative support. We also provide information technology services that support all the functions listed above that comprised approximately 10% of our 2025 policy issuance and renewal expenses. Included in these expenses are allocations of costs for departments that support these policy issuance and renewal functions.</w:t>
      </w:r>
    </w:p>
    <w:p>
      <w:pPr>
        <w:spacing w:after="0" w:line="2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We continually monitor the financial strength of the Exchange. If any events occurred that impaired the Exchange's ability to grow or sustain its financial condition, including but not limited to a significant downgrade in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 revenue we receive. We also have an exposure to a concentration of credit risk related to the unsecured receivables due from the Exchange for net management fee and other reimbursements. See Note 16, "Concentrations of Credit Risk".</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("GAAP") and include the accounts of Indemnity and its wholly owned subsidiaries. All intercompany accounts and transactions have been eliminated.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adopted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effective with the annual reporting period ending December 31, 2025. We applied the guidance retrospectively to prior periods presented in the consolidated financial statements for disclosure purposes, including the disclosure of specific categories in an effective tax rate reconciliation and certain information about income taxes paid. The additional disclosures required by this guidance have been included in Note 12, "Income Taxes". The adoption of this guidance had no other impact on our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(Subtopic 220-40): Disaggregation of Income Statement Expenses"</w:t>
      </w:r>
      <w:r>
        <w:rPr>
          <w:rFonts w:ascii="Times New Roman" w:cs="Times New Roman" w:eastAsia="Times New Roman" w:hAnsi="Times New Roman"/>
          <w:sz w:val="18"/>
          <w:szCs w:val="18"/>
          <w:color w:val="auto"/>
        </w:rPr>
        <w:t>, which requires entities to disclose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expense line items. The amendments in this ASU are required to be adopted for fiscal years beginning after December 15, 2026, and interim periods within fiscal years beginning after December 15, 2027. Early adoption is permitted. The amendments can be applied on either a prospective or retrospective basis. This will have no impact on our consolidated financial statements, and we are currently evaluating the impact of adoption on our disclosures.</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when estimating expected credit losses for current accounts receivable and current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assets arising from transactions accounted for under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Under the practical expedient, entities may assume that current conditions as of the balance sheet date do not change for the remaining life of the asset. The amendments in this ASU are required to be adopted for fiscal years beginning after December 15, 2025, and interim periods within those fiscal years. Early adoption is permitted. An entity that elects the practical expedient should apply the amendments on a prospective basis. We do not expect the standard will have a material impact on our consolidated financial statements and disclosures.</w:t>
      </w:r>
    </w:p>
    <w:p>
      <w:pPr>
        <w:spacing w:after="0" w:line="21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the Accounting for Internal-Use Software"</w:t>
      </w:r>
      <w:r>
        <w:rPr>
          <w:rFonts w:ascii="Times New Roman" w:cs="Times New Roman" w:eastAsia="Times New Roman" w:hAnsi="Times New Roman"/>
          <w:sz w:val="17"/>
          <w:szCs w:val="17"/>
          <w:color w:val="auto"/>
        </w:rPr>
        <w:t>, which removes all references to prescriptive and sequential software development project stages and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entity to start capitalizing software costs when management has authorized and committed to funding the software project and it is probable that the project will be completed and the software will be used to perform the function intended. The amendments in this ASU are required to be adopted for fiscal years beginning after December 15, 2027, and interim periods within those fiscal years. Early adoption is permitted. The amendments can be applied on a prospective, modified or retrospective basis. We are currently evaluating the impact of adoption on our consolidated financial statements and disclosures.</w:t>
      </w:r>
    </w:p>
    <w:p>
      <w:pPr>
        <w:spacing w:after="0" w:line="19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which clarifies current interim disclosure requirements and provides a comprehensive list of required interim disclosures. The guidance also incorporates a disclosure principle that requires entities to disclose events since the end of the last annual reporting period that have a material impact on the entity. The amendments in this ASU are required to be adopted for interim reporting periods within fiscal years beginning after December 15, 2027. Early adoption is permitted. The amendments can be applied on a prospective or retrospective basis. We do not expect the standard will have a material impact on our disclosures, and will have no other impact on our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color w:val="auto"/>
        </w:rPr>
        <w:t>Cash, money market accounts, and other short-term, highly liquid investments with a maturity of three months or less at the date of purchase, are considered cash and cash equivalents.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Restricted cash represents deposits held for the benefit of third parties related primarily to our agent loan participation program.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funds are invested in bank deposits, contractually restricted as to withdrawal or usage, and included with "Cash and cash equivalents" in our Consolidated Statements of Financial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 Fixed maturity debt securities and redeemable preferred stock are classified as available-for-sale and reported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unrealized investment gains and losses, net of income taxes, recognized in other comprehensive income. Available-for-sale securities with a remaining maturity of 12 months or less and any security that we intend to sell as of the reporting date are classified as current assets.</w:t>
      </w:r>
    </w:p>
    <w:p>
      <w:pPr>
        <w:spacing w:after="0" w:line="2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Available-for-sale securities in an unrealized loss position are evaluated to determine whether the impairment is a result of credit loss or other factors. If we have the intent to sell or it's more likely than not that we would be required to sell the security before recovery of the amortized cost basis, the entire impairment is recognized in earnings. Securities that have experienced a decline in fair value that we do not intend to sell, and that we will not be required to sell before recovery, are evaluated to determine if the decline in fair value is credit related. Impairment resulting from a credit loss is recognized in earnings with a corresponding allowance on the Consolidated Statement of Financial Position. Future recoveries of credit loss result in an adjustment to the allowance and earnings in the period the credit conditions improve.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If the qualitative review indicates credit impairment, the allowance for credit loss is measured as the amount that the security's amortized cost exceeds the present value of cash flows expected to be collected and is limited to the amount that fair value is below amortized cost.</w:t>
      </w:r>
    </w:p>
    <w:p>
      <w:pPr>
        <w:spacing w:after="0" w:line="219"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Equity securities </w:t>
      </w:r>
      <w:r>
        <w:rPr>
          <w:rFonts w:ascii="Times New Roman" w:cs="Times New Roman" w:eastAsia="Times New Roman" w:hAnsi="Times New Roman"/>
          <w:sz w:val="17"/>
          <w:szCs w:val="17"/>
          <w:color w:val="auto"/>
        </w:rPr>
        <w:t>– Equity securities primarily include non-redeemable preferred stocks that are reported at fair value with changes in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in net realized and unrealized investment gains (losses). Securities that we intend to sell as of the reporting date are classified as current assets.</w:t>
      </w:r>
    </w:p>
    <w:p>
      <w:pPr>
        <w:spacing w:after="0" w:line="16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Realized gains and losses and investment income </w:t>
      </w:r>
      <w:r>
        <w:rPr>
          <w:rFonts w:ascii="Times New Roman" w:cs="Times New Roman" w:eastAsia="Times New Roman" w:hAnsi="Times New Roman"/>
          <w:sz w:val="17"/>
          <w:szCs w:val="17"/>
          <w:color w:val="auto"/>
        </w:rPr>
        <w:t>– Realized gains and losses on sales of available-for-sale and equity securities are recognized in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upon the specific identification method and reported in net realized and unrealized investment gains (losses). Interest income is recognized as earned and includes amortization of premium and accretion of discount. Income is recognized based on the constant effective yield method, which includes periodically updated prepayment assumptions obtained from third party data sources on our prepaying securities. The effective yield for prepaying securities is recalculated on a retrospective basis. Dividend income is recognized at the ex-dividend date. Interest and dividend income and the results of our limited partnership investments are reported as net investment income. We do not record an allowance for credit losses on accrued investment income on our available-for-sale securities as any amount deemed uncollectible is reversed from interest income in the period the expected payment defaults.</w:t>
      </w:r>
    </w:p>
    <w:p>
      <w:pPr>
        <w:spacing w:after="0" w:line="1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Securities lending </w:t>
      </w:r>
      <w:r>
        <w:rPr>
          <w:rFonts w:ascii="Times New Roman" w:cs="Times New Roman" w:eastAsia="Times New Roman" w:hAnsi="Times New Roman"/>
          <w:sz w:val="18"/>
          <w:szCs w:val="18"/>
          <w:color w:val="auto"/>
        </w:rPr>
        <w:t>– We have securities lending transactions, managed by a third-party banking institution, whereby securities are loaned to unaffiliated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institutions for short periods of time. The securities lending activity is accounted for as a secured borrowing and therefore the securities loaned, including available-for-sale and equity securities, are carried as invested assets on our Consolidated Statements of Financial Position, while the obligation to return the cash collateral is recorded as a current liability. The cash collateral received at the inception of the loan is reinvested and the related income is recognized in net investment income. Noncash collateral is not recorded in the Consolidated Statements of Financial Position, as we do not have the right to sell, repledge, or otherwise reinvest the noncash collateral.</w:t>
      </w:r>
    </w:p>
    <w:p>
      <w:pPr>
        <w:spacing w:after="0" w:line="2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collateral is required to equal a minimum of 102% of the estimated fair value of the securities loaned, and maintained at a level greater than or equal to 100% for the duration of the loan. We monitor the ratio of the collateral held to the estimated fair value of the securities loaned on a daily basis and obtain additional collateral as necessary. A securities lending transaction may be terminated at any time by the borrower or the lender. If terminated, we would repay our securities lending obligations from the sale of reinvested collateral or the proceeds of sales from our investment portfolio, which includes liquid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taxes</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recorded for temporary differences between the tax basis of assets and liabilities and the reported amounts in the consolidated financial statements, using the statutory tax rates in effect for the year in which the differences are expected to settle or be realized.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assets</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and amortization. Fixed assets are primarily comprised of software, which includes internal-use capitalized software and development costs, as well as buildings and building improvements, equipment, furniture and fixtures, and leasehold improvements. Assets in use are depreciated using the straight-line method over the estimated useful life except for leasehold improvements, which are depreciated over the shorter of their economic useful life or the remaining lease term. Software is depreciated over periods ranging from 3-7 years, buildings and building improvements are depreciated over 20-45 years, equipment is depreciated over 3-7 years, and furniture and fixtures are depreciated over 7 years. We review long-lived assets for impairment whenever events or changes indicate that the carrying value may not be recoverable. Under these circumstances, if the fair value were less than the carrying amount of the asset, we would recognize a loss for the difference.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loans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Agent loans, the majority of which are senior secured, are carried at unpaid principal balance net of a current expected credit loss allowance with interest recorded in investment income as earned. The allowance is estimated using available loss history and/or external loss rates based on comparable loan losses and considers current market conditions and forecasted information. Changes to the allowance are recognized in earnings as adjustments to net impairment recoveries (losses). Any current portion of agent loans is recorded in prepaid expenses and other current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Other assets primarily include limited partnership investments, other loans receivable, held-to-maturity securities, operating lease assets, and other long-term prepaid assets. Limited partnership investments are recorded using the equity method of accounting. Other loans receivable and held-to-maturity securities include investments to fund real estate development projects supporting revitalization efforts in our community. The loans are carried at unpaid principal balance, including any paid-in-kind interest capitalized as additional principal, if applicable, net of a current expected credit loss allowance. Any current portion of other loans receivable is recorded in prepaid expenses and other current assets. Held-to-maturity securities are carried at amortized cost, net of a current expected credit loss allowance. The allowances are calculated using the estimated value of, and priority rights to, collateral in the event of default or external loss rates based on comparable losses, and considers current market conditions and forecasted information. Changes to the allowances are recognized in earnings as adjustments to net impairment recoveries (losses) or other income (expense) depending on the nature of the asset. Interest on other loans receivable and held-to-maturity securities is recorded primarily in investment income as earned.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incentive compensation liability</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more significant agent incentive compensation plan is based upon an individual agency's property and casualty underwriting profitability and also includes a component for growth in agency property and casualty premiums if the agency's underwriting profitability targets for the book of business are met. The estimated liability for this agent incentive compensation plan is based upon the performance over 36 months, and is modeled on a monthly basis using actual underwriting results for the two prior years and current year-to-date actual results and forecasted results for the remainder of the year. Our second agent incentive compensation plan is based on an agency's one-year underwriting profitability and uses a similar model but considers actual and forecasted results for a calendar year only. At December 31 of each year, we use actual data available and record an accrual based upon the expected payment amount. These costs are included in cost of operations - policy issuance and renewal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Recognition of management fee revenue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retain management fees from the Exchange under the subscriber's agreement for services provided. In accordance with the subscriber's agreement, we may retain up to 25% of all direct and affiliated assumed premiums written by the Exchange. The management fee rate is set at least annually by our Board of Directors. The management fee revenue is calculated by multiplying the management fee rate by the direct and affiliated assumed premiums written by the Exchange and is allocated between the two performance obligations we have under the subscriber's agreement. The first performance obligation is to provide policy issuance and renewal services. The second performance obligation is acting as the attorney-in-fact with respect to various administrative services as enumerated in the subscriber's agreement.</w:t>
      </w:r>
    </w:p>
    <w:p>
      <w:pPr>
        <w:spacing w:after="0" w:line="2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Management fee revenue allocated to the policy issuance and renewal services is recognized at the time of policy issuance or renewal, because it is at the time of policy issuance or renewal when the economic benefit of the service we provide (the substantially completed policy issuance or renewal service) and the control of the promised asset (the executed insurance policy) transfers to the customer.</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Management fee revenue allocated to the second performance obligation relates to us acting as the attorney-in-fact on behalf of the subscribers at the Exchange, as well as the service provider for the Exchange's insurance subsidiaries, with respect to the</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and is recognized over a four-year period representing the time over which the economic benefit of the services provided (i.e.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of the administrative services) transfers to the customer.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Common overhead expenses and certain service department costs incurred by us on behalf of the subscribers at the Exchange and its insurance subsidiaries are reimbursed by the proper entity based upon relevant utilization statistics specifically measured to accomplish proportional allocations, which we believe are reasonable. In 2025,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Consolidated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Recognition of service agreement revenue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Service agreement revenue primarily consists of service charges we collect from subscribers (policyholders) for providing multiple payment plans on policies written by the Exchange and its property and casualty subsidiaries. Service charges, which are fixed dollar charges for each installment billed beyond the first installment, are recognized as revenue when bills are rendered to the policyholder. Service agreement revenue also includes late payment and policy reinstatement fees, which are also recognized as revenue when bills are rendered to the policyholder. We also have a service agreement with the Exchange for the use of shared office space. Revenue related to this agreement is recognized at the time the space is used based on relevant utilization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majority of our revenue is derived from the subscriber's agreement between us and the subscribers (policyholders) at the Exchange. In accordance with the subscriber's agreement, we retain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subscribers at the Exchange, as well as the service provider for the Exchange's insurance subsidiaries, with respect to all administrative services.</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by and through the subscribers' attorney-in-fact. Indemnity serves as the attorney-in-fact on behalf of the subscribers at the Exchange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its administrative services as enumerated in the subscriber's agreement. The Exchange's insurance subsidiaries also utilize Indemnity for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in accordance with the service agreements between each of the subsidiaries and Indemnity. Collectively, these services represent a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 under the subscriber's agreement and the service agreements. The revenue allocated to this performance obligation is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a four-year period representing the time over which these services are provided. The portion of revenue not yet earned is recorded as a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in the Consolidated Statements of Financial Position. For the years ended December 31, 2025, 2024, and 2023, we recognized revenue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$42.8 million, $41.2 million, and $36.5 million, respectively, that was included in the contract liability balance at the beginning of the respective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services expenses we incur and the related reimbursements we receive are recorded gross in the Consolidated Statements of Operations.</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almost exclusively with annual terms, cash collections generally occur within one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by our two performance obligations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22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3,131,806</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2,894,074</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2,442,073</w:t>
            </w:r>
          </w:p>
        </w:tc>
        <w:tc>
          <w:tcPr>
            <w:tcW w:w="20" w:type="dxa"/>
            <w:vAlign w:val="bottom"/>
          </w:tcPr>
          <w:p>
            <w:pPr>
              <w:spacing w:after="0"/>
              <w:rPr>
                <w:sz w:val="19"/>
                <w:szCs w:val="19"/>
                <w:color w:val="auto"/>
              </w:rPr>
            </w:pPr>
          </w:p>
        </w:tc>
      </w:tr>
      <w:tr>
        <w:trPr>
          <w:trHeight w:val="35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74,058</w:t>
            </w:r>
          </w:p>
        </w:tc>
        <w:tc>
          <w:tcPr>
            <w:tcW w:w="4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68,355</w:t>
            </w: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20" w:type="dxa"/>
            <w:vAlign w:val="bottom"/>
          </w:tcPr>
          <w:p>
            <w:pPr>
              <w:spacing w:after="0"/>
              <w:rPr>
                <w:sz w:val="24"/>
                <w:szCs w:val="24"/>
                <w:color w:val="auto"/>
              </w:rPr>
            </w:pPr>
          </w:p>
        </w:tc>
      </w:tr>
      <w:tr>
        <w:trPr>
          <w:trHeight w:val="234"/>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836,639</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806,336</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737,139</w:t>
            </w:r>
          </w:p>
        </w:tc>
        <w:tc>
          <w:tcPr>
            <w:tcW w:w="20" w:type="dxa"/>
            <w:vAlign w:val="bottom"/>
          </w:tcPr>
          <w:p>
            <w:pPr>
              <w:spacing w:after="0"/>
              <w:rPr>
                <w:sz w:val="20"/>
                <w:szCs w:val="20"/>
                <w:color w:val="auto"/>
              </w:rPr>
            </w:pPr>
          </w:p>
        </w:tc>
      </w:tr>
      <w:tr>
        <w:trPr>
          <w:trHeight w:val="223"/>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910,697</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874,691</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800,808</w:t>
            </w:r>
          </w:p>
        </w:tc>
        <w:tc>
          <w:tcPr>
            <w:tcW w:w="20" w:type="dxa"/>
            <w:vAlign w:val="bottom"/>
          </w:tcPr>
          <w:p>
            <w:pPr>
              <w:spacing w:after="0"/>
              <w:rPr>
                <w:sz w:val="19"/>
                <w:szCs w:val="19"/>
                <w:color w:val="auto"/>
              </w:rPr>
            </w:pPr>
          </w:p>
        </w:tc>
      </w:tr>
      <w:tr>
        <w:trPr>
          <w:trHeight w:val="844"/>
        </w:trPr>
        <w:tc>
          <w:tcPr>
            <w:tcW w:w="510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one reportable segment: management operations. All segment revenue is derived in the United States, the majority of which is from the subscriber's agreement between us and the subscribers (policyholders) at the Exchange, our sole customer, as further described in Note 3, "Revenue". Our chief operating decision maker ("CODM") is our Executive Council, which includes our Chief Executive Officer ("CEO"), Chief Financial Officer, executive vice presidents and certain senior vice presidents reporting directly to the CEO as applicable. The CODM assesses performance for the management operations segment and decides how to allocate resources based on net income, as reported in our Consolidated Statements of Operations. Net income is used to monitor budget versus actual results. Total assets as reported in our Consolidated Statements of Financial Position, all of which are located in the United States, are reviewed by the CODM for purposes of decision making. The accounting policies of our management operations segment are the same as those described in Note 2, "Significant Accounting Policies".</w:t>
      </w: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management operations segment revenue, significant segment expenses regularly provided to the CODM, and net income for the years ended December 31: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3,205,864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2,962,429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2,505,742</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836,639</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806,336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737,139</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Service agreement revenue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24,755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26,350</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r>
      <w:tr>
        <w:trPr>
          <w:trHeight w:val="228"/>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4,067,258</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3,795,115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3,268,940</w:t>
            </w:r>
          </w:p>
        </w:tc>
      </w:tr>
      <w:tr>
        <w:trPr>
          <w:trHeight w:val="4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1,777,043</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1,601,401</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1,348,530</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204,245</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199,485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181,003</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239,789</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215,488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216,746</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Sales and advertising</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66,475</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66,480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Customer service</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46,538</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43,045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179,345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171,970</w:t>
            </w:r>
          </w:p>
        </w:tc>
      </w:tr>
      <w:tr>
        <w:trPr>
          <w:trHeight w:val="223"/>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2,513,435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2,312,324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2,011,545</w:t>
            </w:r>
          </w:p>
        </w:tc>
      </w:tr>
      <w:tr>
        <w:trPr>
          <w:trHeight w:val="223"/>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836,639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806,336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737,139</w:t>
            </w:r>
          </w:p>
        </w:tc>
      </w:tr>
      <w:tr>
        <w:trPr>
          <w:trHeight w:val="223"/>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Total operating expenses </w:t>
            </w:r>
            <w:r>
              <w:rPr>
                <w:rFonts w:ascii="Times New Roman" w:cs="Times New Roman" w:eastAsia="Times New Roman" w:hAnsi="Times New Roman"/>
                <w:sz w:val="9"/>
                <w:szCs w:val="9"/>
                <w:color w:val="auto"/>
              </w:rPr>
              <w:t>(1)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3,350,074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3,118,660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2,748,684</w:t>
            </w:r>
          </w:p>
        </w:tc>
      </w:tr>
      <w:tr>
        <w:trPr>
          <w:trHeight w:val="228"/>
        </w:trPr>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717,184</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676,455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520,256</w:t>
            </w:r>
          </w:p>
        </w:tc>
      </w:tr>
      <w:tr>
        <w:trPr>
          <w:trHeight w:val="4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84,861</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69,260</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8,558</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11,564</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to charitable foundation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151,268</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156,965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r>
      <w:tr>
        <w:trPr>
          <w:trHeight w:val="223"/>
        </w:trPr>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559,335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600,314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446,061</w:t>
            </w: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980" w:right="260" w:hanging="324"/>
        <w:spacing w:after="0" w:line="234" w:lineRule="auto"/>
        <w:tabs>
          <w:tab w:leader="none" w:pos="968"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Note 8, "Fixed Assets", for management operations segment depreciation and amortization expense included primarily in "Total operating expenses", as reported on our Consolidated Statements of Operations. See our Consolidated Statements of Cash Flows for segment</w:t>
      </w:r>
    </w:p>
    <w:p>
      <w:pPr>
        <w:spacing w:after="0" w:line="1" w:lineRule="exact"/>
        <w:rPr>
          <w:rFonts w:ascii="Times New Roman" w:cs="Times New Roman" w:eastAsia="Times New Roman" w:hAnsi="Times New Roman"/>
          <w:sz w:val="14"/>
          <w:szCs w:val="14"/>
          <w:i w:val="1"/>
          <w:iCs w:val="1"/>
          <w:color w:val="auto"/>
        </w:rPr>
      </w:pPr>
    </w:p>
    <w:p>
      <w:pPr>
        <w:ind w:left="98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expenditures on fixed asset additions.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13, "Capital Stock".</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11, "Incentive and Deferred Compensation Plans".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denominators used in the basic and diluted per-share computations is presented as follows for each class of common stock:</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0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600" w:type="dxa"/>
            <w:vAlign w:val="bottom"/>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w:t>
            </w:r>
          </w:p>
        </w:tc>
        <w:tc>
          <w:tcPr>
            <w:tcW w:w="74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color w:val="auto"/>
              </w:rPr>
              <w:t>Class A</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554,755</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46,189,024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595,399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46,189,044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442,409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46,188,981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201"/>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Dilutive effect of stock-based</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15,600</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16,422</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9,630</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Assumed conversion of Class</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4,580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4,915</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A</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stockholders on Class A</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559,335</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52,305,424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600,314</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52,306,266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446,061</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52,299,411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9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equivalent shares</w:t>
            </w:r>
          </w:p>
        </w:tc>
        <w:tc>
          <w:tcPr>
            <w:tcW w:w="7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B</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4,580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4,915</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Diluted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B</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4,579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4,914</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carried at fair value</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176" w:lineRule="exact"/>
        <w:rPr>
          <w:sz w:val="20"/>
          <w:szCs w:val="20"/>
          <w:color w:val="auto"/>
        </w:rPr>
      </w:pPr>
    </w:p>
    <w:p>
      <w:pPr>
        <w:ind w:left="660" w:right="3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reporting entity can access at the measurement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December 31, 2025, nearly all of our available-for-sale and equity securities were priced using a third party pricing service.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fair value measurements on a recurring basis by asset class and level of input as of:</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December 31, 2025</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Level 3</w:t>
            </w: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844,479</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839,542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133,267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133,267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140,541</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117,520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23,021</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187,226</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186,432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35,152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35,152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24,163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24,163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Total available-for-sale securities </w:t>
            </w:r>
            <w:r>
              <w:rPr>
                <w:rFonts w:ascii="Times New Roman" w:cs="Times New Roman" w:eastAsia="Times New Roman" w:hAnsi="Times New Roman"/>
                <w:sz w:val="9"/>
                <w:szCs w:val="9"/>
                <w:color w:val="auto"/>
              </w:rPr>
              <w:t>(1)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1,364,828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998</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1,336,076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27,754</w:t>
            </w: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74,614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2,593</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66,350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3,696</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2,713</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5,563</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Technology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Communications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5"/>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equity securities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90,763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2,593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76,105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12,065</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1,455,591</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3,591</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1,412,181</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39,819</w:t>
            </w:r>
          </w:p>
        </w:tc>
      </w:tr>
      <w:tr>
        <w:trPr>
          <w:trHeight w:val="21"/>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$44.4 million of securities lent under a securities lending agreement.</w:t>
      </w:r>
    </w:p>
    <w:p>
      <w:pPr>
        <w:spacing w:after="0" w:line="55"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$20.1 million of securities lent under a securities lending agreement.</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December 31, 2024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643,943</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637,675</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114,127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114,127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124,982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100,893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133,812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133,812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26,751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26,751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Total available-for-sale securities </w:t>
            </w:r>
            <w:r>
              <w:rPr>
                <w:rFonts w:ascii="Times New Roman" w:cs="Times New Roman" w:eastAsia="Times New Roman" w:hAnsi="Times New Roman"/>
                <w:sz w:val="9"/>
                <w:szCs w:val="9"/>
                <w:color w:val="auto"/>
              </w:rPr>
              <w:t>(1)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1,043,615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1,013,258</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30,357</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69,930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1,052</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65,378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5,629</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3,341</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Technology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Communications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equity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85,891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1,106</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77,811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1,129,506</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1,106</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1,091,069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37,331</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i w:val="1"/>
          <w:iCs w:val="1"/>
          <w:color w:val="auto"/>
        </w:rPr>
        <w:t>(1)</w:t>
        <w:tab/>
        <w:t>This includes $7.3 million of securities lent under a securities lending agreement.</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Transfers between hierarchy levels may occur due to changes in available market observable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2025 Year-to-Date Change:</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02"/>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color w:val="auto"/>
              </w:rPr>
              <w:t>Transfers</w:t>
            </w:r>
          </w:p>
        </w:tc>
        <w:tc>
          <w:tcPr>
            <w:tcW w:w="200" w:type="dxa"/>
            <w:vAlign w:val="bottom"/>
          </w:tcPr>
          <w:p>
            <w:pPr>
              <w:spacing w:after="0"/>
              <w:rPr>
                <w:sz w:val="13"/>
                <w:szCs w:val="13"/>
                <w:color w:val="auto"/>
              </w:rPr>
            </w:pPr>
          </w:p>
        </w:tc>
        <w:tc>
          <w:tcPr>
            <w:tcW w:w="8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color w:val="auto"/>
              </w:rPr>
              <w:t>Transfers</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2"/>
                <w:szCs w:val="12"/>
                <w:color w:val="auto"/>
              </w:rPr>
            </w:pPr>
          </w:p>
        </w:tc>
        <w:tc>
          <w:tcPr>
            <w:tcW w:w="8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0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Sales</w:t>
            </w: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into</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2"/>
              <w:spacing w:after="0" w:line="202" w:lineRule="exact"/>
              <w:rPr>
                <w:sz w:val="20"/>
                <w:szCs w:val="20"/>
                <w:color w:val="auto"/>
              </w:rPr>
            </w:pPr>
            <w:r>
              <w:rPr>
                <w:rFonts w:ascii="Times New Roman" w:cs="Times New Roman" w:eastAsia="Times New Roman" w:hAnsi="Times New Roman"/>
                <w:sz w:val="14"/>
                <w:szCs w:val="14"/>
                <w:color w:val="auto"/>
                <w:w w:val="95"/>
              </w:rPr>
              <w:t>Level 3</w:t>
            </w:r>
            <w:r>
              <w:rPr>
                <w:rFonts w:ascii="Times New Roman" w:cs="Times New Roman" w:eastAsia="Times New Roman" w:hAnsi="Times New Roman"/>
                <w:sz w:val="18"/>
                <w:szCs w:val="18"/>
                <w:color w:val="auto"/>
                <w:w w:val="95"/>
                <w:vertAlign w:val="superscript"/>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4"/>
              <w:spacing w:after="0" w:line="202" w:lineRule="exact"/>
              <w:rPr>
                <w:sz w:val="20"/>
                <w:szCs w:val="20"/>
                <w:color w:val="auto"/>
              </w:rPr>
            </w:pP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8"/>
                <w:szCs w:val="8"/>
                <w:color w:val="auto"/>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6,268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5,399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68"/>
        </w:trPr>
        <w:tc>
          <w:tcPr>
            <w:tcW w:w="2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Commercial mortgage-backed</w:t>
            </w:r>
          </w:p>
        </w:tc>
        <w:tc>
          <w:tcPr>
            <w:tcW w:w="140" w:type="dxa"/>
            <w:vAlign w:val="bottom"/>
          </w:tcPr>
          <w:p>
            <w:pPr>
              <w:spacing w:after="0"/>
              <w:rPr>
                <w:sz w:val="14"/>
                <w:szCs w:val="14"/>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24,089</w:t>
            </w:r>
          </w:p>
        </w:tc>
        <w:tc>
          <w:tcPr>
            <w:tcW w:w="1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(1,089)</w:t>
            </w:r>
          </w:p>
        </w:tc>
        <w:tc>
          <w:tcPr>
            <w:tcW w:w="180" w:type="dxa"/>
            <w:vAlign w:val="bottom"/>
          </w:tcPr>
          <w:p>
            <w:pPr>
              <w:spacing w:after="0"/>
              <w:rPr>
                <w:sz w:val="14"/>
                <w:szCs w:val="14"/>
                <w:color w:val="auto"/>
              </w:rPr>
            </w:pPr>
          </w:p>
        </w:tc>
        <w:tc>
          <w:tcPr>
            <w:tcW w:w="11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429</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4,769</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26,476</w:t>
            </w:r>
          </w:p>
        </w:tc>
        <w:tc>
          <w:tcPr>
            <w:tcW w:w="20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(28,511)</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23,021</w:t>
            </w: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2,207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(1,384)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30,357</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(1,130)</w:t>
            </w:r>
          </w:p>
        </w:tc>
        <w:tc>
          <w:tcPr>
            <w:tcW w:w="18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394</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10,242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34,082</w:t>
            </w:r>
          </w:p>
        </w:tc>
        <w:tc>
          <w:tcPr>
            <w:tcW w:w="20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(39,987)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6,974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681</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4,750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Level 3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37,331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34,240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(40,485)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39,819</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2024 Year-to-Date Change: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rPr>
              <w:t>Included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color w:val="auto"/>
              </w:rPr>
              <w:t>Transfers</w:t>
            </w:r>
          </w:p>
        </w:tc>
        <w:tc>
          <w:tcPr>
            <w:tcW w:w="200" w:type="dxa"/>
            <w:vAlign w:val="bottom"/>
          </w:tcPr>
          <w:p>
            <w:pPr>
              <w:spacing w:after="0"/>
              <w:rPr>
                <w:sz w:val="13"/>
                <w:szCs w:val="13"/>
                <w:color w:val="auto"/>
              </w:rPr>
            </w:pPr>
          </w:p>
        </w:tc>
        <w:tc>
          <w:tcPr>
            <w:tcW w:w="8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color w:val="auto"/>
              </w:rPr>
              <w:t>Transfers</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3"/>
              <w:spacing w:after="0" w:line="145" w:lineRule="exact"/>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2"/>
                <w:szCs w:val="12"/>
                <w:color w:val="auto"/>
              </w:rPr>
            </w:pPr>
          </w:p>
        </w:tc>
        <w:tc>
          <w:tcPr>
            <w:tcW w:w="8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20" w:type="dxa"/>
            <w:vAlign w:val="bottom"/>
          </w:tcPr>
          <w:p>
            <w:pPr>
              <w:jc w:val="center"/>
              <w:ind w:right="103"/>
              <w:spacing w:after="0" w:line="145" w:lineRule="exact"/>
              <w:rPr>
                <w:sz w:val="20"/>
                <w:szCs w:val="20"/>
                <w:color w:val="auto"/>
              </w:rPr>
            </w:pPr>
            <w:r>
              <w:rPr>
                <w:rFonts w:ascii="Times New Roman" w:cs="Times New Roman" w:eastAsia="Times New Roman" w:hAnsi="Times New Roman"/>
                <w:sz w:val="14"/>
                <w:szCs w:val="14"/>
                <w:color w:val="auto"/>
              </w:rPr>
              <w:t>in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0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Sales</w:t>
            </w: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into</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line="202" w:lineRule="exact"/>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color w:val="auto"/>
              </w:rPr>
              <w:t>Level 3</w:t>
            </w:r>
            <w:r>
              <w:rPr>
                <w:rFonts w:ascii="Times New Roman" w:cs="Times New Roman" w:eastAsia="Times New Roman" w:hAnsi="Times New Roman"/>
                <w:sz w:val="9"/>
                <w:szCs w:val="9"/>
                <w:color w:val="auto"/>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5"/>
              <w:spacing w:after="0" w:line="202" w:lineRule="exact"/>
              <w:rPr>
                <w:sz w:val="20"/>
                <w:szCs w:val="20"/>
                <w:color w:val="auto"/>
              </w:rPr>
            </w:pP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8"/>
                <w:szCs w:val="8"/>
                <w:color w:val="auto"/>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4,506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8,379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(11,501)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0" w:type="dxa"/>
            <w:vAlign w:val="bottom"/>
          </w:tcPr>
          <w:p>
            <w:pPr>
              <w:spacing w:after="0"/>
              <w:rPr>
                <w:sz w:val="1"/>
                <w:szCs w:val="1"/>
                <w:color w:val="auto"/>
              </w:rPr>
            </w:pPr>
          </w:p>
        </w:tc>
      </w:tr>
      <w:tr>
        <w:trPr>
          <w:trHeight w:val="168"/>
        </w:trPr>
        <w:tc>
          <w:tcPr>
            <w:tcW w:w="2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Commercial mortgage-backed</w:t>
            </w:r>
          </w:p>
        </w:tc>
        <w:tc>
          <w:tcPr>
            <w:tcW w:w="140" w:type="dxa"/>
            <w:vAlign w:val="bottom"/>
          </w:tcPr>
          <w:p>
            <w:pPr>
              <w:spacing w:after="0"/>
              <w:rPr>
                <w:sz w:val="14"/>
                <w:szCs w:val="14"/>
                <w:color w:val="auto"/>
              </w:rPr>
            </w:pP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10,994</w:t>
            </w:r>
          </w:p>
        </w:tc>
        <w:tc>
          <w:tcPr>
            <w:tcW w:w="1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(1,519)</w:t>
            </w:r>
          </w:p>
        </w:tc>
        <w:tc>
          <w:tcPr>
            <w:tcW w:w="180" w:type="dxa"/>
            <w:vAlign w:val="bottom"/>
          </w:tcPr>
          <w:p>
            <w:pPr>
              <w:spacing w:after="0"/>
              <w:rPr>
                <w:sz w:val="14"/>
                <w:szCs w:val="14"/>
                <w:color w:val="auto"/>
              </w:rPr>
            </w:pPr>
          </w:p>
        </w:tc>
        <w:tc>
          <w:tcPr>
            <w:tcW w:w="112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664</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3,826</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30,340</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(18,645)</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24,089</w:t>
            </w: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1,534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(1,465)</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4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17,034</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(1,653)</w:t>
            </w:r>
          </w:p>
        </w:tc>
        <w:tc>
          <w:tcPr>
            <w:tcW w:w="18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10,534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38,719</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(31,611)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7,334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(3,518)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Level 3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24,368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12,553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39,272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(35,129)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37,331</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reported as net investment income and net realized and unrealized investment gains (losses) for each of the periods presented above.</w:t>
      </w:r>
    </w:p>
    <w:p>
      <w:pPr>
        <w:spacing w:after="0" w:line="55"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not carried at fair value</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carrying values and fair values of financial instruments categorized as Level 3 in the fair value hierarchy that are recorded at carrying value as of:</w:t>
      </w:r>
    </w:p>
    <w:p>
      <w:pPr>
        <w:sectPr>
          <w:pgSz w:w="11900" w:h="16838" w:orient="portrait"/>
          <w:cols w:equalWidth="0" w:num="1">
            <w:col w:w="11240"/>
          </w:cols>
          <w:pgMar w:left="320" w:top="118" w:right="339" w:bottom="1440" w:gutter="0" w:footer="0" w:header="0"/>
        </w:sect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Agent loans, net </w:t>
      </w:r>
      <w:r>
        <w:rPr>
          <w:rFonts w:ascii="Times New Roman" w:cs="Times New Roman" w:eastAsia="Times New Roman" w:hAnsi="Times New Roman"/>
          <w:sz w:val="9"/>
          <w:szCs w:val="9"/>
          <w:color w:val="auto"/>
        </w:rPr>
        <w:t>(1)</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Other loans receivable, net </w:t>
      </w:r>
      <w:r>
        <w:rPr>
          <w:rFonts w:ascii="Times New Roman" w:cs="Times New Roman" w:eastAsia="Times New Roman" w:hAnsi="Times New Roman"/>
          <w:sz w:val="9"/>
          <w:szCs w:val="9"/>
          <w:color w:val="auto"/>
        </w:rPr>
        <w:t>(2)</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Held-to-maturity securities, net </w:t>
      </w:r>
      <w:r>
        <w:rPr>
          <w:rFonts w:ascii="Times New Roman" w:cs="Times New Roman" w:eastAsia="Times New Roman" w:hAnsi="Times New Roman"/>
          <w:sz w:val="9"/>
          <w:szCs w:val="9"/>
          <w:color w:val="auto"/>
        </w:rPr>
        <w:t>(3)</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290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December 31, 2025</w:t>
            </w:r>
          </w:p>
        </w:tc>
        <w:tc>
          <w:tcPr>
            <w:tcW w:w="160" w:type="dxa"/>
            <w:vAlign w:val="bottom"/>
          </w:tcPr>
          <w:p>
            <w:pPr>
              <w:spacing w:after="0"/>
              <w:rPr>
                <w:sz w:val="18"/>
                <w:szCs w:val="18"/>
                <w:color w:val="auto"/>
              </w:rPr>
            </w:pPr>
          </w:p>
        </w:tc>
        <w:tc>
          <w:tcPr>
            <w:tcW w:w="28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19"/>
        </w:trPr>
        <w:tc>
          <w:tcPr>
            <w:tcW w:w="1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Carrying Value</w:t>
            </w:r>
          </w:p>
        </w:tc>
        <w:tc>
          <w:tcPr>
            <w:tcW w:w="32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w:t>
            </w:r>
          </w:p>
        </w:tc>
        <w:tc>
          <w:tcPr>
            <w:tcW w:w="160" w:type="dxa"/>
            <w:vAlign w:val="bottom"/>
          </w:tcPr>
          <w:p>
            <w:pPr>
              <w:spacing w:after="0"/>
              <w:rPr>
                <w:sz w:val="19"/>
                <w:szCs w:val="19"/>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Carrying Value</w:t>
            </w:r>
          </w:p>
        </w:tc>
        <w:tc>
          <w:tcPr>
            <w:tcW w:w="300" w:type="dxa"/>
            <w:vAlign w:val="bottom"/>
          </w:tcPr>
          <w:p>
            <w:pPr>
              <w:spacing w:after="0"/>
              <w:rPr>
                <w:sz w:val="19"/>
                <w:szCs w:val="19"/>
                <w:color w:val="auto"/>
              </w:rPr>
            </w:pP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Fair Value</w:t>
            </w:r>
          </w:p>
        </w:tc>
      </w:tr>
      <w:tr>
        <w:trPr>
          <w:trHeight w:val="207"/>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109,331</w:t>
            </w:r>
          </w:p>
        </w:tc>
        <w:tc>
          <w:tcPr>
            <w:tcW w:w="3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113,850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92,731</w:t>
            </w:r>
          </w:p>
        </w:tc>
        <w:tc>
          <w:tcPr>
            <w:tcW w:w="3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90,713</w:t>
            </w:r>
          </w:p>
        </w:tc>
      </w:tr>
      <w:tr>
        <w:trPr>
          <w:trHeight w:val="216"/>
        </w:trPr>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15,491</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11,555</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11,555</w:t>
            </w:r>
          </w:p>
        </w:tc>
      </w:tr>
      <w:tr>
        <w:trPr>
          <w:trHeight w:val="230"/>
        </w:trPr>
        <w:tc>
          <w:tcPr>
            <w:tcW w:w="1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w:t>
            </w:r>
          </w:p>
        </w:tc>
      </w:tr>
    </w:tbl>
    <w:p>
      <w:pPr>
        <w:spacing w:after="0" w:line="200" w:lineRule="exact"/>
        <w:rPr>
          <w:sz w:val="20"/>
          <w:szCs w:val="20"/>
          <w:color w:val="auto"/>
        </w:rPr>
      </w:pPr>
    </w:p>
    <w:p>
      <w:pPr>
        <w:sectPr>
          <w:pgSz w:w="11900" w:h="16838" w:orient="portrait"/>
          <w:cols w:equalWidth="0" w:num="2">
            <w:col w:w="4500" w:space="720"/>
            <w:col w:w="6020"/>
          </w:cols>
          <w:pgMar w:left="320" w:top="118" w:right="339" w:bottom="1440" w:gutter="0" w:footer="0" w:header="0"/>
          <w:type w:val="continuous"/>
        </w:sectPr>
      </w:pPr>
    </w:p>
    <w:p>
      <w:pPr>
        <w:spacing w:after="0" w:line="159"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68" w:lineRule="exact"/>
        <w:rPr>
          <w:rFonts w:ascii="Times New Roman" w:cs="Times New Roman" w:eastAsia="Times New Roman" w:hAnsi="Times New Roman"/>
          <w:sz w:val="14"/>
          <w:szCs w:val="14"/>
          <w:i w:val="1"/>
          <w:iCs w:val="1"/>
          <w:color w:val="auto"/>
        </w:rPr>
      </w:pPr>
    </w:p>
    <w:p>
      <w:pPr>
        <w:ind w:left="660" w:right="40" w:hanging="328"/>
        <w:spacing w:after="0" w:line="301" w:lineRule="auto"/>
        <w:tabs>
          <w:tab w:leader="none" w:pos="648"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loans receivable are included in the line items "Prepaid expenses and other current assets, net" and "Other assets, net", respectively, in the Consolidated Statements of Financial Position.</w:t>
      </w:r>
    </w:p>
    <w:p>
      <w:pPr>
        <w:spacing w:after="0" w:line="1"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Held-to-maturity securities are included in the line item "Other assets, net" in the Consolidated Statements of Financial Position.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See Note 6, "Fair Value" for additional fair value disclosures. The following tables summarize the amortized cost and estimated fair value, net of credit loss allowance, of our fixed maturity securities as of:</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40" w:type="dxa"/>
            <w:vAlign w:val="bottom"/>
            <w:gridSpan w:val="3"/>
          </w:tcPr>
          <w:p>
            <w:pPr>
              <w:jc w:val="right"/>
              <w:ind w:right="1039"/>
              <w:spacing w:after="0"/>
              <w:rPr>
                <w:sz w:val="20"/>
                <w:szCs w:val="20"/>
                <w:color w:val="auto"/>
              </w:rPr>
            </w:pPr>
            <w:r>
              <w:rPr>
                <w:rFonts w:ascii="Times New Roman" w:cs="Times New Roman" w:eastAsia="Times New Roman" w:hAnsi="Times New Roman"/>
                <w:sz w:val="16"/>
                <w:szCs w:val="16"/>
                <w:color w:val="auto"/>
              </w:rPr>
              <w:t>December 31, 2025</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Amortized cost</w:t>
            </w: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Gross unrealized gains</w:t>
            </w:r>
          </w:p>
        </w:tc>
        <w:tc>
          <w:tcPr>
            <w:tcW w:w="280" w:type="dxa"/>
            <w:vAlign w:val="bottom"/>
          </w:tcPr>
          <w:p>
            <w:pPr>
              <w:spacing w:after="0"/>
              <w:rPr>
                <w:sz w:val="14"/>
                <w:szCs w:val="14"/>
                <w:color w:val="auto"/>
              </w:rPr>
            </w:pPr>
          </w:p>
        </w:tc>
        <w:tc>
          <w:tcPr>
            <w:tcW w:w="1480" w:type="dxa"/>
            <w:vAlign w:val="bottom"/>
          </w:tcPr>
          <w:p>
            <w:pPr>
              <w:jc w:val="right"/>
              <w:ind w:right="259"/>
              <w:spacing w:after="0" w:line="168" w:lineRule="exact"/>
              <w:rPr>
                <w:sz w:val="20"/>
                <w:szCs w:val="20"/>
                <w:color w:val="auto"/>
              </w:rPr>
            </w:pPr>
            <w:r>
              <w:rPr>
                <w:rFonts w:ascii="Times New Roman" w:cs="Times New Roman" w:eastAsia="Times New Roman" w:hAnsi="Times New Roman"/>
                <w:sz w:val="16"/>
                <w:szCs w:val="16"/>
                <w:color w:val="auto"/>
              </w:rPr>
              <w:t>Gross unrealized</w:t>
            </w:r>
          </w:p>
        </w:tc>
        <w:tc>
          <w:tcPr>
            <w:tcW w:w="260" w:type="dxa"/>
            <w:vAlign w:val="bottom"/>
          </w:tcPr>
          <w:p>
            <w:pPr>
              <w:spacing w:after="0"/>
              <w:rPr>
                <w:sz w:val="14"/>
                <w:szCs w:val="14"/>
                <w:color w:val="auto"/>
              </w:rPr>
            </w:pPr>
          </w:p>
        </w:tc>
        <w:tc>
          <w:tcPr>
            <w:tcW w:w="1180" w:type="dxa"/>
            <w:vAlign w:val="bottom"/>
          </w:tcPr>
          <w:p>
            <w:pPr>
              <w:jc w:val="right"/>
              <w:ind w:right="119"/>
              <w:spacing w:after="0" w:line="168" w:lineRule="exact"/>
              <w:rPr>
                <w:sz w:val="20"/>
                <w:szCs w:val="20"/>
                <w:color w:val="auto"/>
              </w:rPr>
            </w:pPr>
            <w:r>
              <w:rPr>
                <w:rFonts w:ascii="Times New Roman" w:cs="Times New Roman" w:eastAsia="Times New Roman" w:hAnsi="Times New Roman"/>
                <w:sz w:val="16"/>
                <w:szCs w:val="16"/>
                <w:color w:val="auto"/>
              </w:rPr>
              <w:t>Estimated fair</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losses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834,885</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12,779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3,185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844,479</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133,224</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207</w:t>
            </w:r>
          </w:p>
        </w:tc>
        <w:tc>
          <w:tcPr>
            <w:tcW w:w="2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139,516</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2,808</w:t>
            </w:r>
          </w:p>
        </w:tc>
        <w:tc>
          <w:tcPr>
            <w:tcW w:w="2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140,541</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196,624</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982</w:t>
            </w:r>
          </w:p>
        </w:tc>
        <w:tc>
          <w:tcPr>
            <w:tcW w:w="2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10,380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187,226</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34,863</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543</w:t>
            </w:r>
          </w:p>
        </w:tc>
        <w:tc>
          <w:tcPr>
            <w:tcW w:w="2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35,152</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24,116</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106</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24,163</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9"/>
                <w:szCs w:val="9"/>
                <w:color w:val="auto"/>
              </w:rPr>
              <w:t>(1)</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1,363,228</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17,425</w:t>
            </w:r>
          </w:p>
        </w:tc>
        <w:tc>
          <w:tcPr>
            <w:tcW w:w="28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15,825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1,364,828</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Held-to-maturity securities - states &amp; political subdivisions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4,833</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1,368,061</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17,455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1,369,691</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680" w:hanging="348"/>
        <w:spacing w:after="0"/>
        <w:tabs>
          <w:tab w:leader="none" w:pos="68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$44.4 million of securities lent under a securities lending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Corporate debt securities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Collateralized debt obligations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Commercial mortgage-backed securities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Residential mortgage-backed securities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debt securities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9"/>
          <w:szCs w:val="9"/>
          <w:color w:val="auto"/>
        </w:rPr>
        <w:t>(1)</w:t>
      </w:r>
    </w:p>
    <w:p>
      <w:pPr>
        <w:spacing w:after="0" w:line="46" w:lineRule="exact"/>
        <w:rPr>
          <w:sz w:val="20"/>
          <w:szCs w:val="20"/>
          <w:color w:val="auto"/>
        </w:rPr>
      </w:pPr>
    </w:p>
    <w:p>
      <w:pPr>
        <w:ind w:left="40" w:right="240"/>
        <w:spacing w:after="0" w:line="316" w:lineRule="auto"/>
        <w:rPr>
          <w:sz w:val="20"/>
          <w:szCs w:val="20"/>
          <w:color w:val="auto"/>
        </w:rPr>
      </w:pPr>
      <w:r>
        <w:rPr>
          <w:rFonts w:ascii="Times New Roman" w:cs="Times New Roman" w:eastAsia="Times New Roman" w:hAnsi="Times New Roman"/>
          <w:sz w:val="16"/>
          <w:szCs w:val="16"/>
          <w:color w:val="auto"/>
        </w:rPr>
        <w:t>Held-to-maturity securities - states &amp; political subdivisions Total fixed maturity securities,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December 31, 2024</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Amortized cost</w:t>
            </w: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68" w:lineRule="exact"/>
              <w:rPr>
                <w:sz w:val="20"/>
                <w:szCs w:val="20"/>
                <w:color w:val="auto"/>
              </w:rPr>
            </w:pPr>
            <w:r>
              <w:rPr>
                <w:rFonts w:ascii="Times New Roman" w:cs="Times New Roman" w:eastAsia="Times New Roman" w:hAnsi="Times New Roman"/>
                <w:sz w:val="16"/>
                <w:szCs w:val="16"/>
                <w:color w:val="auto"/>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68" w:lineRule="exact"/>
              <w:rPr>
                <w:sz w:val="20"/>
                <w:szCs w:val="20"/>
                <w:color w:val="auto"/>
              </w:rPr>
            </w:pPr>
            <w:r>
              <w:rPr>
                <w:rFonts w:ascii="Times New Roman" w:cs="Times New Roman" w:eastAsia="Times New Roman" w:hAnsi="Times New Roman"/>
                <w:sz w:val="16"/>
                <w:szCs w:val="16"/>
                <w:color w:val="auto"/>
              </w:rPr>
              <w:t>Estimated fair</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losses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409"/>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647,861</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4,767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8,685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643,943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114,142</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372</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126,509</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1,458</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2,985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150,212</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16,462</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133,812</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27,232</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1,065,956</w:t>
            </w:r>
          </w:p>
        </w:tc>
        <w:tc>
          <w:tcPr>
            <w:tcW w:w="7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6,806</w:t>
            </w:r>
          </w:p>
        </w:tc>
        <w:tc>
          <w:tcPr>
            <w:tcW w:w="280" w:type="dxa"/>
            <w:vAlign w:val="bottom"/>
          </w:tcPr>
          <w:p>
            <w:pPr>
              <w:spacing w:after="0"/>
              <w:rPr>
                <w:sz w:val="17"/>
                <w:szCs w:val="17"/>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29,147</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1,043,615</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4,833</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0" w:type="dxa"/>
            <w:vAlign w:val="bottom"/>
          </w:tcPr>
          <w:p>
            <w:pPr>
              <w:spacing w:after="0"/>
              <w:rPr>
                <w:sz w:val="1"/>
                <w:szCs w:val="1"/>
                <w:color w:val="auto"/>
              </w:rPr>
            </w:pPr>
          </w:p>
        </w:tc>
      </w:tr>
      <w:tr>
        <w:trPr>
          <w:trHeight w:val="21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1,070,789</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6,907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29,147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1,048,549</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20" w:space="720"/>
            <w:col w:w="6400"/>
          </w:cols>
          <w:pgMar w:left="320" w:top="118" w:right="339" w:bottom="1440" w:gutter="0" w:footer="0" w:header="0"/>
          <w:type w:val="continuous"/>
        </w:sectPr>
      </w:pPr>
    </w:p>
    <w:p>
      <w:pPr>
        <w:spacing w:after="0" w:line="99" w:lineRule="exact"/>
        <w:rPr>
          <w:sz w:val="20"/>
          <w:szCs w:val="20"/>
          <w:color w:val="auto"/>
        </w:rPr>
      </w:pPr>
    </w:p>
    <w:p>
      <w:pPr>
        <w:ind w:left="680" w:hanging="348"/>
        <w:spacing w:after="0"/>
        <w:tabs>
          <w:tab w:leader="none" w:pos="68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$7.3 million of securities lent under a securities lending agreement.</w:t>
      </w:r>
    </w:p>
    <w:p>
      <w:pPr>
        <w:spacing w:after="0" w:line="3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our fixed maturity securities at December 31, 2025 are shown below by remaining contractual term to maturity. Expected maturities may differ from contractual maturities because borrowers may have the right to call or prepay obligations with or without call or prepayment penalties.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6"/>
        </w:trPr>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Amortized</w:t>
            </w:r>
          </w:p>
        </w:tc>
        <w:tc>
          <w:tcPr>
            <w:tcW w:w="38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Estimated</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cost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fair value</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37,273</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37,302</w:t>
            </w:r>
          </w:p>
        </w:tc>
      </w:tr>
      <w:tr>
        <w:trPr>
          <w:trHeight w:val="216"/>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552,240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558,399</w:t>
            </w:r>
          </w:p>
        </w:tc>
      </w:tr>
      <w:tr>
        <w:trPr>
          <w:trHeight w:val="216"/>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249,274</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251,231</w:t>
            </w:r>
          </w:p>
        </w:tc>
      </w:tr>
      <w:tr>
        <w:trPr>
          <w:trHeight w:val="216"/>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ten years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524,441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517,896</w:t>
            </w: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9"/>
                <w:szCs w:val="9"/>
                <w:color w:val="auto"/>
              </w:rPr>
              <w:t>(1) (2)</w:t>
            </w:r>
          </w:p>
        </w:tc>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1,363,228</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1,364,828</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due after ten years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4,833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r>
      <w:tr>
        <w:trPr>
          <w:trHeight w:val="213"/>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1,368,061</w:t>
            </w:r>
          </w:p>
        </w:tc>
        <w:tc>
          <w:tcPr>
            <w:tcW w:w="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1,369,691</w:t>
            </w:r>
          </w:p>
        </w:tc>
      </w:tr>
      <w:tr>
        <w:trPr>
          <w:trHeight w:val="23"/>
        </w:trPr>
        <w:tc>
          <w:tcPr>
            <w:tcW w:w="8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ind w:left="660" w:right="140" w:hanging="328"/>
        <w:spacing w:after="0" w:line="285" w:lineRule="auto"/>
        <w:tabs>
          <w:tab w:leader="none" w:pos="648"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maturities of our available-for-sale securities are included in the table. However, given our intent to sell certain impaired securities, these securities are classified as current assets in our Consolidated Statement of Financial Position at December 31, 2025.</w:t>
      </w:r>
    </w:p>
    <w:p>
      <w:pPr>
        <w:spacing w:after="0" w:line="9"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$44.4 million of securities lent under a securities lending agreement.</w:t>
      </w:r>
    </w:p>
    <w:p>
      <w:pPr>
        <w:sectPr>
          <w:pgSz w:w="11900" w:h="16838" w:orient="portrait"/>
          <w:cols w:equalWidth="0" w:num="1">
            <w:col w:w="11240"/>
          </w:cols>
          <w:pgMar w:left="320" w:top="118" w:right="339" w:bottom="1440" w:gutter="0" w:footer="0" w:header="0"/>
          <w:type w:val="continuous"/>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below securities have been evaluated for credit impairment using criteria described within Note 2, "Significant Accounting Policies". The gross unrealized losses are primarily attributable to changes in interest rates and are not deemed to be credit-related. We do not have the intent to sell these securities and it is more likely than not that we would not be required to sell these securities before the anticipated recovery of the amortized cost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available-for-sale securities based on length of time in a gross unrealized loss position as of:</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Less than 12 months</w:t>
            </w:r>
          </w:p>
        </w:tc>
        <w:tc>
          <w:tcPr>
            <w:tcW w:w="220" w:type="dxa"/>
            <w:vAlign w:val="bottom"/>
          </w:tcPr>
          <w:p>
            <w:pPr>
              <w:spacing w:after="0"/>
              <w:rPr>
                <w:sz w:val="19"/>
                <w:szCs w:val="19"/>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12 months or longer</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0"/>
              <w:spacing w:after="0" w:line="132"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1"/>
              <w:spacing w:after="0" w:line="132"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0"/>
              <w:spacing w:after="0" w:line="132" w:lineRule="exact"/>
              <w:rPr>
                <w:sz w:val="20"/>
                <w:szCs w:val="20"/>
                <w:color w:val="auto"/>
              </w:rPr>
            </w:pPr>
            <w:r>
              <w:rPr>
                <w:rFonts w:ascii="Times New Roman" w:cs="Times New Roman" w:eastAsia="Times New Roman" w:hAnsi="Times New Roman"/>
                <w:sz w:val="14"/>
                <w:szCs w:val="14"/>
                <w:color w:val="auto"/>
              </w:rPr>
              <w:t>Fair</w:t>
            </w: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1"/>
              <w:spacing w:after="0" w:line="132"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1"/>
              <w:spacing w:after="0" w:line="132"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color w:val="auto"/>
              </w:rPr>
              <w:t>Unrealized</w:t>
            </w:r>
          </w:p>
        </w:tc>
        <w:tc>
          <w:tcPr>
            <w:tcW w:w="840" w:type="dxa"/>
            <w:vAlign w:val="bottom"/>
            <w:tcBorders>
              <w:top w:val="single" w:sz="8" w:color="auto"/>
            </w:tcBorders>
          </w:tcPr>
          <w:p>
            <w:pPr>
              <w:jc w:val="right"/>
              <w:ind w:right="161"/>
              <w:spacing w:after="0" w:line="132"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4"/>
                <w:szCs w:val="14"/>
                <w:color w:val="auto"/>
              </w:rPr>
              <w:t>value</w:t>
            </w:r>
          </w:p>
        </w:tc>
        <w:tc>
          <w:tcPr>
            <w:tcW w:w="3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7"/>
                <w:szCs w:val="17"/>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1,630</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113,739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61,826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36,059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92,019</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109,694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7,591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U.S. Treasury</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13,296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160,579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13,966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342,205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6"/>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grade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144,604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12,773</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289,076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53,129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3"/>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160,579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13,966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342,205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Less than 12 months</w:t>
            </w:r>
          </w:p>
        </w:tc>
        <w:tc>
          <w:tcPr>
            <w:tcW w:w="220" w:type="dxa"/>
            <w:vAlign w:val="bottom"/>
          </w:tcPr>
          <w:p>
            <w:pPr>
              <w:spacing w:after="0"/>
              <w:rPr>
                <w:sz w:val="19"/>
                <w:szCs w:val="19"/>
                <w:color w:val="auto"/>
              </w:rPr>
            </w:pPr>
          </w:p>
        </w:tc>
        <w:tc>
          <w:tcPr>
            <w:tcW w:w="2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12 months or longer</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1"/>
              <w:spacing w:after="0" w:line="136"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1"/>
              <w:spacing w:after="0" w:line="136"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1"/>
              <w:spacing w:after="0" w:line="136" w:lineRule="exact"/>
              <w:rPr>
                <w:sz w:val="20"/>
                <w:szCs w:val="20"/>
                <w:color w:val="auto"/>
              </w:rPr>
            </w:pPr>
            <w:r>
              <w:rPr>
                <w:rFonts w:ascii="Times New Roman" w:cs="Times New Roman" w:eastAsia="Times New Roman" w:hAnsi="Times New Roman"/>
                <w:sz w:val="14"/>
                <w:szCs w:val="14"/>
                <w:color w:val="auto"/>
              </w:rPr>
              <w:t>Fair</w:t>
            </w: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1"/>
              <w:spacing w:after="0" w:line="136"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1"/>
              <w:spacing w:after="0" w:line="136"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6" w:lineRule="exact"/>
              <w:rPr>
                <w:sz w:val="20"/>
                <w:szCs w:val="20"/>
                <w:color w:val="auto"/>
              </w:rPr>
            </w:pPr>
            <w:r>
              <w:rPr>
                <w:rFonts w:ascii="Times New Roman" w:cs="Times New Roman" w:eastAsia="Times New Roman" w:hAnsi="Times New Roman"/>
                <w:sz w:val="14"/>
                <w:szCs w:val="14"/>
                <w:color w:val="auto"/>
              </w:rPr>
              <w:t>Unrealized</w:t>
            </w:r>
          </w:p>
        </w:tc>
        <w:tc>
          <w:tcPr>
            <w:tcW w:w="840" w:type="dxa"/>
            <w:vAlign w:val="bottom"/>
            <w:tcBorders>
              <w:top w:val="single" w:sz="8" w:color="auto"/>
            </w:tcBorders>
          </w:tcPr>
          <w:p>
            <w:pPr>
              <w:jc w:val="right"/>
              <w:ind w:right="161"/>
              <w:spacing w:after="0" w:line="136"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color w:val="auto"/>
              </w:rPr>
              <w:t>value</w:t>
            </w:r>
          </w:p>
        </w:tc>
        <w:tc>
          <w:tcPr>
            <w:tcW w:w="32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197,619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156,059</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6,199</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353,678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8,685</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33,686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45,448</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28,333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24,966</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53,299</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38,003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90,209</w:t>
            </w: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15,173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128,212</w:t>
            </w:r>
          </w:p>
        </w:tc>
        <w:tc>
          <w:tcPr>
            <w:tcW w:w="2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16,462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11,663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16,708</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309,304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288,041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24,744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597,345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29,147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6"/>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grade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280,332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260,480</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22,664</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540,812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26,365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28,972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27,561</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2,080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56,533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309,304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288,041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24,744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597,345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29,147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roll-forward of the allowances for credit losses on investments for the years ended December 31: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Provision and recoveries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Sales/collections and write-offs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Provision and recoveries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Sales/collections and write-offs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1640" w:type="dxa"/>
            <w:vAlign w:val="bottom"/>
          </w:tcPr>
          <w:p>
            <w:pPr>
              <w:jc w:val="center"/>
              <w:ind w:right="199"/>
              <w:spacing w:after="0" w:line="168" w:lineRule="exact"/>
              <w:rPr>
                <w:sz w:val="20"/>
                <w:szCs w:val="20"/>
                <w:color w:val="auto"/>
              </w:rPr>
            </w:pPr>
            <w:r>
              <w:rPr>
                <w:rFonts w:ascii="Times New Roman" w:cs="Times New Roman" w:eastAsia="Times New Roman" w:hAnsi="Times New Roman"/>
                <w:sz w:val="16"/>
                <w:szCs w:val="16"/>
                <w:color w:val="auto"/>
                <w:w w:val="99"/>
              </w:rPr>
              <w:t>Available-for-sale</w:t>
            </w:r>
          </w:p>
        </w:tc>
        <w:tc>
          <w:tcPr>
            <w:tcW w:w="1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0" w:type="dxa"/>
            <w:vAlign w:val="bottom"/>
          </w:tcPr>
          <w:p>
            <w:pPr>
              <w:spacing w:after="0"/>
              <w:rPr>
                <w:sz w:val="14"/>
                <w:szCs w:val="14"/>
                <w:color w:val="auto"/>
              </w:rPr>
            </w:pPr>
          </w:p>
        </w:tc>
        <w:tc>
          <w:tcPr>
            <w:tcW w:w="1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Other loans receivable</w:t>
            </w:r>
          </w:p>
        </w:tc>
        <w:tc>
          <w:tcPr>
            <w:tcW w:w="360" w:type="dxa"/>
            <w:vAlign w:val="bottom"/>
          </w:tcPr>
          <w:p>
            <w:pPr>
              <w:spacing w:after="0"/>
              <w:rPr>
                <w:sz w:val="14"/>
                <w:szCs w:val="14"/>
                <w:color w:val="auto"/>
              </w:rPr>
            </w:pPr>
          </w:p>
        </w:tc>
        <w:tc>
          <w:tcPr>
            <w:tcW w:w="150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Agent loans</w:t>
            </w:r>
          </w:p>
        </w:tc>
        <w:tc>
          <w:tcPr>
            <w:tcW w:w="0" w:type="dxa"/>
            <w:vAlign w:val="bottom"/>
          </w:tcPr>
          <w:p>
            <w:pPr>
              <w:spacing w:after="0"/>
              <w:rPr>
                <w:sz w:val="1"/>
                <w:szCs w:val="1"/>
                <w:color w:val="auto"/>
              </w:rPr>
            </w:pPr>
          </w:p>
        </w:tc>
      </w:tr>
      <w:tr>
        <w:trPr>
          <w:trHeight w:val="213"/>
        </w:trPr>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securities</w:t>
            </w:r>
          </w:p>
        </w:tc>
        <w:tc>
          <w:tcPr>
            <w:tcW w:w="19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12,198</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1,389</w:t>
            </w:r>
          </w:p>
        </w:tc>
        <w:tc>
          <w:tcPr>
            <w:tcW w:w="7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2,928</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9"/>
        </w:trPr>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15,101</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1640" w:type="dxa"/>
            <w:vAlign w:val="bottom"/>
          </w:tcPr>
          <w:p>
            <w:pPr>
              <w:jc w:val="center"/>
              <w:ind w:right="199"/>
              <w:spacing w:after="0" w:line="168" w:lineRule="exact"/>
              <w:rPr>
                <w:sz w:val="20"/>
                <w:szCs w:val="20"/>
                <w:color w:val="auto"/>
              </w:rPr>
            </w:pPr>
            <w:r>
              <w:rPr>
                <w:rFonts w:ascii="Times New Roman" w:cs="Times New Roman" w:eastAsia="Times New Roman" w:hAnsi="Times New Roman"/>
                <w:sz w:val="16"/>
                <w:szCs w:val="16"/>
                <w:color w:val="auto"/>
                <w:w w:val="99"/>
              </w:rPr>
              <w:t>Available-for-sale</w:t>
            </w:r>
          </w:p>
        </w:tc>
        <w:tc>
          <w:tcPr>
            <w:tcW w:w="1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0" w:type="dxa"/>
            <w:vAlign w:val="bottom"/>
          </w:tcPr>
          <w:p>
            <w:pPr>
              <w:spacing w:after="0"/>
              <w:rPr>
                <w:sz w:val="14"/>
                <w:szCs w:val="14"/>
                <w:color w:val="auto"/>
              </w:rPr>
            </w:pPr>
          </w:p>
        </w:tc>
        <w:tc>
          <w:tcPr>
            <w:tcW w:w="1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Other loans receivable</w:t>
            </w:r>
          </w:p>
        </w:tc>
        <w:tc>
          <w:tcPr>
            <w:tcW w:w="360" w:type="dxa"/>
            <w:vAlign w:val="bottom"/>
          </w:tcPr>
          <w:p>
            <w:pPr>
              <w:spacing w:after="0"/>
              <w:rPr>
                <w:sz w:val="14"/>
                <w:szCs w:val="14"/>
                <w:color w:val="auto"/>
              </w:rPr>
            </w:pPr>
          </w:p>
        </w:tc>
        <w:tc>
          <w:tcPr>
            <w:tcW w:w="150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Agent loans</w:t>
            </w:r>
          </w:p>
        </w:tc>
        <w:tc>
          <w:tcPr>
            <w:tcW w:w="0" w:type="dxa"/>
            <w:vAlign w:val="bottom"/>
          </w:tcPr>
          <w:p>
            <w:pPr>
              <w:spacing w:after="0"/>
              <w:rPr>
                <w:sz w:val="1"/>
                <w:szCs w:val="1"/>
                <w:color w:val="auto"/>
              </w:rPr>
            </w:pPr>
          </w:p>
        </w:tc>
      </w:tr>
      <w:tr>
        <w:trPr>
          <w:trHeight w:val="213"/>
        </w:trPr>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securities</w:t>
            </w:r>
          </w:p>
        </w:tc>
        <w:tc>
          <w:tcPr>
            <w:tcW w:w="19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11,081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w:t>
            </w:r>
          </w:p>
        </w:tc>
        <w:tc>
          <w:tcPr>
            <w:tcW w:w="7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2,167</w:t>
            </w:r>
          </w:p>
        </w:tc>
        <w:tc>
          <w:tcPr>
            <w:tcW w:w="2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9"/>
        </w:trPr>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12,198</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0" w:space="720"/>
            <w:col w:w="7520"/>
          </w:cols>
          <w:pgMar w:left="320" w:top="118"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(loss), net of expenses, was generated from the following portfolios for the years ended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57,093</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49,605</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42,563</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4,637</w:t>
            </w:r>
          </w:p>
        </w:tc>
        <w:tc>
          <w:tcPr>
            <w:tcW w:w="4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4,758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Limited partnerships </w:t>
            </w:r>
            <w:r>
              <w:rPr>
                <w:rFonts w:ascii="Times New Roman" w:cs="Times New Roman" w:eastAsia="Times New Roman" w:hAnsi="Times New Roman"/>
                <w:sz w:val="9"/>
                <w:szCs w:val="9"/>
                <w:color w:val="auto"/>
              </w:rPr>
              <w:t>(1)</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3,549</w:t>
            </w:r>
          </w:p>
        </w:tc>
        <w:tc>
          <w:tcPr>
            <w:tcW w:w="4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1,971</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(11,308)</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Agent loans </w:t>
            </w:r>
            <w:r>
              <w:rPr>
                <w:rFonts w:ascii="Times New Roman" w:cs="Times New Roman" w:eastAsia="Times New Roman" w:hAnsi="Times New Roman"/>
                <w:sz w:val="9"/>
                <w:szCs w:val="9"/>
                <w:color w:val="auto"/>
              </w:rPr>
              <w:t>(2)</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6,417</w:t>
            </w:r>
          </w:p>
        </w:tc>
        <w:tc>
          <w:tcPr>
            <w:tcW w:w="4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4,368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Cash equivalents and other </w:t>
            </w:r>
            <w:r>
              <w:rPr>
                <w:rFonts w:ascii="Times New Roman" w:cs="Times New Roman" w:eastAsia="Times New Roman" w:hAnsi="Times New Roman"/>
                <w:sz w:val="9"/>
                <w:szCs w:val="9"/>
                <w:color w:val="auto"/>
              </w:rPr>
              <w:t>(2)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16,551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11,093</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investment income</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88,247</w:t>
            </w:r>
          </w:p>
        </w:tc>
        <w:tc>
          <w:tcPr>
            <w:tcW w:w="40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71,795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44,927</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Less: investment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2,410</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1,640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3"/>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85,837</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70,155</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44,572</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24" w:lineRule="exact"/>
        <w:rPr>
          <w:sz w:val="20"/>
          <w:szCs w:val="20"/>
          <w:color w:val="auto"/>
        </w:rPr>
      </w:pPr>
    </w:p>
    <w:p>
      <w:pPr>
        <w:ind w:left="660" w:right="240" w:hanging="328"/>
        <w:spacing w:after="0" w:line="283" w:lineRule="auto"/>
        <w:tabs>
          <w:tab w:leader="none" w:pos="648"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Limited partnership income (losses) include both realized gains (losses) and unrealized valuation changes. Our limited partnership investments are included in the line item "Other assets, net" in the Consolidated Statements of Financial Position. We have made no new significant limited partnership commitments since 2006, and the balance of limited partnership investments is expected to decline over time as additional distributions are received.</w:t>
      </w:r>
    </w:p>
    <w:p>
      <w:pPr>
        <w:spacing w:after="0" w:line="3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2024 and 2023 amounts have been reclassified to conform to the current period presentation.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gains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(losses) on investments were as follows for the years ended December 31:</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realized gains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3,415</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realized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(2,838)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(5,035)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(7,523)</w:t>
            </w:r>
          </w:p>
        </w:tc>
      </w:tr>
      <w:tr>
        <w:trPr>
          <w:trHeight w:val="210"/>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realized gains (losses) on available-for-sale securities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(1,620)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2,278</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4,848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realized and unrealized investment gains (losses)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2,336</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3,229</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portion of net unrealized gains (losses) recognized during the reporting period related to equity securities held at the reporting date is calculated as follows for the years ended December 31:</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gains recognized during the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2,278</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4,848</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Less: net gains (losses) recognized on securities sold</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1,213</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13"/>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gains recognized on securities held at reporting date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1,937</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3,635</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recognized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on investments were as follows for the years ended December 31:</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Intent to sell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(495)</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(299)</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Credit impaired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(1,884)</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(2,167)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Agent loans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Other loans receivable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(819)</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w:t>
            </w:r>
          </w:p>
        </w:tc>
      </w:tr>
      <w:tr>
        <w:trPr>
          <w:trHeight w:val="213"/>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impairment losses recognized in earnings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(3,312)</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(4,124)</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(9,766)</w:t>
            </w:r>
          </w:p>
        </w:tc>
      </w:tr>
      <w:tr>
        <w:trPr>
          <w:trHeight w:val="21"/>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lending transactions</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of December 31, 2025, the estimated fair value of loaned securities was $64.5 million, consisting of $44.4 million of available-for sale securities and $20.1 million of equity securities. As of December 31, 2024, the estimated fair value of loaned securities was $7.3 million, consisting of available-for-sale securities. Cash collateral received in connection with these securities lending transactions totaled $61.9 million and $7.5 million as of December 31, 2025 and 2024, respectively. The cash collateral was reinvested in cash equivalents and is included in "Cash and cash equivalents" in the Consolidated Statements of Financial Position. As of December 31, 2025, we also received $4.5 million of non-cash collateral, which we are not permitted to sell or repledge. There were no securities lending transactions outstanding with contractual maturities extending beyond one year from the reporting date.</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have to return cash collateral on short notice, we may have difficulty selling investments in a timely manner, be forced to sell them for less than we otherwise would have been able to realize, or both. In addition, in the event of such forced sale, for securities in an unrealized loss position, realized losses would be incurred on securities sold and impairments would be incurred, if there is a need to sell securities prior to recovery, which may negatively impact our financial condition.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Fixed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fixed assets by category as of December 31:</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412,789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351,814</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235,915</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233,647</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57,968</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52,122</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22,944</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78,148</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46,302</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Projects in progress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77,955</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81,616</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fixed assets, gross</w:t>
            </w:r>
          </w:p>
        </w:tc>
        <w:tc>
          <w:tcPr>
            <w:tcW w:w="5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887,373</w:t>
            </w:r>
          </w:p>
        </w:tc>
        <w:tc>
          <w:tcPr>
            <w:tcW w:w="5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789,823</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(315,897)</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(276,329)</w:t>
            </w: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571,476</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513,494</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Software increased primarily due to internal-use software projects that were completed and placed in service as well as the renewal of mainframe software licenses.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Construction in progress includes ongoing renovations to office buildings that are part of our principal headquarters and not yet subject to depreciation. The renovations are expected to be completed in phases with full completion expected in 2027.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in progress include certain computer software and software development costs for internal use that are not yet subject to amortization.</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$69.5 million, $56.5 million and $47.4 million for the years ended December 31, 2025, 2024 and 2023, respectively, and is primarily included in total operating expenses. The Exchange and its insurance subsidiaries reimbursed us for approximately 31%, 28% and 27% in 2025, 2024 and 2023, respectively, for annual depreciation and amortization expense on assets supporting administrative services.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Bank Line of Credit</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access to a $100 million bank revolving line of credit with a $25 million letter of credit sublimit that expires on November 1, 2029. As of December 31, 2025, a total of $99.2 million remains available under the facility due to $0.8 million outstanding letters of credit, which reduce the availability for letters of credit to $24.2 million. We had no borrowings outstanding on our line of credit as of December 31, 2025. Investments with a fair value of $111.4 million were pledged as collateral on the line of credit at December 31, 2025. These investments have no trading restrictions and are reported as available-for-sale securities and cash and cash equivalents on our Consolidated Statement of Financial Position as of December 31, 2025. The bank requires compliance with certain covenants, which include leverage ratios and debt restrictions. We are in compliance with all covenants at December 31, 2025.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Postretirement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spacing w:after="0" w:line="2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Although we are the sponsor of these postretirement plans and record the funded status of these plans, there are reimbursements between us and the Exchange and its insurance subsidiaries for their allocated share of pension cost or income. These reimbursements represent pension benefits for employees performing administrative services and an allocated share of plan cost (income) for employees in departments that support the administrative functions. In 2025, the Exchange and its insurance subsidiaries reimbursed us for approximately 61% of the annual defined benefit pension cost and 33% of the annual SERP cost. For our funded pension plan, amounts are settled in cash for the portion of pension cost (income) allocated to the Exchange and its insurance subsidiaries. For our unfunded SERP, we pay the obligations when due and amounts are settled in cash between entities when there is a payout.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Pension plan cost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cost (income) includes the following components for the years ended December 31:</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ectPr>
          <w:pgSz w:w="11900" w:h="16838" w:orient="portrait"/>
          <w:cols w:equalWidth="0" w:num="1">
            <w:col w:w="11220"/>
          </w:cols>
          <w:pgMar w:left="320" w:top="118" w:right="359" w:bottom="1440" w:gutter="0" w:footer="0" w:header="0"/>
        </w:sect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cost on benefit obligation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Prior service cost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actuarial gain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Settlement gain </w:t>
      </w:r>
      <w:r>
        <w:rPr>
          <w:rFonts w:ascii="Times New Roman" w:cs="Times New Roman" w:eastAsia="Times New Roman" w:hAnsi="Times New Roman"/>
          <w:sz w:val="9"/>
          <w:szCs w:val="9"/>
          <w:color w:val="auto"/>
        </w:rPr>
        <w:t>(1)</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Pension plan cost (income)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35,471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34,554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58,748</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52,688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50,193</w:t>
            </w:r>
          </w:p>
        </w:tc>
      </w:tr>
      <w:tr>
        <w:trPr>
          <w:trHeight w:val="230"/>
        </w:trPr>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30"/>
        </w:trPr>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r>
      <w:tr>
        <w:trPr>
          <w:trHeight w:val="234"/>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12,540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60" w:space="720"/>
            <w:col w:w="4640"/>
          </w:cols>
          <w:pgMar w:left="320" w:top="118" w:right="359" w:bottom="1440" w:gutter="0" w:footer="0" w:header="0"/>
          <w:type w:val="continuous"/>
        </w:sectPr>
      </w:pPr>
    </w:p>
    <w:p>
      <w:pPr>
        <w:spacing w:after="0" w:line="99"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Settlement accounting was required due to lump sum payments made under the SERP to former officers in 2025 and 2024.</w:t>
      </w:r>
    </w:p>
    <w:p>
      <w:pPr>
        <w:spacing w:after="0" w:line="29" w:lineRule="exact"/>
        <w:rPr>
          <w:rFonts w:ascii="Times New Roman" w:cs="Times New Roman" w:eastAsia="Times New Roman" w:hAnsi="Times New Roman"/>
          <w:sz w:val="14"/>
          <w:szCs w:val="14"/>
          <w:i w:val="1"/>
          <w:iCs w:val="1"/>
          <w:color w:val="auto"/>
        </w:rPr>
      </w:pPr>
    </w:p>
    <w:p>
      <w:pPr>
        <w:ind w:left="660" w:hanging="328"/>
        <w:spacing w:after="0" w:line="272" w:lineRule="auto"/>
        <w:tabs>
          <w:tab w:leader="none" w:pos="684"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Pension plan cost (income) represents total plan cost (income) before reimbursements between Indemnity and the Exchange and its insurance subsidiaries. The components of pension plan cost (income) other than the service cost components are included in the line item "Other income" in the Consolidated Statements of Operations, net of reimbursements between Indemnity and the Exchange and its insurance subsidiaries.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Actuarial assumptions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weighted-average assumptions used to measure benefit obligations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760" w:type="dxa"/>
            <w:vAlign w:val="bottom"/>
            <w:gridSpan w:val="2"/>
          </w:tcPr>
          <w:p>
            <w:pPr>
              <w:ind w:left="834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20"/>
                <w:szCs w:val="20"/>
                <w:color w:val="auto"/>
              </w:rPr>
            </w:pPr>
          </w:p>
        </w:tc>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r>
      <w:tr>
        <w:trPr>
          <w:trHeight w:val="205"/>
        </w:trPr>
        <w:tc>
          <w:tcPr>
            <w:tcW w:w="7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Employee pension plan:</w:t>
            </w:r>
          </w:p>
        </w:tc>
        <w:tc>
          <w:tcPr>
            <w:tcW w:w="10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5.72 %</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5.87 %</w:t>
            </w:r>
          </w:p>
        </w:tc>
      </w:tr>
      <w:tr>
        <w:trPr>
          <w:trHeight w:val="23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7.00</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 – age-graded</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5.07</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SERP:</w:t>
            </w: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5.44 %</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5.65 %</w:t>
            </w:r>
          </w:p>
        </w:tc>
      </w:tr>
      <w:tr>
        <w:trPr>
          <w:trHeight w:val="23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7.00</w:t>
            </w: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weighted-average assumptions used to measure net periodic benefit costs for the years ended December 31:</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80" w:type="dxa"/>
            <w:vAlign w:val="bottom"/>
            <w:gridSpan w:val="2"/>
          </w:tcPr>
          <w:p>
            <w:pPr>
              <w:ind w:left="6900"/>
              <w:spacing w:after="0"/>
              <w:rPr>
                <w:sz w:val="20"/>
                <w:szCs w:val="20"/>
                <w:color w:val="auto"/>
              </w:rPr>
            </w:pPr>
            <w:r>
              <w:rPr>
                <w:rFonts w:ascii="Times New Roman" w:cs="Times New Roman" w:eastAsia="Times New Roman" w:hAnsi="Times New Roman"/>
                <w:sz w:val="18"/>
                <w:szCs w:val="18"/>
                <w:color w:val="auto"/>
                <w:w w:val="99"/>
              </w:rPr>
              <w:t>2025</w:t>
            </w:r>
          </w:p>
        </w:tc>
        <w:tc>
          <w:tcPr>
            <w:tcW w:w="16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tcPr>
          <w:p>
            <w:pPr>
              <w:spacing w:after="0"/>
              <w:rPr>
                <w:sz w:val="20"/>
                <w:szCs w:val="20"/>
                <w:color w:val="auto"/>
              </w:rPr>
            </w:pP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r>
      <w:tr>
        <w:trPr>
          <w:trHeight w:val="205"/>
        </w:trPr>
        <w:tc>
          <w:tcPr>
            <w:tcW w:w="6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Employee pension plan:</w:t>
            </w:r>
          </w:p>
        </w:tc>
        <w:tc>
          <w:tcPr>
            <w:tcW w:w="9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0"/>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5.87 %</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5.34 %</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5.67 %</w:t>
            </w:r>
          </w:p>
        </w:tc>
      </w:tr>
      <w:tr>
        <w:trPr>
          <w:trHeight w:val="229"/>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 – age-graded</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4.31</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SERP:</w:t>
            </w: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Discount rate </w:t>
            </w:r>
            <w:r>
              <w:rPr>
                <w:rFonts w:ascii="Times New Roman" w:cs="Times New Roman" w:eastAsia="Times New Roman" w:hAnsi="Times New Roman"/>
                <w:sz w:val="9"/>
                <w:szCs w:val="9"/>
                <w:color w:val="auto"/>
              </w:rPr>
              <w:t>(1)</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5.29 %</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5.12 %</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5.46 %</w:t>
            </w:r>
          </w:p>
        </w:tc>
      </w:tr>
      <w:tr>
        <w:trPr>
          <w:trHeight w:val="234"/>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70" w:lineRule="exact"/>
        <w:rPr>
          <w:sz w:val="20"/>
          <w:szCs w:val="20"/>
          <w:color w:val="auto"/>
        </w:rPr>
      </w:pPr>
    </w:p>
    <w:p>
      <w:pPr>
        <w:ind w:left="660" w:right="280" w:hanging="328"/>
        <w:spacing w:after="0" w:line="273" w:lineRule="auto"/>
        <w:tabs>
          <w:tab w:leader="none" w:pos="648"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Settlement accounting was required due to lump sum payments made under the SERP in 2025 and 2024. The 2025 discount rates in effect at the January 1, September 1, and November 1 measurement dates were 5.65%, 5.51%, and 5.29%, respectively. The 2024 discount rates in effect at the January 1, June 1, and September 1 measurement dates were 5.11%, 5.53%, and 5.12%, respectively.</w:t>
      </w:r>
    </w:p>
    <w:p>
      <w:pPr>
        <w:spacing w:after="0" w:line="200" w:lineRule="exact"/>
        <w:rPr>
          <w:sz w:val="20"/>
          <w:szCs w:val="20"/>
          <w:color w:val="auto"/>
        </w:rPr>
      </w:pPr>
    </w:p>
    <w:p>
      <w:pPr>
        <w:spacing w:after="0" w:line="3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economic assumptions that have the most impact on the postretirement benefits expense are the discount rate and the long-term rate of return on plan assets. The discount rate assumption used to determine the benefit obligation for all periods presented was based upon a yield curve developed from corporate bond yield information.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Funding policy/funded status</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defined benefit pension plan funding policy is generally to contribute an amount equal to the greater of the target normal cost for the plan year, or the amount necessary to fund the plan to 100%. Accordingly, we made contributions of $39 million and $33 million in 2025 and 2024, respectively. We also made a contribution of $47 million in January 2026. The pension asset is presented separately from the unfunded SERP plan as a non-current asset on the Consolidated Statements of Financial Position. The following table sets forth the funded status of the pension plans and the amounts recognized in the Consolidated Statements of Financial Position at December 31:</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(11,484)</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24,137</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w:t>
            </w: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Pension liabilities – due within one year </w:t>
            </w:r>
            <w:r>
              <w:rPr>
                <w:rFonts w:ascii="Times New Roman" w:cs="Times New Roman" w:eastAsia="Times New Roman" w:hAnsi="Times New Roman"/>
                <w:sz w:val="9"/>
                <w:szCs w:val="9"/>
                <w:color w:val="auto"/>
              </w:rPr>
              <w:t>(1)</w:t>
            </w:r>
          </w:p>
        </w:tc>
        <w:tc>
          <w:tcPr>
            <w:tcW w:w="3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(2,211)</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liabilities – due after one year</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(33,410)</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(28,070)</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(11,484)</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i w:val="1"/>
          <w:iCs w:val="1"/>
          <w:color w:val="auto"/>
        </w:rPr>
        <w:t>(1)</w:t>
        <w:tab/>
        <w:t>The current portion of pension liabilities for the unfunded plan is included in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Benefit obligations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1,013,767</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993,554</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35,471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58,748</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amendments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1,935</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36,300</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(39,887)</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34"/>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(3,252)</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1,103,082</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1,013,767</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2"/>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935,049</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860,855</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Projected benefit obligations increased $89.3 million at December 31, 2025 compared to December 31, 2024 primarily due to the lower discount rate used to measure the future benefit obligations. The discount rate for the employee pension plan decreased to 5.72% in 2025 from 5.87%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SERP had a projected benefit obligation in excess of plan assets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35,621</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33,029</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SERP had an accumulated benefit obligation in excess of plan assets at December 31: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7"/>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3"/>
        </w:trPr>
        <w:tc>
          <w:tcPr>
            <w:tcW w:w="7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23,523</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Plan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beginning and ending balances of the fair value of plan assets at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1,002,049</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996,879</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90,357</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42,331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37,061</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(39,887)</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234"/>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(3,252)</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1,091,598</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1,002,049</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Accumulated other comprehensive loss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actuarial loss and prior service cost included in accumulated other comprehensive loss that were not yet recognized as components of net benefit costs were as follows at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56,062</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11,297</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11,050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amount not yet recognized</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67,359</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37,802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w w:val="99"/>
              </w:rPr>
              <w:t>Other comprehensive loss</w:t>
            </w:r>
          </w:p>
        </w:tc>
        <w:tc>
          <w:tcPr>
            <w:tcW w:w="40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1880" w:type="dxa"/>
            <w:vAlign w:val="bottom"/>
            <w:tcBorders>
              <w:bottom w:val="single" w:sz="8" w:color="auto"/>
            </w:tcBorders>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Amounts recognized in other comprehensive loss for pension plans were as follows for the years ended December 31:</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actuarial loss arising during the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26,219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44,509</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320" w:type="dxa"/>
            <w:vAlign w:val="bottom"/>
          </w:tcPr>
          <w:p>
            <w:pPr>
              <w:spacing w:after="0"/>
              <w:rPr>
                <w:sz w:val="19"/>
                <w:szCs w:val="19"/>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2,519</w:t>
            </w:r>
          </w:p>
        </w:tc>
        <w:tc>
          <w:tcPr>
            <w:tcW w:w="32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6,859</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(1,688)</w:t>
            </w:r>
          </w:p>
        </w:tc>
        <w:tc>
          <w:tcPr>
            <w:tcW w:w="320" w:type="dxa"/>
            <w:vAlign w:val="bottom"/>
          </w:tcPr>
          <w:p>
            <w:pPr>
              <w:spacing w:after="0"/>
              <w:rPr>
                <w:sz w:val="19"/>
                <w:szCs w:val="19"/>
                <w:color w:val="auto"/>
              </w:rPr>
            </w:pPr>
          </w:p>
        </w:tc>
        <w:tc>
          <w:tcPr>
            <w:tcW w:w="1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(1,611)</w:t>
            </w:r>
          </w:p>
        </w:tc>
        <w:tc>
          <w:tcPr>
            <w:tcW w:w="50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(1,446)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Plan amendments </w:t>
            </w:r>
            <w:r>
              <w:rPr>
                <w:rFonts w:ascii="Times New Roman" w:cs="Times New Roman" w:eastAsia="Times New Roman" w:hAnsi="Times New Roman"/>
                <w:sz w:val="9"/>
                <w:szCs w:val="9"/>
                <w:color w:val="auto"/>
              </w:rPr>
              <w:t>(1)</w:t>
            </w:r>
          </w:p>
        </w:tc>
        <w:tc>
          <w:tcPr>
            <w:tcW w:w="320" w:type="dxa"/>
            <w:vAlign w:val="bottom"/>
          </w:tcPr>
          <w:p>
            <w:pPr>
              <w:spacing w:after="0"/>
              <w:rPr>
                <w:sz w:val="19"/>
                <w:szCs w:val="19"/>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1,935</w:t>
            </w:r>
          </w:p>
        </w:tc>
        <w:tc>
          <w:tcPr>
            <w:tcW w:w="32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1,146</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Settlement gain</w:t>
            </w:r>
          </w:p>
        </w:tc>
        <w:tc>
          <w:tcPr>
            <w:tcW w:w="32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1,338</w:t>
            </w:r>
          </w:p>
        </w:tc>
        <w:tc>
          <w:tcPr>
            <w:tcW w:w="5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recognized in other comprehensive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29,557</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52,241</w:t>
            </w:r>
          </w:p>
        </w:tc>
        <w:tc>
          <w:tcPr>
            <w:tcW w:w="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i w:val="1"/>
          <w:iCs w:val="1"/>
          <w:color w:val="auto"/>
        </w:rPr>
        <w:t>(1)</w:t>
        <w:tab/>
        <w:t>Plan amendments relate to new SERP participants.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allocation</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an exchange traded fund, and a separate account that are dedicated exclusively to the management of employee benefit plan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and actual asset allocations for the portfolio are as follows for the years ended December 31:</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Target asset</w:t>
            </w:r>
          </w:p>
        </w:tc>
        <w:tc>
          <w:tcPr>
            <w:tcW w:w="19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Target asset</w:t>
            </w:r>
          </w:p>
        </w:tc>
        <w:tc>
          <w:tcPr>
            <w:tcW w:w="1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Actual asset</w:t>
            </w:r>
          </w:p>
        </w:tc>
        <w:tc>
          <w:tcPr>
            <w:tcW w:w="3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Actual asset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8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allocation</w:t>
            </w:r>
          </w:p>
        </w:tc>
        <w:tc>
          <w:tcPr>
            <w:tcW w:w="19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allocation</w:t>
            </w:r>
          </w:p>
        </w:tc>
        <w:tc>
          <w:tcPr>
            <w:tcW w:w="1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allocation</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allocation</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allocation:</w:t>
            </w:r>
          </w:p>
        </w:tc>
        <w:tc>
          <w:tcPr>
            <w:tcW w:w="18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9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05"/>
        </w:trPr>
        <w:tc>
          <w:tcPr>
            <w:tcW w:w="39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Equity securities:</w:t>
            </w: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21 %</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21 %</w:t>
            </w:r>
          </w:p>
        </w:tc>
        <w:tc>
          <w:tcPr>
            <w:tcW w:w="20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 xml:space="preserve">22 % </w:t>
            </w:r>
            <w:r>
              <w:rPr>
                <w:rFonts w:ascii="Times New Roman" w:cs="Times New Roman" w:eastAsia="Times New Roman" w:hAnsi="Times New Roman"/>
                <w:sz w:val="18"/>
                <w:szCs w:val="18"/>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25"/>
        </w:trPr>
        <w:tc>
          <w:tcPr>
            <w:tcW w:w="3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(2)</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35</w:t>
            </w:r>
          </w:p>
        </w:tc>
        <w:tc>
          <w:tcPr>
            <w:tcW w:w="1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25"/>
        </w:trPr>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64</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64</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(3)</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04"/>
        </w:trPr>
        <w:tc>
          <w:tcPr>
            <w:tcW w:w="39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(4)</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100 %</w:t>
            </w: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U.S. equity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100% seek to achieve excess returns relative to the Russell 3000 Index.</w:t>
      </w:r>
    </w:p>
    <w:p>
      <w:pPr>
        <w:spacing w:after="0" w:line="68" w:lineRule="exact"/>
        <w:rPr>
          <w:rFonts w:ascii="Times New Roman" w:cs="Times New Roman" w:eastAsia="Times New Roman" w:hAnsi="Times New Roman"/>
          <w:sz w:val="14"/>
          <w:szCs w:val="14"/>
          <w:i w:val="1"/>
          <w:iCs w:val="1"/>
          <w:color w:val="auto"/>
        </w:rPr>
      </w:pPr>
    </w:p>
    <w:p>
      <w:pPr>
        <w:ind w:left="660" w:hanging="328"/>
        <w:spacing w:after="0" w:line="291" w:lineRule="auto"/>
        <w:tabs>
          <w:tab w:leader="none" w:pos="648"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Non-U.S. equity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11% are allocated to international small cap investments, while another 21% are allocated to international emerging market investments. The remaining 68% of the Non-U.S. equity securities are allocated to investments seeking to achieve excess returns relative to an international market index.</w:t>
      </w:r>
    </w:p>
    <w:p>
      <w:pPr>
        <w:spacing w:after="0" w:line="1"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Debt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59% are allocated to long U.S. Treasury Strips, 41% are allocated to U.S. corporate bonds with an emphasis on long duration bonds rated A or better.</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Institutional money market fund.</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fair value measurements for the pension plan assets by major category and level of input as of:</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5" w:lineRule="exact"/>
              <w:rPr>
                <w:sz w:val="20"/>
                <w:szCs w:val="20"/>
                <w:color w:val="auto"/>
              </w:rPr>
            </w:pPr>
            <w:r>
              <w:rPr>
                <w:rFonts w:ascii="Times New Roman" w:cs="Times New Roman" w:eastAsia="Times New Roman" w:hAnsi="Times New Roman"/>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5"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5"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2"/>
                <w:szCs w:val="12"/>
                <w:color w:val="auto"/>
              </w:rPr>
            </w:pPr>
          </w:p>
        </w:tc>
        <w:tc>
          <w:tcPr>
            <w:tcW w:w="1120" w:type="dxa"/>
            <w:vAlign w:val="bottom"/>
          </w:tcPr>
          <w:p>
            <w:pPr>
              <w:jc w:val="right"/>
              <w:ind w:right="295"/>
              <w:spacing w:after="0" w:line="145" w:lineRule="exact"/>
              <w:rPr>
                <w:sz w:val="20"/>
                <w:szCs w:val="20"/>
                <w:color w:val="auto"/>
              </w:rPr>
            </w:pPr>
            <w:r>
              <w:rPr>
                <w:rFonts w:ascii="Times New Roman" w:cs="Times New Roman" w:eastAsia="Times New Roman" w:hAnsi="Times New Roman"/>
                <w:sz w:val="14"/>
                <w:szCs w:val="14"/>
                <w:color w:val="auto"/>
              </w:rPr>
              <w:t>Net Asset</w:t>
            </w:r>
          </w:p>
        </w:tc>
        <w:tc>
          <w:tcPr>
            <w:tcW w:w="0" w:type="dxa"/>
            <w:vAlign w:val="bottom"/>
          </w:tcPr>
          <w:p>
            <w:pPr>
              <w:spacing w:after="0"/>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Fair Value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Fair Value</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Value (NAV)</w:t>
            </w:r>
          </w:p>
        </w:tc>
        <w:tc>
          <w:tcPr>
            <w:tcW w:w="0" w:type="dxa"/>
            <w:vAlign w:val="bottom"/>
          </w:tcPr>
          <w:p>
            <w:pPr>
              <w:spacing w:after="0"/>
              <w:rPr>
                <w:sz w:val="1"/>
                <w:szCs w:val="1"/>
                <w:color w:val="auto"/>
              </w:rPr>
            </w:pPr>
          </w:p>
        </w:tc>
      </w:tr>
      <w:tr>
        <w:trPr>
          <w:trHeight w:val="211"/>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235,431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224,370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160,644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108,651</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51,993</w:t>
            </w:r>
          </w:p>
        </w:tc>
        <w:tc>
          <w:tcPr>
            <w:tcW w:w="0" w:type="dxa"/>
            <w:vAlign w:val="bottom"/>
          </w:tcPr>
          <w:p>
            <w:pPr>
              <w:spacing w:after="0"/>
              <w:rPr>
                <w:sz w:val="1"/>
                <w:szCs w:val="1"/>
                <w:color w:val="auto"/>
              </w:rPr>
            </w:pPr>
          </w:p>
        </w:tc>
      </w:tr>
      <w:tr>
        <w:trPr>
          <w:trHeight w:val="21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396,075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333,021</w:t>
            </w:r>
          </w:p>
        </w:tc>
        <w:tc>
          <w:tcPr>
            <w:tcW w:w="36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679,966</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679,966</w:t>
            </w: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15,557</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1,091,598</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348,578</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743,020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5" w:lineRule="exact"/>
              <w:rPr>
                <w:sz w:val="20"/>
                <w:szCs w:val="20"/>
                <w:color w:val="auto"/>
              </w:rPr>
            </w:pPr>
            <w:r>
              <w:rPr>
                <w:rFonts w:ascii="Times New Roman" w:cs="Times New Roman" w:eastAsia="Times New Roman" w:hAnsi="Times New Roman"/>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5"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5"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2"/>
                <w:szCs w:val="12"/>
                <w:color w:val="auto"/>
              </w:rPr>
            </w:pPr>
          </w:p>
        </w:tc>
        <w:tc>
          <w:tcPr>
            <w:tcW w:w="1120" w:type="dxa"/>
            <w:vAlign w:val="bottom"/>
          </w:tcPr>
          <w:p>
            <w:pPr>
              <w:jc w:val="right"/>
              <w:ind w:right="295"/>
              <w:spacing w:after="0" w:line="145" w:lineRule="exact"/>
              <w:rPr>
                <w:sz w:val="20"/>
                <w:szCs w:val="20"/>
                <w:color w:val="auto"/>
              </w:rPr>
            </w:pPr>
            <w:r>
              <w:rPr>
                <w:rFonts w:ascii="Times New Roman" w:cs="Times New Roman" w:eastAsia="Times New Roman" w:hAnsi="Times New Roman"/>
                <w:sz w:val="14"/>
                <w:szCs w:val="14"/>
                <w:color w:val="auto"/>
              </w:rPr>
              <w:t>Net Asset</w:t>
            </w:r>
          </w:p>
        </w:tc>
        <w:tc>
          <w:tcPr>
            <w:tcW w:w="0" w:type="dxa"/>
            <w:vAlign w:val="bottom"/>
          </w:tcPr>
          <w:p>
            <w:pPr>
              <w:spacing w:after="0"/>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Fair Value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Fair Value</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Value (NAV)</w:t>
            </w:r>
          </w:p>
        </w:tc>
        <w:tc>
          <w:tcPr>
            <w:tcW w:w="0" w:type="dxa"/>
            <w:vAlign w:val="bottom"/>
          </w:tcPr>
          <w:p>
            <w:pPr>
              <w:spacing w:after="0"/>
              <w:rPr>
                <w:sz w:val="1"/>
                <w:szCs w:val="1"/>
                <w:color w:val="auto"/>
              </w:rPr>
            </w:pPr>
          </w:p>
        </w:tc>
      </w:tr>
      <w:tr>
        <w:trPr>
          <w:trHeight w:val="211"/>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214,942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204,588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142,401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98,115</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1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357,343</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302,703</w:t>
            </w:r>
          </w:p>
        </w:tc>
        <w:tc>
          <w:tcPr>
            <w:tcW w:w="36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54,640</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628,961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628,961</w:t>
            </w: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15,745</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1,002,049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318,448</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683,601</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Estimates of fair values of the pension plan assets are obtained primarily from the trustee and custodian of our pension plan. Our Level 1 category includes a money market mutual fund, an exchange traded fund, and a separate account for which the fair value is determined using an exchange traded price provided by the trustee and custodian. Commingled pools are valued based on NAV per share or unit as a practical expedient as reported by the fund manager, multiplied by the number of shares or units held as of the measurement date. Accordingly, these NAV-based investments have been excluded from the fair value hierarchy. These investments have minimal redemption notice periods and are redeemable daily at the NAV, less transaction fees, without significant restrictions. There are no significant unfunded commitments related to these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future benefit payments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amounts of benefits expected to be paid over the next 10 years from our pension plans as of:</w:t>
      </w:r>
    </w:p>
    <w:p>
      <w:pPr>
        <w:spacing w:after="0" w:line="362" w:lineRule="exact"/>
        <w:rPr>
          <w:sz w:val="20"/>
          <w:szCs w:val="20"/>
          <w:color w:val="auto"/>
        </w:rPr>
      </w:pPr>
    </w:p>
    <w:tbl>
      <w:tblPr>
        <w:tblLayout w:type="fixed"/>
        <w:tblInd w:w="3620" w:type="dxa"/>
        <w:tblCellMar>
          <w:top w:w="0" w:type="dxa"/>
          <w:left w:w="0" w:type="dxa"/>
          <w:bottom w:w="0" w:type="dxa"/>
          <w:right w:w="0" w:type="dxa"/>
        </w:tblCellMar>
      </w:tblP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5"/>
        </w:trPr>
        <w:tc>
          <w:tcPr>
            <w:tcW w:w="19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auto"/>
                <w:w w:val="99"/>
              </w:rPr>
              <w:t>Year ending</w:t>
            </w:r>
          </w:p>
        </w:tc>
        <w:tc>
          <w:tcPr>
            <w:tcW w:w="6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6"/>
                <w:szCs w:val="16"/>
                <w:color w:val="auto"/>
              </w:rPr>
              <w:t>Expected future</w:t>
            </w:r>
          </w:p>
        </w:tc>
      </w:tr>
      <w:tr>
        <w:trPr>
          <w:trHeight w:val="213"/>
        </w:trPr>
        <w:tc>
          <w:tcPr>
            <w:tcW w:w="19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6"/>
                <w:szCs w:val="16"/>
                <w:color w:val="auto"/>
              </w:rPr>
              <w:t>December 31,</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benefit payments</w:t>
            </w:r>
          </w:p>
        </w:tc>
      </w:tr>
      <w:tr>
        <w:trPr>
          <w:trHeight w:val="221"/>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2026</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44,346</w:t>
            </w:r>
          </w:p>
        </w:tc>
      </w:tr>
      <w:tr>
        <w:trPr>
          <w:trHeight w:val="229"/>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2027</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47,555</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2028</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2029</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54,999</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2030</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w:t>
            </w:r>
          </w:p>
        </w:tc>
      </w:tr>
      <w:tr>
        <w:trPr>
          <w:trHeight w:val="234"/>
        </w:trPr>
        <w:tc>
          <w:tcPr>
            <w:tcW w:w="190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2031 - 2035</w:t>
            </w:r>
          </w:p>
        </w:tc>
        <w:tc>
          <w:tcPr>
            <w:tcW w:w="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savings plan</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All full-time and regular part-time employees are eligible to participate in a qualified 401(k) savings plan. We match 100% of the participant contributions up to 3% of compensation and 50% of participant contributions over 3% and up to 5% of compensation. Matching contributions paid to the plan were $21.3 million in 2025, $21.0 million in 2024, and $18.4 million in 2023. The Exchange and its insurance subsidiaries reimbursed us for approximately 61% of the matching contributions.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0.1 million shares of our Class A common stock at December 31, 2025 and 2024.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Incentive and Deferred Compensation Plans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two incentive plans and two deferred compensation plans for our executives, senior vice presidents and other selected officers, and two deferred compensation plans for our outside directors. Executives, senior vice presidents and other selected officers and key employees are also eligible to receive awards under an equity compensation plan, subject to the discretion of the Executive Compensation and Development Committee of our Board of Directors ("ECDC") or the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plan</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annual incentive plan ("AIP") is a bonus plan that pays cash to our executives, senior vice presidents and other selected officers annually. Participants can elect to defer up to 100% of the award under either the deferred compensation plan or the incentive compensation deferral plan. If the funding qualifier is met, plan participants are eligible to receive the award based upon attainment of corporate and individual performance measures, which can include various financial measures. The measures are established at the beginning of each year by the ECDC, with ultimate approval by the full Board of Directors. The corporate performance measures included the reported growth in direct written premium and policies in force, and statutory combined ratio of the Exchange and its property and casualty subsidiaries for all periods presented.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plan</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Our long-term incentive plan ("LTIP") is an incentive plan designed to reward executives, senior vice presidents and other selected officers who can have a significant impact on our long-term performance, and to further align the interests of such employees with those of our shareholders. Participants can elect to defer up to 100% of the award under the incentive compensation deferral plan.</w:t>
      </w:r>
    </w:p>
    <w:p>
      <w:pPr>
        <w:spacing w:after="0" w:line="2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LTIP permits grants of performance-vesting and time-vesting awards. Performance-vesting awards can take the form of performance shares or units, or phantom performance shares, based on the level of achievement of performance goals as defined by us. Time-vesting awards can take the form of restricted shares or units, or phantom shares, including payment of dividends or dividend equivalent credits on the time-vesting awards, based on continued employment for a specified restricted period. Performance measures and a peer group of property and casualty companies to be used for comparison are determined by the ECDC for performance-vesting awards. The performance measures for all periods presented were the reported growth in direct written premium, statutory combined ratio, and return on invested assets of the Exchange and its property and casualty subsidiaries over a three-year performance period as compared to the results of the peer group over the same period. Because the performance component of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 The type of award and form of payment, either in shares of our Class A common stock or cash, are determined by the ECDC at the beginning of each performance period, which is generally a three-year period. For the 2023-2025 performance period, the LTIP plan provides grants of performance-vesting awards. For the 2024-2026 and 2025-2027 performance periods, the LTIP plans provide grants of both a 75% performance-vesting award and a 25% time-vesting award. The plan awards for all three performance periods will be paid in cash.</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authorized for grant under the LTIP is 1.5 million shares. We do not issue new shares of common stock to settle stock awards. We purchase our Class A common stock on the open market to settle stock awards under the plan. LTIP awards are considered vested at the end of each applicable performance period. The fair value of LTIP awards granting shares is measured at each reporting date at the current share price of our Class A common stock, and the fair value of LTIP awards granting units is measured at each reporting date based on the number of units earned. A liability is recorded and compensation expense is recognized ratably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fully vested plan awards for the related performance periods at December 31</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9"/>
          <w:szCs w:val="9"/>
          <w:color w:val="auto"/>
        </w:rPr>
        <w:t>(1)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9"/>
                <w:szCs w:val="9"/>
                <w:color w:val="auto"/>
              </w:rPr>
              <w:t>(2)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LTIP performance period</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2023-2025</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2022-2024</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2021-2023</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2020-2022</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Fully vested plan award fair value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r>
    </w:tbl>
    <w:p>
      <w:pPr>
        <w:spacing w:after="0" w:line="70"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Distributions to participants are made in June of the year following the close of the performance period.</w:t>
      </w:r>
    </w:p>
    <w:p>
      <w:pPr>
        <w:spacing w:after="0" w:line="19" w:lineRule="exact"/>
        <w:rPr>
          <w:rFonts w:ascii="Times New Roman" w:cs="Times New Roman" w:eastAsia="Times New Roman" w:hAnsi="Times New Roman"/>
          <w:sz w:val="14"/>
          <w:szCs w:val="14"/>
          <w:i w:val="1"/>
          <w:iCs w:val="1"/>
          <w:color w:val="auto"/>
        </w:rPr>
      </w:pPr>
    </w:p>
    <w:p>
      <w:pPr>
        <w:ind w:left="660" w:right="320" w:hanging="328"/>
        <w:spacing w:after="0" w:line="278" w:lineRule="auto"/>
        <w:tabs>
          <w:tab w:leader="none" w:pos="648"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2025 award is estimated based upon the peer group information as of September 30, 2025. Distributions will be made in 2026 once peer group financial information becomes available.</w:t>
      </w:r>
    </w:p>
    <w:p>
      <w:pPr>
        <w:spacing w:after="0" w:line="200" w:lineRule="exact"/>
        <w:rPr>
          <w:sz w:val="20"/>
          <w:szCs w:val="20"/>
          <w:color w:val="auto"/>
        </w:rPr>
      </w:pP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compensation cost charged to operations related to the LTIP awards, net of forfeitures, and the related tax benefits recognized in income, for the years ended December 31: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cost</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1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1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bl>
    <w:p>
      <w:pPr>
        <w:spacing w:after="0" w:line="3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Exchange and its insurance subsidiaries reimburse us for compensation costs of employees performing administrative services. Earned compensation costs are allocated to these entities and reimbursed to us in cash once the payout is made. The Exchange and its insurance subsidiaries reimbursed us for approximately 36%, 39%, and 35% of the awards paid under these plans in 2025, 2024, and 2023, respectively. At December 31, 2025, there was $7.9 million of total unrecognized compensation cost for non-vested LTIP awards related to open performance periods, which is expected to be recognized over a period of two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deferred compensation plan allows executives, senior vice presidents and other selected officers to elect to defer receipt of a portion of their compensation and AIP cash awards until a later date. Employer 401(k) matching contributions that are in excess of the annual contribution or compensation limits are also credited to the participant accounts for those who elected to defer receipt of some portion of their base salary. Participants select hypothetical investment funds for their deferrals, which are credited with the hypothetical returns generated.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Incentive compensation deferral plan</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We have an unfunded, non-qualified incentive compensation deferral plan for participants of the AIP and LTIP. Deferred awards will be credited to a deferred stock account as credits denominated in shares of our Class A common stock until retirement or other separation from service. Participants are 100% vested at date of deferral. We do not issue new shares of common stock to participants. We purchase shares of our Class A common stock in the open market to satisfy these awards. The shares are then held in a rabbi trust, which was established to hold the shares earned under both the incentive compensation deferral plan and the deferred stock compensation plan for outside directors. Tax withholdings on rabbi trust distributions are paid from funds outside the trust. As a result, shares withheld from distributions to satisfy those withholdings reduce the number of shares that must be purchased in the future to fund the rabbi trust for both plans. The rabbi trust is classified and accounted for as equity in a manner consistent with the accounting for treasury stock. Dividends received on the shares in the rabbi trust are used to purchase additional shares. Vested share credits will be paid to participants from the rabbi trust upon separation from service in approximate equal annual installments of Class A shares for a period of three years.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related to shares purchased by the rabbi trust to satisfy the liability of awards deferred under the plan, and dividend equivalent credits on rabbi trust shares, for the years ended December 31: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LTIP performance period</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2022-2024</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2021-2023</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2020-2022</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AIP performance period</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purchased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plans for outside directors</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have a deferred compensation plan for our outside directors that allows participants to defer receipt of a portion of their annual compensation until a later date. Participants select hypothetical investment funds for their deferrals, which are credited with the hypothetical returns generated.</w:t>
      </w:r>
    </w:p>
    <w:p>
      <w:pPr>
        <w:spacing w:after="0" w:line="2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have a deferred stock compensation plan for our outside directors to further align the interests of directors with those of our shareholders that provides for payment of a portion of the directors' annual compensation in shares of our Class A common stock. Each director vests in the grant 25% every three months over the course of a year. Dividends paid by us are credited to each director's account and vest immediately. We do not issue new shares of common stock to directors. We purchase shares of our Class A common stock in the open market to satisfy these awards, which are then held in the rabbi trust. The plan includes a maximum of 250,000 shares that may be issued under the plan and no shares may be credited later than ten years from the date our shareholders last approved the plan. The shares are distributed to the outside director from the rabbi trust upon ending board service.</w:t>
      </w:r>
    </w:p>
    <w:p>
      <w:pPr>
        <w:spacing w:after="0" w:line="2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related to shares purchased by the rabbi trust to satisfy the liability of the plan and dividend equivalent credits on rabbi trust shares, and the total compensation cost charged to operations, for the years ended December 31: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283.14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405.60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purchased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cost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beginning and ending balances of our deferred executive compensation liability as of December 31:</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3"/>
        </w:trPr>
        <w:tc>
          <w:tcPr>
            <w:tcW w:w="8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executive compensation, beginning of the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31,918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w:t>
            </w: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5,571</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r>
      <w:tr>
        <w:trPr>
          <w:trHeight w:val="234"/>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match and hypothetical earnings on deferred compensation</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4,680</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plan awards and 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9,231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15,040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w:t>
            </w: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plan awards paid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18"/>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deferred</w:t>
            </w: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2,414</w:t>
            </w:r>
          </w:p>
        </w:tc>
        <w:tc>
          <w:tcPr>
            <w:tcW w:w="2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from the deferred compensation plans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9"/>
                <w:szCs w:val="9"/>
                <w:color w:val="auto"/>
              </w:rPr>
              <w:t>(1)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rabbi trust for deferred stock compensation plan for outside directors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4"/>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Funding of rabbi trust for incentive compensation deferral plan </w:t>
            </w:r>
            <w:r>
              <w:rPr>
                <w:rFonts w:ascii="Times New Roman" w:cs="Times New Roman" w:eastAsia="Times New Roman" w:hAnsi="Times New Roman"/>
                <w:sz w:val="9"/>
                <w:szCs w:val="9"/>
                <w:color w:val="auto"/>
              </w:rPr>
              <w:t>(2)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executive compensation, end of the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31,450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34,595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31,918</w:t>
            </w: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Forfeitures are the result of plan participants who separated from service and are recognized in the year they occur.</w:t>
      </w:r>
    </w:p>
    <w:p>
      <w:pPr>
        <w:spacing w:after="0" w:line="68" w:lineRule="exact"/>
        <w:rPr>
          <w:rFonts w:ascii="Times New Roman" w:cs="Times New Roman" w:eastAsia="Times New Roman" w:hAnsi="Times New Roman"/>
          <w:sz w:val="14"/>
          <w:szCs w:val="14"/>
          <w:i w:val="1"/>
          <w:iCs w:val="1"/>
          <w:color w:val="auto"/>
        </w:rPr>
      </w:pPr>
    </w:p>
    <w:p>
      <w:pPr>
        <w:ind w:left="660" w:right="60" w:hanging="328"/>
        <w:spacing w:after="0" w:line="305" w:lineRule="auto"/>
        <w:tabs>
          <w:tab w:leader="none" w:pos="648"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2024, and 2023, funding includes $0.4 million, $1.7 million and $0.9 million, respectively, representing shares held back to satisfy tax withholding on rabbi trust distributions that reduce funding requirements for performance award deferrals.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equity compensation plan ("ECP") is designed to reward executives, senior vice presidents and other selected officers and key employees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ECP allows for the grant of up to 250,000 shares of our Class A common stock, and no individual may receive more than 10,000 shares in any calendar year. We do not issue new shares of common stock to satisfy plan awards. Share awards are settled through the purchase of our Class A common stock on the open market. Restricted share awards may be entitled to receive dividends payable during the performance period, or, if subject to performance goals, to receive dividend equivalents payable upon vesting. Dividend equivalents may provide for the crediting of interest or hypothetical investment experience, payable after expiration of the performance period. Vesting conditions are determined at the time the award is granted and may include continuation of employment for a specific period, satisfaction of performance goals within a defined performance period, and the satisfaction of any other terms and conditions as determined to be appropriate.</w:t>
      </w:r>
    </w:p>
    <w:p>
      <w:pPr>
        <w:spacing w:after="0" w:line="2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related to shares purchased to satisfy ECP plan liabilities and the total compensation cost charged to operations, for the years ended December 31:</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418.26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252.32</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purchased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compensation cost </w:t>
            </w:r>
            <w:r>
              <w:rPr>
                <w:rFonts w:ascii="Times New Roman" w:cs="Times New Roman" w:eastAsia="Times New Roman" w:hAnsi="Times New Roman"/>
                <w:sz w:val="9"/>
                <w:szCs w:val="9"/>
                <w:color w:val="auto"/>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24"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 shares were required to be purchased in the open market. The plan liability was satisfied in cash totaling $3.2 million.</w:t>
      </w:r>
    </w:p>
    <w:p>
      <w:pPr>
        <w:spacing w:after="0" w:line="55"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fluctuations in all years are due to changes in number of participants and/or our stock price.</w:t>
      </w:r>
    </w:p>
    <w:p>
      <w:pPr>
        <w:spacing w:after="0" w:line="3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Exchange and its insurance subsidiaries reimburse us for earned compensation costs of employees performing administrative services, which can fluctuate each year based on the plan participants. The Exchange and its insurance subsidiaries reimbursed us for approximately 32%, 35%, and 35% of the awards paid in 2025, 2024, and 2023 respectively. Unrecognized compensation cost at December 31, 2025 of $0.5 million is expected to be recognized in 2026.</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5"/>
        </w:trPr>
        <w:tc>
          <w:tcPr>
            <w:tcW w:w="5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131,645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152,926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116,874</w:t>
            </w:r>
          </w:p>
        </w:tc>
        <w:tc>
          <w:tcPr>
            <w:tcW w:w="0" w:type="dxa"/>
            <w:vAlign w:val="bottom"/>
          </w:tcPr>
          <w:p>
            <w:pPr>
              <w:spacing w:after="0"/>
              <w:rPr>
                <w:sz w:val="1"/>
                <w:szCs w:val="1"/>
                <w:color w:val="auto"/>
              </w:rPr>
            </w:pPr>
          </w:p>
        </w:tc>
      </w:tr>
      <w:tr>
        <w:trPr>
          <w:trHeight w:val="22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19,547</w:t>
            </w:r>
          </w:p>
        </w:tc>
        <w:tc>
          <w:tcPr>
            <w:tcW w:w="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4,026</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151,268</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156,965</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with amounts determined by applying the statutory federal income tax rate to pre-tax income, is as follows for the years ended December 31:</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8"/>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21"/>
                <w:szCs w:val="21"/>
                <w:color w:val="auto"/>
              </w:rPr>
            </w:pPr>
          </w:p>
        </w:tc>
      </w:tr>
      <w:tr>
        <w:trPr>
          <w:trHeight w:val="234"/>
        </w:trPr>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 at statutory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149,227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159,029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118,007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80"/>
        </w:trPr>
        <w:tc>
          <w:tcPr>
            <w:tcW w:w="4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8"/>
        </w:trPr>
        <w:tc>
          <w:tcPr>
            <w:tcW w:w="4160" w:type="dxa"/>
            <w:vAlign w:val="bottom"/>
          </w:tcPr>
          <w:p>
            <w:pPr>
              <w:spacing w:after="0" w:line="239" w:lineRule="exact"/>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(1,432)</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(2,000)</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(1,300)</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2,703</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569</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651</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710</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(643)</w:t>
            </w: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(1,485)</w:t>
            </w: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151,268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156,965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115,875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i w:val="1"/>
          <w:iCs w:val="1"/>
          <w:color w:val="auto"/>
        </w:rPr>
        <w:t>(1)</w:t>
        <w:tab/>
        <w:t>State taxes in Pennsylvania made up the majority (greater than 50 percent) of the tax effect in this category.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deferred tax assets and liabilities, are as follows as of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5"/>
        </w:trPr>
        <w:tc>
          <w:tcPr>
            <w:tcW w:w="8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employee benefits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18,213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management fee returned on cancelled policies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7,322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Charitable contributions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 allowance</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34"/>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4,958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43,818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0" w:type="dxa"/>
            <w:vAlign w:val="bottom"/>
          </w:tcPr>
          <w:p>
            <w:pPr>
              <w:spacing w:after="0"/>
              <w:rPr>
                <w:sz w:val="1"/>
                <w:szCs w:val="1"/>
                <w:color w:val="auto"/>
              </w:rPr>
            </w:pPr>
          </w:p>
        </w:tc>
      </w:tr>
      <w:tr>
        <w:trPr>
          <w:trHeight w:val="205"/>
        </w:trPr>
        <w:tc>
          <w:tcPr>
            <w:tcW w:w="8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47,017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13,919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4"/>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3,632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68,606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45,065</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determine that any of our deferred tax assets will not result in future tax benefits, a valuation allowance must be established for the portion of the assets that are not expected to be realized. We had no valuation allowance recorded at December 31, 2025 or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do not have any unrecognized tax benefit that, if recognized, would affect our effective tax rate as of December 31, 2025 and 2024. Any interest expense related to uncertain tax positions would be recognized in income tax expense.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New tax legislation, commonly referred to as the One Big Beautiful Bill Act ("OBBBA"), was signed into law on July 4, 2025. The OBBBA included changes to the timing of tax deductions related to depreciation and software development expenditures in 2025. The legislation also introduced a 1% taxable income floor for charitable deductions effective January 1, 2026. The effects of the OBBBA are reflected in our income tax provisions and effective tax rate for the year ended December 31, 2025.</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Federal income taxes paid were $106.5 million, $163.0 million, and $104.0 million in 2025, 2024, and 2023, respectively. Federal income tax refunds received were $2.6 million and $3.1 million in 2025 and 2024, respectively. State income taxes paid, net of state income tax refunds received, were $0.1 million in 2025.</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Tax years ending December 31, 2024, 2023 and 2022 remain open to IRS examination. We are not currently under IRS audit, nor have we been notified of an upcoming IRS audit.</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and B common stock</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2025, 2024 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effective January 1, 1999 allowing the repurchase of our outstanding Class A nonvoting common stock. In 2011, our Board of Directors approved a continuation of the current stock repurchase program for a total of $150 million, with no time limitation. Treasury shares are recorded in the Consolidated Statements of Financial Position at total cost based upon trade date. There were no shares repurchased under this program during 2025, 2024 or 2023. We had approximately $17.8 million of repurchase authority remaining under this program at December 31, 2025, based upon trade date.</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made stock repurchases in 2025, 2024, and 2023 outside of our publicly announced share repurchase program related to stock-based awards. See Note 11, "Incentive and Deferred Compensation Plans" for additional information.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Changes in accumulated other comprehensive income ("AOCI") (loss) by component, including amounts reclassified to other comprehensive income ("OCI") (loss) and the related line item in the Consolidated Statements of Operations where net income is presented, are as follows for the year ended December 31:</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5"/>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(52,591)</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20,557</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investment (gains) losses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23"/>
        </w:trPr>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35,169</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27,784</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p>
      <w:pPr>
        <w:sectPr>
          <w:pgSz w:w="11900" w:h="16838" w:orient="portrait"/>
          <w:cols w:equalWidth="0" w:num="1">
            <w:col w:w="11220"/>
          </w:cols>
          <w:pgMar w:left="320" w:top="118" w:right="359" w:bottom="1440"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AOCI (loss), beginning of year</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OCI (loss) before reclassifications</w:t>
      </w:r>
    </w:p>
    <w:p>
      <w:pPr>
        <w:ind w:left="160"/>
        <w:spacing w:after="0" w:line="233" w:lineRule="auto"/>
        <w:rPr>
          <w:sz w:val="20"/>
          <w:szCs w:val="20"/>
          <w:color w:val="auto"/>
        </w:rPr>
      </w:pPr>
      <w:r>
        <w:rPr>
          <w:rFonts w:ascii="Times New Roman" w:cs="Times New Roman" w:eastAsia="Times New Roman" w:hAnsi="Times New Roman"/>
          <w:sz w:val="14"/>
          <w:szCs w:val="14"/>
          <w:color w:val="auto"/>
        </w:rPr>
        <w:t>Amortization of prior service costs</w:t>
      </w:r>
    </w:p>
    <w:p>
      <w:pPr>
        <w:ind w:left="160"/>
        <w:spacing w:after="0"/>
        <w:rPr>
          <w:sz w:val="20"/>
          <w:szCs w:val="20"/>
          <w:color w:val="auto"/>
        </w:rPr>
      </w:pPr>
      <w:r>
        <w:rPr>
          <w:rFonts w:ascii="Times New Roman" w:cs="Times New Roman" w:eastAsia="Times New Roman" w:hAnsi="Times New Roman"/>
          <w:sz w:val="9"/>
          <w:szCs w:val="9"/>
          <w:color w:val="auto"/>
        </w:rPr>
        <w:t>(1)</w:t>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Amortization of net actuarial gain</w:t>
      </w:r>
    </w:p>
    <w:p>
      <w:pPr>
        <w:ind w:left="160"/>
        <w:spacing w:after="0"/>
        <w:rPr>
          <w:sz w:val="20"/>
          <w:szCs w:val="20"/>
          <w:color w:val="auto"/>
        </w:rPr>
      </w:pPr>
      <w:r>
        <w:rPr>
          <w:rFonts w:ascii="Times New Roman" w:cs="Times New Roman" w:eastAsia="Times New Roman" w:hAnsi="Times New Roman"/>
          <w:sz w:val="9"/>
          <w:szCs w:val="9"/>
          <w:color w:val="auto"/>
        </w:rPr>
        <w:t>(1)</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Settlement gain </w:t>
      </w:r>
      <w:r>
        <w:rPr>
          <w:rFonts w:ascii="Times New Roman" w:cs="Times New Roman" w:eastAsia="Times New Roman" w:hAnsi="Times New Roman"/>
          <w:sz w:val="18"/>
          <w:szCs w:val="18"/>
          <w:color w:val="auto"/>
          <w:vertAlign w:val="superscript"/>
        </w:rPr>
        <w:t>(1)</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OCI (loss)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AOCI (loss), end of year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57,186</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45,177</w:t>
            </w:r>
          </w:p>
        </w:tc>
      </w:tr>
      <w:tr>
        <w:trPr>
          <w:trHeight w:val="203"/>
        </w:trPr>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(45,655)</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(22,801)</w:t>
            </w:r>
          </w:p>
        </w:tc>
      </w:tr>
      <w:tr>
        <w:trPr>
          <w:trHeight w:val="297"/>
        </w:trPr>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r>
      <w:tr>
        <w:trPr>
          <w:trHeight w:val="297"/>
        </w:trPr>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(15,331)</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(12,111)</w:t>
            </w:r>
          </w:p>
        </w:tc>
      </w:tr>
      <w:tr>
        <w:trPr>
          <w:trHeight w:val="203"/>
        </w:trPr>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(29,557)</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(52,241)</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(42,747)</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(33,770)</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(67,359)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(53,213)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(37,802)</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11,407</w:t>
            </w:r>
          </w:p>
        </w:tc>
      </w:tr>
      <w:tr>
        <w:trPr>
          <w:trHeight w:val="27"/>
        </w:trPr>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sectPr>
          <w:pgSz w:w="11900" w:h="16838" w:orient="portrait"/>
          <w:cols w:equalWidth="0" w:num="2">
            <w:col w:w="2160" w:space="160"/>
            <w:col w:w="8900"/>
          </w:cols>
          <w:pgMar w:left="320" w:top="118" w:right="359"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year</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(60,244)</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(1,971)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securities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35,169</w:t>
            </w:r>
          </w:p>
        </w:tc>
        <w:tc>
          <w:tcPr>
            <w:tcW w:w="300" w:type="dxa"/>
            <w:vAlign w:val="bottom"/>
          </w:tcPr>
          <w:p>
            <w:pPr>
              <w:spacing w:after="0"/>
              <w:rPr>
                <w:sz w:val="17"/>
                <w:szCs w:val="17"/>
                <w:color w:val="auto"/>
              </w:rPr>
            </w:pPr>
          </w:p>
        </w:tc>
        <w:tc>
          <w:tcPr>
            <w:tcW w:w="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7,385</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27,784</w:t>
            </w:r>
          </w:p>
        </w:tc>
        <w:tc>
          <w:tcPr>
            <w:tcW w:w="0" w:type="dxa"/>
            <w:vAlign w:val="bottom"/>
          </w:tcPr>
          <w:p>
            <w:pPr>
              <w:spacing w:after="0"/>
              <w:rPr>
                <w:sz w:val="1"/>
                <w:szCs w:val="1"/>
                <w:color w:val="auto"/>
              </w:rPr>
            </w:pPr>
          </w:p>
        </w:tc>
      </w:tr>
      <w:tr>
        <w:trPr>
          <w:trHeight w:val="158"/>
        </w:trPr>
        <w:tc>
          <w:tcPr>
            <w:tcW w:w="228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w:t>
            </w: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(29,557)</w:t>
            </w: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(52,241)</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(41,270)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(42,747)</w:t>
            </w:r>
          </w:p>
        </w:tc>
        <w:tc>
          <w:tcPr>
            <w:tcW w:w="300" w:type="dxa"/>
            <w:vAlign w:val="bottom"/>
          </w:tcPr>
          <w:p>
            <w:pPr>
              <w:spacing w:after="0"/>
              <w:rPr>
                <w:sz w:val="13"/>
                <w:szCs w:val="13"/>
                <w:color w:val="auto"/>
              </w:rPr>
            </w:pPr>
          </w:p>
        </w:tc>
        <w:tc>
          <w:tcPr>
            <w:tcW w:w="6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(8,977)</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(33,770)</w:t>
            </w:r>
          </w:p>
        </w:tc>
        <w:tc>
          <w:tcPr>
            <w:tcW w:w="0" w:type="dxa"/>
            <w:vAlign w:val="bottom"/>
          </w:tcPr>
          <w:p>
            <w:pPr>
              <w:spacing w:after="0"/>
              <w:rPr>
                <w:sz w:val="1"/>
                <w:szCs w:val="1"/>
                <w:color w:val="auto"/>
              </w:rPr>
            </w:pPr>
          </w:p>
        </w:tc>
      </w:tr>
      <w:tr>
        <w:trPr>
          <w:trHeight w:val="196"/>
        </w:trPr>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plans</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(5,607)</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(43,281)</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(1,592)</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year</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(65,851)</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(13,830)</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(60,244)</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(16,963)</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(3,563)</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520" w:hanging="310"/>
        <w:spacing w:after="0"/>
        <w:tabs>
          <w:tab w:leader="none" w:pos="52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components of AOCI (loss) are included in the computation of net periodic pension cost (income). See Note 10, "Postretirement Benefits", for additional information.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fee</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 management fee is retained for services we provide under the subscriber's agreement with subscribers at the Exchange. The fee is a percentage of direct and affiliated assumed premiums written by the Exchange. This percentage rate is set at least annually by our Board of Directors but cannot exceed 25%. The management fee rate charged the Exchange was 25% in 2025, 2024, and 2023. The Board of Directors elected to maintain the fee at 25% beginning January 1, 2026.</w:t>
      </w: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is no provision in the subscriber's agreement for termination of our appointment as attorney-in-fact by the subscribers at the Exchange and the appointment is not affected by a policyholder's disability or incapacity.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holding company system</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The Exchange has the following wholly owned property and casualty insurance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certain transactions affecting the members within a holding company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Shared facilities</w:t>
      </w:r>
    </w:p>
    <w:p>
      <w:pPr>
        <w:spacing w:after="0" w:line="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Exchange and its insurance subsidiaries have a service agreement with Indemnity to use space in Indemnity-owned properties. The amount charged is based on rental rates of like property in Erie, Pennsylvania and the square footage occupied. Income earned from the Exchange and its insurance subsidiaries for the use of space totaled $3.0 million, $2.9 million, and $2.6 million in 2025, 2024, and 2023, respectively. Operating expenses for Indemnity-owned properties under this service agreement include utilities, cleaning, repairs, real estate taxes, property insurance, and leasehold improvements. These expenses totaled $25.2 million, $21.9 million, and $20.0 million in 2025, 2024, and 2023, respectively. The Exchange and its insurance subsidiaries reimbursed us for operating expenses of shared facilities used to perform administrative services, which are allocated based upon square footage occupied. Reimbursements related to the use of this space totaled $6.9 million, $5.9 million, and $5.2 million in 2025,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loans receivable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2023, we issued two senior secured loans totaling $13.6 million to fund a real estate development project supporting revitalization efforts in our community. Ownership in the project consists of related party investors, including affiliate entities and two Indemnity directors, as well as other unrelated investors. The first loan issued for $4.6 million accrues paid-in-kind interest at a fixed rate of 5% and matures December 15, 2027, with both principal and accrued interest due at maturity. The second loan issued for $9.0 million accrues paid-in-kind interest at a fixed rate of 5% and matures December 15, 2033, with both principal and accrued interest due at maturity. The loans, net of current expected credit loss allowances totaling $8.8 million and $8.0 million as of December 31, 2025 and 2024, respectively, are reported in "Other assets, net" in our Consolidated Statements of Financial Position, with changes in credit loss allowances reported in "Net impairment losses recognized in earnings" in our Consolidated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Erie Insurance Foundation</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2025, we made a $100 million charitable contribution to the Erie Insurance Foundation (the "Foundation"). The Foundation is a separate entity from Indemnity. It is a tax-exempt private charitable foundation formed to create long-term sustainability for charitable contributions and grantmaking. Certain of Indemnity's directors and employees serve as directors and officers of the Foundation. The $100 million contribution is reported as non-operating expense in the Consolidated Statements of Operations.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Concentrations of Credit Risk</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$735.6 million, or 21.9% of total assets, at December 31, 2025, and $707.1 million, or 24.5% of total assets, at December 31, 2024. Both periods include a current expected credit loss allowance of $0.7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an agreement with a bank for an agent loan participation program. The maximum amount of loans to be funded through this program is $150 million. We have committed to fund a minimum of 30% of each loan executed through this program. As of December 31, 2025, outstanding loans executed under this agreement totaled $146.6 million, of which our portion of the loans is $55.6 million. Additionally, we have agreed to guarantee a portion of the funding provided by the other participants in the program in the event of default. As of December 31, 2025, our maximum potential amount of future payments on the guaranteed portion is $17.7 million. All loan payments under the participation program are current as of December 31, 2025.</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have contingent obligations for guarantees related to certain real estate development projects supporting revitalization efforts in our community. As of December 31, 2025, our maximum potential obligation related to the guarantees is $6.4 million.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 We believe that our accruals for legal proceedings are appropriate and, individually and in the aggregate, are not expected to be material to our consolidated financial condition, results of operations, or cash flows.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consolidated financial condition, results of operations, or cash flows.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Supplementary Data on Cash Flows</w:t>
      </w:r>
    </w:p>
    <w:p>
      <w:pPr>
        <w:spacing w:after="0" w:line="25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A reconciliation of net income to net cash provided by operating activities as presented in the Consolidated Statements of Cash Flows is as follows for the years ended December 31: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421"/>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559,335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600,314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446,061</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69,450</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47,415</w:t>
            </w:r>
          </w:p>
        </w:tc>
      </w:tr>
      <w:tr>
        <w:trPr>
          <w:trHeight w:val="230"/>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19,547</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amortization expense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7,333</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and impairments on investments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w:t>
            </w:r>
          </w:p>
        </w:tc>
      </w:tr>
      <w:tr>
        <w:trPr>
          <w:trHeight w:val="230"/>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and impairments of fixed assets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5,741</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r>
      <w:tr>
        <w:trPr>
          <w:trHeight w:val="23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Receipt of donated equipment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deferred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receivables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(100,401)</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investment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pension asset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(101,250)</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commissions payable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17,011</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53,681</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accrued agent incentive compensation</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57,102</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r>
      <w:tr>
        <w:trPr>
          <w:trHeight w:val="23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contract liability</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6,904</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686,657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611,249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381,205</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items were identified in this period subsequent to the financial statement date that required adjustment or additional disclosure, other than the disclosure made in Note 10, "Postretirement Benefits" regarding the January 2026 pension contribution.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9A.</w:t>
        <w:tab/>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2025. Based upon the foregoing, our Chief Executive Officer and Chief Financial Officer concluded that our disclosure controls and procedures were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 Based upon our evaluation under the framework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in 2013, management has concluded that Erie Indemnity Company's internal control over financial reporting was effective as of December 31, 2025.</w:t>
      </w:r>
    </w:p>
    <w:p>
      <w:pPr>
        <w:sectPr>
          <w:pgSz w:w="11900" w:h="16838" w:orient="portrait"/>
          <w:cols w:equalWidth="0" w:num="1">
            <w:col w:w="11220"/>
          </w:cols>
          <w:pgMar w:left="320" w:top="118" w:right="359" w:bottom="1440" w:gutter="0" w:footer="0" w:header="0"/>
        </w:sect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005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Jorie L. Novacek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834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Jorie L. Novacek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Controller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ectPr>
          <w:pgSz w:w="11900" w:h="16838" w:orient="portrait"/>
          <w:cols w:equalWidth="0" w:num="3">
            <w:col w:w="2960" w:space="720"/>
            <w:col w:w="3180" w:space="720"/>
            <w:col w:w="3640"/>
          </w:cols>
          <w:pgMar w:left="320" w:top="118" w:right="359" w:bottom="1440" w:gutter="0" w:footer="0" w:header="0"/>
          <w:type w:val="continuous"/>
        </w:sectPr>
      </w:pPr>
    </w:p>
    <w:p>
      <w:pPr>
        <w:spacing w:after="0" w:line="10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additional information in the fourth quarter of 2025 that has not already been filed in a Form 8-K.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Erie Indemnity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have audited Erie Indemnity Company’s internal control over financial reporting as of December 31, 2025, based on criteria established in Internal Control—Integrated Framework issued by the Committee of Sponsoring Organizations of the Treadway Commission (2013 framework) (the COSO criteria). In our opinion, Erie Indemnity Company (the Company) maintained, in all material respects, effective internal control over financial reporting as of December 31, 2025, based on the COSO criteria.</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2025 and 2024, the related consolidated statements of operations, comprehensive income, shareholders’ equity and cash flows for each of the three years in the period ended December 31, 2025, and the related notes and our report dated February 23,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our outside directors, audit committee and audit committee financial experts, Section 16(a) beneficial ownership reporting compliance, and insider trading policy is incorporated herein by reference to the information statement on Schedule 14C to be filed with the Securities and Exchange Commission no later than 120 days after December 31, 2025.</w:t>
      </w:r>
    </w:p>
    <w:p>
      <w:pPr>
        <w:spacing w:after="0" w:line="176" w:lineRule="exact"/>
        <w:rPr>
          <w:sz w:val="20"/>
          <w:szCs w:val="20"/>
          <w:color w:val="auto"/>
        </w:rPr>
      </w:pPr>
    </w:p>
    <w:p>
      <w:pPr>
        <w:ind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adopted a Code of Conduct that applies to all of our outside directors, officers and employees. We have previously filed a copy of the Code of Conduct as </w:t>
      </w:r>
      <w:hyperlink r:id="rId92">
        <w:r>
          <w:rPr>
            <w:rFonts w:ascii="Times New Roman" w:cs="Times New Roman" w:eastAsia="Times New Roman" w:hAnsi="Times New Roman"/>
            <w:sz w:val="18"/>
            <w:szCs w:val="18"/>
            <w:u w:val="single" w:color="auto"/>
            <w:color w:val="0000FF"/>
          </w:rPr>
          <w:t>Exhibit 14.1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Form 8-K filed with the Securities and Exchange Commission on October 30, 2025. In addition to this, we have adopted a Code of Ethics for Senior Financial Officers that also applies to our Chief Executive Officer, Chief Financial Officer, Chief Accounting Officer and any other person performing similar functions. We have previously filed a copy of the Code of Ethics for Senior Financial Officers as </w:t>
      </w:r>
      <w:hyperlink r:id="rId93">
        <w:r>
          <w:rPr>
            <w:rFonts w:ascii="Times New Roman" w:cs="Times New Roman" w:eastAsia="Times New Roman" w:hAnsi="Times New Roman"/>
            <w:sz w:val="18"/>
            <w:szCs w:val="18"/>
            <w:u w:val="single" w:color="auto"/>
            <w:color w:val="0000FF"/>
          </w:rPr>
          <w:t>Exhibit 14.2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Form 8-K filed with the Securities and Exchange Commission on October 30, 2025. Our Code of Conduct and Code of Ethics for Senior Financial Officers are also available on our website at </w:t>
      </w:r>
      <w:r>
        <w:rPr>
          <w:rFonts w:ascii="Times New Roman" w:cs="Times New Roman" w:eastAsia="Times New Roman" w:hAnsi="Times New Roman"/>
          <w:sz w:val="18"/>
          <w:szCs w:val="18"/>
          <w:u w:val="single" w:color="auto"/>
          <w:color w:val="auto"/>
        </w:rPr>
        <w:t>www.erieinsurance.com</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60"/>
              <w:spacing w:after="0" w:line="202" w:lineRule="exact"/>
              <w:rPr>
                <w:sz w:val="20"/>
                <w:szCs w:val="20"/>
                <w:color w:val="auto"/>
              </w:rPr>
            </w:pPr>
            <w:r>
              <w:rPr>
                <w:rFonts w:ascii="Times New Roman" w:cs="Times New Roman" w:eastAsia="Times New Roman" w:hAnsi="Times New Roman"/>
                <w:sz w:val="18"/>
                <w:szCs w:val="18"/>
                <w:color w:val="auto"/>
              </w:rPr>
              <w:t>Age as of</w:t>
            </w:r>
          </w:p>
        </w:tc>
        <w:tc>
          <w:tcPr>
            <w:tcW w:w="6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100" w:type="dxa"/>
            <w:vAlign w:val="bottom"/>
          </w:tcPr>
          <w:p>
            <w:pPr>
              <w:spacing w:after="0"/>
              <w:rPr>
                <w:sz w:val="21"/>
                <w:szCs w:val="21"/>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Occupation and Positions for Past Five Years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Timothy G. NeCastro</w:t>
            </w:r>
          </w:p>
        </w:tc>
        <w:tc>
          <w:tcPr>
            <w:tcW w:w="1040" w:type="dxa"/>
            <w:vAlign w:val="bottom"/>
            <w:gridSpan w:val="2"/>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7"/>
                <w:szCs w:val="17"/>
                <w:color w:val="auto"/>
              </w:rPr>
            </w:pPr>
          </w:p>
        </w:tc>
        <w:tc>
          <w:tcPr>
            <w:tcW w:w="6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President and Chief Executive Officer of the Company since August 2016; Director,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Erie Family Life Insurance Company ("EFL"), Erie Insurance Company ("EIC"),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Flagship City Insurance Company ("Flagship"), Erie Insurance Company of New</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Executive Vice Presidents:</w:t>
            </w:r>
          </w:p>
        </w:tc>
        <w:tc>
          <w:tcPr>
            <w:tcW w:w="1780" w:type="dxa"/>
            <w:vAlign w:val="bottom"/>
            <w:gridSpan w:val="3"/>
            <w:vMerge w:val="restart"/>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York ("ENY") and Erie Insurance Property &amp; Casualty Company ("EPC").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Brian W. Bolash</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7"/>
                <w:szCs w:val="17"/>
                <w:color w:val="auto"/>
              </w:rPr>
            </w:pPr>
          </w:p>
        </w:tc>
        <w:tc>
          <w:tcPr>
            <w:tcW w:w="6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Executive Vice President, Secretary and General Counsel since January 2022; Senior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Vice President, Secretary and General Counsel, October 2018 through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Director, EFL, EIC, Flagship, ENY and EPC.</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Cody W. Cook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Claims since January 2025; Senior Vice President,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Claims, October 2020 through December 2024.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Sean D. Dugan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 and Corporate Services since January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2023; Senior Vice President, Human Resources, March 2020 through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Director, EFL, EIC, Flagship, ENY and EPC.</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Julie M. Pelkowski</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May 2023; Senior Vice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Enterprise Office, March 2022 through April 2023; Senior Vice President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Controller, August 2016 through February 2022; Director, EFL, EIC, Flagship,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ENY and EPC.</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Sarah J. Shine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Experience &amp; Customer Service since January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Experience &amp; Customer Service, May 2024 through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2024; Senior Vice President, Commercial Products, August 2017 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Douglas E. Smith</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Sales &amp; Products since November 2016.</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Parthasarathy Srinivasa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4"/>
                <w:szCs w:val="24"/>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Information Officer since joining the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 April 2022. Prior to joining the Company: Senior Vice President and Chief Data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Insurance Information Officer Verisk Analytics, 2019 through April 2022.</w:t>
            </w:r>
          </w:p>
        </w:tc>
        <w:tc>
          <w:tcPr>
            <w:tcW w:w="0" w:type="dxa"/>
            <w:vAlign w:val="bottom"/>
          </w:tcPr>
          <w:p>
            <w:pPr>
              <w:spacing w:after="0"/>
              <w:rPr>
                <w:sz w:val="1"/>
                <w:szCs w:val="1"/>
                <w:color w:val="auto"/>
              </w:rPr>
            </w:pPr>
          </w:p>
        </w:tc>
      </w:tr>
      <w:tr>
        <w:trPr>
          <w:trHeight w:val="91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2025.</w:t>
      </w:r>
    </w:p>
    <w:p>
      <w:pPr>
        <w:spacing w:after="0" w:line="200" w:lineRule="exact"/>
        <w:rPr>
          <w:sz w:val="20"/>
          <w:szCs w:val="20"/>
          <w:color w:val="auto"/>
        </w:rPr>
      </w:pPr>
    </w:p>
    <w:p>
      <w:pPr>
        <w:spacing w:after="0" w:line="228" w:lineRule="exact"/>
        <w:rPr>
          <w:sz w:val="20"/>
          <w:szCs w:val="20"/>
          <w:color w:val="auto"/>
        </w:rPr>
      </w:pPr>
    </w:p>
    <w:p>
      <w:pPr>
        <w:ind w:left="980" w:right="3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12.</w:t>
        <w:tab/>
        <w:t>SECURITY OWNERSHIP OF CERTAIN BENEFICIAL OWNERS AND MANAGEMENT AND RELATED STOCKHOLDER MATTERS</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2025.</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2025.</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statement on Schedule 14C to be filed with the Securities and Exchange Commission no later than 120 days after December 31, 2025.</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Part II, Item 8. "Financial Statements and Supplementary Data" contained in this report.</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Erie Indemnity Company</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on the Effectiveness of Internal Control over Financial Reporting</w:t>
      </w:r>
    </w:p>
    <w:p>
      <w:pPr>
        <w:spacing w:after="0" w:line="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on the Financial Statements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three years ended December 31, 2025, 2024 and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three years ended December 31, 2025, 2024 and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Financial Position as of December 31, 2025 and 2024</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for the three years ended December 31, 2025, 2024 and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three years ended December 31, 2025, 2024 and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 schedules are not required, not applicable, or the information is included in the consolidated financial statements or notes thereto.</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xml:space="preserve">3. </w:t>
            </w:r>
            <w:r>
              <w:rPr>
                <w:rFonts w:ascii="Times New Roman" w:cs="Times New Roman" w:eastAsia="Times New Roman" w:hAnsi="Times New Roman"/>
                <w:sz w:val="18"/>
                <w:szCs w:val="18"/>
                <w:color w:val="0000FF"/>
                <w:w w:val="99"/>
              </w:rPr>
              <w:t>Exhibit Index</w:t>
            </w:r>
          </w:p>
        </w:tc>
        <w:tc>
          <w:tcPr>
            <w:tcW w:w="9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r>
      <w:tr>
        <w:trPr>
          <w:trHeight w:val="20"/>
        </w:trPr>
        <w:tc>
          <w:tcPr>
            <w:tcW w:w="1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INDEX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60" w:type="dxa"/>
            <w:vAlign w:val="bottom"/>
            <w:gridSpan w:val="30"/>
          </w:tcPr>
          <w:p>
            <w:pPr>
              <w:ind w:left="240"/>
              <w:spacing w:after="0"/>
              <w:rPr>
                <w:sz w:val="20"/>
                <w:szCs w:val="20"/>
                <w:color w:val="auto"/>
              </w:rPr>
            </w:pPr>
            <w:r>
              <w:rPr>
                <w:rFonts w:ascii="Times New Roman" w:cs="Times New Roman" w:eastAsia="Times New Roman" w:hAnsi="Times New Roman"/>
                <w:sz w:val="18"/>
                <w:szCs w:val="18"/>
                <w:color w:val="auto"/>
              </w:rPr>
              <w:t>(Pursuant to Item 601 of Regulation S-K)</w:t>
            </w:r>
          </w:p>
        </w:tc>
      </w:tr>
      <w:tr>
        <w:trPr>
          <w:trHeight w:val="33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300" w:type="dxa"/>
            <w:vAlign w:val="bottom"/>
            <w:gridSpan w:val="32"/>
          </w:tcPr>
          <w:p>
            <w:pPr>
              <w:spacing w:after="0"/>
              <w:rPr>
                <w:sz w:val="16"/>
                <w:szCs w:val="16"/>
                <w:color w:val="auto"/>
              </w:rPr>
            </w:pPr>
          </w:p>
        </w:tc>
      </w:tr>
      <w:tr>
        <w:trPr>
          <w:trHeight w:val="43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24"/>
                <w:szCs w:val="24"/>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Articles of Incorporation of Registrant dated April 19, 2011. Such exhibit is incorporated by reference to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No. 3.1 to the Registrant’s Form 10-Q that was filed with the Commission on August 2, 2011.</w:t>
              </w:r>
            </w:hyperlink>
          </w:p>
        </w:tc>
        <w:tc>
          <w:tcPr>
            <w:tcW w:w="30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Erie Indemnity Company Amended and Restated Bylaws dated April 30, 2019. Such exhibit is incorporated by reference to Exhibit 3.10</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to the Registrant's Form 8-K that was filed with the Commission on May 3,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Erie Indemnity Company Description of Capital Stock. Such exhibit is incorporated by reference to Exhibit 4.1 to the Registrant’s Form</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10-K that was filed with the Commission on February 25,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2"/>
                <w:szCs w:val="22"/>
                <w:color w:val="auto"/>
              </w:rPr>
            </w:pPr>
          </w:p>
        </w:tc>
        <w:tc>
          <w:tcPr>
            <w:tcW w:w="97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Subscriber’s Agreement whereby policyholders of Erie Insurance Exchange appoint Registrant as their Attorney-in-Fact. Such</w:t>
              </w:r>
            </w:hyperlink>
          </w:p>
        </w:tc>
        <w:tc>
          <w:tcPr>
            <w:tcW w:w="140" w:type="dxa"/>
            <w:vAlign w:val="bottom"/>
            <w:gridSpan w:val="6"/>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5"/>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exhibit is incorporated by reference to Exhibit 10.12 to the Registrant’s Form 10-Q that was filed with the Commission on November 6,</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2002.</w:t>
              </w:r>
            </w:hyperlink>
          </w:p>
        </w:tc>
        <w:tc>
          <w:tcPr>
            <w:tcW w:w="1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Services Agreement between Erie Indemnity Company and Erie Family Life Insurance Company effective March 31, 2011. Such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is incorporated by reference to Exhibit 99.1 to the Registrant’s Form 8-K that was filed with the Commission on March 31, 2011.</w:t>
              </w:r>
            </w:hyperlink>
          </w:p>
        </w:tc>
        <w:tc>
          <w:tcPr>
            <w:tcW w:w="5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Indemnification Agreement by and between Erie Indemnity Company and each Director and Executive Officer of Erie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Indemnity Company. Such exhibit is incorporated by reference to Exhibit 10.108 to the Registrant’s Form 10-K that was filed</w:t>
              </w:r>
            </w:hyperlink>
          </w:p>
        </w:tc>
        <w:tc>
          <w:tcPr>
            <w:tcW w:w="760" w:type="dxa"/>
            <w:vAlign w:val="bottom"/>
            <w:gridSpan w:val="22"/>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Commission on February 26, 2009.</w:t>
              </w:r>
            </w:hyperlink>
          </w:p>
        </w:tc>
        <w:tc>
          <w:tcPr>
            <w:tcW w:w="71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Erie Indemnity Company Annual Incentive Plan effective January 1, 2020. Such exhibit is incorporated by reference to Exhibit 10.204</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to the Registrant's Form 10-K that was filed with the Commission on February 27, 2020.</w:t>
              </w:r>
            </w:hyperlink>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Pr>
          <w:p>
            <w:pPr>
              <w:spacing w:after="0"/>
              <w:rPr>
                <w:sz w:val="24"/>
                <w:szCs w:val="24"/>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Erie Indemnity Company Amended and Restated Long Term Incentive Plan, dated April 23, 2024. Such exhibit is incorporated by</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8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reference to the Appendix B to the Registrant’s Information Statement for the 2024 Annual Meeting of Shareholders filed with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3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Commission on March 22, 2024.</w:t>
              </w:r>
            </w:hyperlink>
          </w:p>
        </w:tc>
        <w:tc>
          <w:tcPr>
            <w:tcW w:w="702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Erie Indemnity Company Equity Compensation Plan (As Amended and Restated April 26, 2022), dated June 28, 2022. Such exhibit is</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incorporated by reference to Exhibit 10.2 to the Registrant's Form 10-Q that was filed with the Commission on July 28, 2022.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80" w:type="dxa"/>
            <w:vAlign w:val="bottom"/>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4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Amendment to Erie Indemnity Company Equity Compensation Plan (As Amended and Restated April 26, 2022), dated April 23,</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2024. Such exhibit is incorporated by reference to the Appendix A-2 to the Registrant’s Information Statement for the 2024 Annual</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Meeting of Shareholders filed with the Commission on March 22, 2024.</w:t>
              </w:r>
            </w:hyperlink>
          </w:p>
        </w:tc>
        <w:tc>
          <w:tcPr>
            <w:tcW w:w="4260" w:type="dxa"/>
            <w:vAlign w:val="bottom"/>
            <w:tcBorders>
              <w:top w:val="single" w:sz="8" w:color="0000FF"/>
            </w:tcBorders>
            <w:gridSpan w:val="11"/>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0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tcPr>
          <w:p>
            <w:pPr>
              <w:spacing w:after="0"/>
              <w:rPr>
                <w:sz w:val="24"/>
                <w:szCs w:val="24"/>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Appointment of Administrator to Deferred Compensation Plan of Erie Indemnity Company, Erie Indemnity Company Incentive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Compensation Deferral Plan, and Supplemental Retirement Plan for Certain Members of the Erie Insurance Group Retirement</w:t>
              </w:r>
            </w:hyperlink>
          </w:p>
        </w:tc>
        <w:tc>
          <w:tcPr>
            <w:tcW w:w="720" w:type="dxa"/>
            <w:vAlign w:val="bottom"/>
            <w:gridSpan w:val="21"/>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Plan for</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Employees, dated December 21, 2021. Such exhibit is incorporated by reference to Exhibit 10.224 to the Registrant's Form 10-K that</w:t>
              </w:r>
            </w:hyperlink>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was filed with the Commission on February 24, 2022.</w:t>
              </w:r>
            </w:hyperlink>
          </w:p>
        </w:tc>
        <w:tc>
          <w:tcPr>
            <w:tcW w:w="57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spacing w:after="0"/>
              <w:rPr>
                <w:sz w:val="22"/>
                <w:szCs w:val="22"/>
                <w:color w:val="auto"/>
              </w:rPr>
            </w:pPr>
          </w:p>
        </w:tc>
        <w:tc>
          <w:tcPr>
            <w:tcW w:w="9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Deferred Compensation Plan of Erie Indemnity Company (As Amended and Restated as of January 1, 2009). Such exhibit is</w:t>
              </w:r>
            </w:hyperlink>
          </w:p>
        </w:tc>
        <w:tc>
          <w:tcPr>
            <w:tcW w:w="880" w:type="dxa"/>
            <w:vAlign w:val="bottom"/>
            <w:gridSpan w:val="23"/>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incorporated by reference to Exhibit 10.104 to the Registrant’s Form 10-K that was filed with the Commission on February 26, 2009.</w:t>
              </w:r>
            </w:hyperlink>
          </w:p>
        </w:tc>
        <w:tc>
          <w:tcPr>
            <w:tcW w:w="320" w:type="dxa"/>
            <w:vAlign w:val="bottom"/>
            <w:gridSpan w:val="15"/>
          </w:tcPr>
          <w:p>
            <w:pPr>
              <w:spacing w:after="0"/>
              <w:rPr>
                <w:sz w:val="14"/>
                <w:szCs w:val="14"/>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700" w:type="dxa"/>
            <w:vAlign w:val="bottom"/>
          </w:tcPr>
          <w:p>
            <w:pPr>
              <w:spacing w:after="0"/>
              <w:rPr>
                <w:sz w:val="22"/>
                <w:szCs w:val="22"/>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Appendix B to Deferred Compensation Plan of Erie Indemnity Company (As Amended and Restated Effective as of January 1, 2019).</w:t>
              </w:r>
            </w:hyperlink>
          </w:p>
        </w:tc>
        <w:tc>
          <w:tcPr>
            <w:tcW w:w="200" w:type="dxa"/>
            <w:vAlign w:val="bottom"/>
            <w:gridSpan w:val="10"/>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5"/>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Such exhibit is incorporated by reference to Exhibit 10.2 to the Registrant’s Form 10-Q that was filed with the Commission on July 25,</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2019.</w:t>
              </w:r>
            </w:hyperlink>
          </w:p>
        </w:tc>
        <w:tc>
          <w:tcPr>
            <w:tcW w:w="1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Second Amendment to Appendix B to Deferred Compensation Plan of Erie Indemnity Company (As Amended and Restated Effective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as of January 1, 2009), dated December 24, 2020. Such exhibit is incorporated by reference to Exhibit 10.209 to the Registrant’s Form</w:t>
              </w:r>
            </w:hyperlink>
          </w:p>
        </w:tc>
        <w:tc>
          <w:tcPr>
            <w:tcW w:w="10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10-K that was filed with the Commission on February 25, 2021.</w:t>
              </w:r>
            </w:hyperlink>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0" w:type="dxa"/>
            <w:vAlign w:val="bottom"/>
            <w:gridSpan w:val="6"/>
            <w:shd w:val="clear" w:color="auto" w:fill="0000FF"/>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700" w:type="dxa"/>
            <w:vAlign w:val="bottom"/>
          </w:tcPr>
          <w:p>
            <w:pPr>
              <w:spacing w:after="0"/>
              <w:rPr>
                <w:sz w:val="22"/>
                <w:szCs w:val="22"/>
                <w:color w:val="auto"/>
              </w:rPr>
            </w:pPr>
          </w:p>
        </w:tc>
        <w:tc>
          <w:tcPr>
            <w:tcW w:w="9920" w:type="dxa"/>
            <w:vAlign w:val="bottom"/>
            <w:gridSpan w:val="3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Third Amendment to Deferred Compensation Plan of Erie Indemnity Company (As Amended and Restated as of January 1, 2009), dated</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8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December 21, 2021. Such exhibit is incorporated by reference to Exhibit 10.223 to the Registrant's Form 10-K that was filed with the</w:t>
              </w:r>
            </w:hyperlink>
          </w:p>
        </w:tc>
        <w:tc>
          <w:tcPr>
            <w:tcW w:w="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Commission on February 24, 2022.</w:t>
              </w:r>
            </w:hyperlink>
          </w:p>
        </w:tc>
        <w:tc>
          <w:tcPr>
            <w:tcW w:w="7060" w:type="dxa"/>
            <w:vAlign w:val="bottom"/>
            <w:tcBorders>
              <w:top w:val="single" w:sz="8" w:color="0000FF"/>
            </w:tcBorders>
            <w:gridSpan w:val="16"/>
          </w:tcPr>
          <w:p>
            <w:pPr>
              <w:spacing w:after="0"/>
              <w:rPr>
                <w:sz w:val="13"/>
                <w:szCs w:val="13"/>
                <w:color w:val="auto"/>
              </w:rPr>
            </w:pPr>
          </w:p>
        </w:tc>
        <w:tc>
          <w:tcPr>
            <w:tcW w:w="220" w:type="dxa"/>
            <w:vAlign w:val="bottom"/>
            <w:gridSpan w:val="11"/>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700" w:type="dxa"/>
            <w:vAlign w:val="bottom"/>
          </w:tcPr>
          <w:p>
            <w:pPr>
              <w:spacing w:after="0"/>
              <w:rPr>
                <w:sz w:val="22"/>
                <w:szCs w:val="22"/>
                <w:color w:val="auto"/>
              </w:rPr>
            </w:pPr>
          </w:p>
        </w:tc>
        <w:tc>
          <w:tcPr>
            <w:tcW w:w="94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Post-2021 Deferred Compensation Plan of the Erie Indemnity Company, effective January 1, 2022, dated December 9, 2021. Such</w:t>
              </w:r>
            </w:hyperlink>
          </w:p>
        </w:tc>
        <w:tc>
          <w:tcPr>
            <w:tcW w:w="500" w:type="dxa"/>
            <w:vAlign w:val="bottom"/>
            <w:gridSpan w:val="17"/>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5"/>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is incorporated by reference to Exhibit 10.218 to the Registrant's Form 10-K that was filed with the Commission on February 24,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13">
              <w:r>
                <w:rPr>
                  <w:rFonts w:ascii="Times New Roman" w:cs="Times New Roman" w:eastAsia="Times New Roman" w:hAnsi="Times New Roman"/>
                  <w:sz w:val="18"/>
                  <w:szCs w:val="18"/>
                  <w:color w:val="0000FF"/>
                  <w:w w:val="93"/>
                </w:rPr>
                <w:t>2022.</w:t>
              </w:r>
            </w:hyperlink>
          </w:p>
        </w:tc>
        <w:tc>
          <w:tcPr>
            <w:tcW w:w="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89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7"/>
          </w:tcPr>
          <w:p>
            <w:pPr>
              <w:ind w:left="422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9496725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300" w:type="dxa"/>
            <w:vAlign w:val="bottom"/>
            <w:gridSpan w:val="37"/>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700" w:type="dxa"/>
            <w:vAlign w:val="bottom"/>
          </w:tcPr>
          <w:p>
            <w:pPr>
              <w:spacing w:after="0"/>
              <w:rPr>
                <w:sz w:val="22"/>
                <w:szCs w:val="22"/>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Erie Indemnity Company Incentive Compensation Deferral Plan (Effective January 1, 2017), dated December 7, 2016. Such exhibit is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incorporated by reference to Exhibit 10.177 to the Registrant’s Form 10-K that was filed with the Commission on February 23, 2017.</w:t>
              </w:r>
            </w:hyperlink>
          </w:p>
        </w:tc>
        <w:tc>
          <w:tcPr>
            <w:tcW w:w="1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700" w:type="dxa"/>
            <w:vAlign w:val="bottom"/>
          </w:tcPr>
          <w:p>
            <w:pPr>
              <w:spacing w:after="0"/>
              <w:rPr>
                <w:sz w:val="24"/>
                <w:szCs w:val="24"/>
                <w:color w:val="auto"/>
              </w:rPr>
            </w:pPr>
          </w:p>
        </w:tc>
        <w:tc>
          <w:tcPr>
            <w:tcW w:w="96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First Amendment to Erie Indemnity Company Incentive Compensation Deferral Plan (Effective January 1, 2017), dated July 1, 2019.</w:t>
              </w:r>
            </w:hyperlink>
          </w:p>
        </w:tc>
        <w:tc>
          <w:tcPr>
            <w:tcW w:w="300" w:type="dxa"/>
            <w:vAlign w:val="bottom"/>
            <w:gridSpan w:val="16"/>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0"/>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Such exhibit is incorporated by reference to Exhibit 10.1 to the Registrant’s Form 10-Q that was filed with the Commission on July 25,</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17">
              <w:r>
                <w:rPr>
                  <w:rFonts w:ascii="Times New Roman" w:cs="Times New Roman" w:eastAsia="Times New Roman" w:hAnsi="Times New Roman"/>
                  <w:sz w:val="18"/>
                  <w:szCs w:val="18"/>
                  <w:color w:val="0000FF"/>
                  <w:w w:val="93"/>
                </w:rPr>
                <w:t>2019.</w:t>
              </w:r>
            </w:hyperlink>
          </w:p>
        </w:tc>
        <w:tc>
          <w:tcPr>
            <w:tcW w:w="1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5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700" w:type="dxa"/>
            <w:vAlign w:val="bottom"/>
          </w:tcPr>
          <w:p>
            <w:pPr>
              <w:spacing w:after="0"/>
              <w:rPr>
                <w:sz w:val="24"/>
                <w:szCs w:val="24"/>
                <w:color w:val="auto"/>
              </w:rPr>
            </w:pPr>
          </w:p>
        </w:tc>
        <w:tc>
          <w:tcPr>
            <w:tcW w:w="92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Second Amendment to Erie Indemnity Company Incentive Compensation Deferral Plan (Effective as of January 1, 2017), dated</w:t>
              </w:r>
            </w:hyperlink>
          </w:p>
        </w:tc>
        <w:tc>
          <w:tcPr>
            <w:tcW w:w="700" w:type="dxa"/>
            <w:vAlign w:val="bottom"/>
            <w:gridSpan w:val="24"/>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0"/>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December 24, 2020. Such exhibit is incorporated by reference to Exhibit 10.207 to the Registrant’s Form 10-K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Commission on February 25, 2021.</w:t>
              </w:r>
            </w:hyperlink>
          </w:p>
        </w:tc>
        <w:tc>
          <w:tcPr>
            <w:tcW w:w="70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Third Amendment to Erie Indemnity Company Incentive Compensation Deferral Plan (Effective as of January 1, 2017),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December 21, 2021. Such exhibit is incorporated by reference to Exhibit 10.222 to the Registrant's Form 10-K that was filed</w:t>
              </w:r>
            </w:hyperlink>
          </w:p>
        </w:tc>
        <w:tc>
          <w:tcPr>
            <w:tcW w:w="840" w:type="dxa"/>
            <w:vAlign w:val="bottom"/>
            <w:gridSpan w:val="26"/>
          </w:tcPr>
          <w:p>
            <w:pPr>
              <w:jc w:val="right"/>
              <w:ind w:right="320"/>
              <w:spacing w:after="0" w:line="156" w:lineRule="exact"/>
              <w:rPr>
                <w:rFonts w:ascii="Times New Roman" w:cs="Times New Roman" w:eastAsia="Times New Roman" w:hAnsi="Times New Roman"/>
                <w:sz w:val="18"/>
                <w:szCs w:val="18"/>
                <w:color w:val="0000FF"/>
                <w:w w:val="85"/>
              </w:rPr>
            </w:pPr>
            <w:hyperlink r:id="rId119">
              <w:r>
                <w:rPr>
                  <w:rFonts w:ascii="Times New Roman" w:cs="Times New Roman" w:eastAsia="Times New Roman" w:hAnsi="Times New Roman"/>
                  <w:sz w:val="18"/>
                  <w:szCs w:val="18"/>
                  <w:color w:val="0000FF"/>
                  <w:w w:val="85"/>
                </w:rPr>
                <w:t>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Commission on February 24, 2022.</w:t>
              </w:r>
            </w:hyperlink>
          </w:p>
        </w:tc>
        <w:tc>
          <w:tcPr>
            <w:tcW w:w="706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Erie Indemnity Company Deferred Stock Plan for Outside Directors (As Amended and Restated as of April 25, 2023), dated April 25,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2023. Such exhibit is incorporated by reference to the Appendix to the Registrant’s Information Statement for the 2023 Annual Meeting</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294967257"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of Shareholders filed with the Commission on March 24, 2023.</w:t>
              </w:r>
            </w:hyperlink>
          </w:p>
        </w:tc>
        <w:tc>
          <w:tcPr>
            <w:tcW w:w="5240" w:type="dxa"/>
            <w:vAlign w:val="bottom"/>
            <w:gridSpan w:val="2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Erie Indemnity Company Deferred Compensation Plan for Outside Directors (As Amended and Restated as of July 29,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October 20, 2015. Such exhibit is incorporated by reference to Exhibit 10.158 to the Registrant’s Form 10-K that was filed with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Commission on February 25, 2016.</w:t>
              </w:r>
            </w:hyperlink>
          </w:p>
        </w:tc>
        <w:tc>
          <w:tcPr>
            <w:tcW w:w="68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Amendment to Erie Indemnity Company Deferred Compensation Plan for Outside Directors (As of July 29,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December 21, 2021. Such exhibit is incorporated by reference to Exhibit 10.217 to the Registrant's Form 10-K that was filed</w:t>
              </w:r>
            </w:hyperlink>
          </w:p>
        </w:tc>
        <w:tc>
          <w:tcPr>
            <w:tcW w:w="820" w:type="dxa"/>
            <w:vAlign w:val="bottom"/>
            <w:gridSpan w:val="25"/>
          </w:tcPr>
          <w:p>
            <w:pPr>
              <w:jc w:val="right"/>
              <w:ind w:right="320"/>
              <w:spacing w:after="0" w:line="156" w:lineRule="exact"/>
              <w:rPr>
                <w:rFonts w:ascii="Times New Roman" w:cs="Times New Roman" w:eastAsia="Times New Roman" w:hAnsi="Times New Roman"/>
                <w:sz w:val="18"/>
                <w:szCs w:val="18"/>
                <w:color w:val="0000FF"/>
                <w:w w:val="81"/>
              </w:rPr>
            </w:pPr>
            <w:hyperlink r:id="rId122">
              <w:r>
                <w:rPr>
                  <w:rFonts w:ascii="Times New Roman" w:cs="Times New Roman" w:eastAsia="Times New Roman" w:hAnsi="Times New Roman"/>
                  <w:sz w:val="18"/>
                  <w:szCs w:val="18"/>
                  <w:color w:val="0000FF"/>
                  <w:w w:val="81"/>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Commission on February 24, 2022.</w:t>
              </w:r>
            </w:hyperlink>
          </w:p>
        </w:tc>
        <w:tc>
          <w:tcPr>
            <w:tcW w:w="70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Erie Insurance Group Retirement Plan for Employees (As Amended and Restated Effective December 31, 2022), dated June 19, 2023.</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Such exhibit is incorporated by reference to Exhibit 10.4 to the Registrant's Form 10-Q that was filed with the Commission on July 27,</w:t>
              </w:r>
            </w:hyperlink>
          </w:p>
        </w:tc>
        <w:tc>
          <w:tcPr>
            <w:tcW w:w="4294967257"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23">
              <w:r>
                <w:rPr>
                  <w:rFonts w:ascii="Times New Roman" w:cs="Times New Roman" w:eastAsia="Times New Roman" w:hAnsi="Times New Roman"/>
                  <w:sz w:val="18"/>
                  <w:szCs w:val="18"/>
                  <w:color w:val="0000FF"/>
                  <w:w w:val="93"/>
                </w:rPr>
                <w:t>2023.</w:t>
              </w:r>
            </w:hyperlink>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First Amendment to Erie Insurance Group Retirement Plan for Employees (As Amended and Restated Effective December 31, 2022),</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dated December 19, 2023. Such exhibit is incorporated by reference to Exhibit 10.21 to the Registrant's Form 10-K that was filed with</w:t>
              </w:r>
            </w:hyperlink>
          </w:p>
        </w:tc>
        <w:tc>
          <w:tcPr>
            <w:tcW w:w="40" w:type="dxa"/>
            <w:vAlign w:val="bottom"/>
            <w:gridSpan w:val="2"/>
          </w:tcPr>
          <w:p>
            <w:pPr>
              <w:spacing w:after="0"/>
              <w:rPr>
                <w:sz w:val="13"/>
                <w:szCs w:val="13"/>
                <w:color w:val="auto"/>
              </w:rPr>
            </w:pPr>
          </w:p>
        </w:tc>
        <w:tc>
          <w:tcPr>
            <w:tcW w:w="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the Commission on February 26, 2024.</w:t>
              </w:r>
            </w:hyperlink>
          </w:p>
        </w:tc>
        <w:tc>
          <w:tcPr>
            <w:tcW w:w="7100" w:type="dxa"/>
            <w:vAlign w:val="bottom"/>
            <w:gridSpan w:val="32"/>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Supplemental Retirement Plan for Certain Members of the Erie Insurance Group Retirement Plan for Employees (Amended and</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Restated as of January 1, 2023), dated August 15, 2023. Such exhibit is incorporated by reference to Exhibit 10.1 to the Registrant's</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Form 10-Q that was filed with the Commission on October 26, 2023.</w:t>
              </w:r>
            </w:hyperlink>
          </w:p>
        </w:tc>
        <w:tc>
          <w:tcPr>
            <w:tcW w:w="45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700" w:type="dxa"/>
            <w:vAlign w:val="bottom"/>
          </w:tcPr>
          <w:p>
            <w:pPr>
              <w:spacing w:after="0"/>
              <w:rPr>
                <w:sz w:val="24"/>
                <w:szCs w:val="24"/>
                <w:color w:val="auto"/>
              </w:rPr>
            </w:pPr>
          </w:p>
        </w:tc>
        <w:tc>
          <w:tcPr>
            <w:tcW w:w="9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Erie Insurance Group Employee Savings Plan (As Amended and Restated Effective as of January 1, 2023), dated June 19, 2023. Such</w:t>
              </w:r>
            </w:hyperlink>
          </w:p>
        </w:tc>
        <w:tc>
          <w:tcPr>
            <w:tcW w:w="220" w:type="dxa"/>
            <w:vAlign w:val="bottom"/>
            <w:gridSpan w:val="12"/>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exhibit is incorporated by reference to Exhibit 10.3 to the Registrant's Form 10-Q that was filed with the Commission on July 27, 2023.</w:t>
              </w:r>
            </w:hyperlink>
          </w:p>
        </w:tc>
        <w:tc>
          <w:tcPr>
            <w:tcW w:w="140" w:type="dxa"/>
            <w:vAlign w:val="bottom"/>
            <w:gridSpan w:val="6"/>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700" w:type="dxa"/>
            <w:vAlign w:val="bottom"/>
          </w:tcPr>
          <w:p>
            <w:pPr>
              <w:spacing w:after="0"/>
              <w:rPr>
                <w:sz w:val="24"/>
                <w:szCs w:val="24"/>
                <w:color w:val="auto"/>
              </w:rPr>
            </w:pPr>
          </w:p>
        </w:tc>
        <w:tc>
          <w:tcPr>
            <w:tcW w:w="9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Credit Agreement among PNC Bank, National Association, as Administrative Agent; the Lenders named therein; and Erie Indemnity</w:t>
              </w:r>
            </w:hyperlink>
          </w:p>
        </w:tc>
        <w:tc>
          <w:tcPr>
            <w:tcW w:w="320" w:type="dxa"/>
            <w:vAlign w:val="bottom"/>
            <w:gridSpan w:val="17"/>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0"/>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Company, dated October 29, 2021. Such exhibit is incorporated by reference to Exhibit 10.1 to the Registrant's Form 8-K that was 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with the Commission on November 4, 2021.</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Amendment to Credit Agreement among PNC Bank, National Association, as Administrative Agent; the Lenders named therein;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and Erie Indemnity Company, dated November 1, 2024. Such exhibit is incorporated by reference to Exhibit 10.1 to the Registrant's</w:t>
              </w:r>
            </w:hyperlink>
          </w:p>
        </w:tc>
        <w:tc>
          <w:tcPr>
            <w:tcW w:w="1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8-K that was filed with the Commission on November 4, 2024.</w:t>
              </w:r>
            </w:hyperlink>
          </w:p>
        </w:tc>
        <w:tc>
          <w:tcPr>
            <w:tcW w:w="454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Pledge Agreement made by Erie Indemnity Company in favor of PNC Bank, National Association, as administrative agent, for itself and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certain other Lenders, dated October 29, 2021. Such exhibit is incorporated by reference to Exhibit 10.2 to the Registrant's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that was filed with the Commission on November 4, 2021.</w:t>
              </w:r>
            </w:hyperlink>
          </w:p>
        </w:tc>
        <w:tc>
          <w:tcPr>
            <w:tcW w:w="5360" w:type="dxa"/>
            <w:vAlign w:val="bottom"/>
            <w:tcBorders>
              <w:top w:val="single" w:sz="8" w:color="0000FF"/>
            </w:tcBorders>
            <w:gridSpan w:val="12"/>
          </w:tcPr>
          <w:p>
            <w:pPr>
              <w:spacing w:after="0"/>
              <w:rPr>
                <w:sz w:val="13"/>
                <w:szCs w:val="13"/>
                <w:color w:val="auto"/>
              </w:rPr>
            </w:pPr>
          </w:p>
        </w:tc>
        <w:tc>
          <w:tcPr>
            <w:tcW w:w="26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Agreement of Lease between Erie Insurance Exchange and Erie Indemnity Company for the Erie Insurance Home Office Campus,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36"/>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July 1, 2021. Such exhibit is incorporated by reference to Exhibit 10.3 to the Registrant’s Form 10-Q that was filed with the Commission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gridSpan w:val="3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on October 28, 2021.</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520" w:type="dxa"/>
            <w:vAlign w:val="bottom"/>
            <w:gridSpan w:val="11"/>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700" w:type="dxa"/>
            <w:vAlign w:val="bottom"/>
          </w:tcPr>
          <w:p>
            <w:pPr>
              <w:spacing w:after="0"/>
              <w:rPr>
                <w:sz w:val="24"/>
                <w:szCs w:val="24"/>
                <w:color w:val="auto"/>
              </w:rPr>
            </w:pPr>
          </w:p>
        </w:tc>
        <w:tc>
          <w:tcPr>
            <w:tcW w:w="9920" w:type="dxa"/>
            <w:vAlign w:val="bottom"/>
            <w:gridSpan w:val="4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Agreement of Lease between Erie Insurance Exchange and Erie Indemnity Company for the Erie Insurance Home Office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Campus, (As of July 1, 2021), dated January 1, 2022. Such exhibit is incorporated by reference to Exhibit 10.226 to the Registrant's</w:t>
              </w:r>
            </w:hyperlink>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10-K that was filed with the Commission on February 24, 2022.</w:t>
              </w:r>
            </w:hyperlink>
          </w:p>
        </w:tc>
        <w:tc>
          <w:tcPr>
            <w:tcW w:w="440" w:type="dxa"/>
            <w:vAlign w:val="bottom"/>
            <w:gridSpan w:val="22"/>
          </w:tcPr>
          <w:p>
            <w:pPr>
              <w:spacing w:after="0"/>
              <w:rPr>
                <w:sz w:val="13"/>
                <w:szCs w:val="13"/>
                <w:color w:val="auto"/>
              </w:rPr>
            </w:pPr>
          </w:p>
        </w:tc>
      </w:tr>
      <w:tr>
        <w:trPr>
          <w:trHeight w:val="95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Borders>
              <w:top w:val="single" w:sz="8" w:color="0000FF"/>
            </w:tcBorders>
            <w:gridSpan w:val="11"/>
          </w:tcPr>
          <w:p>
            <w:pPr>
              <w:ind w:left="4220"/>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5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260" w:type="dxa"/>
            <w:vAlign w:val="bottom"/>
            <w:gridSpan w:val="17"/>
          </w:tcPr>
          <w:p>
            <w:pPr>
              <w:spacing w:after="0"/>
              <w:rPr>
                <w:sz w:val="16"/>
                <w:szCs w:val="16"/>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00" w:type="dxa"/>
            <w:vAlign w:val="bottom"/>
          </w:tcPr>
          <w:p>
            <w:pPr>
              <w:spacing w:after="0"/>
              <w:rPr>
                <w:sz w:val="22"/>
                <w:szCs w:val="22"/>
                <w:color w:val="auto"/>
              </w:rPr>
            </w:pPr>
          </w:p>
        </w:tc>
        <w:tc>
          <w:tcPr>
            <w:tcW w:w="9880" w:type="dxa"/>
            <w:vAlign w:val="bottom"/>
            <w:gridSpan w:val="1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Second Amendment to Agreement of Lease between Erie Insurance Exchange and Erie Indemnity Company for the Erie Insurance</w:t>
              </w:r>
            </w:hyperlink>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Home Office Campus, (As of July 1, 2021), dated January 1, 2023. Such exhibit is incorporated by reference to Exhibit 10.62 to the</w:t>
              </w:r>
            </w:hyperlink>
          </w:p>
        </w:tc>
      </w:tr>
      <w:tr>
        <w:trPr>
          <w:trHeight w:val="155"/>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Registrant's Form 10-K that was filed with the Commission on March 1, 2023.</w:t>
              </w:r>
            </w:hyperlink>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00" w:type="dxa"/>
            <w:vAlign w:val="bottom"/>
          </w:tcPr>
          <w:p>
            <w:pPr>
              <w:spacing w:after="0"/>
              <w:rPr>
                <w:sz w:val="24"/>
                <w:szCs w:val="24"/>
                <w:color w:val="auto"/>
              </w:rPr>
            </w:pPr>
          </w:p>
        </w:tc>
        <w:tc>
          <w:tcPr>
            <w:tcW w:w="9880" w:type="dxa"/>
            <w:vAlign w:val="bottom"/>
            <w:gridSpan w:val="1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Third Amendment to Agreement of Lease between Erie Insurance Exchange and Erie Indemnity Company for the Erie Insurance Home</w:t>
              </w:r>
            </w:hyperlink>
          </w:p>
        </w:tc>
      </w:tr>
      <w:tr>
        <w:trPr>
          <w:trHeight w:val="155"/>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Office Campus, (As of July 1, 2021), dated October 1, 2025. Such exhibit is incorporated by reference to Exhibit 10.1 to the Registrant's</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8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10-Q that was filed with the Commission on October 30, 2025.</w:t>
              </w:r>
            </w:hyperlink>
          </w:p>
        </w:tc>
        <w:tc>
          <w:tcPr>
            <w:tcW w:w="4840" w:type="dxa"/>
            <w:vAlign w:val="bottom"/>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00" w:type="dxa"/>
            <w:vAlign w:val="bottom"/>
          </w:tcPr>
          <w:p>
            <w:pPr>
              <w:spacing w:after="0"/>
              <w:rPr>
                <w:sz w:val="24"/>
                <w:szCs w:val="24"/>
                <w:color w:val="auto"/>
              </w:rPr>
            </w:pPr>
          </w:p>
        </w:tc>
        <w:tc>
          <w:tcPr>
            <w:tcW w:w="9880" w:type="dxa"/>
            <w:vAlign w:val="bottom"/>
            <w:gridSpan w:val="1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Code of Conduct. Such exhibit is incorporated by reference to Exhibit 14.1 to the Registrant's Form 8-K that was filed with the</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Commission on October 30, 2025.</w:t>
              </w:r>
            </w:hyperlink>
          </w:p>
        </w:tc>
        <w:tc>
          <w:tcPr>
            <w:tcW w:w="7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tcPr>
          <w:p>
            <w:pPr>
              <w:spacing w:after="0"/>
              <w:rPr>
                <w:sz w:val="24"/>
                <w:szCs w:val="24"/>
                <w:color w:val="auto"/>
              </w:rPr>
            </w:pPr>
          </w:p>
        </w:tc>
        <w:tc>
          <w:tcPr>
            <w:tcW w:w="9880" w:type="dxa"/>
            <w:vAlign w:val="bottom"/>
            <w:gridSpan w:val="18"/>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Code of Ethics for CEO and Senior Financial Officers. Such exhibit is incorporated by reference to Exhibit 14.2 to the Registrant’s Form</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8-K that was filed with the Commission on October 30, 2025.</w:t>
              </w:r>
            </w:hyperlink>
          </w:p>
        </w:tc>
        <w:tc>
          <w:tcPr>
            <w:tcW w:w="20" w:type="dxa"/>
            <w:vAlign w:val="bottom"/>
          </w:tcPr>
          <w:p>
            <w:pPr>
              <w:spacing w:after="0"/>
              <w:rPr>
                <w:sz w:val="13"/>
                <w:szCs w:val="13"/>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tcPr>
          <w:p>
            <w:pPr>
              <w:spacing w:after="0"/>
              <w:rPr>
                <w:sz w:val="24"/>
                <w:szCs w:val="24"/>
                <w:color w:val="auto"/>
              </w:rPr>
            </w:pPr>
          </w:p>
        </w:tc>
        <w:tc>
          <w:tcPr>
            <w:tcW w:w="4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Policies with Respect to Securities Trades by Insiders</w:t>
            </w:r>
            <w:r>
              <w:rPr>
                <w:rFonts w:ascii="Times New Roman" w:cs="Times New Roman" w:eastAsia="Times New Roman" w:hAnsi="Times New Roman"/>
                <w:sz w:val="18"/>
                <w:szCs w:val="18"/>
                <w:color w:val="000000"/>
              </w:rPr>
              <w:t>.</w:t>
            </w:r>
          </w:p>
        </w:tc>
        <w:tc>
          <w:tcPr>
            <w:tcW w:w="5440" w:type="dxa"/>
            <w:vAlign w:val="bottom"/>
            <w:gridSpan w:val="13"/>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spacing w:after="0"/>
              <w:rPr>
                <w:sz w:val="22"/>
                <w:szCs w:val="22"/>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22"/>
                <w:szCs w:val="22"/>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0" w:type="dxa"/>
            <w:vAlign w:val="bottom"/>
          </w:tcPr>
          <w:p>
            <w:pPr>
              <w:spacing w:after="0"/>
              <w:rPr>
                <w:sz w:val="22"/>
                <w:szCs w:val="22"/>
                <w:color w:val="auto"/>
              </w:rPr>
            </w:pPr>
          </w:p>
        </w:tc>
        <w:tc>
          <w:tcPr>
            <w:tcW w:w="71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60" w:type="dxa"/>
            <w:vAlign w:val="bottom"/>
            <w:gridSpan w:val="8"/>
          </w:tcPr>
          <w:p>
            <w:pPr>
              <w:spacing w:after="0"/>
              <w:rPr>
                <w:sz w:val="22"/>
                <w:szCs w:val="22"/>
                <w:color w:val="auto"/>
              </w:rPr>
            </w:pP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22"/>
                <w:szCs w:val="22"/>
                <w:color w:val="auto"/>
              </w:rPr>
            </w:pPr>
          </w:p>
        </w:tc>
        <w:tc>
          <w:tcPr>
            <w:tcW w:w="8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160" w:type="dxa"/>
            <w:vAlign w:val="bottom"/>
            <w:gridSpan w:val="7"/>
          </w:tcPr>
          <w:p>
            <w:pPr>
              <w:spacing w:after="0"/>
              <w:rPr>
                <w:sz w:val="22"/>
                <w:szCs w:val="22"/>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00" w:type="dxa"/>
            <w:vAlign w:val="bottom"/>
          </w:tcPr>
          <w:p>
            <w:pPr>
              <w:spacing w:after="0"/>
              <w:rPr>
                <w:sz w:val="22"/>
                <w:szCs w:val="22"/>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Policy on Recoupment of Officer Bonuses in Certain Situations</w:t>
            </w:r>
            <w:r>
              <w:rPr>
                <w:rFonts w:ascii="Times New Roman" w:cs="Times New Roman" w:eastAsia="Times New Roman" w:hAnsi="Times New Roman"/>
                <w:sz w:val="18"/>
                <w:szCs w:val="18"/>
                <w:color w:val="000000"/>
              </w:rPr>
              <w:t>.</w:t>
            </w:r>
          </w:p>
        </w:tc>
      </w:tr>
      <w:tr>
        <w:trPr>
          <w:trHeight w:val="20"/>
        </w:trPr>
        <w:tc>
          <w:tcPr>
            <w:tcW w:w="1300" w:type="dxa"/>
            <w:vAlign w:val="bottom"/>
            <w:gridSpan w:val="2"/>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r>
      <w:tr>
        <w:trPr>
          <w:trHeight w:val="250"/>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20" w:right="5960" w:firstLine="6"/>
        <w:spacing w:after="0" w:line="215" w:lineRule="auto"/>
        <w:tabs>
          <w:tab w:leader="none" w:pos="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compensatory plan, contract, or arrangement. + Filed herewith.</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ERIE INDEMNITY COMPANY</w:t>
            </w:r>
          </w:p>
        </w:tc>
      </w:tr>
      <w:tr>
        <w:trPr>
          <w:trHeight w:val="234"/>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9"/>
        </w:trPr>
        <w:tc>
          <w:tcPr>
            <w:tcW w:w="2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G. NeCastro</w:t>
            </w:r>
          </w:p>
        </w:tc>
      </w:tr>
      <w:tr>
        <w:trPr>
          <w:trHeight w:val="218"/>
        </w:trPr>
        <w:tc>
          <w:tcPr>
            <w:tcW w:w="236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G. NeCastro, President and CEO</w:t>
            </w:r>
          </w:p>
        </w:tc>
      </w:tr>
      <w:tr>
        <w:trPr>
          <w:trHeight w:val="234"/>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2026</w:t>
            </w: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G. NeCastro</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G. NeCastro, President and CEO</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M. Pelkowski</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M. Pelkowski, Executive Vice President and CFO</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Jorie L. Novacek</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Jorie L. Novacek, Senior Vice President and Controller</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13"/>
        </w:trPr>
        <w:tc>
          <w:tcPr>
            <w:tcW w:w="2360" w:type="dxa"/>
            <w:vAlign w:val="bottom"/>
          </w:tcPr>
          <w:p>
            <w:pPr>
              <w:spacing w:after="0"/>
              <w:rPr>
                <w:sz w:val="24"/>
                <w:szCs w:val="24"/>
                <w:color w:val="auto"/>
              </w:rPr>
            </w:pPr>
          </w:p>
        </w:tc>
        <w:tc>
          <w:tcPr>
            <w:tcW w:w="5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J. Ralph Borneman, Jr.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Eugene C. Connell</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Salvatore Correnti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000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 Scott Hartz</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3308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09" w:lineRule="exact"/>
        <w:rPr>
          <w:sz w:val="20"/>
          <w:szCs w:val="20"/>
          <w:color w:val="auto"/>
        </w:rPr>
      </w:pPr>
    </w:p>
    <w:p>
      <w:pPr>
        <w:sectPr>
          <w:pgSz w:w="11900" w:h="16838" w:orient="portrait"/>
          <w:cols w:equalWidth="0" w:num="2">
            <w:col w:w="5320" w:space="720"/>
            <w:col w:w="5200"/>
          </w:cols>
          <w:pgMar w:left="320" w:top="118" w:right="339" w:bottom="1440" w:gutter="0" w:footer="0" w:header="0"/>
          <w:type w:val="continuous"/>
        </w:sectPr>
      </w:pPr>
    </w:p>
    <w:p>
      <w:pPr>
        <w:jc w:val="right"/>
        <w:ind w:right="2060"/>
        <w:spacing w:after="0"/>
        <w:rPr>
          <w:sz w:val="20"/>
          <w:szCs w:val="20"/>
          <w:color w:val="auto"/>
        </w:rPr>
      </w:pPr>
      <w:r>
        <w:rPr>
          <w:rFonts w:ascii="Times New Roman" w:cs="Times New Roman" w:eastAsia="Times New Roman" w:hAnsi="Times New Roman"/>
          <w:sz w:val="18"/>
          <w:szCs w:val="18"/>
          <w:color w:val="auto"/>
        </w:rPr>
        <w:t>Salvatore Correnti</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LuAnn Datesh</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00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Times New Roman" w:cs="Times New Roman" w:eastAsia="Times New Roman" w:hAnsi="Times New Roman"/>
          <w:sz w:val="18"/>
          <w:szCs w:val="18"/>
          <w:color w:val="auto"/>
        </w:rPr>
        <w:t>George R. Lucore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color w:val="auto"/>
        </w:rPr>
        <w:t>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33089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5320" w:space="720"/>
            <w:col w:w="5200"/>
          </w:cols>
          <w:pgMar w:left="320" w:top="118" w:right="339" w:bottom="1440" w:gutter="0" w:footer="0" w:header="0"/>
          <w:type w:val="continuous"/>
        </w:sectPr>
      </w:pPr>
    </w:p>
    <w:p>
      <w:pPr>
        <w:ind w:left="1860"/>
        <w:spacing w:after="0"/>
        <w:tabs>
          <w:tab w:leader="none" w:pos="7760" w:val="left"/>
        </w:tabs>
        <w:rPr>
          <w:sz w:val="20"/>
          <w:szCs w:val="20"/>
          <w:color w:val="auto"/>
        </w:rPr>
      </w:pPr>
      <w:r>
        <w:rPr>
          <w:rFonts w:ascii="Times New Roman" w:cs="Times New Roman" w:eastAsia="Times New Roman" w:hAnsi="Times New Roman"/>
          <w:sz w:val="18"/>
          <w:szCs w:val="18"/>
          <w:color w:val="auto"/>
        </w:rPr>
        <w:t>Jonathan Hirt Hagen</w:t>
      </w:r>
      <w:r>
        <w:rPr>
          <w:sz w:val="20"/>
          <w:szCs w:val="20"/>
          <w:color w:val="auto"/>
        </w:rPr>
        <w:tab/>
      </w:r>
      <w:r>
        <w:rPr>
          <w:rFonts w:ascii="Times New Roman" w:cs="Times New Roman" w:eastAsia="Times New Roman" w:hAnsi="Times New Roman"/>
          <w:sz w:val="17"/>
          <w:szCs w:val="17"/>
          <w:color w:val="auto"/>
        </w:rPr>
        <w:t>Elizabeth Hirt Vorsheck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300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Thomas B. Hagen, Chairman</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8" w:right="339" w:bottom="1440" w:gutter="0" w:footer="0" w:header="0"/>
          <w:type w:val="continuous"/>
        </w:sectPr>
      </w:pPr>
    </w:p>
    <w:bookmarkStart w:id="83" w:name="page84"/>
    <w:bookmarkEnd w:id="83"/>
    <w:p>
      <w:pPr>
        <w:jc w:val="center"/>
        <w:ind w:right="300"/>
        <w:spacing w:after="0"/>
        <w:rPr>
          <w:sz w:val="20"/>
          <w:szCs w:val="20"/>
          <w:color w:val="auto"/>
        </w:rPr>
      </w:pPr>
      <w:r>
        <w:rPr>
          <w:rFonts w:ascii="Times New Roman" w:cs="Times New Roman" w:eastAsia="Times New Roman" w:hAnsi="Times New Roman"/>
          <w:sz w:val="22"/>
          <w:szCs w:val="22"/>
          <w:b w:val="1"/>
          <w:bCs w:val="1"/>
          <w:u w:val="single" w:color="auto"/>
          <w:color w:val="auto"/>
        </w:rPr>
        <w:t>Exhibit 19.1</w:t>
      </w:r>
    </w:p>
    <w:p>
      <w:pPr>
        <w:spacing w:after="0" w:line="352" w:lineRule="exact"/>
        <w:rPr>
          <w:sz w:val="20"/>
          <w:szCs w:val="20"/>
          <w:color w:val="auto"/>
        </w:rPr>
      </w:pPr>
    </w:p>
    <w:p>
      <w:pPr>
        <w:spacing w:after="0"/>
        <w:rPr>
          <w:sz w:val="20"/>
          <w:szCs w:val="20"/>
          <w:color w:val="auto"/>
        </w:rPr>
      </w:pPr>
      <w:r>
        <w:rPr>
          <w:rFonts w:ascii="Arial" w:cs="Arial" w:eastAsia="Arial" w:hAnsi="Arial"/>
          <w:sz w:val="40"/>
          <w:szCs w:val="40"/>
          <w:b w:val="1"/>
          <w:bCs w:val="1"/>
          <w:color w:val="800000"/>
        </w:rPr>
        <w:t>Securities Trades by Company Personnel Policy</w:t>
      </w:r>
    </w:p>
    <w:p>
      <w:pPr>
        <w:spacing w:after="0" w:line="77"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Purpose</w:t>
      </w:r>
    </w:p>
    <w:p>
      <w:pPr>
        <w:spacing w:after="0" w:line="66" w:lineRule="exact"/>
        <w:rPr>
          <w:sz w:val="20"/>
          <w:szCs w:val="20"/>
          <w:color w:val="auto"/>
        </w:rPr>
      </w:pPr>
    </w:p>
    <w:p>
      <w:pPr>
        <w:ind w:right="1600"/>
        <w:spacing w:after="0" w:line="282" w:lineRule="auto"/>
        <w:rPr>
          <w:sz w:val="20"/>
          <w:szCs w:val="20"/>
          <w:color w:val="auto"/>
        </w:rPr>
      </w:pPr>
      <w:r>
        <w:rPr>
          <w:rFonts w:ascii="Arial" w:cs="Arial" w:eastAsia="Arial" w:hAnsi="Arial"/>
          <w:sz w:val="19"/>
          <w:szCs w:val="19"/>
          <w:color w:val="auto"/>
        </w:rPr>
        <w:t>This policy, which is also informally referred to as the insider trading policy, describes the standards of Erie Indemnity Company (the “Company”) on trading, and causing the trading of, the Company’s securities or securities of certain other companies generally, as well as while in possession of confidential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Scope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This policy is divided into two parts:</w:t>
      </w:r>
    </w:p>
    <w:p>
      <w:pPr>
        <w:spacing w:after="0" w:line="81" w:lineRule="exact"/>
        <w:rPr>
          <w:sz w:val="20"/>
          <w:szCs w:val="20"/>
          <w:color w:val="auto"/>
        </w:rPr>
      </w:pPr>
    </w:p>
    <w:p>
      <w:pPr>
        <w:ind w:left="620" w:hanging="305"/>
        <w:spacing w:after="0"/>
        <w:tabs>
          <w:tab w:leader="none" w:pos="6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Part I prohibits trading in certain circumstances and applies to all (i) directors of the Company,</w:t>
      </w:r>
    </w:p>
    <w:p>
      <w:pPr>
        <w:spacing w:after="0" w:line="80" w:lineRule="exact"/>
        <w:rPr>
          <w:sz w:val="20"/>
          <w:szCs w:val="20"/>
          <w:color w:val="auto"/>
        </w:rPr>
      </w:pPr>
    </w:p>
    <w:p>
      <w:pPr>
        <w:ind w:left="640" w:right="1080"/>
        <w:spacing w:after="0" w:line="301" w:lineRule="auto"/>
        <w:tabs>
          <w:tab w:leader="none" w:pos="915" w:val="left"/>
        </w:tabs>
        <w:numPr>
          <w:ilvl w:val="0"/>
          <w:numId w:val="32"/>
        </w:numPr>
        <w:rPr>
          <w:rFonts w:ascii="Arial" w:cs="Arial" w:eastAsia="Arial" w:hAnsi="Arial"/>
          <w:sz w:val="19"/>
          <w:szCs w:val="19"/>
          <w:color w:val="auto"/>
        </w:rPr>
      </w:pPr>
      <w:r>
        <w:rPr>
          <w:rFonts w:ascii="Arial" w:cs="Arial" w:eastAsia="Arial" w:hAnsi="Arial"/>
          <w:sz w:val="19"/>
          <w:szCs w:val="19"/>
          <w:color w:val="auto"/>
        </w:rPr>
        <w:t>officers of the Company and (iii) employees of the Company, and (iv) family members and anyone else who lives in the same household as a director, officer or employee (collectively, "Covered Persons”).</w:t>
      </w:r>
    </w:p>
    <w:p>
      <w:pPr>
        <w:spacing w:after="0" w:line="5" w:lineRule="exact"/>
        <w:rPr>
          <w:sz w:val="20"/>
          <w:szCs w:val="20"/>
          <w:color w:val="auto"/>
        </w:rPr>
      </w:pPr>
    </w:p>
    <w:p>
      <w:pPr>
        <w:ind w:left="1280" w:right="1260" w:hanging="317"/>
        <w:spacing w:after="0" w:line="241" w:lineRule="auto"/>
        <w:tabs>
          <w:tab w:leader="none" w:pos="1279"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Family members who do not live in the same household as a Covered Person, but whose transactions in Company securities are directed by or subject to the influence or control of a Covered Person (e.g., parents or children who consult with a Covered Person before they trade in Company securities), are also subject to the terms of this insider trading policy. Covered Persons are responsible for the transactions of these other persons and therefore should make them aware of the need to confer with the Covered Person before they trade in the Company's securities.</w:t>
      </w:r>
    </w:p>
    <w:p>
      <w:pPr>
        <w:spacing w:after="0" w:line="39" w:lineRule="exact"/>
        <w:rPr>
          <w:rFonts w:ascii="Courier New" w:cs="Courier New" w:eastAsia="Courier New" w:hAnsi="Courier New"/>
          <w:sz w:val="20"/>
          <w:szCs w:val="20"/>
          <w:color w:val="auto"/>
        </w:rPr>
      </w:pPr>
    </w:p>
    <w:p>
      <w:pPr>
        <w:ind w:left="1280" w:right="1240" w:hanging="316"/>
        <w:spacing w:after="0" w:line="246" w:lineRule="auto"/>
        <w:tabs>
          <w:tab w:leader="none" w:pos="1279" w:val="left"/>
        </w:tabs>
        <w:numPr>
          <w:ilvl w:val="1"/>
          <w:numId w:val="33"/>
        </w:numPr>
        <w:rPr>
          <w:rFonts w:ascii="Courier New" w:cs="Courier New" w:eastAsia="Courier New" w:hAnsi="Courier New"/>
          <w:sz w:val="20"/>
          <w:szCs w:val="20"/>
          <w:color w:val="auto"/>
        </w:rPr>
      </w:pPr>
      <w:r>
        <w:rPr>
          <w:rFonts w:ascii="Arial" w:cs="Arial" w:eastAsia="Arial" w:hAnsi="Arial"/>
          <w:sz w:val="20"/>
          <w:szCs w:val="20"/>
          <w:color w:val="auto"/>
        </w:rPr>
        <w:t>This policy also applies to any entities, including the Company, influenced or controlled by Covered Persons, and transactions by these entities are treated, for purposes of this policy and applicable securities laws, as if they were for the account of the Covered Person. In addition, this policy applies to independent insurance agents, contractors, or consultants of the Company who have access to material nonpublic information.</w:t>
      </w:r>
    </w:p>
    <w:p>
      <w:pPr>
        <w:spacing w:after="0" w:line="31" w:lineRule="exact"/>
        <w:rPr>
          <w:rFonts w:ascii="Courier New" w:cs="Courier New" w:eastAsia="Courier New" w:hAnsi="Courier New"/>
          <w:sz w:val="20"/>
          <w:szCs w:val="20"/>
          <w:color w:val="auto"/>
        </w:rPr>
      </w:pPr>
    </w:p>
    <w:p>
      <w:pPr>
        <w:ind w:left="640" w:right="1180" w:hanging="323"/>
        <w:spacing w:after="0" w:line="277" w:lineRule="auto"/>
        <w:tabs>
          <w:tab w:leader="none" w:pos="627" w:val="left"/>
        </w:tabs>
        <w:numPr>
          <w:ilvl w:val="0"/>
          <w:numId w:val="33"/>
        </w:numPr>
        <w:rPr>
          <w:rFonts w:ascii="Times New Roman" w:cs="Times New Roman" w:eastAsia="Times New Roman" w:hAnsi="Times New Roman"/>
          <w:sz w:val="19"/>
          <w:szCs w:val="19"/>
          <w:color w:val="auto"/>
        </w:rPr>
      </w:pPr>
      <w:r>
        <w:rPr>
          <w:rFonts w:ascii="Arial" w:cs="Arial" w:eastAsia="Arial" w:hAnsi="Arial"/>
          <w:sz w:val="19"/>
          <w:szCs w:val="19"/>
          <w:color w:val="auto"/>
        </w:rPr>
        <w:t>Part II imposes special additional trading restrictions and applies to all (i) directors of the Company, (ii) officers of the Company at the level of Senior Vice President (“SVP”) and above and (iii) certain other employees that the Company may designate from time to time because of their position, responsibilities or their actual or potential access to material information (collectively, "Company Insiders").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The policy was adopted at a meeting of the Board of Directors of Erie Indemnity Company held on July 29, 2025.</w:t>
      </w:r>
    </w:p>
    <w:p>
      <w:pPr>
        <w:spacing w:after="0" w:line="72"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Part I</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000080"/>
        </w:rPr>
        <w:t>1. Applicable Transactions</w:t>
      </w:r>
    </w:p>
    <w:p>
      <w:pPr>
        <w:spacing w:after="0" w:line="76" w:lineRule="exact"/>
        <w:rPr>
          <w:sz w:val="20"/>
          <w:szCs w:val="20"/>
          <w:color w:val="auto"/>
        </w:rPr>
      </w:pPr>
    </w:p>
    <w:p>
      <w:pPr>
        <w:ind w:right="1160"/>
        <w:spacing w:after="0" w:line="267" w:lineRule="auto"/>
        <w:rPr>
          <w:sz w:val="20"/>
          <w:szCs w:val="20"/>
          <w:color w:val="auto"/>
        </w:rPr>
      </w:pPr>
      <w:r>
        <w:rPr>
          <w:rFonts w:ascii="Arial" w:cs="Arial" w:eastAsia="Arial" w:hAnsi="Arial"/>
          <w:sz w:val="19"/>
          <w:szCs w:val="19"/>
          <w:color w:val="auto"/>
        </w:rPr>
        <w:t>This policy applies to all transactions (i) in the Company’s securities (collectively referred to in this policy as Company securities), including the Company’s common stock, options to purchase common stock, or any other type of securities that the Company may issue, including, but not limited to, preferred stock, notes, bonds, convertible securities and warrants, as well as derivative securities relating to any of the Company securities, whether or not issued by the Company, such as exchange- traded put or call options or swaps relating to the Company’s securities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1</w:t>
      </w:r>
    </w:p>
    <w:p>
      <w:pPr>
        <w:sectPr>
          <w:pgSz w:w="11900" w:h="16838" w:orient="portrait"/>
          <w:cols w:equalWidth="0" w:num="1">
            <w:col w:w="10880"/>
          </w:cols>
          <w:pgMar w:left="660" w:top="513" w:right="359" w:bottom="1440" w:gutter="0" w:footer="0" w:header="0"/>
        </w:sectPr>
      </w:pPr>
    </w:p>
    <w:bookmarkStart w:id="84" w:name="page85"/>
    <w:bookmarkEnd w:id="84"/>
    <w:p>
      <w:pPr>
        <w:ind w:left="10" w:right="1040"/>
        <w:spacing w:after="0" w:line="270" w:lineRule="auto"/>
        <w:rPr>
          <w:sz w:val="20"/>
          <w:szCs w:val="20"/>
          <w:color w:val="auto"/>
        </w:rPr>
      </w:pPr>
      <w:r>
        <w:rPr>
          <w:rFonts w:ascii="Arial" w:cs="Arial" w:eastAsia="Arial" w:hAnsi="Arial"/>
          <w:sz w:val="19"/>
          <w:szCs w:val="19"/>
          <w:color w:val="auto"/>
        </w:rPr>
        <w:t>Transactions that may be necessary or justifiable for personal reasons (such as the need to raise money for an emergency expenditure) are not excepted from this policy, and the securities laws do not recognize such mitigating circumstances. This policy continues to apply to a Covered Person’s transactions in Company securities even after such person has terminated employment or board service. A Covered Person who is in possession of material nonpublic information about the Company when his or her employment or board service terminates may not trade in Company securities until that information has become public or is no longer material.</w:t>
      </w:r>
    </w:p>
    <w:p>
      <w:pPr>
        <w:spacing w:after="0" w:line="25" w:lineRule="exact"/>
        <w:rPr>
          <w:sz w:val="20"/>
          <w:szCs w:val="20"/>
          <w:color w:val="auto"/>
        </w:rPr>
      </w:pPr>
    </w:p>
    <w:p>
      <w:pPr>
        <w:ind w:left="330" w:right="2160" w:hanging="329"/>
        <w:spacing w:after="0" w:line="281" w:lineRule="auto"/>
        <w:tabs>
          <w:tab w:leader="none" w:pos="324" w:val="left"/>
        </w:tabs>
        <w:numPr>
          <w:ilvl w:val="0"/>
          <w:numId w:val="34"/>
        </w:numPr>
        <w:rPr>
          <w:rFonts w:ascii="Arial" w:cs="Arial" w:eastAsia="Arial" w:hAnsi="Arial"/>
          <w:sz w:val="25"/>
          <w:szCs w:val="25"/>
          <w:b w:val="1"/>
          <w:bCs w:val="1"/>
          <w:i w:val="1"/>
          <w:iCs w:val="1"/>
          <w:color w:val="000080"/>
        </w:rPr>
      </w:pPr>
      <w:r>
        <w:rPr>
          <w:rFonts w:ascii="Arial" w:cs="Arial" w:eastAsia="Arial" w:hAnsi="Arial"/>
          <w:sz w:val="25"/>
          <w:szCs w:val="25"/>
          <w:b w:val="1"/>
          <w:bCs w:val="1"/>
          <w:i w:val="1"/>
          <w:iCs w:val="1"/>
          <w:color w:val="000080"/>
        </w:rPr>
        <w:t>General Policy: No Trading or Causing Trading While in Possession of Material Nonpublic Information</w:t>
      </w:r>
    </w:p>
    <w:p>
      <w:pPr>
        <w:spacing w:after="0" w:line="1" w:lineRule="exact"/>
        <w:rPr>
          <w:sz w:val="20"/>
          <w:szCs w:val="20"/>
          <w:color w:val="auto"/>
        </w:rPr>
      </w:pPr>
    </w:p>
    <w:p>
      <w:pPr>
        <w:ind w:left="10" w:right="1040"/>
        <w:spacing w:after="0" w:line="254" w:lineRule="auto"/>
        <w:rPr>
          <w:sz w:val="20"/>
          <w:szCs w:val="20"/>
          <w:color w:val="auto"/>
        </w:rPr>
      </w:pPr>
      <w:r>
        <w:rPr>
          <w:rFonts w:ascii="Arial" w:cs="Arial" w:eastAsia="Arial" w:hAnsi="Arial"/>
          <w:sz w:val="20"/>
          <w:szCs w:val="20"/>
          <w:color w:val="auto"/>
        </w:rPr>
        <w:t>It is the policy of the Company that no Covered Person who is aware of material nonpublic information relating to the Company may, directly or through family members or other persons or entities (a) buy or sell Company securities (other than pursuant to a preapproved trading plan that complies with SEC Rule 10b5-1), or engage in any other action to take personal advantage of that information (commonly referred to as insider trading), or (b) pass that information on to others outside the Company, including family and friends (commonly referred to as tipping).</w:t>
      </w:r>
    </w:p>
    <w:p>
      <w:pPr>
        <w:spacing w:after="0" w:line="38" w:lineRule="exact"/>
        <w:rPr>
          <w:sz w:val="20"/>
          <w:szCs w:val="20"/>
          <w:color w:val="auto"/>
        </w:rPr>
      </w:pPr>
    </w:p>
    <w:p>
      <w:pPr>
        <w:ind w:left="10" w:right="1180"/>
        <w:spacing w:after="0" w:line="259" w:lineRule="auto"/>
        <w:rPr>
          <w:sz w:val="20"/>
          <w:szCs w:val="20"/>
          <w:color w:val="auto"/>
        </w:rPr>
      </w:pPr>
      <w:r>
        <w:rPr>
          <w:rFonts w:ascii="Arial" w:cs="Arial" w:eastAsia="Arial" w:hAnsi="Arial"/>
          <w:sz w:val="20"/>
          <w:szCs w:val="20"/>
          <w:color w:val="auto"/>
        </w:rPr>
        <w:t>In addition, it is the policy of the Company that no Covered Person who, in the course of working for the Company, learns of material nonpublic information about a company with which the Company does business, including a customer or supplier of the Company, may trade in that company's securities or disclose or “tip” any such information until the information becomes public or is no longer material.</w:t>
      </w:r>
    </w:p>
    <w:p>
      <w:pPr>
        <w:spacing w:after="0" w:line="33" w:lineRule="exact"/>
        <w:rPr>
          <w:sz w:val="20"/>
          <w:szCs w:val="20"/>
          <w:color w:val="auto"/>
        </w:rPr>
      </w:pPr>
    </w:p>
    <w:p>
      <w:pPr>
        <w:ind w:left="10" w:right="1080"/>
        <w:spacing w:after="0" w:line="259" w:lineRule="auto"/>
        <w:rPr>
          <w:sz w:val="20"/>
          <w:szCs w:val="20"/>
          <w:color w:val="auto"/>
        </w:rPr>
      </w:pPr>
      <w:r>
        <w:rPr>
          <w:rFonts w:ascii="Arial" w:cs="Arial" w:eastAsia="Arial" w:hAnsi="Arial"/>
          <w:sz w:val="20"/>
          <w:szCs w:val="20"/>
          <w:color w:val="auto"/>
        </w:rPr>
        <w:t>Any written or verbal statement that would be prohibited under the law or under this policy is equally prohibited if made on social media platforms like Facebook, Twitter, Snapchat, or Instagram, or if made on electronic bulletin boards, chat rooms, blogs or websites, including the disclosure or “tipping” of material nonpublic information about the Company or any company with which the Company does business.</w:t>
      </w:r>
    </w:p>
    <w:p>
      <w:pPr>
        <w:spacing w:after="0" w:line="33" w:lineRule="exact"/>
        <w:rPr>
          <w:sz w:val="20"/>
          <w:szCs w:val="20"/>
          <w:color w:val="auto"/>
        </w:rPr>
      </w:pPr>
    </w:p>
    <w:p>
      <w:pPr>
        <w:jc w:val="both"/>
        <w:ind w:left="10" w:right="1020"/>
        <w:spacing w:after="0" w:line="262" w:lineRule="auto"/>
        <w:rPr>
          <w:sz w:val="20"/>
          <w:szCs w:val="20"/>
          <w:color w:val="auto"/>
        </w:rPr>
      </w:pPr>
      <w:r>
        <w:rPr>
          <w:rFonts w:ascii="Arial" w:cs="Arial" w:eastAsia="Arial" w:hAnsi="Arial"/>
          <w:sz w:val="20"/>
          <w:szCs w:val="20"/>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w:t>
      </w:r>
    </w:p>
    <w:p>
      <w:pPr>
        <w:spacing w:after="0" w:line="30" w:lineRule="exact"/>
        <w:rPr>
          <w:sz w:val="20"/>
          <w:szCs w:val="20"/>
          <w:color w:val="auto"/>
        </w:rPr>
      </w:pPr>
    </w:p>
    <w:p>
      <w:pPr>
        <w:ind w:left="10" w:right="1300"/>
        <w:spacing w:after="0" w:line="271" w:lineRule="auto"/>
        <w:rPr>
          <w:sz w:val="20"/>
          <w:szCs w:val="20"/>
          <w:color w:val="auto"/>
        </w:rPr>
      </w:pPr>
      <w:r>
        <w:rPr>
          <w:rFonts w:ascii="Arial" w:cs="Arial" w:eastAsia="Arial" w:hAnsi="Arial"/>
          <w:sz w:val="20"/>
          <w:szCs w:val="20"/>
          <w:color w:val="auto"/>
        </w:rPr>
        <w:t>Company Insiders must "pre-clear" all trading in securities of the Company in accordance with the procedures set forth in Part II, Section 1 below.</w:t>
      </w:r>
    </w:p>
    <w:p>
      <w:pPr>
        <w:spacing w:after="0" w:line="22" w:lineRule="exact"/>
        <w:rPr>
          <w:sz w:val="20"/>
          <w:szCs w:val="20"/>
          <w:color w:val="auto"/>
        </w:rPr>
      </w:pPr>
    </w:p>
    <w:p>
      <w:pPr>
        <w:ind w:left="310" w:hanging="310"/>
        <w:spacing w:after="0"/>
        <w:tabs>
          <w:tab w:leader="none" w:pos="310" w:val="left"/>
        </w:tabs>
        <w:numPr>
          <w:ilvl w:val="0"/>
          <w:numId w:val="35"/>
        </w:numPr>
        <w:rPr>
          <w:rFonts w:ascii="Arial" w:cs="Arial" w:eastAsia="Arial" w:hAnsi="Arial"/>
          <w:sz w:val="25"/>
          <w:szCs w:val="25"/>
          <w:b w:val="1"/>
          <w:bCs w:val="1"/>
          <w:i w:val="1"/>
          <w:iCs w:val="1"/>
          <w:color w:val="000080"/>
        </w:rPr>
      </w:pPr>
      <w:r>
        <w:rPr>
          <w:rFonts w:ascii="Arial" w:cs="Arial" w:eastAsia="Arial" w:hAnsi="Arial"/>
          <w:sz w:val="25"/>
          <w:szCs w:val="25"/>
          <w:b w:val="1"/>
          <w:bCs w:val="1"/>
          <w:i w:val="1"/>
          <w:iCs w:val="1"/>
          <w:color w:val="000080"/>
        </w:rPr>
        <w:t>Definitions</w:t>
      </w:r>
    </w:p>
    <w:p>
      <w:pPr>
        <w:spacing w:after="0" w:line="87" w:lineRule="exact"/>
        <w:rPr>
          <w:rFonts w:ascii="Arial" w:cs="Arial" w:eastAsia="Arial" w:hAnsi="Arial"/>
          <w:sz w:val="25"/>
          <w:szCs w:val="25"/>
          <w:b w:val="1"/>
          <w:bCs w:val="1"/>
          <w:i w:val="1"/>
          <w:iCs w:val="1"/>
          <w:color w:val="000080"/>
        </w:rPr>
      </w:pPr>
    </w:p>
    <w:p>
      <w:pPr>
        <w:ind w:left="10" w:right="1260" w:hanging="9"/>
        <w:spacing w:after="0" w:line="278" w:lineRule="auto"/>
        <w:tabs>
          <w:tab w:leader="none" w:pos="33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Material</w:t>
      </w:r>
      <w:r>
        <w:rPr>
          <w:rFonts w:ascii="Arial" w:cs="Arial" w:eastAsia="Arial" w:hAnsi="Arial"/>
          <w:sz w:val="19"/>
          <w:szCs w:val="19"/>
          <w:color w:val="auto"/>
        </w:rPr>
        <w:t>. Insider trading restrictions come into play only if the information you possess is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20"/>
          <w:szCs w:val="20"/>
          <w:color w:val="auto"/>
        </w:rPr>
        <w:t>Information dealing with the following subjects is reasonably likely to be found material in particular situations:</w:t>
      </w:r>
    </w:p>
    <w:p>
      <w:pPr>
        <w:spacing w:after="0" w:line="81" w:lineRule="exact"/>
        <w:rPr>
          <w:sz w:val="20"/>
          <w:szCs w:val="20"/>
          <w:color w:val="auto"/>
        </w:rPr>
      </w:pPr>
    </w:p>
    <w:p>
      <w:pPr>
        <w:ind w:left="630" w:hanging="305"/>
        <w:spacing w:after="0"/>
        <w:tabs>
          <w:tab w:leader="none" w:pos="63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or annual earnings results;</w:t>
      </w:r>
    </w:p>
    <w:p>
      <w:pPr>
        <w:spacing w:after="0" w:line="79" w:lineRule="exact"/>
        <w:rPr>
          <w:rFonts w:ascii="Times New Roman" w:cs="Times New Roman" w:eastAsia="Times New Roman" w:hAnsi="Times New Roman"/>
          <w:sz w:val="20"/>
          <w:szCs w:val="20"/>
          <w:color w:val="auto"/>
        </w:rPr>
      </w:pPr>
    </w:p>
    <w:p>
      <w:pPr>
        <w:ind w:left="650" w:right="1460" w:hanging="325"/>
        <w:spacing w:after="0" w:line="256" w:lineRule="auto"/>
        <w:tabs>
          <w:tab w:leader="none" w:pos="637"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proposals, plans or agreements, even if preliminary in nature, involving mergers, acquisitions, tender offers, joint ventures, divestitures, or other changes in assets;</w:t>
      </w:r>
    </w:p>
    <w:p>
      <w:pPr>
        <w:spacing w:after="0" w:line="34" w:lineRule="exact"/>
        <w:rPr>
          <w:rFonts w:ascii="Times New Roman" w:cs="Times New Roman" w:eastAsia="Times New Roman" w:hAnsi="Times New Roman"/>
          <w:sz w:val="20"/>
          <w:szCs w:val="20"/>
          <w:color w:val="auto"/>
        </w:rPr>
      </w:pPr>
    </w:p>
    <w:p>
      <w:pPr>
        <w:ind w:left="630" w:hanging="305"/>
        <w:spacing w:after="0"/>
        <w:tabs>
          <w:tab w:leader="none" w:pos="63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increases or reductions in dividends;</w:t>
      </w:r>
    </w:p>
    <w:p>
      <w:pPr>
        <w:spacing w:after="0" w:line="66" w:lineRule="exact"/>
        <w:rPr>
          <w:rFonts w:ascii="Times New Roman" w:cs="Times New Roman" w:eastAsia="Times New Roman" w:hAnsi="Times New Roman"/>
          <w:sz w:val="20"/>
          <w:szCs w:val="20"/>
          <w:color w:val="auto"/>
        </w:rPr>
      </w:pPr>
    </w:p>
    <w:p>
      <w:pPr>
        <w:ind w:left="630" w:hanging="305"/>
        <w:spacing w:after="0"/>
        <w:tabs>
          <w:tab w:leader="none" w:pos="63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entry into, material amendment to, or termination of a significant contract;</w:t>
      </w:r>
    </w:p>
    <w:p>
      <w:pPr>
        <w:spacing w:after="0" w:line="79" w:lineRule="exact"/>
        <w:rPr>
          <w:rFonts w:ascii="Times New Roman" w:cs="Times New Roman" w:eastAsia="Times New Roman" w:hAnsi="Times New Roman"/>
          <w:sz w:val="20"/>
          <w:szCs w:val="20"/>
          <w:color w:val="auto"/>
        </w:rPr>
      </w:pPr>
    </w:p>
    <w:p>
      <w:pPr>
        <w:ind w:left="630" w:hanging="304"/>
        <w:spacing w:after="0"/>
        <w:tabs>
          <w:tab w:leader="none" w:pos="630" w:val="left"/>
        </w:tabs>
        <w:numPr>
          <w:ilvl w:val="0"/>
          <w:numId w:val="36"/>
        </w:numPr>
        <w:rPr>
          <w:rFonts w:ascii="Times New Roman" w:cs="Times New Roman" w:eastAsia="Times New Roman" w:hAnsi="Times New Roman"/>
          <w:sz w:val="20"/>
          <w:szCs w:val="20"/>
          <w:color w:val="auto"/>
        </w:rPr>
      </w:pPr>
      <w:r>
        <w:rPr>
          <w:rFonts w:ascii="Arial" w:cs="Arial" w:eastAsia="Arial" w:hAnsi="Arial"/>
          <w:sz w:val="20"/>
          <w:szCs w:val="20"/>
          <w:color w:val="auto"/>
        </w:rPr>
        <w:t>major changes in the Company’s management or the board of directors or changes in control;</w:t>
      </w: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2</w:t>
      </w:r>
    </w:p>
    <w:p>
      <w:pPr>
        <w:sectPr>
          <w:pgSz w:w="11900" w:h="16838" w:orient="portrait"/>
          <w:cols w:equalWidth="0" w:num="1">
            <w:col w:w="10890"/>
          </w:cols>
          <w:pgMar w:left="650" w:top="509" w:right="359" w:bottom="1440" w:gutter="0" w:footer="0" w:header="0"/>
        </w:sectPr>
      </w:pPr>
    </w:p>
    <w:bookmarkStart w:id="85" w:name="page86"/>
    <w:bookmarkEnd w:id="85"/>
    <w:p>
      <w:pPr>
        <w:ind w:left="649" w:right="1300" w:hanging="325"/>
        <w:spacing w:after="0" w:line="271" w:lineRule="auto"/>
        <w:tabs>
          <w:tab w:leader="none" w:pos="636"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events that impact the Erie Insurance Exchange for which the Company acts as attorney-in-fact, such as proposed rate increases or the financial impact of catastrophic events;</w:t>
      </w:r>
    </w:p>
    <w:p>
      <w:pPr>
        <w:spacing w:after="0" w:line="6"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major litigation;</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establishment or modification of a program to buy the Company's own shares;</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new services, products, developments or geographic expansion;</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change in auditors or disagreements with auditors;</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deterioration in the Company’s credit status or industry ratings;</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applicable insurance laws, rules or regulations;</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changes in the value or liquidity of the Company’s securities; and</w:t>
      </w:r>
    </w:p>
    <w:p>
      <w:pPr>
        <w:spacing w:after="0" w:line="79" w:lineRule="exact"/>
        <w:rPr>
          <w:rFonts w:ascii="Times New Roman" w:cs="Times New Roman" w:eastAsia="Times New Roman" w:hAnsi="Times New Roman"/>
          <w:sz w:val="20"/>
          <w:szCs w:val="20"/>
          <w:color w:val="auto"/>
        </w:rPr>
      </w:pPr>
    </w:p>
    <w:p>
      <w:pPr>
        <w:ind w:left="629" w:hanging="304"/>
        <w:spacing w:after="0"/>
        <w:tabs>
          <w:tab w:leader="none" w:pos="629"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the investigation or occurrence of a cybersecurity incident.</w:t>
      </w:r>
    </w:p>
    <w:p>
      <w:pPr>
        <w:spacing w:after="0" w:line="80" w:lineRule="exact"/>
        <w:rPr>
          <w:sz w:val="20"/>
          <w:szCs w:val="20"/>
          <w:color w:val="auto"/>
        </w:rPr>
      </w:pPr>
    </w:p>
    <w:p>
      <w:pPr>
        <w:ind w:left="9" w:right="1620"/>
        <w:spacing w:after="0" w:line="254" w:lineRule="auto"/>
        <w:rPr>
          <w:sz w:val="20"/>
          <w:szCs w:val="20"/>
          <w:color w:val="auto"/>
        </w:rPr>
      </w:pPr>
      <w:r>
        <w:rPr>
          <w:rFonts w:ascii="Arial" w:cs="Arial" w:eastAsia="Arial" w:hAnsi="Arial"/>
          <w:sz w:val="20"/>
          <w:szCs w:val="20"/>
          <w:color w:val="auto"/>
        </w:rPr>
        <w:t>Material information is not limited to historical facts but may also include projections and forecasts. With respect to a future event, the point at which negotiations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w:t>
      </w:r>
    </w:p>
    <w:p>
      <w:pPr>
        <w:spacing w:after="0" w:line="38" w:lineRule="exact"/>
        <w:rPr>
          <w:sz w:val="20"/>
          <w:szCs w:val="20"/>
          <w:color w:val="auto"/>
        </w:rPr>
      </w:pPr>
    </w:p>
    <w:p>
      <w:pPr>
        <w:ind w:left="9" w:right="1700"/>
        <w:spacing w:after="0" w:line="269" w:lineRule="auto"/>
        <w:rPr>
          <w:sz w:val="20"/>
          <w:szCs w:val="20"/>
          <w:color w:val="auto"/>
        </w:rPr>
      </w:pPr>
      <w:r>
        <w:rPr>
          <w:rFonts w:ascii="Arial" w:cs="Arial" w:eastAsia="Arial" w:hAnsi="Arial"/>
          <w:sz w:val="19"/>
          <w:szCs w:val="19"/>
          <w:color w:val="auto"/>
        </w:rPr>
        <w:t xml:space="preserve">When in doubt, information obtained as an employee of the Company should be presumed to be material and not public. </w:t>
      </w:r>
      <w:r>
        <w:rPr>
          <w:rFonts w:ascii="Arial" w:cs="Arial" w:eastAsia="Arial" w:hAnsi="Arial"/>
          <w:sz w:val="19"/>
          <w:szCs w:val="19"/>
          <w:b w:val="1"/>
          <w:bCs w:val="1"/>
          <w:color w:val="auto"/>
        </w:rPr>
        <w:t>If you are unsure whether information is material, you should either consult the</w:t>
      </w:r>
    </w:p>
    <w:p>
      <w:pPr>
        <w:spacing w:after="0" w:line="1" w:lineRule="exact"/>
        <w:rPr>
          <w:sz w:val="20"/>
          <w:szCs w:val="20"/>
          <w:color w:val="auto"/>
        </w:rPr>
      </w:pPr>
    </w:p>
    <w:p>
      <w:pPr>
        <w:ind w:left="9" w:right="2020"/>
        <w:spacing w:after="0" w:line="258" w:lineRule="auto"/>
        <w:rPr>
          <w:sz w:val="20"/>
          <w:szCs w:val="20"/>
          <w:color w:val="auto"/>
        </w:rPr>
      </w:pPr>
      <w:r>
        <w:rPr>
          <w:rFonts w:ascii="Arial" w:cs="Arial" w:eastAsia="Arial" w:hAnsi="Arial"/>
          <w:sz w:val="20"/>
          <w:szCs w:val="20"/>
          <w:b w:val="1"/>
          <w:bCs w:val="1"/>
          <w:color w:val="auto"/>
        </w:rPr>
        <w:t>Compliance Officer before making any decision to disclose such information (other than to persons who need to know it) or to trade in or recommend securities to which that information relates or assume that the information is material.</w:t>
      </w:r>
    </w:p>
    <w:p>
      <w:pPr>
        <w:spacing w:after="0" w:line="21" w:lineRule="exact"/>
        <w:rPr>
          <w:sz w:val="20"/>
          <w:szCs w:val="20"/>
          <w:color w:val="auto"/>
        </w:rPr>
      </w:pPr>
    </w:p>
    <w:p>
      <w:pPr>
        <w:ind w:left="9" w:right="1520" w:hanging="8"/>
        <w:spacing w:after="0" w:line="254"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Nonpublic</w:t>
      </w:r>
      <w:r>
        <w:rPr>
          <w:rFonts w:ascii="Arial" w:cs="Arial" w:eastAsia="Arial" w:hAnsi="Arial"/>
          <w:sz w:val="20"/>
          <w:szCs w:val="20"/>
          <w:color w:val="auto"/>
        </w:rPr>
        <w:t>. Insider trading prohibitions come into play only when you possess information that is</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26" w:lineRule="exact"/>
        <w:rPr>
          <w:rFonts w:ascii="Arial" w:cs="Arial" w:eastAsia="Arial" w:hAnsi="Arial"/>
          <w:sz w:val="20"/>
          <w:szCs w:val="20"/>
          <w:color w:val="auto"/>
        </w:rPr>
      </w:pPr>
    </w:p>
    <w:p>
      <w:pPr>
        <w:ind w:left="9"/>
        <w:spacing w:after="0"/>
        <w:rPr>
          <w:rFonts w:ascii="Arial" w:cs="Arial" w:eastAsia="Arial" w:hAnsi="Arial"/>
          <w:sz w:val="20"/>
          <w:szCs w:val="20"/>
          <w:color w:val="auto"/>
        </w:rPr>
      </w:pPr>
      <w:r>
        <w:rPr>
          <w:rFonts w:ascii="Arial" w:cs="Arial" w:eastAsia="Arial" w:hAnsi="Arial"/>
          <w:sz w:val="20"/>
          <w:szCs w:val="20"/>
          <w:color w:val="auto"/>
        </w:rPr>
        <w:t>Nonpublic information may include:</w:t>
      </w:r>
    </w:p>
    <w:p>
      <w:pPr>
        <w:spacing w:after="0" w:line="80" w:lineRule="exact"/>
        <w:rPr>
          <w:rFonts w:ascii="Arial" w:cs="Arial" w:eastAsia="Arial" w:hAnsi="Arial"/>
          <w:sz w:val="20"/>
          <w:szCs w:val="20"/>
          <w:color w:val="auto"/>
        </w:rPr>
      </w:pPr>
    </w:p>
    <w:p>
      <w:pPr>
        <w:ind w:left="729" w:hanging="310"/>
        <w:spacing w:after="0"/>
        <w:tabs>
          <w:tab w:leader="none" w:pos="729"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information available to a select group of analysts or brokers or institutional investors;</w:t>
      </w:r>
    </w:p>
    <w:p>
      <w:pPr>
        <w:spacing w:after="0" w:line="80" w:lineRule="exact"/>
        <w:rPr>
          <w:rFonts w:ascii="Arial" w:cs="Arial" w:eastAsia="Arial" w:hAnsi="Arial"/>
          <w:sz w:val="20"/>
          <w:szCs w:val="20"/>
          <w:color w:val="auto"/>
        </w:rPr>
      </w:pPr>
    </w:p>
    <w:p>
      <w:pPr>
        <w:ind w:left="729" w:hanging="310"/>
        <w:spacing w:after="0"/>
        <w:tabs>
          <w:tab w:leader="none" w:pos="729" w:val="left"/>
        </w:tabs>
        <w:numPr>
          <w:ilvl w:val="1"/>
          <w:numId w:val="38"/>
        </w:numPr>
        <w:rPr>
          <w:rFonts w:ascii="Arial" w:cs="Arial" w:eastAsia="Arial" w:hAnsi="Arial"/>
          <w:sz w:val="20"/>
          <w:szCs w:val="20"/>
          <w:color w:val="auto"/>
        </w:rPr>
      </w:pPr>
      <w:r>
        <w:rPr>
          <w:rFonts w:ascii="Arial" w:cs="Arial" w:eastAsia="Arial" w:hAnsi="Arial"/>
          <w:sz w:val="20"/>
          <w:szCs w:val="20"/>
          <w:color w:val="auto"/>
        </w:rPr>
        <w:t>undisclosed facts that are the subject of rumors, even if the rumors are widely circulated; and</w:t>
      </w:r>
    </w:p>
    <w:p>
      <w:pPr>
        <w:spacing w:after="0" w:line="80" w:lineRule="exact"/>
        <w:rPr>
          <w:rFonts w:ascii="Arial" w:cs="Arial" w:eastAsia="Arial" w:hAnsi="Arial"/>
          <w:sz w:val="20"/>
          <w:szCs w:val="20"/>
          <w:color w:val="auto"/>
        </w:rPr>
      </w:pPr>
    </w:p>
    <w:p>
      <w:pPr>
        <w:ind w:left="729" w:right="1700" w:hanging="310"/>
        <w:spacing w:after="0" w:line="262" w:lineRule="auto"/>
        <w:tabs>
          <w:tab w:leader="none" w:pos="722"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30" w:lineRule="exact"/>
        <w:rPr>
          <w:sz w:val="20"/>
          <w:szCs w:val="20"/>
          <w:color w:val="auto"/>
        </w:rPr>
      </w:pPr>
    </w:p>
    <w:p>
      <w:pPr>
        <w:ind w:left="9" w:right="1840"/>
        <w:spacing w:after="0" w:line="262" w:lineRule="auto"/>
        <w:rPr>
          <w:sz w:val="20"/>
          <w:szCs w:val="20"/>
          <w:color w:val="auto"/>
        </w:rPr>
      </w:pPr>
      <w:r>
        <w:rPr>
          <w:rFonts w:ascii="Arial" w:cs="Arial" w:eastAsia="Arial" w:hAnsi="Arial"/>
          <w:sz w:val="20"/>
          <w:szCs w:val="20"/>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28" w:lineRule="exact"/>
        <w:rPr>
          <w:sz w:val="20"/>
          <w:szCs w:val="20"/>
          <w:color w:val="auto"/>
        </w:rPr>
      </w:pPr>
    </w:p>
    <w:p>
      <w:pPr>
        <w:ind w:left="9" w:right="1060" w:hanging="9"/>
        <w:spacing w:after="0" w:line="270" w:lineRule="auto"/>
        <w:tabs>
          <w:tab w:leader="none" w:pos="32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Compliance Officer</w:t>
      </w:r>
      <w:r>
        <w:rPr>
          <w:rFonts w:ascii="Arial" w:cs="Arial" w:eastAsia="Arial" w:hAnsi="Arial"/>
          <w:sz w:val="20"/>
          <w:szCs w:val="20"/>
          <w:color w:val="auto"/>
        </w:rPr>
        <w:t>. The Company has appointed the General Counsel &amp; Corporate Secretary, or his or her</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as the Compliance Officer for this policy. The duties of the Compliance Officer include, but are not limited to, the following:</w:t>
      </w:r>
    </w:p>
    <w:p>
      <w:pPr>
        <w:spacing w:after="0" w:line="22" w:lineRule="exact"/>
        <w:rPr>
          <w:rFonts w:ascii="Arial" w:cs="Arial" w:eastAsia="Arial" w:hAnsi="Arial"/>
          <w:sz w:val="20"/>
          <w:szCs w:val="20"/>
          <w:color w:val="auto"/>
        </w:rPr>
      </w:pPr>
    </w:p>
    <w:p>
      <w:pPr>
        <w:ind w:left="729" w:hanging="310"/>
        <w:spacing w:after="0"/>
        <w:tabs>
          <w:tab w:leader="none" w:pos="729" w:val="left"/>
        </w:tabs>
        <w:numPr>
          <w:ilvl w:val="1"/>
          <w:numId w:val="39"/>
        </w:numPr>
        <w:rPr>
          <w:rFonts w:ascii="Arial" w:cs="Arial" w:eastAsia="Arial" w:hAnsi="Arial"/>
          <w:sz w:val="20"/>
          <w:szCs w:val="20"/>
          <w:color w:val="auto"/>
        </w:rPr>
      </w:pPr>
      <w:r>
        <w:rPr>
          <w:rFonts w:ascii="Arial" w:cs="Arial" w:eastAsia="Arial" w:hAnsi="Arial"/>
          <w:sz w:val="20"/>
          <w:szCs w:val="20"/>
          <w:color w:val="auto"/>
        </w:rPr>
        <w:t>assisting with implementation and enforcement of this policy;</w:t>
      </w:r>
    </w:p>
    <w:p>
      <w:pPr>
        <w:spacing w:after="0" w:line="67" w:lineRule="exact"/>
        <w:rPr>
          <w:rFonts w:ascii="Arial" w:cs="Arial" w:eastAsia="Arial" w:hAnsi="Arial"/>
          <w:sz w:val="20"/>
          <w:szCs w:val="20"/>
          <w:color w:val="auto"/>
        </w:rPr>
      </w:pPr>
    </w:p>
    <w:p>
      <w:pPr>
        <w:ind w:left="729" w:hanging="310"/>
        <w:spacing w:after="0"/>
        <w:tabs>
          <w:tab w:leader="none" w:pos="729" w:val="left"/>
        </w:tabs>
        <w:numPr>
          <w:ilvl w:val="1"/>
          <w:numId w:val="39"/>
        </w:numPr>
        <w:rPr>
          <w:rFonts w:ascii="Arial" w:cs="Arial" w:eastAsia="Arial" w:hAnsi="Arial"/>
          <w:sz w:val="20"/>
          <w:szCs w:val="20"/>
          <w:color w:val="auto"/>
        </w:rPr>
      </w:pPr>
      <w:r>
        <w:rPr>
          <w:rFonts w:ascii="Arial" w:cs="Arial" w:eastAsia="Arial" w:hAnsi="Arial"/>
          <w:sz w:val="20"/>
          <w:szCs w:val="20"/>
          <w:color w:val="auto"/>
        </w:rPr>
        <w:t>circulating this policy to all employees and ensuring that this policy is amended as</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3</w:t>
      </w:r>
    </w:p>
    <w:p>
      <w:pPr>
        <w:sectPr>
          <w:pgSz w:w="11900" w:h="16838" w:orient="portrait"/>
          <w:cols w:equalWidth="0" w:num="1">
            <w:col w:w="10889"/>
          </w:cols>
          <w:pgMar w:left="651" w:top="509" w:right="359" w:bottom="1440" w:gutter="0" w:footer="0" w:header="0"/>
        </w:sectPr>
      </w:pPr>
    </w:p>
    <w:bookmarkStart w:id="86" w:name="page87"/>
    <w:bookmarkEnd w:id="86"/>
    <w:p>
      <w:pPr>
        <w:ind w:left="750"/>
        <w:spacing w:after="0"/>
        <w:rPr>
          <w:sz w:val="20"/>
          <w:szCs w:val="20"/>
          <w:color w:val="auto"/>
        </w:rPr>
      </w:pPr>
      <w:r>
        <w:rPr>
          <w:rFonts w:ascii="Arial" w:cs="Arial" w:eastAsia="Arial" w:hAnsi="Arial"/>
          <w:sz w:val="20"/>
          <w:szCs w:val="20"/>
          <w:color w:val="auto"/>
        </w:rPr>
        <w:t>necessary to remain up-to-date with insider trading laws;</w:t>
      </w:r>
    </w:p>
    <w:p>
      <w:pPr>
        <w:spacing w:after="0" w:line="81" w:lineRule="exact"/>
        <w:rPr>
          <w:sz w:val="20"/>
          <w:szCs w:val="20"/>
          <w:color w:val="auto"/>
        </w:rPr>
      </w:pPr>
    </w:p>
    <w:p>
      <w:pPr>
        <w:ind w:left="730" w:right="2040" w:hanging="310"/>
        <w:spacing w:after="0" w:line="286" w:lineRule="auto"/>
        <w:tabs>
          <w:tab w:leader="none" w:pos="722" w:val="left"/>
        </w:tabs>
        <w:numPr>
          <w:ilvl w:val="1"/>
          <w:numId w:val="40"/>
        </w:numPr>
        <w:rPr>
          <w:rFonts w:ascii="Arial" w:cs="Arial" w:eastAsia="Arial" w:hAnsi="Arial"/>
          <w:sz w:val="20"/>
          <w:szCs w:val="20"/>
          <w:color w:val="auto"/>
        </w:rPr>
      </w:pPr>
      <w:r>
        <w:rPr>
          <w:rFonts w:ascii="Arial" w:cs="Arial" w:eastAsia="Arial" w:hAnsi="Arial"/>
          <w:sz w:val="20"/>
          <w:szCs w:val="20"/>
          <w:color w:val="auto"/>
        </w:rPr>
        <w:t>pre-clearing all trading in securities of the Company by Company Insiders in accordance with the procedures set forth in Part II, Section 1 below; and</w:t>
      </w:r>
    </w:p>
    <w:p>
      <w:pPr>
        <w:spacing w:after="0" w:line="5" w:lineRule="exact"/>
        <w:rPr>
          <w:rFonts w:ascii="Arial" w:cs="Arial" w:eastAsia="Arial" w:hAnsi="Arial"/>
          <w:sz w:val="20"/>
          <w:szCs w:val="20"/>
          <w:color w:val="auto"/>
        </w:rPr>
      </w:pPr>
    </w:p>
    <w:p>
      <w:pPr>
        <w:ind w:left="730" w:right="2640" w:hanging="310"/>
        <w:spacing w:after="0" w:line="271" w:lineRule="auto"/>
        <w:tabs>
          <w:tab w:leader="none" w:pos="722" w:val="left"/>
        </w:tabs>
        <w:numPr>
          <w:ilvl w:val="1"/>
          <w:numId w:val="40"/>
        </w:numPr>
        <w:rPr>
          <w:rFonts w:ascii="Arial" w:cs="Arial" w:eastAsia="Arial" w:hAnsi="Arial"/>
          <w:sz w:val="20"/>
          <w:szCs w:val="20"/>
          <w:color w:val="auto"/>
        </w:rPr>
      </w:pPr>
      <w:r>
        <w:rPr>
          <w:rFonts w:ascii="Arial" w:cs="Arial" w:eastAsia="Arial" w:hAnsi="Arial"/>
          <w:sz w:val="20"/>
          <w:szCs w:val="20"/>
          <w:color w:val="auto"/>
        </w:rPr>
        <w:t>providing approval of any Rule 10b5-1 plans under Part II, Section 2(c) below and any prohibited transactions under Part II, Section 4 below.</w:t>
      </w:r>
    </w:p>
    <w:p>
      <w:pPr>
        <w:spacing w:after="0" w:line="20" w:lineRule="exact"/>
        <w:rPr>
          <w:rFonts w:ascii="Arial" w:cs="Arial" w:eastAsia="Arial" w:hAnsi="Arial"/>
          <w:sz w:val="20"/>
          <w:szCs w:val="20"/>
          <w:color w:val="auto"/>
        </w:rPr>
      </w:pPr>
    </w:p>
    <w:p>
      <w:pPr>
        <w:ind w:left="730" w:hanging="310"/>
        <w:spacing w:after="0"/>
        <w:tabs>
          <w:tab w:leader="none" w:pos="730" w:val="left"/>
        </w:tabs>
        <w:numPr>
          <w:ilvl w:val="1"/>
          <w:numId w:val="40"/>
        </w:numPr>
        <w:rPr>
          <w:rFonts w:ascii="Arial" w:cs="Arial" w:eastAsia="Arial" w:hAnsi="Arial"/>
          <w:sz w:val="20"/>
          <w:szCs w:val="20"/>
          <w:color w:val="auto"/>
        </w:rPr>
      </w:pPr>
      <w:r>
        <w:rPr>
          <w:rFonts w:ascii="Arial" w:cs="Arial" w:eastAsia="Arial" w:hAnsi="Arial"/>
          <w:sz w:val="20"/>
          <w:szCs w:val="20"/>
          <w:color w:val="auto"/>
        </w:rPr>
        <w:t>providing a reporting system with an effective whistleblower protection mechanism.</w:t>
      </w:r>
    </w:p>
    <w:p>
      <w:pPr>
        <w:spacing w:after="0" w:line="81" w:lineRule="exact"/>
        <w:rPr>
          <w:rFonts w:ascii="Arial" w:cs="Arial" w:eastAsia="Arial" w:hAnsi="Arial"/>
          <w:sz w:val="20"/>
          <w:szCs w:val="20"/>
          <w:color w:val="auto"/>
        </w:rPr>
      </w:pPr>
    </w:p>
    <w:p>
      <w:pPr>
        <w:ind w:left="310" w:hanging="310"/>
        <w:spacing w:after="0"/>
        <w:tabs>
          <w:tab w:leader="none" w:pos="310" w:val="left"/>
        </w:tabs>
        <w:numPr>
          <w:ilvl w:val="0"/>
          <w:numId w:val="40"/>
        </w:numPr>
        <w:rPr>
          <w:rFonts w:ascii="Arial" w:cs="Arial" w:eastAsia="Arial" w:hAnsi="Arial"/>
          <w:sz w:val="25"/>
          <w:szCs w:val="25"/>
          <w:b w:val="1"/>
          <w:bCs w:val="1"/>
          <w:i w:val="1"/>
          <w:iCs w:val="1"/>
          <w:color w:val="000080"/>
        </w:rPr>
      </w:pPr>
      <w:r>
        <w:rPr>
          <w:rFonts w:ascii="Arial" w:cs="Arial" w:eastAsia="Arial" w:hAnsi="Arial"/>
          <w:sz w:val="25"/>
          <w:szCs w:val="25"/>
          <w:b w:val="1"/>
          <w:bCs w:val="1"/>
          <w:i w:val="1"/>
          <w:iCs w:val="1"/>
          <w:color w:val="000080"/>
        </w:rPr>
        <w:t>Violations of Insider Trading Laws</w:t>
      </w:r>
    </w:p>
    <w:p>
      <w:pPr>
        <w:spacing w:after="0" w:line="89" w:lineRule="exact"/>
        <w:rPr>
          <w:sz w:val="20"/>
          <w:szCs w:val="20"/>
          <w:color w:val="auto"/>
        </w:rPr>
      </w:pPr>
    </w:p>
    <w:p>
      <w:pPr>
        <w:ind w:left="10" w:right="1100"/>
        <w:spacing w:after="0" w:line="254" w:lineRule="auto"/>
        <w:rPr>
          <w:sz w:val="20"/>
          <w:szCs w:val="20"/>
          <w:color w:val="auto"/>
        </w:rPr>
      </w:pPr>
      <w:r>
        <w:rPr>
          <w:rFonts w:ascii="Arial" w:cs="Arial" w:eastAsia="Arial" w:hAnsi="Arial"/>
          <w:sz w:val="20"/>
          <w:szCs w:val="20"/>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In addition, each individual is responsible for making sure that he or she complies with this policy, and that any family member, household member or entity whose transactions are subject to this policy also comply with this</w:t>
      </w:r>
    </w:p>
    <w:p>
      <w:pPr>
        <w:spacing w:after="0" w:line="38" w:lineRule="exact"/>
        <w:rPr>
          <w:sz w:val="20"/>
          <w:szCs w:val="20"/>
          <w:color w:val="auto"/>
        </w:rPr>
      </w:pPr>
    </w:p>
    <w:p>
      <w:pPr>
        <w:ind w:left="10" w:right="1100"/>
        <w:spacing w:after="0" w:line="259" w:lineRule="auto"/>
        <w:rPr>
          <w:sz w:val="20"/>
          <w:szCs w:val="20"/>
          <w:color w:val="auto"/>
        </w:rPr>
      </w:pPr>
      <w:r>
        <w:rPr>
          <w:rFonts w:ascii="Arial" w:cs="Arial" w:eastAsia="Arial" w:hAnsi="Arial"/>
          <w:sz w:val="20"/>
          <w:szCs w:val="20"/>
          <w:color w:val="auto"/>
        </w:rPr>
        <w:t>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w:t>
      </w:r>
    </w:p>
    <w:p>
      <w:pPr>
        <w:spacing w:after="0" w:line="33" w:lineRule="exact"/>
        <w:rPr>
          <w:sz w:val="20"/>
          <w:szCs w:val="20"/>
          <w:color w:val="auto"/>
        </w:rPr>
      </w:pPr>
    </w:p>
    <w:p>
      <w:pPr>
        <w:ind w:left="10" w:right="1440" w:hanging="8"/>
        <w:spacing w:after="0" w:line="262" w:lineRule="auto"/>
        <w:tabs>
          <w:tab w:leader="none" w:pos="333"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Legal Penalties</w:t>
      </w:r>
      <w:r>
        <w:rPr>
          <w:rFonts w:ascii="Arial" w:cs="Arial" w:eastAsia="Arial" w:hAnsi="Arial"/>
          <w:sz w:val="20"/>
          <w:szCs w:val="20"/>
          <w:color w:val="auto"/>
        </w:rPr>
        <w:t>. 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w:t>
      </w:r>
    </w:p>
    <w:p>
      <w:pPr>
        <w:spacing w:after="0" w:line="30" w:lineRule="exact"/>
        <w:rPr>
          <w:sz w:val="20"/>
          <w:szCs w:val="20"/>
          <w:color w:val="auto"/>
        </w:rPr>
      </w:pPr>
    </w:p>
    <w:p>
      <w:pPr>
        <w:ind w:left="10" w:right="1320"/>
        <w:spacing w:after="0" w:line="282" w:lineRule="auto"/>
        <w:rPr>
          <w:sz w:val="20"/>
          <w:szCs w:val="20"/>
          <w:color w:val="auto"/>
        </w:rPr>
      </w:pPr>
      <w:r>
        <w:rPr>
          <w:rFonts w:ascii="Arial" w:cs="Arial" w:eastAsia="Arial" w:hAnsi="Arial"/>
          <w:sz w:val="19"/>
          <w:szCs w:val="19"/>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3" w:lineRule="exact"/>
        <w:rPr>
          <w:sz w:val="20"/>
          <w:szCs w:val="20"/>
          <w:color w:val="auto"/>
        </w:rPr>
      </w:pPr>
    </w:p>
    <w:p>
      <w:pPr>
        <w:ind w:left="10" w:right="960"/>
        <w:spacing w:after="0" w:line="254" w:lineRule="auto"/>
        <w:rPr>
          <w:sz w:val="20"/>
          <w:szCs w:val="20"/>
          <w:color w:val="auto"/>
        </w:rPr>
      </w:pPr>
      <w:r>
        <w:rPr>
          <w:rFonts w:ascii="Arial" w:cs="Arial" w:eastAsia="Arial" w:hAnsi="Arial"/>
          <w:sz w:val="20"/>
          <w:szCs w:val="20"/>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or three times the amount of the profits gained or losses avoided. Even for violations that result in a small or no profit, the SEC can seek penalties from a company and/or its management and supervisory personnel as control persons.</w:t>
      </w:r>
    </w:p>
    <w:p>
      <w:pPr>
        <w:spacing w:after="0" w:line="38" w:lineRule="exact"/>
        <w:rPr>
          <w:sz w:val="20"/>
          <w:szCs w:val="20"/>
          <w:color w:val="auto"/>
        </w:rPr>
      </w:pPr>
    </w:p>
    <w:p>
      <w:pPr>
        <w:ind w:left="10" w:right="1160" w:hanging="8"/>
        <w:spacing w:after="0" w:line="282" w:lineRule="auto"/>
        <w:tabs>
          <w:tab w:leader="none" w:pos="33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Company-Imposed Penalties</w:t>
      </w:r>
      <w:r>
        <w:rPr>
          <w:rFonts w:ascii="Arial" w:cs="Arial" w:eastAsia="Arial" w:hAnsi="Arial"/>
          <w:sz w:val="19"/>
          <w:szCs w:val="19"/>
          <w:color w:val="auto"/>
        </w:rPr>
        <w:t>. Employees who violate this policy may be subject to disciplinary action by the Company, including dismissal for cause. Any exceptions to the policy, if permitted, may only be granted by the Compliance Officer and must be provided before any activity contrary to the above requirements takes place.</w:t>
      </w:r>
    </w:p>
    <w:p>
      <w:pPr>
        <w:spacing w:after="0" w:line="4" w:lineRule="exact"/>
        <w:rPr>
          <w:sz w:val="20"/>
          <w:szCs w:val="20"/>
          <w:color w:val="auto"/>
        </w:rPr>
      </w:pPr>
    </w:p>
    <w:p>
      <w:pPr>
        <w:ind w:left="10"/>
        <w:spacing w:after="0"/>
        <w:rPr>
          <w:sz w:val="20"/>
          <w:szCs w:val="20"/>
          <w:color w:val="auto"/>
        </w:rPr>
      </w:pPr>
      <w:r>
        <w:rPr>
          <w:rFonts w:ascii="Arial" w:cs="Arial" w:eastAsia="Arial" w:hAnsi="Arial"/>
          <w:sz w:val="32"/>
          <w:szCs w:val="32"/>
          <w:b w:val="1"/>
          <w:bCs w:val="1"/>
          <w:color w:val="000080"/>
        </w:rPr>
        <w:t>Part II</w:t>
      </w:r>
    </w:p>
    <w:p>
      <w:pPr>
        <w:spacing w:after="0" w:line="101" w:lineRule="exact"/>
        <w:rPr>
          <w:sz w:val="20"/>
          <w:szCs w:val="20"/>
          <w:color w:val="auto"/>
        </w:rPr>
      </w:pPr>
    </w:p>
    <w:p>
      <w:pPr>
        <w:ind w:left="10"/>
        <w:spacing w:after="0"/>
        <w:rPr>
          <w:sz w:val="20"/>
          <w:szCs w:val="20"/>
          <w:color w:val="auto"/>
        </w:rPr>
      </w:pPr>
      <w:r>
        <w:rPr>
          <w:rFonts w:ascii="Arial" w:cs="Arial" w:eastAsia="Arial" w:hAnsi="Arial"/>
          <w:sz w:val="25"/>
          <w:szCs w:val="25"/>
          <w:b w:val="1"/>
          <w:bCs w:val="1"/>
          <w:i w:val="1"/>
          <w:iCs w:val="1"/>
          <w:color w:val="000080"/>
        </w:rPr>
        <w:t>1. Preclearance procedures</w:t>
      </w:r>
    </w:p>
    <w:p>
      <w:pPr>
        <w:spacing w:after="0" w:line="89" w:lineRule="exact"/>
        <w:rPr>
          <w:sz w:val="20"/>
          <w:szCs w:val="20"/>
          <w:color w:val="auto"/>
        </w:rPr>
      </w:pPr>
    </w:p>
    <w:p>
      <w:pPr>
        <w:ind w:left="10" w:right="1140"/>
        <w:spacing w:after="0" w:line="252" w:lineRule="auto"/>
        <w:rPr>
          <w:sz w:val="20"/>
          <w:szCs w:val="20"/>
          <w:color w:val="auto"/>
        </w:rPr>
      </w:pPr>
      <w:r>
        <w:rPr>
          <w:rFonts w:ascii="Arial" w:cs="Arial" w:eastAsia="Arial" w:hAnsi="Arial"/>
          <w:sz w:val="20"/>
          <w:szCs w:val="20"/>
          <w:color w:val="auto"/>
        </w:rPr>
        <w:t>To help prevent inadvertent violations of the federal securities laws and to avoid even the appearance of trading on inside information, Company Insiders may not engage in any transaction in the Company's securities (including a gift, contribution to a trust, or similar transfer) or make, change, or terminate an election under any Company plan (except for regularly reoccurring employer-match purchases of the Erie Insurance Stock Fund in the Erie Insurance Group Employee Savings Plan) without first obtaining preclearance of the transaction from the Compliance Officer. These procedures also apply to transactions by such person's spouse, other persons living in such person's household and minor children and to transactions by entities over which such person exercises control.</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4</w:t>
      </w:r>
    </w:p>
    <w:p>
      <w:pPr>
        <w:sectPr>
          <w:pgSz w:w="11900" w:h="16838" w:orient="portrait"/>
          <w:cols w:equalWidth="0" w:num="1">
            <w:col w:w="10890"/>
          </w:cols>
          <w:pgMar w:left="650" w:top="509" w:right="359" w:bottom="1440" w:gutter="0" w:footer="0" w:header="0"/>
        </w:sectPr>
      </w:pPr>
    </w:p>
    <w:bookmarkStart w:id="87" w:name="page88"/>
    <w:bookmarkEnd w:id="87"/>
    <w:p>
      <w:pPr>
        <w:ind w:left="8" w:right="1240"/>
        <w:spacing w:after="0" w:line="258" w:lineRule="auto"/>
        <w:rPr>
          <w:sz w:val="20"/>
          <w:szCs w:val="20"/>
          <w:color w:val="auto"/>
        </w:rPr>
      </w:pPr>
      <w:r>
        <w:rPr>
          <w:rFonts w:ascii="Arial" w:cs="Arial" w:eastAsia="Arial" w:hAnsi="Arial"/>
          <w:sz w:val="20"/>
          <w:szCs w:val="20"/>
          <w:color w:val="auto"/>
        </w:rPr>
        <w:t>A request for preclearance should be submitted to the Compliance Officer at least two days in advance of the proposed transaction. If a request for preclearance is approved, the transaction must be effected within five business days (or, if sooner, before commencement of a quarterly or event-specific blackout period). The Compliance Officer is under no obligation to approve a trade submitted for preclearance, may determine not to permit a trade, and may revoke his or her approval at any time by oral, email, or written notice.</w:t>
      </w:r>
    </w:p>
    <w:p>
      <w:pPr>
        <w:spacing w:after="0" w:line="33" w:lineRule="exact"/>
        <w:rPr>
          <w:sz w:val="20"/>
          <w:szCs w:val="20"/>
          <w:color w:val="auto"/>
        </w:rPr>
      </w:pPr>
    </w:p>
    <w:p>
      <w:pPr>
        <w:ind w:left="8" w:right="1140"/>
        <w:spacing w:after="0" w:line="254" w:lineRule="auto"/>
        <w:rPr>
          <w:sz w:val="20"/>
          <w:szCs w:val="20"/>
          <w:color w:val="auto"/>
        </w:rPr>
      </w:pPr>
      <w:r>
        <w:rPr>
          <w:rFonts w:ascii="Arial" w:cs="Arial" w:eastAsia="Arial" w:hAnsi="Arial"/>
          <w:sz w:val="20"/>
          <w:szCs w:val="20"/>
          <w:color w:val="auto"/>
        </w:rPr>
        <w:t>Pre-clearance is not required for purchases and sales of securities under an Approved 10b5-1 Plan (see below) once the applicable cooling-off period has expired. No trades may be made under an Approved 10b5-1 Plan until expiration of the applicable cooling-off period. With respect to any purchase or sale under an Approved 10b5-1 Plan, the Company Insider should direct the third-party effecting transactions on their behalf to send duplicate confirmations of all such transactions to the Compliance Officer.</w:t>
      </w:r>
    </w:p>
    <w:p>
      <w:pPr>
        <w:spacing w:after="0" w:line="40" w:lineRule="exact"/>
        <w:rPr>
          <w:sz w:val="20"/>
          <w:szCs w:val="20"/>
          <w:color w:val="auto"/>
        </w:rPr>
      </w:pPr>
    </w:p>
    <w:p>
      <w:pPr>
        <w:ind w:left="8"/>
        <w:spacing w:after="0"/>
        <w:rPr>
          <w:sz w:val="20"/>
          <w:szCs w:val="20"/>
          <w:color w:val="auto"/>
        </w:rPr>
      </w:pPr>
      <w:r>
        <w:rPr>
          <w:rFonts w:ascii="Arial" w:cs="Arial" w:eastAsia="Arial" w:hAnsi="Arial"/>
          <w:sz w:val="25"/>
          <w:szCs w:val="25"/>
          <w:b w:val="1"/>
          <w:bCs w:val="1"/>
          <w:i w:val="1"/>
          <w:iCs w:val="1"/>
          <w:color w:val="000080"/>
        </w:rPr>
        <w:t>2. Blackout periods</w:t>
      </w:r>
    </w:p>
    <w:p>
      <w:pPr>
        <w:spacing w:after="0" w:line="89" w:lineRule="exact"/>
        <w:rPr>
          <w:sz w:val="20"/>
          <w:szCs w:val="20"/>
          <w:color w:val="auto"/>
        </w:rPr>
      </w:pPr>
    </w:p>
    <w:p>
      <w:pPr>
        <w:ind w:left="8" w:right="1100"/>
        <w:spacing w:after="0" w:line="271" w:lineRule="auto"/>
        <w:rPr>
          <w:sz w:val="20"/>
          <w:szCs w:val="20"/>
          <w:color w:val="auto"/>
        </w:rPr>
      </w:pPr>
      <w:r>
        <w:rPr>
          <w:rFonts w:ascii="Arial" w:cs="Arial" w:eastAsia="Arial" w:hAnsi="Arial"/>
          <w:sz w:val="20"/>
          <w:szCs w:val="20"/>
          <w:color w:val="auto"/>
        </w:rPr>
        <w:t>All Company Insiders are prohibited from trading in the Company's securities during blackout periods as defined below.</w:t>
      </w:r>
    </w:p>
    <w:p>
      <w:pPr>
        <w:spacing w:after="0" w:line="19" w:lineRule="exact"/>
        <w:rPr>
          <w:sz w:val="20"/>
          <w:szCs w:val="20"/>
          <w:color w:val="auto"/>
        </w:rPr>
      </w:pPr>
    </w:p>
    <w:p>
      <w:pPr>
        <w:ind w:left="648" w:hanging="648"/>
        <w:spacing w:after="0"/>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Quarterly blackout periods</w:t>
      </w:r>
    </w:p>
    <w:p>
      <w:pPr>
        <w:spacing w:after="0" w:line="83" w:lineRule="exact"/>
        <w:rPr>
          <w:sz w:val="20"/>
          <w:szCs w:val="20"/>
          <w:color w:val="auto"/>
        </w:rPr>
      </w:pPr>
    </w:p>
    <w:p>
      <w:pPr>
        <w:ind w:left="8" w:right="1160"/>
        <w:spacing w:after="0" w:line="259" w:lineRule="auto"/>
        <w:rPr>
          <w:sz w:val="20"/>
          <w:szCs w:val="20"/>
          <w:color w:val="auto"/>
        </w:rPr>
      </w:pPr>
      <w:r>
        <w:rPr>
          <w:rFonts w:ascii="Arial" w:cs="Arial" w:eastAsia="Arial" w:hAnsi="Arial"/>
          <w:sz w:val="20"/>
          <w:szCs w:val="20"/>
          <w:color w:val="auto"/>
        </w:rPr>
        <w:t>The Company's announcement of its quarterly financial results has the potential to have a material effect on the market for the Company's securities. Therefore, trading in the Company’s securities is prohibited during the period beginning on the day after each of the Company's fiscal quarters ends and ending two business days following the Company's analyst conference call for that fiscal quarter.</w:t>
      </w:r>
    </w:p>
    <w:p>
      <w:pPr>
        <w:spacing w:after="0" w:line="33" w:lineRule="exact"/>
        <w:rPr>
          <w:sz w:val="20"/>
          <w:szCs w:val="20"/>
          <w:color w:val="auto"/>
        </w:rPr>
      </w:pPr>
    </w:p>
    <w:p>
      <w:pPr>
        <w:ind w:left="8" w:right="1560"/>
        <w:spacing w:after="0" w:line="271" w:lineRule="auto"/>
        <w:rPr>
          <w:sz w:val="20"/>
          <w:szCs w:val="20"/>
          <w:color w:val="auto"/>
        </w:rPr>
      </w:pPr>
      <w:r>
        <w:rPr>
          <w:rFonts w:ascii="Arial" w:cs="Arial" w:eastAsia="Arial" w:hAnsi="Arial"/>
          <w:sz w:val="20"/>
          <w:szCs w:val="20"/>
          <w:color w:val="auto"/>
        </w:rPr>
        <w:t>During these periods, Company Insiders generally possess or are presumed to possess material nonpublic information about the Company’s financial results.</w:t>
      </w:r>
    </w:p>
    <w:p>
      <w:pPr>
        <w:spacing w:after="0" w:line="21" w:lineRule="exact"/>
        <w:rPr>
          <w:sz w:val="20"/>
          <w:szCs w:val="20"/>
          <w:color w:val="auto"/>
        </w:rPr>
      </w:pPr>
    </w:p>
    <w:p>
      <w:pPr>
        <w:ind w:left="8" w:right="1040" w:firstLine="56"/>
        <w:spacing w:after="0" w:line="258" w:lineRule="auto"/>
        <w:rPr>
          <w:sz w:val="20"/>
          <w:szCs w:val="20"/>
          <w:color w:val="auto"/>
        </w:rPr>
      </w:pPr>
      <w:r>
        <w:rPr>
          <w:rFonts w:ascii="Arial" w:cs="Arial" w:eastAsia="Arial" w:hAnsi="Arial"/>
          <w:sz w:val="20"/>
          <w:szCs w:val="20"/>
          <w:color w:val="auto"/>
        </w:rPr>
        <w:t>The Company may on occasion issue interim earnings guidance or other potentially material information by means of a press release, SEC filing on Form 8-K or other means designed to achieve widespread dissemination of the information. In these situations, trades are unlikely to be precleared while the Company is in the process of assembling the information to be released and until the information has been released and fully absorbed by the market, which is typically 48 hours after the release.</w:t>
      </w:r>
    </w:p>
    <w:p>
      <w:pPr>
        <w:spacing w:after="0" w:line="44" w:lineRule="exact"/>
        <w:rPr>
          <w:sz w:val="20"/>
          <w:szCs w:val="20"/>
          <w:color w:val="auto"/>
        </w:rPr>
      </w:pPr>
    </w:p>
    <w:p>
      <w:pPr>
        <w:ind w:left="648" w:hanging="648"/>
        <w:spacing w:after="0"/>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Event-specific blackout periods</w:t>
      </w:r>
    </w:p>
    <w:p>
      <w:pPr>
        <w:spacing w:after="0" w:line="56" w:lineRule="exact"/>
        <w:rPr>
          <w:sz w:val="20"/>
          <w:szCs w:val="20"/>
          <w:color w:val="auto"/>
        </w:rPr>
      </w:pPr>
    </w:p>
    <w:p>
      <w:pPr>
        <w:ind w:left="8" w:right="1040"/>
        <w:spacing w:after="0" w:line="252" w:lineRule="auto"/>
        <w:rPr>
          <w:sz w:val="20"/>
          <w:szCs w:val="20"/>
          <w:color w:val="auto"/>
        </w:rPr>
      </w:pPr>
      <w:r>
        <w:rPr>
          <w:rFonts w:ascii="Arial" w:cs="Arial" w:eastAsia="Arial" w:hAnsi="Arial"/>
          <w:sz w:val="20"/>
          <w:szCs w:val="20"/>
          <w:color w:val="auto"/>
        </w:rPr>
        <w:t>From time to time, an event that is material to the Company may be pending outside the quarterly blackout periods and not be publicly disclosed. So long as the event remains material and nonpublic, Company Insiders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Compliance Officer shall inform the requester of the existence of a blackout period, without disclosing the reason for the blackout. Any person made aware of the existence of an event-specific blackout should not disclose the existence of the blackout to any other person. The failure of the Compliance Officer to designate a person as being subject to an event-specific blackout will not relieve that person of the obligation not to trade while aware of material nonpublic information.</w:t>
      </w:r>
    </w:p>
    <w:p>
      <w:pPr>
        <w:spacing w:after="0" w:line="54" w:lineRule="exact"/>
        <w:rPr>
          <w:sz w:val="20"/>
          <w:szCs w:val="20"/>
          <w:color w:val="auto"/>
        </w:rPr>
      </w:pPr>
    </w:p>
    <w:p>
      <w:pPr>
        <w:ind w:left="628" w:hanging="628"/>
        <w:spacing w:after="0"/>
        <w:tabs>
          <w:tab w:leader="none" w:pos="628"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Exception</w:t>
      </w:r>
    </w:p>
    <w:p>
      <w:pPr>
        <w:spacing w:after="0" w:line="56" w:lineRule="exact"/>
        <w:rPr>
          <w:sz w:val="20"/>
          <w:szCs w:val="20"/>
          <w:color w:val="auto"/>
        </w:rPr>
      </w:pPr>
    </w:p>
    <w:p>
      <w:pPr>
        <w:ind w:left="8" w:right="1460"/>
        <w:spacing w:after="0" w:line="262" w:lineRule="auto"/>
        <w:rPr>
          <w:sz w:val="20"/>
          <w:szCs w:val="20"/>
          <w:color w:val="auto"/>
        </w:rPr>
      </w:pPr>
      <w:r>
        <w:rPr>
          <w:rFonts w:ascii="Arial" w:cs="Arial" w:eastAsia="Arial" w:hAnsi="Arial"/>
          <w:sz w:val="20"/>
          <w:szCs w:val="20"/>
          <w:color w:val="auto"/>
        </w:rPr>
        <w:t>Quarterly and Event-specific Blackout Periods do not apply to transactions under a pre-existing written plan, contract, instruction, or arrangement under Rule 10b5-1 under the Securities Exchange Act of 1934 (an Approved 10b5-1 Plan) that meet the following requirements:</w:t>
      </w:r>
    </w:p>
    <w:p>
      <w:pPr>
        <w:spacing w:after="0" w:line="30" w:lineRule="exact"/>
        <w:rPr>
          <w:sz w:val="20"/>
          <w:szCs w:val="20"/>
          <w:color w:val="auto"/>
        </w:rPr>
      </w:pPr>
    </w:p>
    <w:p>
      <w:pPr>
        <w:ind w:left="8" w:right="1500" w:firstLine="640"/>
        <w:spacing w:after="0" w:line="262" w:lineRule="auto"/>
        <w:tabs>
          <w:tab w:leader="none" w:pos="966" w:val="left"/>
        </w:tabs>
        <w:numPr>
          <w:ilvl w:val="0"/>
          <w:numId w:val="46"/>
        </w:numPr>
        <w:rPr>
          <w:rFonts w:ascii="Arial" w:cs="Arial" w:eastAsia="Arial" w:hAnsi="Arial"/>
          <w:sz w:val="20"/>
          <w:szCs w:val="20"/>
          <w:color w:val="auto"/>
        </w:rPr>
      </w:pPr>
      <w:r>
        <w:rPr>
          <w:rFonts w:ascii="Arial" w:cs="Arial" w:eastAsia="Arial" w:hAnsi="Arial"/>
          <w:sz w:val="20"/>
          <w:szCs w:val="20"/>
          <w:color w:val="auto"/>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5</w:t>
      </w:r>
    </w:p>
    <w:p>
      <w:pPr>
        <w:sectPr>
          <w:pgSz w:w="11900" w:h="16838" w:orient="portrait"/>
          <w:cols w:equalWidth="0" w:num="1">
            <w:col w:w="10888"/>
          </w:cols>
          <w:pgMar w:left="652" w:top="509" w:right="359" w:bottom="1440" w:gutter="0" w:footer="0" w:header="0"/>
        </w:sectPr>
      </w:pPr>
    </w:p>
    <w:bookmarkStart w:id="88" w:name="page89"/>
    <w:bookmarkEnd w:id="88"/>
    <w:p>
      <w:pPr>
        <w:ind w:left="7" w:right="1360" w:firstLine="639"/>
        <w:spacing w:after="0" w:line="252" w:lineRule="auto"/>
        <w:tabs>
          <w:tab w:leader="none" w:pos="969" w:val="left"/>
        </w:tabs>
        <w:numPr>
          <w:ilvl w:val="1"/>
          <w:numId w:val="47"/>
        </w:numPr>
        <w:rPr>
          <w:rFonts w:ascii="Arial" w:cs="Arial" w:eastAsia="Arial" w:hAnsi="Arial"/>
          <w:sz w:val="20"/>
          <w:szCs w:val="20"/>
          <w:color w:val="auto"/>
        </w:rPr>
      </w:pPr>
      <w:r>
        <w:rPr>
          <w:rFonts w:ascii="Arial" w:cs="Arial" w:eastAsia="Arial" w:hAnsi="Arial"/>
          <w:sz w:val="20"/>
          <w:szCs w:val="20"/>
          <w:color w:val="auto"/>
        </w:rPr>
        <w:t>it provides that no trades may occur thereunder until expiration of the applicable cooling-off period specified in Rule 10b5-1(c)(ii)(B), and no trades occur until after that time. The appropriate cooling-off period will vary based on the status of the Company Insider entering into the plan.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Company Insiders, the cooling-off period ends 30 days after adoption or modification of the 10b5-1 plan. This required cooling-off period will apply to the entry into a new 10b5-1 plan and any revision or modification of a 10b5-1 plan;</w:t>
      </w:r>
    </w:p>
    <w:p>
      <w:pPr>
        <w:spacing w:after="0" w:line="39" w:lineRule="exact"/>
        <w:rPr>
          <w:rFonts w:ascii="Arial" w:cs="Arial" w:eastAsia="Arial" w:hAnsi="Arial"/>
          <w:sz w:val="20"/>
          <w:szCs w:val="20"/>
          <w:color w:val="auto"/>
        </w:rPr>
      </w:pPr>
    </w:p>
    <w:p>
      <w:pPr>
        <w:ind w:left="7" w:right="1740" w:firstLine="640"/>
        <w:spacing w:after="0" w:line="259" w:lineRule="auto"/>
        <w:tabs>
          <w:tab w:leader="none" w:pos="972" w:val="left"/>
        </w:tabs>
        <w:numPr>
          <w:ilvl w:val="1"/>
          <w:numId w:val="47"/>
        </w:numPr>
        <w:rPr>
          <w:rFonts w:ascii="Arial" w:cs="Arial" w:eastAsia="Arial" w:hAnsi="Arial"/>
          <w:sz w:val="20"/>
          <w:szCs w:val="20"/>
          <w:color w:val="auto"/>
        </w:rPr>
      </w:pPr>
      <w:r>
        <w:rPr>
          <w:rFonts w:ascii="Arial" w:cs="Arial" w:eastAsia="Arial" w:hAnsi="Arial"/>
          <w:sz w:val="20"/>
          <w:szCs w:val="20"/>
          <w:color w:val="auto"/>
        </w:rPr>
        <w:t>it is entered into in good faith, and not as part of a plan or scheme to evade the prohibitions of Rule 10b5-1, at a time when the Company Insider is not in possession of material nonpublic information about the Company; and, if the Company Insider is a director or officer, the 10b5-1 plan must include representations by person certifying to that effect;</w:t>
      </w:r>
    </w:p>
    <w:p>
      <w:pPr>
        <w:spacing w:after="0" w:line="33" w:lineRule="exact"/>
        <w:rPr>
          <w:rFonts w:ascii="Arial" w:cs="Arial" w:eastAsia="Arial" w:hAnsi="Arial"/>
          <w:sz w:val="20"/>
          <w:szCs w:val="20"/>
          <w:color w:val="auto"/>
        </w:rPr>
      </w:pPr>
    </w:p>
    <w:p>
      <w:pPr>
        <w:ind w:left="7" w:right="1500" w:firstLine="640"/>
        <w:spacing w:after="0" w:line="277" w:lineRule="auto"/>
        <w:tabs>
          <w:tab w:leader="none" w:pos="970" w:val="left"/>
        </w:tabs>
        <w:numPr>
          <w:ilvl w:val="1"/>
          <w:numId w:val="47"/>
        </w:numPr>
        <w:rPr>
          <w:rFonts w:ascii="Arial" w:cs="Arial" w:eastAsia="Arial" w:hAnsi="Arial"/>
          <w:sz w:val="19"/>
          <w:szCs w:val="19"/>
          <w:color w:val="auto"/>
        </w:rPr>
      </w:pPr>
      <w:r>
        <w:rPr>
          <w:rFonts w:ascii="Arial" w:cs="Arial" w:eastAsia="Arial" w:hAnsi="Arial"/>
          <w:sz w:val="19"/>
          <w:szCs w:val="19"/>
          <w:color w:val="auto"/>
        </w:rPr>
        <w:t>it gives a third party the discretionary authority to execute such purchases and sales, outside the control of the Company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17" w:lineRule="exact"/>
        <w:rPr>
          <w:rFonts w:ascii="Arial" w:cs="Arial" w:eastAsia="Arial" w:hAnsi="Arial"/>
          <w:sz w:val="19"/>
          <w:szCs w:val="19"/>
          <w:color w:val="auto"/>
        </w:rPr>
      </w:pPr>
    </w:p>
    <w:p>
      <w:pPr>
        <w:ind w:left="7" w:right="1560" w:firstLine="640"/>
        <w:spacing w:after="0" w:line="271" w:lineRule="auto"/>
        <w:tabs>
          <w:tab w:leader="none" w:pos="967" w:val="left"/>
        </w:tabs>
        <w:numPr>
          <w:ilvl w:val="1"/>
          <w:numId w:val="47"/>
        </w:numPr>
        <w:rPr>
          <w:rFonts w:ascii="Arial" w:cs="Arial" w:eastAsia="Arial" w:hAnsi="Arial"/>
          <w:sz w:val="20"/>
          <w:szCs w:val="20"/>
          <w:color w:val="auto"/>
        </w:rPr>
      </w:pPr>
      <w:r>
        <w:rPr>
          <w:rFonts w:ascii="Arial" w:cs="Arial" w:eastAsia="Arial" w:hAnsi="Arial"/>
          <w:sz w:val="20"/>
          <w:szCs w:val="20"/>
          <w:color w:val="auto"/>
        </w:rPr>
        <w:t>it is the only outstanding Approved 10b5-1 Plan entered into by the Company Insider (subject to the exceptions set out in Rule 10b5-1(c)(ii)(D)); and</w:t>
      </w:r>
    </w:p>
    <w:p>
      <w:pPr>
        <w:spacing w:after="0" w:line="20" w:lineRule="exact"/>
        <w:rPr>
          <w:rFonts w:ascii="Arial" w:cs="Arial" w:eastAsia="Arial" w:hAnsi="Arial"/>
          <w:sz w:val="20"/>
          <w:szCs w:val="20"/>
          <w:color w:val="auto"/>
        </w:rPr>
      </w:pPr>
    </w:p>
    <w:p>
      <w:pPr>
        <w:ind w:left="7" w:right="1300" w:firstLine="640"/>
        <w:spacing w:after="0" w:line="254" w:lineRule="auto"/>
        <w:tabs>
          <w:tab w:leader="none" w:pos="970"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 approved 10b5-1 Plan may be adopted during a blackout period. Company Insiders considering entering, modifying, or terminating an Approved 10b5-1 Plan or with any questions regarding Approved Rule 10b5-1 Plans should contact the Company's Compliance Officer. Company Insiders should consult their own legal and tax advisors before entering into, or modifying or terminating, an Approved 10b5-1 Plan. A trading plan, contract, instruction or arrangement will not qualify as an Approved 10b5-1 Plan without the prior review and approval of the Compliance Officer.</w:t>
      </w:r>
    </w:p>
    <w:p>
      <w:pPr>
        <w:spacing w:after="0" w:line="36" w:lineRule="exact"/>
        <w:rPr>
          <w:rFonts w:ascii="Arial" w:cs="Arial" w:eastAsia="Arial" w:hAnsi="Arial"/>
          <w:sz w:val="20"/>
          <w:szCs w:val="20"/>
          <w:color w:val="auto"/>
        </w:rPr>
      </w:pPr>
    </w:p>
    <w:p>
      <w:pPr>
        <w:ind w:left="647" w:hanging="647"/>
        <w:spacing w:after="0"/>
        <w:tabs>
          <w:tab w:leader="none" w:pos="647"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Hardship exceptions</w:t>
      </w:r>
    </w:p>
    <w:p>
      <w:pPr>
        <w:spacing w:after="0" w:line="83" w:lineRule="exact"/>
        <w:rPr>
          <w:sz w:val="20"/>
          <w:szCs w:val="20"/>
          <w:color w:val="auto"/>
        </w:rPr>
      </w:pPr>
    </w:p>
    <w:p>
      <w:pPr>
        <w:ind w:left="7" w:right="1100" w:firstLine="648"/>
        <w:spacing w:after="0" w:line="254" w:lineRule="auto"/>
        <w:rPr>
          <w:sz w:val="20"/>
          <w:szCs w:val="20"/>
          <w:color w:val="auto"/>
        </w:rPr>
      </w:pPr>
      <w:r>
        <w:rPr>
          <w:rFonts w:ascii="Arial" w:cs="Arial" w:eastAsia="Arial" w:hAnsi="Arial"/>
          <w:sz w:val="20"/>
          <w:szCs w:val="20"/>
          <w:color w:val="auto"/>
        </w:rPr>
        <w:t>A person who is subject to a quarterly earnings blackout period and who has an unexpected and urgent need to sell Company stock in order to generate cash may, in appropriate circumstances, be permitted to sell Company stock even during the blackout period. Hardship exceptions may be granted only by the Compliance Officer and must be requested at least two days in advance of the proposed trade. A hardship exception may be granted only if the Compliance Officer concludes that the Company's earnings information for the applicable quarter does not constitute material nonpublic information. Under no circumstances will a hardship exception be granted during an event-specific blackout period.</w:t>
      </w:r>
    </w:p>
    <w:p>
      <w:pPr>
        <w:spacing w:after="0" w:line="49" w:lineRule="exact"/>
        <w:rPr>
          <w:sz w:val="20"/>
          <w:szCs w:val="20"/>
          <w:color w:val="auto"/>
        </w:rPr>
      </w:pPr>
    </w:p>
    <w:p>
      <w:pPr>
        <w:ind w:left="647" w:hanging="647"/>
        <w:spacing w:after="0"/>
        <w:tabs>
          <w:tab w:leader="none" w:pos="647"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Post-termination transactions</w:t>
      </w:r>
    </w:p>
    <w:p>
      <w:pPr>
        <w:spacing w:after="0" w:line="56" w:lineRule="exact"/>
        <w:rPr>
          <w:sz w:val="20"/>
          <w:szCs w:val="20"/>
          <w:color w:val="auto"/>
        </w:rPr>
      </w:pPr>
    </w:p>
    <w:p>
      <w:pPr>
        <w:ind w:left="7" w:right="1120" w:firstLine="648"/>
        <w:spacing w:after="0" w:line="258" w:lineRule="auto"/>
        <w:rPr>
          <w:sz w:val="20"/>
          <w:szCs w:val="20"/>
          <w:color w:val="auto"/>
        </w:rPr>
      </w:pPr>
      <w:r>
        <w:rPr>
          <w:rFonts w:ascii="Arial" w:cs="Arial" w:eastAsia="Arial" w:hAnsi="Arial"/>
          <w:sz w:val="20"/>
          <w:szCs w:val="20"/>
          <w:color w:val="auto"/>
        </w:rPr>
        <w:t>An individual who is aware of material nonpublic information when terminating his or her service as a director, officer or other employee of the Company may not trade in the Company's securities until that information has become public or is no longer material. In all other respects, the procedures set forth above will cease to apply to such person’s transactions in Company securities upon the expiration of any "blackout period" that is applicable to any transactions at the time of termination of service.</w:t>
      </w:r>
    </w:p>
    <w:p>
      <w:pPr>
        <w:spacing w:after="0" w:line="34" w:lineRule="exact"/>
        <w:rPr>
          <w:sz w:val="20"/>
          <w:szCs w:val="20"/>
          <w:color w:val="auto"/>
        </w:rPr>
      </w:pPr>
    </w:p>
    <w:p>
      <w:pPr>
        <w:ind w:left="7"/>
        <w:spacing w:after="0"/>
        <w:rPr>
          <w:sz w:val="20"/>
          <w:szCs w:val="20"/>
          <w:color w:val="auto"/>
        </w:rPr>
      </w:pPr>
      <w:r>
        <w:rPr>
          <w:rFonts w:ascii="Arial" w:cs="Arial" w:eastAsia="Arial" w:hAnsi="Arial"/>
          <w:sz w:val="25"/>
          <w:szCs w:val="25"/>
          <w:b w:val="1"/>
          <w:bCs w:val="1"/>
          <w:i w:val="1"/>
          <w:iCs w:val="1"/>
          <w:color w:val="000080"/>
        </w:rPr>
        <w:t>3. Trading Window</w:t>
      </w:r>
    </w:p>
    <w:p>
      <w:pPr>
        <w:spacing w:after="0" w:line="76" w:lineRule="exact"/>
        <w:rPr>
          <w:sz w:val="20"/>
          <w:szCs w:val="20"/>
          <w:color w:val="auto"/>
        </w:rPr>
      </w:pPr>
    </w:p>
    <w:p>
      <w:pPr>
        <w:ind w:left="7" w:right="1100" w:firstLine="648"/>
        <w:spacing w:after="0" w:line="254" w:lineRule="auto"/>
        <w:rPr>
          <w:sz w:val="20"/>
          <w:szCs w:val="20"/>
          <w:color w:val="auto"/>
        </w:rPr>
      </w:pPr>
      <w:r>
        <w:rPr>
          <w:rFonts w:ascii="Arial" w:cs="Arial" w:eastAsia="Arial" w:hAnsi="Arial"/>
          <w:sz w:val="20"/>
          <w:szCs w:val="20"/>
          <w:color w:val="auto"/>
        </w:rPr>
        <w:t>After obtaining pre-clearance as outlined above, Company Insiders are permitted to trade in the Company's securities when no blackout period is in effect. Generally, this means that Company Insiders can trade during the period beginning two business days following the Company's analyst conference call for the previous fiscal quarter and ending on the day current the Company's fiscal quarters ends. However, even during this trading window, a Company Insider who is in possession of any material nonpublic information should not trade in the Company's securities until the information has been made publicly available or is no longer material. In addition, the Company may close this</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6</w:t>
      </w:r>
    </w:p>
    <w:p>
      <w:pPr>
        <w:sectPr>
          <w:pgSz w:w="11900" w:h="16838" w:orient="portrait"/>
          <w:cols w:equalWidth="0" w:num="1">
            <w:col w:w="10887"/>
          </w:cols>
          <w:pgMar w:left="653" w:top="509" w:right="359" w:bottom="1440" w:gutter="0" w:footer="0" w:header="0"/>
        </w:sectPr>
      </w:pPr>
    </w:p>
    <w:bookmarkStart w:id="89" w:name="page90"/>
    <w:bookmarkEnd w:id="89"/>
    <w:p>
      <w:pPr>
        <w:ind w:left="10" w:right="1440"/>
        <w:spacing w:after="0" w:line="243" w:lineRule="auto"/>
        <w:rPr>
          <w:sz w:val="20"/>
          <w:szCs w:val="20"/>
          <w:color w:val="auto"/>
        </w:rPr>
      </w:pPr>
      <w:r>
        <w:rPr>
          <w:rFonts w:ascii="Arial" w:cs="Arial" w:eastAsia="Arial" w:hAnsi="Arial"/>
          <w:sz w:val="20"/>
          <w:szCs w:val="20"/>
          <w:color w:val="auto"/>
        </w:rPr>
        <w:t>trading window if a special blackout period under Part II, Section 2(b) above is imposed and will re- open the trading window once the special blackout period has ended.</w:t>
      </w:r>
    </w:p>
    <w:p>
      <w:pPr>
        <w:spacing w:after="0" w:line="21" w:lineRule="exact"/>
        <w:rPr>
          <w:sz w:val="20"/>
          <w:szCs w:val="20"/>
          <w:color w:val="auto"/>
        </w:rPr>
      </w:pPr>
    </w:p>
    <w:p>
      <w:pPr>
        <w:ind w:left="310" w:hanging="310"/>
        <w:spacing w:after="0"/>
        <w:tabs>
          <w:tab w:leader="none" w:pos="310" w:val="left"/>
        </w:tabs>
        <w:numPr>
          <w:ilvl w:val="0"/>
          <w:numId w:val="50"/>
        </w:numPr>
        <w:rPr>
          <w:rFonts w:ascii="Arial" w:cs="Arial" w:eastAsia="Arial" w:hAnsi="Arial"/>
          <w:sz w:val="25"/>
          <w:szCs w:val="25"/>
          <w:b w:val="1"/>
          <w:bCs w:val="1"/>
          <w:i w:val="1"/>
          <w:iCs w:val="1"/>
          <w:color w:val="000080"/>
        </w:rPr>
      </w:pPr>
      <w:r>
        <w:rPr>
          <w:rFonts w:ascii="Arial" w:cs="Arial" w:eastAsia="Arial" w:hAnsi="Arial"/>
          <w:sz w:val="25"/>
          <w:szCs w:val="25"/>
          <w:b w:val="1"/>
          <w:bCs w:val="1"/>
          <w:i w:val="1"/>
          <w:iCs w:val="1"/>
          <w:color w:val="000080"/>
        </w:rPr>
        <w:t>Prohibited Transactions</w:t>
      </w:r>
    </w:p>
    <w:p>
      <w:pPr>
        <w:spacing w:after="0" w:line="89" w:lineRule="exact"/>
        <w:rPr>
          <w:rFonts w:ascii="Arial" w:cs="Arial" w:eastAsia="Arial" w:hAnsi="Arial"/>
          <w:sz w:val="25"/>
          <w:szCs w:val="25"/>
          <w:b w:val="1"/>
          <w:bCs w:val="1"/>
          <w:i w:val="1"/>
          <w:iCs w:val="1"/>
          <w:color w:val="000080"/>
        </w:rPr>
      </w:pPr>
    </w:p>
    <w:p>
      <w:pPr>
        <w:ind w:left="10" w:right="1160" w:hanging="9"/>
        <w:spacing w:after="0" w:line="255" w:lineRule="auto"/>
        <w:tabs>
          <w:tab w:leader="none" w:pos="332" w:val="left"/>
        </w:tabs>
        <w:numPr>
          <w:ilvl w:val="1"/>
          <w:numId w:val="50"/>
        </w:numPr>
        <w:rPr>
          <w:rFonts w:ascii="Arial" w:cs="Arial" w:eastAsia="Arial" w:hAnsi="Arial"/>
          <w:sz w:val="20"/>
          <w:szCs w:val="20"/>
          <w:color w:val="auto"/>
        </w:rPr>
      </w:pPr>
      <w:r>
        <w:rPr>
          <w:rFonts w:ascii="Arial" w:cs="Arial" w:eastAsia="Arial" w:hAnsi="Arial"/>
          <w:sz w:val="20"/>
          <w:szCs w:val="20"/>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35" w:lineRule="exact"/>
        <w:rPr>
          <w:rFonts w:ascii="Arial" w:cs="Arial" w:eastAsia="Arial" w:hAnsi="Arial"/>
          <w:sz w:val="20"/>
          <w:szCs w:val="20"/>
          <w:color w:val="auto"/>
        </w:rPr>
      </w:pPr>
    </w:p>
    <w:p>
      <w:pPr>
        <w:ind w:left="10" w:right="1400" w:hanging="9"/>
        <w:spacing w:after="0" w:line="259" w:lineRule="auto"/>
        <w:tabs>
          <w:tab w:leader="none" w:pos="332" w:val="left"/>
        </w:tabs>
        <w:numPr>
          <w:ilvl w:val="1"/>
          <w:numId w:val="50"/>
        </w:numPr>
        <w:rPr>
          <w:rFonts w:ascii="Arial" w:cs="Arial" w:eastAsia="Arial" w:hAnsi="Arial"/>
          <w:sz w:val="20"/>
          <w:szCs w:val="20"/>
          <w:color w:val="auto"/>
        </w:rPr>
      </w:pPr>
      <w:r>
        <w:rPr>
          <w:rFonts w:ascii="Arial" w:cs="Arial" w:eastAsia="Arial" w:hAnsi="Arial"/>
          <w:sz w:val="20"/>
          <w:szCs w:val="20"/>
          <w:color w:val="auto"/>
        </w:rPr>
        <w:t>Company Insiders,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33" w:lineRule="exact"/>
        <w:rPr>
          <w:rFonts w:ascii="Arial" w:cs="Arial" w:eastAsia="Arial" w:hAnsi="Arial"/>
          <w:sz w:val="20"/>
          <w:szCs w:val="20"/>
          <w:color w:val="auto"/>
        </w:rPr>
      </w:pPr>
    </w:p>
    <w:p>
      <w:pPr>
        <w:ind w:left="10" w:right="2060" w:firstLine="640"/>
        <w:spacing w:after="0" w:line="286" w:lineRule="auto"/>
        <w:tabs>
          <w:tab w:leader="none" w:pos="969" w:val="left"/>
        </w:tabs>
        <w:numPr>
          <w:ilvl w:val="3"/>
          <w:numId w:val="50"/>
        </w:numPr>
        <w:rPr>
          <w:rFonts w:ascii="Arial" w:cs="Arial" w:eastAsia="Arial" w:hAnsi="Arial"/>
          <w:sz w:val="20"/>
          <w:szCs w:val="20"/>
          <w:color w:val="auto"/>
        </w:rPr>
      </w:pPr>
      <w:r>
        <w:rPr>
          <w:rFonts w:ascii="Arial" w:cs="Arial" w:eastAsia="Arial" w:hAnsi="Arial"/>
          <w:sz w:val="20"/>
          <w:szCs w:val="20"/>
          <w:u w:val="single" w:color="auto"/>
          <w:color w:val="auto"/>
        </w:rPr>
        <w:t>Short-term trading</w:t>
      </w:r>
      <w:r>
        <w:rPr>
          <w:rFonts w:ascii="Arial" w:cs="Arial" w:eastAsia="Arial" w:hAnsi="Arial"/>
          <w:sz w:val="20"/>
          <w:szCs w:val="20"/>
          <w:color w:val="auto"/>
        </w:rPr>
        <w:t>. Company Insiders who purchase Company securities may not sell any Company securities of the same class for at least six months after the purchase;</w:t>
      </w:r>
    </w:p>
    <w:p>
      <w:pPr>
        <w:spacing w:after="0" w:line="5" w:lineRule="exact"/>
        <w:rPr>
          <w:rFonts w:ascii="Arial" w:cs="Arial" w:eastAsia="Arial" w:hAnsi="Arial"/>
          <w:sz w:val="20"/>
          <w:szCs w:val="20"/>
          <w:color w:val="auto"/>
        </w:rPr>
      </w:pPr>
    </w:p>
    <w:p>
      <w:pPr>
        <w:ind w:left="1350" w:hanging="700"/>
        <w:spacing w:after="0"/>
        <w:tabs>
          <w:tab w:leader="none" w:pos="1350" w:val="left"/>
        </w:tabs>
        <w:numPr>
          <w:ilvl w:val="3"/>
          <w:numId w:val="50"/>
        </w:numPr>
        <w:rPr>
          <w:rFonts w:ascii="Arial" w:cs="Arial" w:eastAsia="Arial" w:hAnsi="Arial"/>
          <w:sz w:val="20"/>
          <w:szCs w:val="20"/>
          <w:color w:val="auto"/>
        </w:rPr>
      </w:pPr>
      <w:r>
        <w:rPr>
          <w:rFonts w:ascii="Arial" w:cs="Arial" w:eastAsia="Arial" w:hAnsi="Arial"/>
          <w:sz w:val="20"/>
          <w:szCs w:val="20"/>
          <w:u w:val="single" w:color="auto"/>
          <w:color w:val="auto"/>
        </w:rPr>
        <w:t>Short sales</w:t>
      </w:r>
      <w:r>
        <w:rPr>
          <w:rFonts w:ascii="Arial" w:cs="Arial" w:eastAsia="Arial" w:hAnsi="Arial"/>
          <w:sz w:val="20"/>
          <w:szCs w:val="20"/>
          <w:color w:val="auto"/>
        </w:rPr>
        <w:t>. Company Insiders may not sell the Company's securities short;</w:t>
      </w:r>
    </w:p>
    <w:p>
      <w:pPr>
        <w:spacing w:after="0" w:line="80" w:lineRule="exact"/>
        <w:rPr>
          <w:rFonts w:ascii="Arial" w:cs="Arial" w:eastAsia="Arial" w:hAnsi="Arial"/>
          <w:sz w:val="20"/>
          <w:szCs w:val="20"/>
          <w:color w:val="auto"/>
        </w:rPr>
      </w:pPr>
    </w:p>
    <w:p>
      <w:pPr>
        <w:ind w:left="10" w:right="1240" w:firstLine="640"/>
        <w:spacing w:after="0" w:line="271" w:lineRule="auto"/>
        <w:tabs>
          <w:tab w:leader="none" w:pos="975" w:val="left"/>
        </w:tabs>
        <w:numPr>
          <w:ilvl w:val="3"/>
          <w:numId w:val="50"/>
        </w:numPr>
        <w:rPr>
          <w:rFonts w:ascii="Arial" w:cs="Arial" w:eastAsia="Arial" w:hAnsi="Arial"/>
          <w:sz w:val="20"/>
          <w:szCs w:val="20"/>
          <w:color w:val="auto"/>
        </w:rPr>
      </w:pPr>
      <w:r>
        <w:rPr>
          <w:rFonts w:ascii="Arial" w:cs="Arial" w:eastAsia="Arial" w:hAnsi="Arial"/>
          <w:sz w:val="20"/>
          <w:szCs w:val="20"/>
          <w:u w:val="single" w:color="auto"/>
          <w:color w:val="auto"/>
        </w:rPr>
        <w:t>Options trading</w:t>
      </w:r>
      <w:r>
        <w:rPr>
          <w:rFonts w:ascii="Arial" w:cs="Arial" w:eastAsia="Arial" w:hAnsi="Arial"/>
          <w:sz w:val="20"/>
          <w:szCs w:val="20"/>
          <w:color w:val="auto"/>
        </w:rPr>
        <w:t>. Company Insiders may not buy or sell puts or calls or other derivative securities on the Company's securities;</w:t>
      </w:r>
    </w:p>
    <w:p>
      <w:pPr>
        <w:spacing w:after="0" w:line="20" w:lineRule="exact"/>
        <w:rPr>
          <w:rFonts w:ascii="Arial" w:cs="Arial" w:eastAsia="Arial" w:hAnsi="Arial"/>
          <w:sz w:val="20"/>
          <w:szCs w:val="20"/>
          <w:color w:val="auto"/>
        </w:rPr>
      </w:pPr>
    </w:p>
    <w:p>
      <w:pPr>
        <w:ind w:left="10" w:right="1580" w:firstLine="640"/>
        <w:spacing w:after="0" w:line="286" w:lineRule="auto"/>
        <w:tabs>
          <w:tab w:leader="none" w:pos="973" w:val="left"/>
        </w:tabs>
        <w:numPr>
          <w:ilvl w:val="3"/>
          <w:numId w:val="50"/>
        </w:numPr>
        <w:rPr>
          <w:rFonts w:ascii="Arial" w:cs="Arial" w:eastAsia="Arial" w:hAnsi="Arial"/>
          <w:sz w:val="20"/>
          <w:szCs w:val="20"/>
          <w:color w:val="auto"/>
        </w:rPr>
      </w:pPr>
      <w:r>
        <w:rPr>
          <w:rFonts w:ascii="Arial" w:cs="Arial" w:eastAsia="Arial" w:hAnsi="Arial"/>
          <w:sz w:val="20"/>
          <w:szCs w:val="20"/>
          <w:u w:val="single" w:color="auto"/>
          <w:color w:val="auto"/>
        </w:rPr>
        <w:t>Trading on margin or pledging</w:t>
      </w:r>
      <w:r>
        <w:rPr>
          <w:rFonts w:ascii="Arial" w:cs="Arial" w:eastAsia="Arial" w:hAnsi="Arial"/>
          <w:sz w:val="20"/>
          <w:szCs w:val="20"/>
          <w:color w:val="auto"/>
        </w:rPr>
        <w:t>. Company Insiders may not hold Company securities in a margin account or pledge Company securities as collateral for a loan; and</w:t>
      </w:r>
    </w:p>
    <w:p>
      <w:pPr>
        <w:spacing w:after="0" w:line="5" w:lineRule="exact"/>
        <w:rPr>
          <w:rFonts w:ascii="Arial" w:cs="Arial" w:eastAsia="Arial" w:hAnsi="Arial"/>
          <w:sz w:val="20"/>
          <w:szCs w:val="20"/>
          <w:color w:val="auto"/>
        </w:rPr>
      </w:pPr>
    </w:p>
    <w:p>
      <w:pPr>
        <w:ind w:left="10" w:right="1700" w:firstLine="640"/>
        <w:spacing w:after="0" w:line="271" w:lineRule="auto"/>
        <w:tabs>
          <w:tab w:leader="none" w:pos="969" w:val="left"/>
        </w:tabs>
        <w:numPr>
          <w:ilvl w:val="3"/>
          <w:numId w:val="50"/>
        </w:numPr>
        <w:rPr>
          <w:rFonts w:ascii="Arial" w:cs="Arial" w:eastAsia="Arial" w:hAnsi="Arial"/>
          <w:sz w:val="20"/>
          <w:szCs w:val="20"/>
          <w:color w:val="auto"/>
        </w:rPr>
      </w:pPr>
      <w:r>
        <w:rPr>
          <w:rFonts w:ascii="Arial" w:cs="Arial" w:eastAsia="Arial" w:hAnsi="Arial"/>
          <w:sz w:val="20"/>
          <w:szCs w:val="20"/>
          <w:u w:val="single" w:color="auto"/>
          <w:color w:val="auto"/>
        </w:rPr>
        <w:t>Hedging</w:t>
      </w:r>
      <w:r>
        <w:rPr>
          <w:rFonts w:ascii="Arial" w:cs="Arial" w:eastAsia="Arial" w:hAnsi="Arial"/>
          <w:sz w:val="20"/>
          <w:szCs w:val="20"/>
          <w:color w:val="auto"/>
        </w:rPr>
        <w:t>. Company Insiders may not enter into hedging or monetization transactions or similar arrangements with respect to Company securities.</w:t>
      </w:r>
    </w:p>
    <w:p>
      <w:pPr>
        <w:spacing w:after="0" w:line="21" w:lineRule="exact"/>
        <w:rPr>
          <w:rFonts w:ascii="Arial" w:cs="Arial" w:eastAsia="Arial" w:hAnsi="Arial"/>
          <w:sz w:val="20"/>
          <w:szCs w:val="20"/>
          <w:color w:val="auto"/>
        </w:rPr>
      </w:pPr>
    </w:p>
    <w:p>
      <w:pPr>
        <w:ind w:left="410" w:hanging="315"/>
        <w:spacing w:after="0"/>
        <w:tabs>
          <w:tab w:leader="none" w:pos="410" w:val="left"/>
        </w:tabs>
        <w:numPr>
          <w:ilvl w:val="2"/>
          <w:numId w:val="50"/>
        </w:numPr>
        <w:rPr>
          <w:rFonts w:ascii="Arial" w:cs="Arial" w:eastAsia="Arial" w:hAnsi="Arial"/>
          <w:sz w:val="25"/>
          <w:szCs w:val="25"/>
          <w:b w:val="1"/>
          <w:bCs w:val="1"/>
          <w:i w:val="1"/>
          <w:iCs w:val="1"/>
          <w:color w:val="000080"/>
        </w:rPr>
      </w:pPr>
      <w:r>
        <w:rPr>
          <w:rFonts w:ascii="Arial" w:cs="Arial" w:eastAsia="Arial" w:hAnsi="Arial"/>
          <w:sz w:val="25"/>
          <w:szCs w:val="25"/>
          <w:b w:val="1"/>
          <w:bCs w:val="1"/>
          <w:i w:val="1"/>
          <w:iCs w:val="1"/>
          <w:color w:val="000080"/>
        </w:rPr>
        <w:t>Section 16 compliance</w:t>
      </w:r>
    </w:p>
    <w:p>
      <w:pPr>
        <w:spacing w:after="0" w:line="89" w:lineRule="exact"/>
        <w:rPr>
          <w:sz w:val="20"/>
          <w:szCs w:val="20"/>
          <w:color w:val="auto"/>
        </w:rPr>
      </w:pPr>
    </w:p>
    <w:p>
      <w:pPr>
        <w:ind w:left="10" w:right="1040"/>
        <w:spacing w:after="0" w:line="271" w:lineRule="auto"/>
        <w:rPr>
          <w:sz w:val="20"/>
          <w:szCs w:val="20"/>
          <w:color w:val="auto"/>
        </w:rPr>
      </w:pPr>
      <w:r>
        <w:rPr>
          <w:rFonts w:ascii="Arial" w:cs="Arial" w:eastAsia="Arial" w:hAnsi="Arial"/>
          <w:sz w:val="19"/>
          <w:szCs w:val="19"/>
          <w:color w:val="auto"/>
        </w:rPr>
        <w:t>Section 16 of the Securities Exchange Act of 1934, as amended, requires directors and certain officers of the Company to file reports of their transactions in Company stock with the SEC. Reportable transactions include all acquisitions and dispositions of Company stock (e.g. purchases or sales in the open market or in the Company’s 401(k) Plan, gifts made or received, distributions of stock from the Company under an equity compensation plan, etc.). These reporting requirements may also extend to family members of a director or officer.</w:t>
      </w:r>
    </w:p>
    <w:p>
      <w:pPr>
        <w:spacing w:after="0" w:line="22" w:lineRule="exact"/>
        <w:rPr>
          <w:sz w:val="20"/>
          <w:szCs w:val="20"/>
          <w:color w:val="auto"/>
        </w:rPr>
      </w:pPr>
    </w:p>
    <w:p>
      <w:pPr>
        <w:ind w:left="10" w:right="1040"/>
        <w:spacing w:after="0" w:line="254" w:lineRule="auto"/>
        <w:rPr>
          <w:sz w:val="20"/>
          <w:szCs w:val="20"/>
          <w:color w:val="auto"/>
        </w:rPr>
      </w:pPr>
      <w:r>
        <w:rPr>
          <w:rFonts w:ascii="Arial" w:cs="Arial" w:eastAsia="Arial" w:hAnsi="Arial"/>
          <w:sz w:val="20"/>
          <w:szCs w:val="20"/>
          <w:color w:val="auto"/>
        </w:rPr>
        <w:t xml:space="preserve">Compliance with the reporting requirements of Section 16 is the obligation of the director or officer who trades in Company securities. However, the Company will provide assistance with filing such reports. A Form 4 (Statement of Changes in Beneficial Ownership) must be filed by the end of the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business day after the transaction. In order to meet this filing deadline, directors and officers must supply the following trade information immediately following the execution of a transaction:</w:t>
      </w:r>
    </w:p>
    <w:p>
      <w:pPr>
        <w:spacing w:after="0" w:line="39" w:lineRule="exact"/>
        <w:rPr>
          <w:sz w:val="20"/>
          <w:szCs w:val="20"/>
          <w:color w:val="auto"/>
        </w:rPr>
      </w:pPr>
    </w:p>
    <w:p>
      <w:pPr>
        <w:ind w:left="650" w:hanging="324"/>
        <w:spacing w:after="0"/>
        <w:tabs>
          <w:tab w:leader="none" w:pos="65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Transaction date (e.g. the trade date for brokerage transactions or the date of exercise for options);</w:t>
      </w:r>
    </w:p>
    <w:p>
      <w:pPr>
        <w:spacing w:after="0" w:line="80" w:lineRule="exact"/>
        <w:rPr>
          <w:rFonts w:ascii="Times New Roman" w:cs="Times New Roman" w:eastAsia="Times New Roman" w:hAnsi="Times New Roman"/>
          <w:sz w:val="18"/>
          <w:szCs w:val="18"/>
          <w:color w:val="auto"/>
        </w:rPr>
      </w:pPr>
    </w:p>
    <w:p>
      <w:pPr>
        <w:ind w:left="650" w:hanging="324"/>
        <w:spacing w:after="0"/>
        <w:tabs>
          <w:tab w:leader="none" w:pos="65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Number of securities acquired or disposed of;</w:t>
      </w:r>
    </w:p>
    <w:p>
      <w:pPr>
        <w:spacing w:after="0" w:line="80" w:lineRule="exact"/>
        <w:rPr>
          <w:rFonts w:ascii="Times New Roman" w:cs="Times New Roman" w:eastAsia="Times New Roman" w:hAnsi="Times New Roman"/>
          <w:sz w:val="18"/>
          <w:szCs w:val="18"/>
          <w:color w:val="auto"/>
        </w:rPr>
      </w:pPr>
    </w:p>
    <w:p>
      <w:pPr>
        <w:ind w:left="650" w:right="1440" w:hanging="324"/>
        <w:spacing w:after="0" w:line="286" w:lineRule="auto"/>
        <w:tabs>
          <w:tab w:leader="none" w:pos="645"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Whether the transaction involved a direct holding or an indirect holding (e.g. through an IRA account, a trust or an affiliated company);</w:t>
      </w:r>
    </w:p>
    <w:p>
      <w:pPr>
        <w:spacing w:after="0" w:line="5" w:lineRule="exact"/>
        <w:rPr>
          <w:rFonts w:ascii="Times New Roman" w:cs="Times New Roman" w:eastAsia="Times New Roman" w:hAnsi="Times New Roman"/>
          <w:sz w:val="18"/>
          <w:szCs w:val="18"/>
          <w:color w:val="auto"/>
        </w:rPr>
      </w:pPr>
    </w:p>
    <w:p>
      <w:pPr>
        <w:ind w:left="650" w:hanging="324"/>
        <w:spacing w:after="0"/>
        <w:tabs>
          <w:tab w:leader="none" w:pos="65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Purchase or sale price per unit; and</w:t>
      </w:r>
    </w:p>
    <w:p>
      <w:pPr>
        <w:spacing w:after="0" w:line="80" w:lineRule="exact"/>
        <w:rPr>
          <w:rFonts w:ascii="Times New Roman" w:cs="Times New Roman" w:eastAsia="Times New Roman" w:hAnsi="Times New Roman"/>
          <w:sz w:val="18"/>
          <w:szCs w:val="18"/>
          <w:color w:val="auto"/>
        </w:rPr>
      </w:pPr>
    </w:p>
    <w:p>
      <w:pPr>
        <w:ind w:left="650" w:hanging="324"/>
        <w:spacing w:after="0"/>
        <w:tabs>
          <w:tab w:leader="none" w:pos="65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20"/>
          <w:szCs w:val="20"/>
          <w:color w:val="auto"/>
        </w:rPr>
        <w:t>Any additional information requested by the Company.</w:t>
      </w:r>
    </w:p>
    <w:p>
      <w:pPr>
        <w:spacing w:after="0" w:line="81" w:lineRule="exact"/>
        <w:rPr>
          <w:sz w:val="20"/>
          <w:szCs w:val="20"/>
          <w:color w:val="auto"/>
        </w:rPr>
      </w:pPr>
    </w:p>
    <w:p>
      <w:pPr>
        <w:ind w:left="50"/>
        <w:spacing w:after="0"/>
        <w:rPr>
          <w:sz w:val="20"/>
          <w:szCs w:val="20"/>
          <w:color w:val="auto"/>
        </w:rPr>
      </w:pPr>
      <w:r>
        <w:rPr>
          <w:rFonts w:ascii="Arial" w:cs="Arial" w:eastAsia="Arial" w:hAnsi="Arial"/>
          <w:sz w:val="20"/>
          <w:szCs w:val="20"/>
          <w:color w:val="auto"/>
        </w:rPr>
        <w:t>This information must be sent by facsimile or email to the Company's Stock Transfer/Compliance Administrator.</w:t>
      </w:r>
    </w:p>
    <w:p>
      <w:pPr>
        <w:spacing w:after="0" w:line="18" w:lineRule="exact"/>
        <w:rPr>
          <w:sz w:val="20"/>
          <w:szCs w:val="20"/>
          <w:color w:val="auto"/>
        </w:rPr>
      </w:pPr>
    </w:p>
    <w:p>
      <w:pPr>
        <w:ind w:left="10"/>
        <w:spacing w:after="0"/>
        <w:rPr>
          <w:sz w:val="20"/>
          <w:szCs w:val="20"/>
          <w:color w:val="auto"/>
        </w:rPr>
      </w:pPr>
      <w:r>
        <w:rPr>
          <w:rFonts w:ascii="Arial" w:cs="Arial" w:eastAsia="Arial" w:hAnsi="Arial"/>
          <w:sz w:val="20"/>
          <w:szCs w:val="20"/>
          <w:color w:val="auto"/>
        </w:rPr>
        <w:t>The Company will then prepare the necessary documents and file the same with the SEC.</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7</w:t>
      </w:r>
    </w:p>
    <w:p>
      <w:pPr>
        <w:sectPr>
          <w:pgSz w:w="11900" w:h="16838" w:orient="portrait"/>
          <w:cols w:equalWidth="0" w:num="1">
            <w:col w:w="10890"/>
          </w:cols>
          <w:pgMar w:left="650" w:top="496" w:right="35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In addition to reporting obligations, if you are a Section 16 Reporting Person you are not permitted to</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automatically reinvest dividends from Company stock.</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Please note that these Section 16 obligations are in addition to the requirements outlined in Parts I and II above.</w:t>
      </w:r>
    </w:p>
    <w:p>
      <w:pPr>
        <w:spacing w:after="0" w:line="72"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Inquiries</w:t>
      </w:r>
    </w:p>
    <w:p>
      <w:pPr>
        <w:spacing w:after="0" w:line="100" w:lineRule="exact"/>
        <w:rPr>
          <w:sz w:val="20"/>
          <w:szCs w:val="20"/>
          <w:color w:val="auto"/>
        </w:rPr>
      </w:pPr>
    </w:p>
    <w:p>
      <w:pPr>
        <w:ind w:right="1100"/>
        <w:spacing w:after="0" w:line="291" w:lineRule="auto"/>
        <w:rPr>
          <w:sz w:val="20"/>
          <w:szCs w:val="20"/>
          <w:color w:val="auto"/>
        </w:rPr>
      </w:pPr>
      <w:r>
        <w:rPr>
          <w:rFonts w:ascii="Arial" w:cs="Arial" w:eastAsia="Arial" w:hAnsi="Arial"/>
          <w:sz w:val="19"/>
          <w:szCs w:val="19"/>
          <w:color w:val="auto"/>
        </w:rPr>
        <w:t>If you have any questions regarding any of the provisions of this policy, its application to a proposed transaction, or the requirements of applicable laws, please contact the Corporate Secretary or General Counsel.</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Related documents</w:t>
      </w:r>
    </w:p>
    <w:p>
      <w:pPr>
        <w:spacing w:after="0" w:line="154" w:lineRule="exact"/>
        <w:rPr>
          <w:sz w:val="20"/>
          <w:szCs w:val="20"/>
          <w:color w:val="auto"/>
        </w:rPr>
      </w:pPr>
    </w:p>
    <w:p>
      <w:pPr>
        <w:ind w:right="2480"/>
        <w:spacing w:after="0" w:line="359" w:lineRule="auto"/>
        <w:rPr>
          <w:sz w:val="20"/>
          <w:szCs w:val="20"/>
          <w:color w:val="auto"/>
        </w:rPr>
      </w:pPr>
      <w:r>
        <w:rPr>
          <w:rFonts w:ascii="Arial" w:cs="Arial" w:eastAsia="Arial" w:hAnsi="Arial"/>
          <w:sz w:val="20"/>
          <w:szCs w:val="20"/>
          <w:i w:val="1"/>
          <w:iCs w:val="1"/>
          <w:u w:val="single" w:color="auto"/>
          <w:color w:val="0000FF"/>
        </w:rPr>
        <w:t>Employee Handbook (DSD2602)</w:t>
      </w:r>
      <w:r>
        <w:rPr>
          <w:rFonts w:ascii="Arial" w:cs="Arial" w:eastAsia="Arial" w:hAnsi="Arial"/>
          <w:sz w:val="20"/>
          <w:szCs w:val="20"/>
          <w:color w:val="000000"/>
        </w:rPr>
        <w:t>, Securities Trades by Erie Indemnity Company Personnel Anti-Hedging Policy</w:t>
      </w:r>
    </w:p>
    <w:p>
      <w:pPr>
        <w:spacing w:after="0"/>
        <w:rPr>
          <w:sz w:val="20"/>
          <w:szCs w:val="20"/>
          <w:color w:val="auto"/>
        </w:rPr>
      </w:pPr>
      <w:r>
        <w:rPr>
          <w:rFonts w:ascii="Arial" w:cs="Arial" w:eastAsia="Arial" w:hAnsi="Arial"/>
          <w:sz w:val="20"/>
          <w:szCs w:val="20"/>
          <w:color w:val="auto"/>
        </w:rPr>
        <w:t>Company Disclosures and Regulation FD Policy</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3"/>
          <w:szCs w:val="13"/>
          <w:color w:val="auto"/>
        </w:rPr>
        <w:t>DSD896-00</w:t>
      </w:r>
      <w:r>
        <w:rPr>
          <w:sz w:val="20"/>
          <w:szCs w:val="20"/>
          <w:color w:val="auto"/>
        </w:rPr>
        <w:tab/>
      </w:r>
      <w:r>
        <w:rPr>
          <w:rFonts w:ascii="Times New Roman" w:cs="Times New Roman" w:eastAsia="Times New Roman" w:hAnsi="Times New Roman"/>
          <w:sz w:val="12"/>
          <w:szCs w:val="12"/>
          <w:color w:val="auto"/>
        </w:rPr>
        <w:t>8</w:t>
      </w:r>
    </w:p>
    <w:p>
      <w:pPr>
        <w:sectPr>
          <w:pgSz w:w="11900" w:h="16838" w:orient="portrait"/>
          <w:cols w:equalWidth="0" w:num="1">
            <w:col w:w="10880"/>
          </w:cols>
          <w:pgMar w:left="660" w:top="509" w:right="359" w:bottom="1440" w:gutter="0" w:footer="0" w:header="0"/>
        </w:sectPr>
      </w:pPr>
    </w:p>
    <w:bookmarkStart w:id="91" w:name="page92"/>
    <w:bookmarkEnd w:id="91"/>
    <w:p>
      <w:pPr>
        <w:spacing w:after="0" w:line="101" w:lineRule="exact"/>
        <w:rPr>
          <w:sz w:val="20"/>
          <w:szCs w:val="20"/>
          <w:color w:val="auto"/>
        </w:rPr>
      </w:pPr>
    </w:p>
    <w:p>
      <w:pPr>
        <w:spacing w:after="0"/>
        <w:rPr>
          <w:sz w:val="20"/>
          <w:szCs w:val="20"/>
          <w:color w:val="auto"/>
        </w:rPr>
      </w:pPr>
      <w:r>
        <w:rPr>
          <w:rFonts w:ascii="Arial" w:cs="Arial" w:eastAsia="Arial" w:hAnsi="Arial"/>
          <w:sz w:val="32"/>
          <w:szCs w:val="32"/>
          <w:b w:val="1"/>
          <w:bCs w:val="1"/>
          <w:color w:val="000080"/>
        </w:rPr>
        <w:t>Ownership and approval</w:t>
      </w:r>
    </w:p>
    <w:p>
      <w:pPr>
        <w:spacing w:after="0" w:line="398" w:lineRule="exact"/>
        <w:rPr>
          <w:sz w:val="20"/>
          <w:szCs w:val="20"/>
          <w:color w:val="auto"/>
        </w:rPr>
      </w:pPr>
    </w:p>
    <w:tbl>
      <w:tblPr>
        <w:tblLayout w:type="fixed"/>
        <w:tblInd w:w="750" w:type="dxa"/>
        <w:tblCellMar>
          <w:top w:w="0" w:type="dxa"/>
          <w:left w:w="0" w:type="dxa"/>
          <w:bottom w:w="0" w:type="dxa"/>
          <w:right w:w="0" w:type="dxa"/>
        </w:tblCellMar>
      </w:tblPr>
      <w:tr>
        <w:trPr>
          <w:trHeight w:val="290"/>
        </w:trPr>
        <w:tc>
          <w:tcPr>
            <w:tcW w:w="3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Name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Role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Title/area represented</w:t>
            </w:r>
          </w:p>
        </w:tc>
      </w:tr>
      <w:tr>
        <w:trPr>
          <w:trHeight w:val="21"/>
        </w:trPr>
        <w:tc>
          <w:tcPr>
            <w:tcW w:w="3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r>
      <w:tr>
        <w:trPr>
          <w:trHeight w:val="242"/>
        </w:trPr>
        <w:tc>
          <w:tcPr>
            <w:tcW w:w="3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Brian Bolash</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Owner and approver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EVP, Secretary and General</w:t>
            </w:r>
          </w:p>
        </w:tc>
      </w:tr>
      <w:tr>
        <w:trPr>
          <w:trHeight w:val="272"/>
        </w:trPr>
        <w:tc>
          <w:tcPr>
            <w:tcW w:w="3100" w:type="dxa"/>
            <w:vAlign w:val="bottom"/>
            <w:tcBorders>
              <w:left w:val="single" w:sz="8" w:color="auto"/>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This Policy approved by the Board of Directors</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of Erie Indemnity Company On July 29, 2025.</w:t>
      </w:r>
    </w:p>
    <w:p>
      <w:pPr>
        <w:sectPr>
          <w:pgSz w:w="11900" w:h="16838" w:orient="portrait"/>
          <w:cols w:equalWidth="0" w:num="1">
            <w:col w:w="10000"/>
          </w:cols>
          <w:pgMar w:left="660" w:top="1440" w:right="1239" w:bottom="1440" w:gutter="0" w:footer="0" w:header="0"/>
        </w:sectPr>
      </w:pPr>
    </w:p>
    <w:bookmarkStart w:id="92" w:name="page93"/>
    <w:bookmarkEnd w:id="9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3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560" w:hanging="309"/>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333-218739) pertaining to the Erie Indemnity Company Incentive Compensation Deferral Plan,</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333-188244) pertaining to the Erie Indemnity Company Equity Compensation Plan,</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333-148705) pertaining to the Erie Indemnity Company Deferred Compensation Plan for Outside Directors,</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333-285403) pertaining to the Erie Indemnity Company Deferred Stock Plan for Outside Directors,</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333-285404) pertaining to the Erie Indemnity Company Equity Compensation Plan</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23, 2026, with respect to the consolidated financial statements of Erie Indemnity Company and the effectiveness of internal control over financial reporting of Erie Indemnity Company included in this Annual Report (Form 10-K) of Erie Indemnity Company for the year ended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140"/>
          </w:cols>
          <w:pgMar w:left="320" w:top="882" w:right="43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G. NeCastro,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Erie Indemnity Company;</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8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0" w:hanging="320"/>
        <w:spacing w:after="0" w:line="312" w:lineRule="auto"/>
        <w:tabs>
          <w:tab w:leader="none" w:pos="1290"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28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February 23, 2026</w:t>
      </w:r>
    </w:p>
    <w:p>
      <w:pPr>
        <w:spacing w:after="0" w:line="25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545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CEO</w:t>
      </w:r>
    </w:p>
    <w:p>
      <w:pPr>
        <w:sectPr>
          <w:pgSz w:w="11900" w:h="16838" w:orient="portrait"/>
          <w:cols w:equalWidth="0" w:num="1">
            <w:col w:w="11220"/>
          </w:cols>
          <w:pgMar w:left="320" w:top="887" w:right="35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 Pelkowski,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Erie Indemnity Company;</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8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0" w:hanging="320"/>
        <w:spacing w:after="0" w:line="312" w:lineRule="auto"/>
        <w:tabs>
          <w:tab w:leader="none" w:pos="129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28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February 23, 2026</w:t>
      </w:r>
    </w:p>
    <w:p>
      <w:pPr>
        <w:spacing w:after="0" w:line="25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5457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&amp; CFO</w:t>
      </w:r>
    </w:p>
    <w:p>
      <w:pPr>
        <w:sectPr>
          <w:pgSz w:w="11900" w:h="16838" w:orient="portrait"/>
          <w:cols w:equalWidth="0" w:num="1">
            <w:col w:w="11220"/>
          </w:cols>
          <w:pgMar w:left="320" w:top="887" w:right="359" w:bottom="1440" w:gutter="0" w:footer="0" w:header="0"/>
        </w:sectPr>
      </w:pPr>
    </w:p>
    <w:bookmarkStart w:id="95" w:name="page96"/>
    <w:bookmarkEnd w:id="9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Timothy G. NeCastro, Chief Executive Officer of the Erie Indemnity Company (the "Company"), and Julie M. Pelkowski, Chief Financial Officer of the Company, certify, pursuant to § 906 of the Sarbanes-Oxley Act of 2002, 18 U.S.C. § 1350, that:</w:t>
      </w:r>
    </w:p>
    <w:p>
      <w:pPr>
        <w:spacing w:after="0" w:line="162" w:lineRule="exact"/>
        <w:rPr>
          <w:sz w:val="20"/>
          <w:szCs w:val="20"/>
          <w:color w:val="auto"/>
        </w:rPr>
      </w:pPr>
    </w:p>
    <w:p>
      <w:pPr>
        <w:ind w:left="500" w:right="680" w:hanging="330"/>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2025 (the "Report") fully complies with the requirements of Section 13(a) or 15(d) of the Securities Exchange Act of 1934 (15 U.S.C. 78m); and</w:t>
      </w:r>
    </w:p>
    <w:p>
      <w:pPr>
        <w:spacing w:after="0" w:line="18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&amp; CFO</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00"/>
          </w:cols>
          <w:pgMar w:left="320" w:top="887" w:right="47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Exhibit 97.1</w:t>
      </w: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ERIE INDEMNITY COMPANY</w:t>
      </w:r>
    </w:p>
    <w:p>
      <w:pPr>
        <w:spacing w:after="0" w:line="2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POLICY ON RECOUPMENT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 BONUSES IN CERTAIN SITUATIONS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October 29, 2024)</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Erie Indemnity Company,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amends and restates this Policy on Recoupment of Officer Bonuses in Certain Situations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incorporate the requirements of Rule 5608 of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Listing Rules (“</w:t>
      </w:r>
      <w:r>
        <w:rPr>
          <w:rFonts w:ascii="Times New Roman" w:cs="Times New Roman" w:eastAsia="Times New Roman" w:hAnsi="Times New Roman"/>
          <w:sz w:val="22"/>
          <w:szCs w:val="22"/>
          <w:u w:val="single" w:color="auto"/>
          <w:color w:val="auto"/>
        </w:rPr>
        <w:t>Rule 5608</w:t>
      </w:r>
      <w:r>
        <w:rPr>
          <w:rFonts w:ascii="Times New Roman" w:cs="Times New Roman" w:eastAsia="Times New Roman" w:hAnsi="Times New Roman"/>
          <w:sz w:val="22"/>
          <w:szCs w:val="22"/>
          <w:color w:val="auto"/>
        </w:rPr>
        <w:t>”) to its pre-existing written policy for the recoupment of certain bonuses. This Policy was originally effective December 9, 2008 and the amended and restated version takes effect October 29,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Policy, the following capitalized terms shall have their respective meanings set forth below:</w:t>
      </w:r>
    </w:p>
    <w:p>
      <w:pPr>
        <w:spacing w:after="0" w:line="192" w:lineRule="exact"/>
        <w:rPr>
          <w:rFonts w:ascii="Times New Roman" w:cs="Times New Roman" w:eastAsia="Times New Roman" w:hAnsi="Times New Roman"/>
          <w:sz w:val="22"/>
          <w:szCs w:val="22"/>
          <w:b w:val="1"/>
          <w:bCs w:val="1"/>
          <w:color w:val="auto"/>
        </w:rPr>
      </w:pPr>
    </w:p>
    <w:p>
      <w:pPr>
        <w:ind w:right="20" w:firstLine="1304"/>
        <w:spacing w:after="0" w:line="236" w:lineRule="auto"/>
        <w:tabs>
          <w:tab w:leader="none" w:pos="194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AIP</w:t>
      </w:r>
      <w:r>
        <w:rPr>
          <w:rFonts w:ascii="Times New Roman" w:cs="Times New Roman" w:eastAsia="Times New Roman" w:hAnsi="Times New Roman"/>
          <w:sz w:val="22"/>
          <w:szCs w:val="22"/>
          <w:color w:val="auto"/>
        </w:rPr>
        <w:t>” means the Company’s Annual Incentive Plan, as amended and/or restated from time to time, including any successor annual incentive plan thereto.</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means and includes a payment of cash under the AIP, the payment of restricted shares, restricted share units, or other share based awards under the ECP, the payment of cash or shares of common stock of the Company under the LTIP, including any deferrals of a Bonus under an officer’s deferred compensation plan, and/or any other incentive-based compensation, including any compensation that is granted, earned, or vested based wholly or in part upon the attainment of a Financial Reporting Measure. For purposes of this Policy and the definition of the term “Bonus”, a financial reporting measure is one that is determined and presented in accordance with the accounting principles used in preparing the Company’s financial statements, as well as any measure that is derived wholly or in part from such measures. For purposes of this Policy and the definition of the term “Bonus”, financial reporting measures may also include the Company’s stock price and total shareholder return.</w:t>
      </w:r>
    </w:p>
    <w:p>
      <w:pPr>
        <w:spacing w:after="0" w:line="15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termination of employment of an Officer as a result of the Officer's fraud, gross misconduct, repeated insubordination, conviction of a crime (felony or misdemeanor) involving moral turpitude or financial misconduct, or entry of a plea of nolo contendere to any such crime, all as determined in the sole and absolute discretion of the Board or the Executive Compensation and Development Committee of the Board of Directors of Erie Indemnity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ECP</w:t>
      </w:r>
      <w:r>
        <w:rPr>
          <w:rFonts w:ascii="Times New Roman" w:cs="Times New Roman" w:eastAsia="Times New Roman" w:hAnsi="Times New Roman"/>
          <w:sz w:val="22"/>
          <w:szCs w:val="22"/>
          <w:color w:val="auto"/>
        </w:rPr>
        <w:t>” means the Company’s Equity Compensation Plan, as amended and/or restated from time to time, including any successor equity compensation plan thereto.</w:t>
      </w:r>
    </w:p>
    <w:p>
      <w:pPr>
        <w:sectPr>
          <w:pgSz w:w="11900" w:h="16838" w:orient="portrait"/>
          <w:cols w:equalWidth="0" w:num="1">
            <w:col w:w="11240"/>
          </w:cols>
          <w:pgMar w:left="320" w:top="1088" w:right="339" w:bottom="1440" w:gutter="0" w:footer="0" w:header="0"/>
        </w:sectPr>
      </w:pPr>
    </w:p>
    <w:bookmarkStart w:id="97" w:name="page98"/>
    <w:bookmarkEnd w:id="97"/>
    <w:p>
      <w:pPr>
        <w:jc w:val="both"/>
        <w:ind w:firstLine="1304"/>
        <w:spacing w:after="0" w:line="225"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incentive-based compensation received that exceeds the amount of incentive-based compensation that otherwise would have been received had it been determined based on the restated amounts, computed without regard to any taxes paid.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means the Company’s Long-Term Incentive Plan, as amended and/or restated from time to time, including any successor long-term incentive plan thereto.</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an officer of the Company or any of its subsidiaries who is eligible for participation in the AIP and/or LTIP. This includes but is not limited to the current or former president, principal financial officer, principal accounting officer (or if no principal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means the three (3) completed fiscal years of the Company immediately preceding the Restatement Date and any transaction period (that results from a change in the Company’s fiscal year) of less than nine (9) months within or immediately following those three (3) completed fiscal years.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the earlier of (i) the date that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 for Restatements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will, to the extent permitted by governing law, require reimbursement of all or a portion of any incentive-based Bonus paid to any Officer where: (a) the payment was erroneously awarded based on an accounting error resulting in restatement of the Company’s financial results, and (b) a lower payment would have been made to the Officer based upon the restated financial results.</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 accounting restatement requiring recoupment of Officer Bonuses under this Policy includes restatement of the Company’s financial statement due to the material noncompliance of the Company with any financial reporting requirement under the securities laws, including any required accounting restatement to correct an error in previously issued financial statements of the Company that is material to the previously issued financial statements of the Company (commonly referred to as “Big R” restatements), and restatement that corrects an error that is not material to previously issued financial statements of the Company, but would result in a material misstatement if the error were not corrected in the current period or left uncorrected in the current period (commonly referred to as “little r” restatements). For the avoidance of doubt, an accounting restatement shall not relate to any accounting restatement of a financial statement of Erie Insurance Exchange or of any subsidiary of Erie Insurance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71" w:right="339" w:bottom="1440" w:gutter="0" w:footer="0" w:header="0"/>
        </w:sectPr>
      </w:pPr>
    </w:p>
    <w:bookmarkStart w:id="98" w:name="page99"/>
    <w:bookmarkEnd w:id="9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 a payment was erroneously awarded based on an accounting error resulting in restatement of the Company’s financials and a lower payment would have been made to the Officer based upon the restated financial results, the Company will require repayment by the Officer of the amount by which the individual Officer's Bonus for the relevant period exceeded the lower payment that would have been made based on the restated financial results; provided that the Company will not require repayment of Bonuses under this Policy paid more than three (3) years prior to the date that the Board and/or the Committee was first made aware of the need to restate the Company's financial statements.</w:t>
      </w:r>
    </w:p>
    <w:p>
      <w:pPr>
        <w:spacing w:after="0" w:line="15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 for Terminations for Cause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may, in its sole and absolute discretion, to the extent permitted by governing law, require reimbursement or cancellation of the full amount of any Bonus paid to any Officer where the Officer's employment with the Company has been terminated for Cause either prior to the payment of the Bonus or within six (6) months thereafter.</w:t>
      </w:r>
    </w:p>
    <w:p>
      <w:pPr>
        <w:spacing w:after="0" w:line="13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1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This Policy shall be administered by the Committee. The Committee is authorized to interpret and construe this Policy and to make all determinations necessary, appropriate or advisable for the administration of this Policy. Any determination made by the Committee shall be final and binding on all persons.</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In the event of an accounting restatement, the Committee shall reasonably promptly determine the amount of any Erroneously Awarded Compensation received by each Officer during the recovery period in connection with the accounting restatement. The Company’s obligation to recover Erroneously Awarded Compensation pursuant to the Policy is not dependent on whether or when the restated financial statements are filed. In addition, the recovery of Erroneously Awarded Compensation is required without regard to whether any misconduct occurred or an Officer’s responsibility for the erroneous financial statements.</w:t>
      </w:r>
    </w:p>
    <w:p>
      <w:pPr>
        <w:spacing w:after="0" w:line="1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Committee shall have broad discretion to determine the appropriate means of recovery of Erroneously Awarded Compensation based on all applicable facts and circumstances.</w:t>
      </w:r>
    </w:p>
    <w:p>
      <w:pPr>
        <w:spacing w:after="0" w:line="140"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Erroneously Awarded Compensation</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amount of Erroneously Awarded Compensation shall be determined by the Committee based on the particular facts and circumstances and consistent with the principles of Rule 5608.</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incentive-based compensation based on stock price or total shareholder return, where the amount of Erroneously Awarded Compensation is not subject to mathematical recalculation directly from the information in the accounting restatement, the Committee shall determine the amount of Erroneously Awarded Compensation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98" w:right="339" w:bottom="1440" w:gutter="0" w:footer="0" w:header="0"/>
        </w:sectPr>
      </w:pPr>
    </w:p>
    <w:bookmarkStart w:id="99" w:name="page100"/>
    <w:bookmarkEnd w:id="99"/>
    <w:p>
      <w:pPr>
        <w:ind w:left="660" w:hanging="652"/>
        <w:spacing w:after="0"/>
        <w:tabs>
          <w:tab w:leader="none" w:pos="6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Impracticable Recoupment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Recovery of Erroneously Awarded Compensation and recovery for termination for cause under Section 4 shall not be required to the extent that the Committee determines that recovery would be impracticable because of one or more of the following conditions:</w:t>
      </w:r>
    </w:p>
    <w:p>
      <w:pPr>
        <w:spacing w:after="0" w:line="159" w:lineRule="exact"/>
        <w:rPr>
          <w:sz w:val="20"/>
          <w:szCs w:val="20"/>
          <w:color w:val="auto"/>
        </w:rPr>
      </w:pPr>
    </w:p>
    <w:p>
      <w:pPr>
        <w:jc w:val="both"/>
        <w:ind w:firstLine="1304"/>
        <w:spacing w:after="0" w:line="220"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411(a) of the Internal Revenue Code of 1986, as amended, and the regulations thereunder.</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on Indemnification</w:t>
      </w:r>
    </w:p>
    <w:p>
      <w:pPr>
        <w:spacing w:after="0" w:line="21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Company and its subsidiaries are prohibited from indemnifying any current or former Executive Officer (or other person) against the loss of Erroneously Awarded Compensation pursuant to this Policy and from paying the premiums on any insurance policy protecting against the recovery of Erroneously Awarded Compensation. Neither the Company nor any subsidiary shall enter into any agreement with any Executive Officer (or other person) that exempts any incentive-based compensation from the application of this Policy or that waives the Company’s right to recover Erroneously Awarded Compensation, and this Policy shall supersede any such agreement (whether entered into before, on or after the Effective Date).</w:t>
      </w:r>
    </w:p>
    <w:p>
      <w:pPr>
        <w:spacing w:after="0" w:line="13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7"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amend this Policy from time to time in its discretion and shall amend this Policy as it deems necessary. The Board may terminate this Policy at any time in favor of another policy that satisfies Rule 5608 or other legal requirements for the recoupment of compensation. The Company’s Executive Vice President, Secretary &amp; General Counsel, is authorized to amend or restate this Policy to reflect any changes to this Policy approved by the Board.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The Board intends that this Policy will be applied to the fullest extent of the law. The Board may require that any employment agreement, Bonus award agreement, or any other agreement entered into on or after the Effective Date shall, as a condition to the grant of any benefit thereunder, require an Officer to agree to abide by the terms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67" w:right="339" w:bottom="1440" w:gutter="0" w:footer="0" w:header="0"/>
        </w:sectPr>
      </w:pPr>
    </w:p>
    <w:bookmarkStart w:id="100" w:name="page101"/>
    <w:bookmarkEnd w:id="100"/>
    <w:p>
      <w:pPr>
        <w:jc w:val="both"/>
        <w:ind w:left="-20" w:firstLine="1304"/>
        <w:spacing w:after="0" w:line="225" w:lineRule="auto"/>
        <w:tabs>
          <w:tab w:leader="none" w:pos="19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To the extent permitted by governing law, and notwithstanding any contrary provision in any plan, program or agreement of the Company, the Company may offset any amounts an Officer is required to reimburse to the Company under this Policy against any future payments owed to such Officer.</w:t>
      </w:r>
    </w:p>
    <w:p>
      <w:pPr>
        <w:spacing w:after="0" w:line="152" w:lineRule="exact"/>
        <w:rPr>
          <w:rFonts w:ascii="Times New Roman" w:cs="Times New Roman" w:eastAsia="Times New Roman" w:hAnsi="Times New Roman"/>
          <w:sz w:val="22"/>
          <w:szCs w:val="22"/>
          <w:color w:val="auto"/>
        </w:rPr>
      </w:pPr>
    </w:p>
    <w:p>
      <w:pPr>
        <w:jc w:val="both"/>
        <w:ind w:left="-20" w:firstLine="1304"/>
        <w:spacing w:after="0" w:line="220" w:lineRule="auto"/>
        <w:tabs>
          <w:tab w:leader="none" w:pos="191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w:t>
      </w:r>
      <w:r>
        <w:rPr>
          <w:rFonts w:ascii="Times New Roman" w:cs="Times New Roman" w:eastAsia="Times New Roman" w:hAnsi="Times New Roman"/>
          <w:sz w:val="22"/>
          <w:szCs w:val="22"/>
          <w:color w:val="auto"/>
        </w:rPr>
        <w:t>. Any right of recoupment under this Policy is in addition to, and not in lieu of, any other remedies or rights of recoupment that may be available to the Company or its subsidiaries under applicable law, regulation or rule, or pursuant to the terms of any policy or in any employment agreement, equity award agreement, or similar agreement and any other legal remedies available to the Company and its subsidiaries.</w:t>
      </w:r>
    </w:p>
    <w:p>
      <w:pPr>
        <w:spacing w:after="0" w:line="152" w:lineRule="exact"/>
        <w:rPr>
          <w:rFonts w:ascii="Times New Roman" w:cs="Times New Roman" w:eastAsia="Times New Roman" w:hAnsi="Times New Roman"/>
          <w:sz w:val="22"/>
          <w:szCs w:val="22"/>
          <w:color w:val="auto"/>
        </w:rPr>
      </w:pPr>
    </w:p>
    <w:p>
      <w:pPr>
        <w:ind w:left="-20" w:firstLine="1304"/>
        <w:spacing w:after="0" w:line="235" w:lineRule="auto"/>
        <w:tabs>
          <w:tab w:leader="none" w:pos="1945" w:val="left"/>
        </w:tabs>
        <w:numPr>
          <w:ilvl w:val="0"/>
          <w:numId w:val="67"/>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Policy shall be binding and enforceable against all Officers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sectPr>
      <w:pgSz w:w="11900" w:h="16838" w:orient="portrait"/>
      <w:cols w:equalWidth="0" w:num="1">
        <w:col w:w="11220"/>
      </w:cols>
      <w:pgMar w:left="34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
      <w:numFmt w:val="bullet"/>
      <w:start w:val="1"/>
    </w:lvl>
    <w:lvl w:ilvl="1">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lvl w:ilvl="1">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lowerRoman"/>
      <w:start w:val="2"/>
    </w:lvl>
  </w:abstractNum>
  <w:abstractNum w:abstractNumId="32">
    <w:nsid w:val="749ABB43"/>
    <w:multiLevelType w:val="hybridMultilevel"/>
    <w:lvl w:ilvl="0">
      <w:lvlJc w:val="left"/>
      <w:lvlText w:val="•"/>
      <w:numFmt w:val="bullet"/>
      <w:start w:val="1"/>
    </w:lvl>
    <w:lvl w:ilvl="1">
      <w:lvlJc w:val="left"/>
      <w:lvlText w:val="o"/>
      <w:numFmt w:val="bullet"/>
      <w:start w:val="1"/>
    </w:lvl>
  </w:abstractNum>
  <w:abstractNum w:abstractNumId="33">
    <w:nsid w:val="3DC240FB"/>
    <w:multiLevelType w:val="hybridMultilevel"/>
    <w:lvl w:ilvl="0">
      <w:lvlJc w:val="left"/>
      <w:lvlText w:val="%1."/>
      <w:numFmt w:val="decimal"/>
      <w:start w:val="2"/>
    </w:lvl>
  </w:abstractNum>
  <w:abstractNum w:abstractNumId="34">
    <w:nsid w:val="1BA026FA"/>
    <w:multiLevelType w:val="hybridMultilevel"/>
    <w:lvl w:ilvl="0">
      <w:lvlJc w:val="left"/>
      <w:lvlText w:val="%1."/>
      <w:numFmt w:val="decimal"/>
      <w:start w:val="3"/>
    </w:lvl>
    <w:lvl w:ilvl="1">
      <w:lvlJc w:val="left"/>
      <w:lvlText w:val="(%2)"/>
      <w:numFmt w:val="lowerLetter"/>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lowerLetter"/>
      <w:start w:val="2"/>
    </w:lvl>
    <w:lvl w:ilvl="1">
      <w:lvlJc w:val="left"/>
      <w:lvlText w:val="●"/>
      <w:numFmt w:val="bullet"/>
      <w:start w:val="1"/>
    </w:lvl>
  </w:abstractNum>
  <w:abstractNum w:abstractNumId="38">
    <w:nsid w:val="70C6A529"/>
    <w:multiLevelType w:val="hybridMultilevel"/>
    <w:lvl w:ilvl="0">
      <w:lvlJc w:val="left"/>
      <w:lvlText w:val="(%1)"/>
      <w:numFmt w:val="lowerLetter"/>
      <w:start w:val="3"/>
    </w:lvl>
    <w:lvl w:ilvl="1">
      <w:lvlJc w:val="left"/>
      <w:lvlText w:val="●"/>
      <w:numFmt w:val="bullet"/>
      <w:start w:val="1"/>
    </w:lvl>
  </w:abstractNum>
  <w:abstractNum w:abstractNumId="39">
    <w:nsid w:val="520EEDD1"/>
    <w:multiLevelType w:val="hybridMultilevel"/>
    <w:lvl w:ilvl="0">
      <w:lvlJc w:val="left"/>
      <w:lvlText w:val="%1."/>
      <w:numFmt w:val="decimal"/>
      <w:start w:val="3"/>
    </w:lvl>
    <w:lvl w:ilvl="1">
      <w:lvlJc w:val="left"/>
      <w:lvlText w:val="●"/>
      <w:numFmt w:val="bullet"/>
      <w:start w:val="1"/>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2"/>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2"/>
    </w:lvl>
  </w:abstractNum>
  <w:abstractNum w:abstractNumId="44">
    <w:nsid w:val="275AC794"/>
    <w:multiLevelType w:val="hybridMultilevel"/>
    <w:lvl w:ilvl="0">
      <w:lvlJc w:val="left"/>
      <w:lvlText w:val="(%1)"/>
      <w:numFmt w:val="lowerLetter"/>
      <w:start w:val="3"/>
    </w:lvl>
  </w:abstractNum>
  <w:abstractNum w:abstractNumId="45">
    <w:nsid w:val="39386575"/>
    <w:multiLevelType w:val="hybridMultilevel"/>
    <w:lvl w:ilvl="0">
      <w:lvlJc w:val="left"/>
      <w:lvlText w:val="(%1)"/>
      <w:numFmt w:val="lowerRoman"/>
      <w:start w:val="1"/>
    </w:lvl>
  </w:abstractNum>
  <w:abstractNum w:abstractNumId="46">
    <w:nsid w:val="1CF10FD8"/>
    <w:multiLevelType w:val="hybridMultilevel"/>
    <w:lvl w:ilvl="0">
      <w:lvlJc w:val="left"/>
      <w:lvlText w:val="%1"/>
      <w:numFmt w:val="lowerLetter"/>
      <w:start w:val="1"/>
    </w:lvl>
    <w:lvl w:ilvl="1">
      <w:lvlJc w:val="left"/>
      <w:lvlText w:val="(%2)"/>
      <w:numFmt w:val="lowerRoman"/>
      <w:start w:val="2"/>
    </w:lvl>
  </w:abstractNum>
  <w:abstractNum w:abstractNumId="47">
    <w:nsid w:val="180115BE"/>
    <w:multiLevelType w:val="hybridMultilevel"/>
    <w:lvl w:ilvl="0">
      <w:lvlJc w:val="left"/>
      <w:lvlText w:val="(%1)"/>
      <w:numFmt w:val="lowerLetter"/>
      <w:start w:val="4"/>
    </w:lvl>
    <w:lvl w:ilvl="1">
      <w:lvlJc w:val="left"/>
      <w:lvlText w:val="%2"/>
      <w:numFmt w:val="lowerRoman"/>
      <w:start w:val="1"/>
    </w:lvl>
  </w:abstractNum>
  <w:abstractNum w:abstractNumId="48">
    <w:nsid w:val="235BA861"/>
    <w:multiLevelType w:val="hybridMultilevel"/>
    <w:lvl w:ilvl="0">
      <w:lvlJc w:val="left"/>
      <w:lvlText w:val="(%1)"/>
      <w:numFmt w:val="lowerLetter"/>
      <w:start w:val="5"/>
    </w:lvl>
  </w:abstractNum>
  <w:abstractNum w:abstractNumId="49">
    <w:nsid w:val="47398C89"/>
    <w:multiLevelType w:val="hybridMultilevel"/>
    <w:lvl w:ilvl="0">
      <w:lvlJc w:val="left"/>
      <w:lvlText w:val="%1."/>
      <w:numFmt w:val="decimal"/>
      <w:start w:val="4"/>
    </w:lvl>
    <w:lvl w:ilvl="1">
      <w:lvlJc w:val="left"/>
      <w:lvlText w:val="(%2)"/>
      <w:numFmt w:val="lowerLetter"/>
      <w:start w:val="1"/>
    </w:lvl>
    <w:lvl w:ilvl="2">
      <w:lvlJc w:val="left"/>
      <w:lvlText w:val="%3."/>
      <w:numFmt w:val="decimal"/>
      <w:start w:val="4"/>
    </w:lvl>
    <w:lvl w:ilvl="3">
      <w:lvlJc w:val="left"/>
      <w:lvlText w:val="(%4)"/>
      <w:numFmt w:val="lowerRoman"/>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3">
    <w:nsid w:val="D34B6A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2"/>
    </w:lvl>
    <w:lvl w:ilvl="1">
      <w:lvlJc w:val="left"/>
      <w:lvlText w:val="(%2)"/>
      <w:numFmt w:val="lowerLetter"/>
      <w:start w:val="1"/>
    </w:lvl>
  </w:abstractNum>
  <w:abstractNum w:abstractNumId="57">
    <w:nsid w:val="7E0C57B1"/>
    <w:multiLevelType w:val="hybridMultilevel"/>
    <w:lvl w:ilvl="0">
      <w:lvlJc w:val="left"/>
      <w:lvlText w:val="%1"/>
      <w:numFmt w:val="decimal"/>
      <w:start w:val="1"/>
    </w:lvl>
    <w:lvl w:ilvl="1">
      <w:lvlJc w:val="left"/>
      <w:lvlText w:val="(%2)"/>
      <w:numFmt w:val="lowerLetter"/>
      <w:start w:val="5"/>
    </w:lvl>
  </w:abstractNum>
  <w:abstractNum w:abstractNumId="58">
    <w:nsid w:val="77AE35EB"/>
    <w:multiLevelType w:val="hybridMultilevel"/>
    <w:lvl w:ilvl="0">
      <w:lvlJc w:val="left"/>
      <w:lvlText w:val="%1."/>
      <w:numFmt w:val="decimal"/>
      <w:start w:val="3"/>
    </w:lvl>
    <w:lvl w:ilvl="1">
      <w:lvlJc w:val="left"/>
      <w:lvlText w:val="%2"/>
      <w:numFmt w:val="lowerLetter"/>
      <w:start w:val="1"/>
    </w:lvl>
  </w:abstractNum>
  <w:abstractNum w:abstractNumId="59">
    <w:nsid w:val="579BE4F1"/>
    <w:multiLevelType w:val="hybridMultilevel"/>
    <w:lvl w:ilvl="0">
      <w:lvlJc w:val="left"/>
      <w:lvlText w:val="%1."/>
      <w:numFmt w:val="decimal"/>
      <w:start w:val="4"/>
    </w:lvl>
  </w:abstractNum>
  <w:abstractNum w:abstractNumId="60">
    <w:nsid w:val="310C50B3"/>
    <w:multiLevelType w:val="hybridMultilevel"/>
    <w:lvl w:ilvl="0">
      <w:lvlJc w:val="left"/>
      <w:lvlText w:val="%1."/>
      <w:numFmt w:val="decimal"/>
      <w:start w:val="5"/>
    </w:lvl>
  </w:abstractNum>
  <w:abstractNum w:abstractNumId="61">
    <w:nsid w:val="5FF87E05"/>
    <w:multiLevelType w:val="hybridMultilevel"/>
    <w:lvl w:ilvl="0">
      <w:lvlJc w:val="left"/>
      <w:lvlText w:val="%1."/>
      <w:numFmt w:val="decimal"/>
      <w:start w:val="6"/>
    </w:lvl>
  </w:abstractNum>
  <w:abstractNum w:abstractNumId="62">
    <w:nsid w:val="2F305DEF"/>
    <w:multiLevelType w:val="hybridMultilevel"/>
    <w:lvl w:ilvl="0">
      <w:lvlJc w:val="left"/>
      <w:lvlText w:val="%1."/>
      <w:numFmt w:val="decimal"/>
      <w:start w:val="7"/>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8"/>
    </w:lvl>
    <w:lvl w:ilvl="1">
      <w:lvlJc w:val="left"/>
      <w:lvlText w:val="%2"/>
      <w:numFmt w:val="lowerLetter"/>
      <w:start w:val="1"/>
    </w:lvl>
  </w:abstractNum>
  <w:abstractNum w:abstractNumId="65">
    <w:nsid w:val="4AD084E9"/>
    <w:multiLevelType w:val="hybridMultilevel"/>
    <w:lvl w:ilvl="0">
      <w:lvlJc w:val="left"/>
      <w:lvlText w:val="%1."/>
      <w:numFmt w:val="decimal"/>
      <w:start w:val="9"/>
    </w:lvl>
    <w:lvl w:ilvl="1">
      <w:lvlJc w:val="left"/>
      <w:lvlText w:val="(%2)"/>
      <w:numFmt w:val="lowerLetter"/>
      <w:start w:val="1"/>
    </w:lvl>
  </w:abstractNum>
  <w:abstractNum w:abstractNumId="66">
    <w:nsid w:val="1F48EA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92" Type="http://schemas.openxmlformats.org/officeDocument/2006/relationships/hyperlink" Target="https://www.sec.gov/Archives/edgar/data/922621/000162828025047550/ex-141.htm" TargetMode="External"/><Relationship Id="rId93" Type="http://schemas.openxmlformats.org/officeDocument/2006/relationships/hyperlink" Target="https://www.sec.gov/Archives/edgar/data/922621/000162828025047550/ex-142.htm" TargetMode="External"/><Relationship Id="rId98" Type="http://schemas.openxmlformats.org/officeDocument/2006/relationships/hyperlink" Target="https://www.sec.gov/Archives/edgar/data/922621/000110465911042663/a11-13827_1ex3d1.htm" TargetMode="External"/><Relationship Id="rId99" Type="http://schemas.openxmlformats.org/officeDocument/2006/relationships/hyperlink" Target="https://www.sec.gov/Archives/edgar/data/922621/000092262119000017/ex-31005032019.htm" TargetMode="External"/><Relationship Id="rId100" Type="http://schemas.openxmlformats.org/officeDocument/2006/relationships/hyperlink" Target="https://www.sec.gov/Archives/edgar/data/922621/000092262121000010/ex-4112312020.htm" TargetMode="External"/><Relationship Id="rId101" Type="http://schemas.openxmlformats.org/officeDocument/2006/relationships/hyperlink" Target="https://www.sec.gov/Archives/edgar/data/922621/000095012802000748/j9708001exv10w12.txt" TargetMode="External"/><Relationship Id="rId102" Type="http://schemas.openxmlformats.org/officeDocument/2006/relationships/hyperlink" Target="https://www.sec.gov/Archives/edgar/data/922621/000129993311000979/exhibit1.htm" TargetMode="External"/><Relationship Id="rId103" Type="http://schemas.openxmlformats.org/officeDocument/2006/relationships/hyperlink" Target="https://www.sec.gov/Archives/edgar/data/922621/000095015209001857/l35096aexv10w108.htm" TargetMode="External"/><Relationship Id="rId104" Type="http://schemas.openxmlformats.org/officeDocument/2006/relationships/hyperlink" Target="https://www.sec.gov/Archives/edgar/data/922621/000092262120000009/ex-1020412312019.htm" TargetMode="External"/><Relationship Id="rId105" Type="http://schemas.openxmlformats.org/officeDocument/2006/relationships/hyperlink" Target="https://www.sec.gov/Archives/edgar/data/922621/000119312524074594/d942821ddef14c.htm#toc942821_72" TargetMode="External"/><Relationship Id="rId106" Type="http://schemas.openxmlformats.org/officeDocument/2006/relationships/hyperlink" Target="https://www.sec.gov/Archives/edgar/data/922621/000092262122000032/ex-10206302022.htm" TargetMode="External"/><Relationship Id="rId107" Type="http://schemas.openxmlformats.org/officeDocument/2006/relationships/hyperlink" Target="https://www.sec.gov/Archives/edgar/data/922621/000119312524074594/d942821ddef14c.htm#toc942821_71" TargetMode="External"/><Relationship Id="rId108" Type="http://schemas.openxmlformats.org/officeDocument/2006/relationships/hyperlink" Target="https://www.sec.gov/Archives/edgar/data/922621/000092262122000013/ex-1022412312021.htm" TargetMode="External"/><Relationship Id="rId109" Type="http://schemas.openxmlformats.org/officeDocument/2006/relationships/hyperlink" Target="https://www.sec.gov/Archives/edgar/data/922621/000095015209001857/l35096aexv10w104.htm" TargetMode="External"/><Relationship Id="rId110" Type="http://schemas.openxmlformats.org/officeDocument/2006/relationships/hyperlink" Target="https://www.sec.gov/Archives/edgar/data/922621/000092262119000023/ex-10206302019.htm" TargetMode="External"/><Relationship Id="rId111" Type="http://schemas.openxmlformats.org/officeDocument/2006/relationships/hyperlink" Target="https://www.sec.gov/Archives/edgar/data/922621/000092262121000010/ex-1020912312020.htm" TargetMode="External"/><Relationship Id="rId112" Type="http://schemas.openxmlformats.org/officeDocument/2006/relationships/hyperlink" Target="https://www.sec.gov/Archives/edgar/data/922621/000092262122000013/ex-1022312312021.htm" TargetMode="External"/><Relationship Id="rId113" Type="http://schemas.openxmlformats.org/officeDocument/2006/relationships/hyperlink" Target="https://www.sec.gov/Archives/edgar/data/922621/000092262122000013/ex-1021812312021.htm" TargetMode="External"/><Relationship Id="rId116" Type="http://schemas.openxmlformats.org/officeDocument/2006/relationships/hyperlink" Target="https://www.sec.gov/Archives/edgar/data/922621/000092262117000008/ex-1017712312016.htm" TargetMode="External"/><Relationship Id="rId117" Type="http://schemas.openxmlformats.org/officeDocument/2006/relationships/hyperlink" Target="https://www.sec.gov/Archives/edgar/data/922621/000092262119000023/ex-10106302019.htm" TargetMode="External"/><Relationship Id="rId118" Type="http://schemas.openxmlformats.org/officeDocument/2006/relationships/hyperlink" Target="https://www.sec.gov/Archives/edgar/data/922621/000092262121000010/ex-1020712312020.htm" TargetMode="External"/><Relationship Id="rId119" Type="http://schemas.openxmlformats.org/officeDocument/2006/relationships/hyperlink" Target="https://www.sec.gov/Archives/edgar/data/922621/000092262122000013/ex-1022212312021.htm" TargetMode="External"/><Relationship Id="rId120" Type="http://schemas.openxmlformats.org/officeDocument/2006/relationships/hyperlink" Target="https://www.sec.gov/ix?doc=/Archives/edgar/data/922621/000119312523078606/d416360ddef14c.htm#toc416360_67" TargetMode="External"/><Relationship Id="rId121" Type="http://schemas.openxmlformats.org/officeDocument/2006/relationships/hyperlink" Target="https://www.sec.gov/Archives/edgar/data/922621/000092262116000067/ex-1015812312015.htm" TargetMode="External"/><Relationship Id="rId122" Type="http://schemas.openxmlformats.org/officeDocument/2006/relationships/hyperlink" Target="https://www.sec.gov/Archives/edgar/data/922621/000092262122000013/ex-1021712312021.htm" TargetMode="External"/><Relationship Id="rId123" Type="http://schemas.openxmlformats.org/officeDocument/2006/relationships/hyperlink" Target="https://www.sec.gov/Archives/edgar/data/922621/000092262123000017/ex-10406302023.htm" TargetMode="External"/><Relationship Id="rId124" Type="http://schemas.openxmlformats.org/officeDocument/2006/relationships/hyperlink" Target="https://www.sec.gov/Archives/edgar/data/922621/000092262124000006/ex-102112312023.htm" TargetMode="External"/><Relationship Id="rId125" Type="http://schemas.openxmlformats.org/officeDocument/2006/relationships/hyperlink" Target="https://www.sec.gov/Archives/edgar/data/922621/000092262123000022/ex-10109302023.htm" TargetMode="External"/><Relationship Id="rId126" Type="http://schemas.openxmlformats.org/officeDocument/2006/relationships/hyperlink" Target="https://www.sec.gov/Archives/edgar/data/922621/000092262123000017/ex-10306302023.htm" TargetMode="External"/><Relationship Id="rId127" Type="http://schemas.openxmlformats.org/officeDocument/2006/relationships/hyperlink" Target="https://www.sec.gov/Archives/edgar/data/922621/000092262121000052/ex-10110292021.htm" TargetMode="External"/><Relationship Id="rId128" Type="http://schemas.openxmlformats.org/officeDocument/2006/relationships/hyperlink" Target="https://www.sec.gov/Archives/edgar/data/0000922621/000092262124000026/ex101.htm" TargetMode="External"/><Relationship Id="rId129" Type="http://schemas.openxmlformats.org/officeDocument/2006/relationships/hyperlink" Target="https://www.sec.gov/Archives/edgar/data/922621/000092262121000052/ex-10210292021.htm" TargetMode="External"/><Relationship Id="rId130" Type="http://schemas.openxmlformats.org/officeDocument/2006/relationships/hyperlink" Target="https://www.sec.gov/Archives/edgar/data/922621/000092262121000048/ex-10309302021.htm" TargetMode="External"/><Relationship Id="rId131" Type="http://schemas.openxmlformats.org/officeDocument/2006/relationships/hyperlink" Target="https://www.sec.gov/Archives/edgar/data/922621/000092262122000013/ex-1022612312021.htm" TargetMode="External"/><Relationship Id="rId134" Type="http://schemas.openxmlformats.org/officeDocument/2006/relationships/hyperlink" Target="https://www.sec.gov/Archives/edgar/data/922621/000092262123000007/ex-106212312022.htm" TargetMode="External"/><Relationship Id="rId135" Type="http://schemas.openxmlformats.org/officeDocument/2006/relationships/hyperlink" Target="https://www.sec.gov/Archives/edgar/data/922621/000092262122000013/ex-1022512312021.htm" TargetMode="External"/><Relationship Id="rId136" Type="http://schemas.openxmlformats.org/officeDocument/2006/relationships/hyperlink" Target="https://www.sec.gov/Archives/edgar/data/922621/000162828025047555/ex-1010930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2026-02-23T15:44:00Z</dcterms:created>
  <dcterms:modified xsi:type="dcterms:W3CDTF">2026-02-23T15:44:00Z</dcterms:modified>
</cp:coreProperties>
</file>