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99"/>
        <w:spacing w:after="0"/>
        <w:rPr>
          <w:sz w:val="20"/>
          <w:szCs w:val="20"/>
          <w:color w:val="auto"/>
        </w:rPr>
      </w:pPr>
      <w:r>
        <w:rPr>
          <w:rFonts w:ascii="Courier New" w:cs="Courier New" w:eastAsia="Courier New" w:hAnsi="Courier New"/>
          <w:sz w:val="15"/>
          <w:szCs w:val="15"/>
          <w:color w:val="auto"/>
        </w:rPr>
        <w:t>FORM 10-Q</w:t>
      </w:r>
    </w:p>
    <w:p>
      <w:pPr>
        <w:spacing w:after="0" w:line="174" w:lineRule="exact"/>
        <w:rPr>
          <w:sz w:val="24"/>
          <w:szCs w:val="24"/>
          <w:color w:val="auto"/>
        </w:rPr>
      </w:pPr>
    </w:p>
    <w:p>
      <w:pPr>
        <w:ind w:left="17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040"/>
        <w:spacing w:after="0"/>
        <w:tabs>
          <w:tab w:leader="none" w:pos="364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4"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QUARTERLY REPORT UNDER SECTION 13 OR 15(d) OF</w:t>
      </w:r>
    </w:p>
    <w:p>
      <w:pPr>
        <w:spacing w:after="0" w:line="2" w:lineRule="exact"/>
        <w:rPr>
          <w:sz w:val="24"/>
          <w:szCs w:val="24"/>
          <w:color w:val="auto"/>
        </w:rPr>
      </w:pPr>
    </w:p>
    <w:p>
      <w:pPr>
        <w:ind w:left="152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quarter ended June 30, 1999</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0-24000</w:t>
      </w:r>
    </w:p>
    <w:p>
      <w:pPr>
        <w:spacing w:after="0" w:line="174"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5"/>
          <w:szCs w:val="15"/>
          <w:color w:val="auto"/>
        </w:rPr>
        <w:t>ERIE INDEMNITY COMPANY</w:t>
      </w:r>
    </w:p>
    <w:p>
      <w:pPr>
        <w:spacing w:after="0" w:line="2"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p>
      <w:pPr>
        <w:ind w:left="1160"/>
        <w:spacing w:after="0"/>
        <w:tabs>
          <w:tab w:leader="none" w:pos="5240" w:val="left"/>
        </w:tabs>
        <w:rPr>
          <w:sz w:val="20"/>
          <w:szCs w:val="20"/>
          <w:color w:val="auto"/>
        </w:rPr>
      </w:pPr>
      <w:r>
        <w:rPr>
          <w:rFonts w:ascii="Courier New" w:cs="Courier New" w:eastAsia="Courier New" w:hAnsi="Courier New"/>
          <w:sz w:val="15"/>
          <w:szCs w:val="15"/>
          <w:color w:val="auto"/>
        </w:rPr>
        <w:t>PENNSYLVANIA</w:t>
      </w:r>
      <w:r>
        <w:rPr>
          <w:sz w:val="20"/>
          <w:szCs w:val="20"/>
          <w:color w:val="auto"/>
        </w:rPr>
        <w:tab/>
      </w:r>
      <w:r>
        <w:rPr>
          <w:rFonts w:ascii="Courier New" w:cs="Courier New" w:eastAsia="Courier New" w:hAnsi="Courier New"/>
          <w:sz w:val="15"/>
          <w:szCs w:val="15"/>
          <w:color w:val="auto"/>
        </w:rPr>
        <w:t>25-0466020</w:t>
      </w:r>
    </w:p>
    <w:p>
      <w:pPr>
        <w:spacing w:after="0" w:line="2" w:lineRule="exact"/>
        <w:rPr>
          <w:sz w:val="24"/>
          <w:szCs w:val="24"/>
          <w:color w:val="auto"/>
        </w:rPr>
      </w:pPr>
    </w:p>
    <w:p>
      <w:pPr>
        <w:ind w:left="180"/>
        <w:spacing w:after="0"/>
        <w:tabs>
          <w:tab w:leader="none" w:pos="508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line="2" w:lineRule="exact"/>
        <w:rPr>
          <w:sz w:val="24"/>
          <w:szCs w:val="24"/>
          <w:color w:val="auto"/>
        </w:rPr>
      </w:pPr>
    </w:p>
    <w:p>
      <w:pPr>
        <w:ind w:left="260"/>
        <w:spacing w:after="0"/>
        <w:tabs>
          <w:tab w:leader="none" w:pos="524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346" w:lineRule="exact"/>
        <w:rPr>
          <w:sz w:val="24"/>
          <w:szCs w:val="24"/>
          <w:color w:val="auto"/>
        </w:rPr>
      </w:pPr>
    </w:p>
    <w:p>
      <w:pPr>
        <w:spacing w:after="0"/>
        <w:tabs>
          <w:tab w:leader="none" w:pos="5600" w:val="left"/>
        </w:tabs>
        <w:rPr>
          <w:sz w:val="20"/>
          <w:szCs w:val="20"/>
          <w:color w:val="auto"/>
        </w:rPr>
      </w:pPr>
      <w:r>
        <w:rPr>
          <w:rFonts w:ascii="Courier New" w:cs="Courier New" w:eastAsia="Courier New" w:hAnsi="Courier New"/>
          <w:sz w:val="15"/>
          <w:szCs w:val="15"/>
          <w:color w:val="auto"/>
        </w:rPr>
        <w:t>100 Erie Insurance Place, Erie, Pennsylvania</w:t>
      </w:r>
      <w:r>
        <w:rPr>
          <w:sz w:val="20"/>
          <w:szCs w:val="20"/>
          <w:color w:val="auto"/>
        </w:rPr>
        <w:tab/>
      </w:r>
      <w:r>
        <w:rPr>
          <w:rFonts w:ascii="Courier New" w:cs="Courier New" w:eastAsia="Courier New" w:hAnsi="Courier New"/>
          <w:sz w:val="15"/>
          <w:szCs w:val="15"/>
          <w:color w:val="auto"/>
        </w:rPr>
        <w:t>16530</w:t>
      </w:r>
    </w:p>
    <w:p>
      <w:pPr>
        <w:spacing w:after="0" w:line="2" w:lineRule="exact"/>
        <w:rPr>
          <w:sz w:val="24"/>
          <w:szCs w:val="24"/>
          <w:color w:val="auto"/>
        </w:rPr>
      </w:pPr>
    </w:p>
    <w:p>
      <w:pPr>
        <w:ind w:left="180"/>
        <w:spacing w:after="0"/>
        <w:tabs>
          <w:tab w:leader="none" w:pos="53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4" w:lineRule="exact"/>
        <w:rPr>
          <w:sz w:val="24"/>
          <w:szCs w:val="24"/>
          <w:color w:val="auto"/>
        </w:rPr>
      </w:pPr>
    </w:p>
    <w:p>
      <w:pPr>
        <w:ind w:left="4020"/>
        <w:spacing w:after="0"/>
        <w:rPr>
          <w:sz w:val="20"/>
          <w:szCs w:val="20"/>
          <w:color w:val="auto"/>
        </w:rPr>
      </w:pPr>
      <w:r>
        <w:rPr>
          <w:rFonts w:ascii="Courier New" w:cs="Courier New" w:eastAsia="Courier New" w:hAnsi="Courier New"/>
          <w:sz w:val="15"/>
          <w:szCs w:val="15"/>
          <w:color w:val="auto"/>
        </w:rPr>
        <w:t>(814) 870-2000</w:t>
      </w:r>
    </w:p>
    <w:p>
      <w:pPr>
        <w:spacing w:after="0" w:line="2"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46" w:lineRule="exact"/>
        <w:rPr>
          <w:sz w:val="24"/>
          <w:szCs w:val="24"/>
          <w:color w:val="auto"/>
        </w:rPr>
      </w:pPr>
    </w:p>
    <w:p>
      <w:pPr>
        <w:ind w:left="4020"/>
        <w:spacing w:after="0"/>
        <w:rPr>
          <w:sz w:val="20"/>
          <w:szCs w:val="20"/>
          <w:color w:val="auto"/>
        </w:rPr>
      </w:pPr>
      <w:r>
        <w:rPr>
          <w:rFonts w:ascii="Courier New" w:cs="Courier New" w:eastAsia="Courier New" w:hAnsi="Courier New"/>
          <w:sz w:val="15"/>
          <w:szCs w:val="15"/>
          <w:color w:val="auto"/>
        </w:rPr>
        <w:t>Not applicable</w:t>
      </w:r>
    </w:p>
    <w:p>
      <w:pPr>
        <w:spacing w:after="0" w:line="2" w:lineRule="exact"/>
        <w:rPr>
          <w:sz w:val="24"/>
          <w:szCs w:val="24"/>
          <w:color w:val="auto"/>
        </w:rPr>
      </w:pPr>
    </w:p>
    <w:p>
      <w:pPr>
        <w:spacing w:after="0"/>
        <w:tabs>
          <w:tab w:leader="none" w:pos="680" w:val="left"/>
          <w:tab w:leader="none" w:pos="1320" w:val="left"/>
          <w:tab w:leader="none" w:pos="2020" w:val="left"/>
          <w:tab w:leader="none" w:pos="3820" w:val="left"/>
          <w:tab w:leader="none" w:pos="4540" w:val="left"/>
          <w:tab w:leader="none" w:pos="5160" w:val="left"/>
          <w:tab w:leader="none" w:pos="6240" w:val="left"/>
        </w:tabs>
        <w:rPr>
          <w:sz w:val="20"/>
          <w:szCs w:val="20"/>
          <w:color w:val="auto"/>
        </w:rPr>
      </w:pPr>
      <w:r>
        <w:rPr>
          <w:rFonts w:ascii="Courier New" w:cs="Courier New" w:eastAsia="Courier New" w:hAnsi="Courier New"/>
          <w:sz w:val="15"/>
          <w:szCs w:val="15"/>
          <w:color w:val="auto"/>
        </w:rPr>
        <w:t>Former</w:t>
        <w:tab/>
        <w:t>name,</w:t>
        <w:tab/>
        <w:t>former</w:t>
        <w:tab/>
        <w:t>address and former</w:t>
        <w:tab/>
        <w:t>fiscal</w:t>
        <w:tab/>
        <w:t>year,</w:t>
        <w:tab/>
        <w:t>if changed</w:t>
      </w:r>
      <w:r>
        <w:rPr>
          <w:sz w:val="20"/>
          <w:szCs w:val="20"/>
          <w:color w:val="auto"/>
        </w:rPr>
        <w:tab/>
      </w:r>
      <w:r>
        <w:rPr>
          <w:rFonts w:ascii="Courier New" w:cs="Courier New" w:eastAsia="Courier New" w:hAnsi="Courier New"/>
          <w:sz w:val="14"/>
          <w:szCs w:val="14"/>
          <w:color w:val="auto"/>
        </w:rPr>
        <w:t>since last</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report.</w:t>
      </w:r>
    </w:p>
    <w:p>
      <w:pPr>
        <w:spacing w:after="0" w:line="176" w:lineRule="exact"/>
        <w:rPr>
          <w:sz w:val="24"/>
          <w:szCs w:val="24"/>
          <w:color w:val="auto"/>
        </w:rPr>
      </w:pPr>
    </w:p>
    <w:p>
      <w:pPr>
        <w:jc w:val="both"/>
        <w:ind w:left="800" w:right="3079"/>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 Yes X No ___</w:t>
      </w:r>
    </w:p>
    <w:p>
      <w:pPr>
        <w:spacing w:after="0" w:line="176" w:lineRule="exact"/>
        <w:rPr>
          <w:sz w:val="24"/>
          <w:szCs w:val="24"/>
          <w:color w:val="auto"/>
        </w:rPr>
      </w:pPr>
    </w:p>
    <w:p>
      <w:pPr>
        <w:jc w:val="both"/>
        <w:ind w:left="800" w:right="3079"/>
        <w:spacing w:after="0"/>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practical date.</w:t>
      </w:r>
    </w:p>
    <w:p>
      <w:pPr>
        <w:sectPr>
          <w:pgSz w:w="11900" w:h="16838" w:orient="portrait"/>
          <w:cols w:equalWidth="0" w:num="1">
            <w:col w:w="10219"/>
          </w:cols>
          <w:pgMar w:left="240" w:top="1264" w:right="1440" w:bottom="70" w:gutter="0" w:footer="0" w:header="0"/>
        </w:sectPr>
      </w:pPr>
    </w:p>
    <w:p>
      <w:pPr>
        <w:spacing w:after="0" w:line="174" w:lineRule="exact"/>
        <w:rPr>
          <w:sz w:val="24"/>
          <w:szCs w:val="24"/>
          <w:color w:val="auto"/>
        </w:rPr>
      </w:pPr>
    </w:p>
    <w:p>
      <w:pPr>
        <w:ind w:left="1600"/>
        <w:spacing w:after="0"/>
        <w:tabs>
          <w:tab w:leader="none" w:pos="2380" w:val="left"/>
        </w:tabs>
        <w:rPr>
          <w:sz w:val="20"/>
          <w:szCs w:val="20"/>
          <w:color w:val="auto"/>
        </w:rPr>
      </w:pPr>
      <w:r>
        <w:rPr>
          <w:rFonts w:ascii="Courier New" w:cs="Courier New" w:eastAsia="Courier New" w:hAnsi="Courier New"/>
          <w:sz w:val="15"/>
          <w:szCs w:val="15"/>
          <w:color w:val="auto"/>
        </w:rPr>
        <w:t>Class</w:t>
      </w:r>
      <w:r>
        <w:rPr>
          <w:sz w:val="20"/>
          <w:szCs w:val="20"/>
          <w:color w:val="auto"/>
        </w:rPr>
        <w:tab/>
      </w:r>
      <w:r>
        <w:rPr>
          <w:rFonts w:ascii="Courier New" w:cs="Courier New" w:eastAsia="Courier New" w:hAnsi="Courier New"/>
          <w:sz w:val="15"/>
          <w:szCs w:val="15"/>
          <w:color w:val="auto"/>
        </w:rPr>
        <w:t>A Common Stock, no par value,</w:t>
      </w:r>
    </w:p>
    <w:p>
      <w:pPr>
        <w:spacing w:after="0" w:line="4"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$.0292 per share-- 66,098,605 1999.</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right"/>
        <w:ind w:right="3079"/>
        <w:spacing w:after="0"/>
        <w:rPr>
          <w:sz w:val="20"/>
          <w:szCs w:val="20"/>
          <w:color w:val="auto"/>
        </w:rPr>
      </w:pPr>
      <w:r>
        <w:rPr>
          <w:rFonts w:ascii="Courier New" w:cs="Courier New" w:eastAsia="Courier New" w:hAnsi="Courier New"/>
          <w:sz w:val="14"/>
          <w:szCs w:val="14"/>
          <w:color w:val="auto"/>
        </w:rPr>
        <w:t>with a stated value of</w:t>
      </w:r>
    </w:p>
    <w:p>
      <w:pPr>
        <w:spacing w:after="0" w:line="12" w:lineRule="exact"/>
        <w:rPr>
          <w:sz w:val="24"/>
          <w:szCs w:val="24"/>
          <w:color w:val="auto"/>
        </w:rPr>
      </w:pPr>
    </w:p>
    <w:p>
      <w:pPr>
        <w:jc w:val="right"/>
        <w:ind w:right="3079"/>
        <w:spacing w:after="0"/>
        <w:rPr>
          <w:sz w:val="20"/>
          <w:szCs w:val="20"/>
          <w:color w:val="auto"/>
        </w:rPr>
      </w:pPr>
      <w:r>
        <w:rPr>
          <w:rFonts w:ascii="Courier New" w:cs="Courier New" w:eastAsia="Courier New" w:hAnsi="Courier New"/>
          <w:sz w:val="15"/>
          <w:szCs w:val="15"/>
          <w:color w:val="auto"/>
        </w:rPr>
        <w:t>shares as of July 19,</w:t>
      </w:r>
    </w:p>
    <w:p>
      <w:pPr>
        <w:spacing w:after="0" w:line="345" w:lineRule="exact"/>
        <w:rPr>
          <w:sz w:val="24"/>
          <w:szCs w:val="24"/>
          <w:color w:val="auto"/>
        </w:rPr>
      </w:pPr>
    </w:p>
    <w:p>
      <w:pPr>
        <w:sectPr>
          <w:pgSz w:w="11900" w:h="16838" w:orient="portrait"/>
          <w:cols w:equalWidth="0" w:num="2">
            <w:col w:w="5100" w:space="80"/>
            <w:col w:w="5039"/>
          </w:cols>
          <w:pgMar w:left="240" w:top="1264" w:right="1440" w:bottom="70" w:gutter="0" w:footer="0" w:header="0"/>
          <w:type w:val="continuous"/>
        </w:sectPr>
      </w:pPr>
    </w:p>
    <w:p>
      <w:pPr>
        <w:jc w:val="both"/>
        <w:ind w:left="1600"/>
        <w:spacing w:after="0"/>
        <w:tabs>
          <w:tab w:leader="none" w:pos="2380" w:val="left"/>
          <w:tab w:leader="none" w:pos="5160" w:val="left"/>
        </w:tabs>
        <w:rPr>
          <w:sz w:val="20"/>
          <w:szCs w:val="20"/>
          <w:color w:val="auto"/>
        </w:rPr>
      </w:pPr>
      <w:r>
        <w:rPr>
          <w:rFonts w:ascii="Courier New" w:cs="Courier New" w:eastAsia="Courier New" w:hAnsi="Courier New"/>
          <w:sz w:val="15"/>
          <w:szCs w:val="15"/>
          <w:color w:val="auto"/>
        </w:rPr>
        <w:t>Class</w:t>
      </w:r>
      <w:r>
        <w:rPr>
          <w:sz w:val="20"/>
          <w:szCs w:val="20"/>
          <w:color w:val="auto"/>
        </w:rPr>
        <w:tab/>
      </w:r>
      <w:r>
        <w:rPr>
          <w:rFonts w:ascii="Courier New" w:cs="Courier New" w:eastAsia="Courier New" w:hAnsi="Courier New"/>
          <w:sz w:val="15"/>
          <w:szCs w:val="15"/>
          <w:color w:val="auto"/>
        </w:rPr>
        <w:t>B Common Stock, no par value,</w:t>
      </w:r>
      <w:r>
        <w:rPr>
          <w:sz w:val="20"/>
          <w:szCs w:val="20"/>
          <w:color w:val="auto"/>
        </w:rPr>
        <w:tab/>
      </w:r>
      <w:r>
        <w:rPr>
          <w:rFonts w:ascii="Courier New" w:cs="Courier New" w:eastAsia="Courier New" w:hAnsi="Courier New"/>
          <w:sz w:val="14"/>
          <w:szCs w:val="14"/>
          <w:color w:val="auto"/>
        </w:rPr>
        <w:t>with a stated value of</w:t>
      </w:r>
    </w:p>
    <w:p>
      <w:pPr>
        <w:spacing w:after="0" w:line="2"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$70.00 per share-- 3,070 shares as of July 19, 1999.</w:t>
      </w:r>
    </w:p>
    <w:p>
      <w:pPr>
        <w:spacing w:after="0" w:line="176" w:lineRule="exact"/>
        <w:rPr>
          <w:sz w:val="24"/>
          <w:szCs w:val="24"/>
          <w:color w:val="auto"/>
        </w:rPr>
      </w:pPr>
    </w:p>
    <w:p>
      <w:pPr>
        <w:ind w:right="3079" w:firstLine="805"/>
        <w:spacing w:after="0"/>
        <w:rPr>
          <w:sz w:val="20"/>
          <w:szCs w:val="20"/>
          <w:color w:val="auto"/>
        </w:rPr>
      </w:pPr>
      <w:r>
        <w:rPr>
          <w:rFonts w:ascii="Courier New" w:cs="Courier New" w:eastAsia="Courier New" w:hAnsi="Courier New"/>
          <w:sz w:val="15"/>
          <w:szCs w:val="15"/>
          <w:color w:val="auto"/>
        </w:rPr>
        <w:t>The common stock is the only class of stock the Registrant is presently authorized to issue.</w:t>
      </w:r>
    </w:p>
    <w:p>
      <w:pPr>
        <w:spacing w:after="0" w:line="174" w:lineRule="exact"/>
        <w:rPr>
          <w:sz w:val="24"/>
          <w:szCs w:val="24"/>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3400"/>
        <w:spacing w:after="0"/>
        <w:rPr>
          <w:sz w:val="20"/>
          <w:szCs w:val="20"/>
          <w:color w:val="auto"/>
        </w:rPr>
      </w:pPr>
      <w:r>
        <w:rPr>
          <w:rFonts w:ascii="Courier New" w:cs="Courier New" w:eastAsia="Courier New" w:hAnsi="Courier New"/>
          <w:sz w:val="15"/>
          <w:szCs w:val="15"/>
          <w:color w:val="auto"/>
        </w:rPr>
        <w:t>INDEX</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ERIE INDEMNITY COMPANY</w:t>
      </w:r>
    </w:p>
    <w:p>
      <w:pPr>
        <w:spacing w:after="0" w:line="3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74"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 (Unaudited)</w:t>
      </w:r>
    </w:p>
    <w:p>
      <w:pPr>
        <w:spacing w:after="0" w:line="176" w:lineRule="exact"/>
        <w:rPr>
          <w:sz w:val="24"/>
          <w:szCs w:val="24"/>
          <w:color w:val="auto"/>
        </w:rPr>
      </w:pPr>
    </w:p>
    <w:p>
      <w:pPr>
        <w:ind w:left="800" w:right="3699"/>
        <w:spacing w:after="0"/>
        <w:rPr>
          <w:sz w:val="20"/>
          <w:szCs w:val="20"/>
          <w:color w:val="auto"/>
        </w:rPr>
      </w:pPr>
      <w:r>
        <w:rPr>
          <w:rFonts w:ascii="Courier New" w:cs="Courier New" w:eastAsia="Courier New" w:hAnsi="Courier New"/>
          <w:sz w:val="15"/>
          <w:szCs w:val="15"/>
          <w:color w:val="auto"/>
        </w:rPr>
        <w:t>Consolidated Statements of Financial Position--June 30, 1999 and December 31, 1998</w:t>
      </w:r>
    </w:p>
    <w:p>
      <w:pPr>
        <w:spacing w:after="0" w:line="176" w:lineRule="exact"/>
        <w:rPr>
          <w:sz w:val="24"/>
          <w:szCs w:val="24"/>
          <w:color w:val="auto"/>
        </w:rPr>
      </w:pPr>
    </w:p>
    <w:p>
      <w:pPr>
        <w:ind w:left="800" w:right="3599"/>
        <w:spacing w:after="0"/>
        <w:rPr>
          <w:sz w:val="20"/>
          <w:szCs w:val="20"/>
          <w:color w:val="auto"/>
        </w:rPr>
      </w:pPr>
      <w:r>
        <w:rPr>
          <w:rFonts w:ascii="Courier New" w:cs="Courier New" w:eastAsia="Courier New" w:hAnsi="Courier New"/>
          <w:sz w:val="15"/>
          <w:szCs w:val="15"/>
          <w:color w:val="auto"/>
        </w:rPr>
        <w:t>Consolidated Statements of Operations--Three and six months ended June 30, 1999 and 1998</w:t>
      </w:r>
    </w:p>
    <w:p>
      <w:pPr>
        <w:spacing w:after="0" w:line="176" w:lineRule="exact"/>
        <w:rPr>
          <w:sz w:val="24"/>
          <w:szCs w:val="24"/>
          <w:color w:val="auto"/>
        </w:rPr>
      </w:pPr>
    </w:p>
    <w:p>
      <w:pPr>
        <w:ind w:left="800" w:right="3259"/>
        <w:spacing w:after="0"/>
        <w:rPr>
          <w:sz w:val="20"/>
          <w:szCs w:val="20"/>
          <w:color w:val="auto"/>
        </w:rPr>
      </w:pPr>
      <w:r>
        <w:rPr>
          <w:rFonts w:ascii="Courier New" w:cs="Courier New" w:eastAsia="Courier New" w:hAnsi="Courier New"/>
          <w:sz w:val="15"/>
          <w:szCs w:val="15"/>
          <w:color w:val="auto"/>
        </w:rPr>
        <w:t>Consolidated Statements of Comprehensive Income--Three and six months ended June 30, 1999 and 1998</w:t>
      </w:r>
    </w:p>
    <w:p>
      <w:pPr>
        <w:spacing w:after="0" w:line="176" w:lineRule="exact"/>
        <w:rPr>
          <w:sz w:val="24"/>
          <w:szCs w:val="24"/>
          <w:color w:val="auto"/>
        </w:rPr>
      </w:pPr>
    </w:p>
    <w:p>
      <w:pPr>
        <w:ind w:left="800" w:right="3259"/>
        <w:spacing w:after="0"/>
        <w:rPr>
          <w:sz w:val="20"/>
          <w:szCs w:val="20"/>
          <w:color w:val="auto"/>
        </w:rPr>
      </w:pPr>
      <w:r>
        <w:rPr>
          <w:rFonts w:ascii="Courier New" w:cs="Courier New" w:eastAsia="Courier New" w:hAnsi="Courier New"/>
          <w:sz w:val="15"/>
          <w:szCs w:val="15"/>
          <w:color w:val="auto"/>
        </w:rPr>
        <w:t>Consolidated Statements of Cash Flows--Six months ended June 30, 1999 and 1998</w:t>
      </w:r>
    </w:p>
    <w:p>
      <w:pPr>
        <w:spacing w:after="0" w:line="174"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Notes to Consolidated Financial Statements--June 30, 1999</w:t>
      </w:r>
    </w:p>
    <w:p>
      <w:pPr>
        <w:spacing w:after="0" w:line="176" w:lineRule="exact"/>
        <w:rPr>
          <w:sz w:val="24"/>
          <w:szCs w:val="24"/>
          <w:color w:val="auto"/>
        </w:rPr>
      </w:pPr>
    </w:p>
    <w:p>
      <w:pPr>
        <w:ind w:left="800" w:right="3779" w:hanging="804"/>
        <w:spacing w:after="0"/>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3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4"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2"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ectPr>
          <w:pgSz w:w="11900" w:h="16838" w:orient="portrait"/>
          <w:cols w:equalWidth="0" w:num="1">
            <w:col w:w="10219"/>
          </w:cols>
          <w:pgMar w:left="240" w:top="1264" w:right="1440" w:bottom="7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SIGNATURES</w:t>
      </w:r>
    </w:p>
    <w:p>
      <w:pPr>
        <w:spacing w:after="0" w:line="2" w:lineRule="exact"/>
        <w:rPr>
          <w:sz w:val="20"/>
          <w:szCs w:val="20"/>
          <w:color w:val="auto"/>
        </w:rPr>
      </w:pPr>
    </w:p>
    <w:p>
      <w:pPr>
        <w:jc w:val="right"/>
        <w:ind w:right="665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40" w:right="1440" w:bottom="1440" w:gutter="0" w:footer="0" w:header="0"/>
        </w:sectPr>
      </w:pPr>
    </w:p>
    <w:bookmarkStart w:id="2" w:name="page3"/>
    <w:bookmarkEnd w:id="2"/>
    <w:p>
      <w:pPr>
        <w:spacing w:after="0"/>
        <w:tabs>
          <w:tab w:leader="none" w:pos="7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ERIE INDEMNITY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ind w:left="1600"/>
              <w:spacing w:after="0"/>
              <w:rPr>
                <w:sz w:val="20"/>
                <w:szCs w:val="20"/>
                <w:color w:val="auto"/>
              </w:rPr>
            </w:pPr>
            <w:r>
              <w:rPr>
                <w:rFonts w:ascii="Courier New" w:cs="Courier New" w:eastAsia="Courier New" w:hAnsi="Courier New"/>
                <w:sz w:val="15"/>
                <w:szCs w:val="15"/>
                <w:color w:val="auto"/>
              </w:rPr>
              <w:t>CONSOLIDATED STATEMENTS OF FINANCIAL POSITION</w:t>
            </w:r>
          </w:p>
        </w:tc>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88"/>
        </w:trPr>
        <w:tc>
          <w:tcPr>
            <w:tcW w:w="5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June 30,</w:t>
            </w:r>
          </w:p>
        </w:tc>
        <w:tc>
          <w:tcPr>
            <w:tcW w:w="580" w:type="dxa"/>
            <w:vAlign w:val="bottom"/>
          </w:tcPr>
          <w:p>
            <w:pPr>
              <w:spacing w:after="0"/>
              <w:rPr>
                <w:sz w:val="24"/>
                <w:szCs w:val="2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December 31,</w:t>
            </w:r>
          </w:p>
        </w:tc>
      </w:tr>
      <w:tr>
        <w:trPr>
          <w:trHeight w:val="172"/>
        </w:trPr>
        <w:tc>
          <w:tcPr>
            <w:tcW w:w="5980" w:type="dxa"/>
            <w:vAlign w:val="bottom"/>
          </w:tcPr>
          <w:p>
            <w:pPr>
              <w:ind w:left="3040"/>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14"/>
                <w:szCs w:val="14"/>
                <w:color w:val="auto"/>
              </w:rPr>
            </w:pPr>
          </w:p>
        </w:tc>
        <w:tc>
          <w:tcPr>
            <w:tcW w:w="17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980" w:type="dxa"/>
            <w:vAlign w:val="bottom"/>
          </w:tcPr>
          <w:p>
            <w:pPr>
              <w:spacing w:after="0"/>
              <w:rPr>
                <w:sz w:val="14"/>
                <w:szCs w:val="14"/>
                <w:color w:val="auto"/>
              </w:rPr>
            </w:pPr>
          </w:p>
        </w:tc>
        <w:tc>
          <w:tcPr>
            <w:tcW w:w="22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6"/>
              </w:rPr>
              <w:t>(Unaudited)</w:t>
            </w: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4"/>
        </w:trPr>
        <w:tc>
          <w:tcPr>
            <w:tcW w:w="598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Fixed Maturities Available-for-Sale at fair value</w:t>
            </w:r>
          </w:p>
        </w:tc>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340"/>
              <w:spacing w:after="0"/>
              <w:rPr>
                <w:sz w:val="20"/>
                <w:szCs w:val="20"/>
                <w:color w:val="auto"/>
              </w:rPr>
            </w:pPr>
            <w:r>
              <w:rPr>
                <w:rFonts w:ascii="Courier New" w:cs="Courier New" w:eastAsia="Courier New" w:hAnsi="Courier New"/>
                <w:sz w:val="15"/>
                <w:szCs w:val="15"/>
                <w:color w:val="auto"/>
              </w:rPr>
              <w:t>(amortized cost of $458,150,530 and</w:t>
            </w:r>
          </w:p>
        </w:tc>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$421,101,561, respectively)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464,663,878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441,353,427</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Equity Securities (cost of $178,874,790 and</w:t>
            </w:r>
          </w:p>
        </w:tc>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$169,976,774, respectively)</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218,564,698</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202,804,068</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Real Estate Mortgage Loans</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8,298,469</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8,287,129</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Other Invested Assets</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20,507,914</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17,493,496</w:t>
            </w:r>
          </w:p>
        </w:tc>
      </w:tr>
      <w:tr>
        <w:trPr>
          <w:trHeight w:val="172"/>
        </w:trPr>
        <w:tc>
          <w:tcPr>
            <w:tcW w:w="5980" w:type="dxa"/>
            <w:vAlign w:val="bottom"/>
          </w:tcPr>
          <w:p>
            <w:pPr>
              <w:spacing w:after="0"/>
              <w:rPr>
                <w:sz w:val="14"/>
                <w:szCs w:val="14"/>
                <w:color w:val="auto"/>
              </w:rPr>
            </w:pPr>
          </w:p>
        </w:tc>
        <w:tc>
          <w:tcPr>
            <w:tcW w:w="22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ind w:left="620"/>
              <w:spacing w:after="0"/>
              <w:rPr>
                <w:sz w:val="20"/>
                <w:szCs w:val="20"/>
                <w:color w:val="auto"/>
              </w:rPr>
            </w:pPr>
            <w:r>
              <w:rPr>
                <w:rFonts w:ascii="Courier New" w:cs="Courier New" w:eastAsia="Courier New" w:hAnsi="Courier New"/>
                <w:sz w:val="15"/>
                <w:szCs w:val="15"/>
                <w:color w:val="auto"/>
              </w:rPr>
              <w:t>Total Investments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712,034,959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669,938,120</w:t>
            </w:r>
          </w:p>
        </w:tc>
      </w:tr>
      <w:tr>
        <w:trPr>
          <w:trHeight w:val="344"/>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460" w:type="dxa"/>
            <w:vAlign w:val="bottom"/>
          </w:tcPr>
          <w:p>
            <w:pPr>
              <w:spacing w:after="0"/>
              <w:rPr>
                <w:sz w:val="24"/>
                <w:szCs w:val="2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16,700,819</w:t>
            </w:r>
          </w:p>
        </w:tc>
        <w:tc>
          <w:tcPr>
            <w:tcW w:w="5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53,580,043</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Accrued Investment Income</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7,889,028</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7,252,439</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Note Receivable from Erie Family</w:t>
            </w:r>
          </w:p>
        </w:tc>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Life Insurance Company</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15,000,000</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15,000,000</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Premiums Receivable from Policyholders</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116,790,157</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114,695,231</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Prepaid Federal Income Tax</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2,508,908</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Reinsurance Recoverables from Erie Insurance</w:t>
            </w:r>
          </w:p>
        </w:tc>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Exchange</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396,496,310</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381,301,722</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Other Receivables from Erie Insurance</w:t>
            </w:r>
          </w:p>
        </w:tc>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Exchange and Affiliates</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130,631,954</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108,612,264</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Reinsurance Recoverable Non-affiliates</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893,898</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938,894</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Deferred Policy Acquisition Costs</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11,434,482</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10,863,107</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Property and Equipment</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14,140,351</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12,388,650</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Equity in Erie Family Life Insurance Company</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37,308,329</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39,478,746</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Other Assets</w:t>
            </w:r>
          </w:p>
        </w:tc>
        <w:tc>
          <w:tcPr>
            <w:tcW w:w="460" w:type="dxa"/>
            <w:vAlign w:val="bottom"/>
          </w:tcPr>
          <w:p>
            <w:pPr>
              <w:spacing w:after="0"/>
              <w:rPr>
                <w:sz w:val="14"/>
                <w:szCs w:val="14"/>
                <w:color w:val="auto"/>
              </w:rPr>
            </w:pP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40,199,239</w:t>
            </w:r>
          </w:p>
        </w:tc>
        <w:tc>
          <w:tcPr>
            <w:tcW w:w="5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36,873,922</w:t>
            </w:r>
          </w:p>
        </w:tc>
      </w:tr>
      <w:tr>
        <w:trPr>
          <w:trHeight w:val="172"/>
        </w:trPr>
        <w:tc>
          <w:tcPr>
            <w:tcW w:w="5980" w:type="dxa"/>
            <w:vAlign w:val="bottom"/>
          </w:tcPr>
          <w:p>
            <w:pPr>
              <w:spacing w:after="0"/>
              <w:rPr>
                <w:sz w:val="14"/>
                <w:szCs w:val="14"/>
                <w:color w:val="auto"/>
              </w:rPr>
            </w:pPr>
          </w:p>
        </w:tc>
        <w:tc>
          <w:tcPr>
            <w:tcW w:w="22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ind w:left="620"/>
              <w:spacing w:after="0"/>
              <w:rPr>
                <w:sz w:val="20"/>
                <w:szCs w:val="20"/>
                <w:color w:val="auto"/>
              </w:rPr>
            </w:pPr>
            <w:r>
              <w:rPr>
                <w:rFonts w:ascii="Courier New" w:cs="Courier New" w:eastAsia="Courier New" w:hAnsi="Courier New"/>
                <w:sz w:val="15"/>
                <w:szCs w:val="15"/>
                <w:color w:val="auto"/>
              </w:rPr>
              <w:t>Total Assets</w:t>
            </w:r>
          </w:p>
        </w:tc>
        <w:tc>
          <w:tcPr>
            <w:tcW w:w="22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$ 1,499,519,526</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$ 1,453,432,046</w:t>
            </w:r>
          </w:p>
        </w:tc>
      </w:tr>
      <w:tr>
        <w:trPr>
          <w:trHeight w:val="172"/>
        </w:trPr>
        <w:tc>
          <w:tcPr>
            <w:tcW w:w="5980" w:type="dxa"/>
            <w:vAlign w:val="bottom"/>
          </w:tcPr>
          <w:p>
            <w:pPr>
              <w:spacing w:after="0"/>
              <w:rPr>
                <w:sz w:val="14"/>
                <w:szCs w:val="14"/>
                <w:color w:val="auto"/>
              </w:rPr>
            </w:pPr>
          </w:p>
        </w:tc>
        <w:tc>
          <w:tcPr>
            <w:tcW w:w="22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05" w:right="1440" w:bottom="1440" w:gutter="0" w:footer="0" w:header="0"/>
        </w:sectPr>
      </w:pPr>
    </w:p>
    <w:bookmarkStart w:id="3" w:name="page4"/>
    <w:bookmarkEnd w:id="3"/>
    <w:p>
      <w:pPr>
        <w:ind w:left="2580"/>
        <w:spacing w:after="0"/>
        <w:rPr>
          <w:sz w:val="20"/>
          <w:szCs w:val="20"/>
          <w:color w:val="auto"/>
        </w:rPr>
      </w:pPr>
      <w:r>
        <w:rPr>
          <w:rFonts w:ascii="Courier New" w:cs="Courier New" w:eastAsia="Courier New" w:hAnsi="Courier New"/>
          <w:sz w:val="15"/>
          <w:szCs w:val="15"/>
          <w:color w:val="auto"/>
        </w:rPr>
        <w:t>ERIE INDEMNITY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ind w:left="1600"/>
              <w:spacing w:after="0"/>
              <w:rPr>
                <w:sz w:val="20"/>
                <w:szCs w:val="20"/>
                <w:color w:val="auto"/>
              </w:rPr>
            </w:pPr>
            <w:r>
              <w:rPr>
                <w:rFonts w:ascii="Courier New" w:cs="Courier New" w:eastAsia="Courier New" w:hAnsi="Courier New"/>
                <w:sz w:val="15"/>
                <w:szCs w:val="15"/>
                <w:color w:val="auto"/>
              </w:rPr>
              <w:t>CONSOLIDATED STATEMENTS OF FINANCIAL POSITION</w:t>
            </w: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88"/>
        </w:trPr>
        <w:tc>
          <w:tcPr>
            <w:tcW w:w="5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June 30,</w:t>
            </w:r>
          </w:p>
        </w:tc>
        <w:tc>
          <w:tcPr>
            <w:tcW w:w="500" w:type="dxa"/>
            <w:vAlign w:val="bottom"/>
          </w:tcPr>
          <w:p>
            <w:pPr>
              <w:spacing w:after="0"/>
              <w:rPr>
                <w:sz w:val="24"/>
                <w:szCs w:val="2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December 31,</w:t>
            </w:r>
          </w:p>
        </w:tc>
      </w:tr>
      <w:tr>
        <w:trPr>
          <w:trHeight w:val="172"/>
        </w:trPr>
        <w:tc>
          <w:tcPr>
            <w:tcW w:w="5980" w:type="dxa"/>
            <w:vAlign w:val="bottom"/>
          </w:tcPr>
          <w:p>
            <w:pPr>
              <w:ind w:left="1960"/>
              <w:spacing w:after="0"/>
              <w:rPr>
                <w:sz w:val="20"/>
                <w:szCs w:val="20"/>
                <w:color w:val="auto"/>
              </w:rPr>
            </w:pPr>
            <w:r>
              <w:rPr>
                <w:rFonts w:ascii="Courier New" w:cs="Courier New" w:eastAsia="Courier New" w:hAnsi="Courier New"/>
                <w:sz w:val="15"/>
                <w:szCs w:val="15"/>
                <w:color w:val="auto"/>
              </w:rPr>
              <w:t>LIABILITIES AND SHAREHOLDERS' EQUITY</w:t>
            </w:r>
          </w:p>
        </w:tc>
        <w:tc>
          <w:tcPr>
            <w:tcW w:w="540" w:type="dxa"/>
            <w:vAlign w:val="bottom"/>
          </w:tcPr>
          <w:p>
            <w:pPr>
              <w:spacing w:after="0"/>
              <w:rPr>
                <w:sz w:val="14"/>
                <w:szCs w:val="14"/>
                <w:color w:val="auto"/>
              </w:rPr>
            </w:pPr>
          </w:p>
        </w:tc>
        <w:tc>
          <w:tcPr>
            <w:tcW w:w="174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4"/>
                <w:szCs w:val="14"/>
                <w:color w:val="auto"/>
              </w:rPr>
            </w:pP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980" w:type="dxa"/>
            <w:vAlign w:val="bottom"/>
          </w:tcPr>
          <w:p>
            <w:pPr>
              <w:spacing w:after="0"/>
              <w:rPr>
                <w:sz w:val="14"/>
                <w:szCs w:val="14"/>
                <w:color w:val="auto"/>
              </w:rPr>
            </w:pPr>
          </w:p>
        </w:tc>
        <w:tc>
          <w:tcPr>
            <w:tcW w:w="22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4"/>
        </w:trPr>
        <w:tc>
          <w:tcPr>
            <w:tcW w:w="59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Unpaid Losses and Loss Adjustment Expenses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437,588,428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426,164,578</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Unearned Premiums</w:t>
            </w:r>
          </w:p>
        </w:tc>
        <w:tc>
          <w:tcPr>
            <w:tcW w:w="540" w:type="dxa"/>
            <w:vAlign w:val="bottom"/>
          </w:tcPr>
          <w:p>
            <w:pPr>
              <w:spacing w:after="0"/>
              <w:rPr>
                <w:sz w:val="14"/>
                <w:szCs w:val="1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236,142,915</w:t>
            </w:r>
          </w:p>
        </w:tc>
        <w:tc>
          <w:tcPr>
            <w:tcW w:w="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229,056,597</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Accrued Commissions</w:t>
            </w:r>
          </w:p>
        </w:tc>
        <w:tc>
          <w:tcPr>
            <w:tcW w:w="540" w:type="dxa"/>
            <w:vAlign w:val="bottom"/>
          </w:tcPr>
          <w:p>
            <w:pPr>
              <w:spacing w:after="0"/>
              <w:rPr>
                <w:sz w:val="14"/>
                <w:szCs w:val="1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85,824,971</w:t>
            </w:r>
          </w:p>
        </w:tc>
        <w:tc>
          <w:tcPr>
            <w:tcW w:w="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85,005,699</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540" w:type="dxa"/>
            <w:vAlign w:val="bottom"/>
          </w:tcPr>
          <w:p>
            <w:pPr>
              <w:spacing w:after="0"/>
              <w:rPr>
                <w:sz w:val="14"/>
                <w:szCs w:val="1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24,577,785</w:t>
            </w:r>
          </w:p>
        </w:tc>
        <w:tc>
          <w:tcPr>
            <w:tcW w:w="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20,252,904</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540" w:type="dxa"/>
            <w:vAlign w:val="bottom"/>
          </w:tcPr>
          <w:p>
            <w:pPr>
              <w:spacing w:after="0"/>
              <w:rPr>
                <w:sz w:val="14"/>
                <w:szCs w:val="1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15,178,671</w:t>
            </w:r>
          </w:p>
        </w:tc>
        <w:tc>
          <w:tcPr>
            <w:tcW w:w="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17,121,777</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Federal Income Tax Payable</w:t>
            </w:r>
          </w:p>
        </w:tc>
        <w:tc>
          <w:tcPr>
            <w:tcW w:w="540" w:type="dxa"/>
            <w:vAlign w:val="bottom"/>
          </w:tcPr>
          <w:p>
            <w:pPr>
              <w:spacing w:after="0"/>
              <w:rPr>
                <w:sz w:val="14"/>
                <w:szCs w:val="1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782,685</w:t>
            </w:r>
          </w:p>
        </w:tc>
        <w:tc>
          <w:tcPr>
            <w:tcW w:w="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Dividends Payable</w:t>
            </w:r>
          </w:p>
        </w:tc>
        <w:tc>
          <w:tcPr>
            <w:tcW w:w="540" w:type="dxa"/>
            <w:vAlign w:val="bottom"/>
          </w:tcPr>
          <w:p>
            <w:pPr>
              <w:spacing w:after="0"/>
              <w:rPr>
                <w:sz w:val="14"/>
                <w:szCs w:val="1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7,998,891</w:t>
            </w:r>
          </w:p>
        </w:tc>
        <w:tc>
          <w:tcPr>
            <w:tcW w:w="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8,099,100</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Employee Benefit Obligations</w:t>
            </w:r>
          </w:p>
        </w:tc>
        <w:tc>
          <w:tcPr>
            <w:tcW w:w="540" w:type="dxa"/>
            <w:vAlign w:val="bottom"/>
          </w:tcPr>
          <w:p>
            <w:pPr>
              <w:spacing w:after="0"/>
              <w:rPr>
                <w:sz w:val="14"/>
                <w:szCs w:val="1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13,595,027</w:t>
            </w:r>
          </w:p>
        </w:tc>
        <w:tc>
          <w:tcPr>
            <w:tcW w:w="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12,508,130</w:t>
            </w:r>
          </w:p>
        </w:tc>
      </w:tr>
      <w:tr>
        <w:trPr>
          <w:trHeight w:val="172"/>
        </w:trPr>
        <w:tc>
          <w:tcPr>
            <w:tcW w:w="5980" w:type="dxa"/>
            <w:vAlign w:val="bottom"/>
          </w:tcPr>
          <w:p>
            <w:pPr>
              <w:spacing w:after="0"/>
              <w:rPr>
                <w:sz w:val="14"/>
                <w:szCs w:val="14"/>
                <w:color w:val="auto"/>
              </w:rPr>
            </w:pPr>
          </w:p>
        </w:tc>
        <w:tc>
          <w:tcPr>
            <w:tcW w:w="22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ind w:left="620"/>
              <w:spacing w:after="0"/>
              <w:rPr>
                <w:sz w:val="20"/>
                <w:szCs w:val="20"/>
                <w:color w:val="auto"/>
              </w:rPr>
            </w:pPr>
            <w:r>
              <w:rPr>
                <w:rFonts w:ascii="Courier New" w:cs="Courier New" w:eastAsia="Courier New" w:hAnsi="Courier New"/>
                <w:sz w:val="15"/>
                <w:szCs w:val="15"/>
                <w:color w:val="auto"/>
              </w:rPr>
              <w:t>Total Liabilities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821,689,373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798,208,785</w:t>
            </w:r>
          </w:p>
        </w:tc>
      </w:tr>
      <w:tr>
        <w:trPr>
          <w:trHeight w:val="172"/>
        </w:trPr>
        <w:tc>
          <w:tcPr>
            <w:tcW w:w="5980" w:type="dxa"/>
            <w:vAlign w:val="bottom"/>
          </w:tcPr>
          <w:p>
            <w:pPr>
              <w:spacing w:after="0"/>
              <w:rPr>
                <w:sz w:val="14"/>
                <w:szCs w:val="14"/>
                <w:color w:val="auto"/>
              </w:rPr>
            </w:pPr>
          </w:p>
        </w:tc>
        <w:tc>
          <w:tcPr>
            <w:tcW w:w="22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Capital Stock</w:t>
            </w: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Class A Common,  stated  value  $.0292  per  share;</w:t>
            </w: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620"/>
              <w:spacing w:after="0"/>
              <w:rPr>
                <w:sz w:val="20"/>
                <w:szCs w:val="20"/>
                <w:color w:val="auto"/>
              </w:rPr>
            </w:pPr>
            <w:r>
              <w:rPr>
                <w:rFonts w:ascii="Courier New" w:cs="Courier New" w:eastAsia="Courier New" w:hAnsi="Courier New"/>
                <w:sz w:val="15"/>
                <w:szCs w:val="15"/>
                <w:color w:val="auto"/>
              </w:rPr>
              <w:t>authorized  74,996,930 shares; issued 67,032,000 shares;</w:t>
            </w: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620"/>
              <w:spacing w:after="0"/>
              <w:rPr>
                <w:sz w:val="20"/>
                <w:szCs w:val="20"/>
                <w:color w:val="auto"/>
              </w:rPr>
            </w:pPr>
            <w:r>
              <w:rPr>
                <w:rFonts w:ascii="Courier New" w:cs="Courier New" w:eastAsia="Courier New" w:hAnsi="Courier New"/>
                <w:sz w:val="15"/>
                <w:szCs w:val="15"/>
                <w:color w:val="auto"/>
              </w:rPr>
              <w:t>outstanding 66,098,605 shares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1,955,100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1,955,100</w:t>
            </w:r>
          </w:p>
        </w:tc>
      </w:tr>
      <w:tr>
        <w:trPr>
          <w:trHeight w:val="172"/>
        </w:trPr>
        <w:tc>
          <w:tcPr>
            <w:tcW w:w="5980" w:type="dxa"/>
            <w:vAlign w:val="bottom"/>
          </w:tcPr>
          <w:p>
            <w:pPr>
              <w:ind w:left="440"/>
              <w:spacing w:after="0"/>
              <w:rPr>
                <w:sz w:val="20"/>
                <w:szCs w:val="20"/>
                <w:color w:val="auto"/>
              </w:rPr>
            </w:pPr>
            <w:r>
              <w:rPr>
                <w:rFonts w:ascii="Courier New" w:cs="Courier New" w:eastAsia="Courier New" w:hAnsi="Courier New"/>
                <w:sz w:val="15"/>
                <w:szCs w:val="15"/>
                <w:color w:val="auto"/>
              </w:rPr>
              <w:t>Class B Common, stated value $70.00</w:t>
            </w: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620"/>
              <w:spacing w:after="0"/>
              <w:rPr>
                <w:sz w:val="20"/>
                <w:szCs w:val="20"/>
                <w:color w:val="auto"/>
              </w:rPr>
            </w:pPr>
            <w:r>
              <w:rPr>
                <w:rFonts w:ascii="Courier New" w:cs="Courier New" w:eastAsia="Courier New" w:hAnsi="Courier New"/>
                <w:sz w:val="15"/>
                <w:szCs w:val="15"/>
                <w:color w:val="auto"/>
              </w:rPr>
              <w:t>per share; authorized 3,070 shares;</w:t>
            </w: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620"/>
              <w:spacing w:after="0"/>
              <w:rPr>
                <w:sz w:val="20"/>
                <w:szCs w:val="20"/>
                <w:color w:val="auto"/>
              </w:rPr>
            </w:pPr>
            <w:r>
              <w:rPr>
                <w:rFonts w:ascii="Courier New" w:cs="Courier New" w:eastAsia="Courier New" w:hAnsi="Courier New"/>
                <w:sz w:val="15"/>
                <w:szCs w:val="15"/>
                <w:color w:val="auto"/>
              </w:rPr>
              <w:t>issued and outstanding 3,070 shares</w:t>
            </w:r>
          </w:p>
        </w:tc>
        <w:tc>
          <w:tcPr>
            <w:tcW w:w="540" w:type="dxa"/>
            <w:vAlign w:val="bottom"/>
          </w:tcPr>
          <w:p>
            <w:pPr>
              <w:spacing w:after="0"/>
              <w:rPr>
                <w:sz w:val="14"/>
                <w:szCs w:val="1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214,900</w:t>
            </w:r>
          </w:p>
        </w:tc>
        <w:tc>
          <w:tcPr>
            <w:tcW w:w="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214,900</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540" w:type="dxa"/>
            <w:vAlign w:val="bottom"/>
          </w:tcPr>
          <w:p>
            <w:pPr>
              <w:spacing w:after="0"/>
              <w:rPr>
                <w:sz w:val="14"/>
                <w:szCs w:val="1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7,830,000</w:t>
            </w:r>
          </w:p>
        </w:tc>
        <w:tc>
          <w:tcPr>
            <w:tcW w:w="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7,830,000</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Income</w:t>
            </w:r>
          </w:p>
        </w:tc>
        <w:tc>
          <w:tcPr>
            <w:tcW w:w="540" w:type="dxa"/>
            <w:vAlign w:val="bottom"/>
          </w:tcPr>
          <w:p>
            <w:pPr>
              <w:spacing w:after="0"/>
              <w:rPr>
                <w:sz w:val="14"/>
                <w:szCs w:val="1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31,622,358</w:t>
            </w:r>
          </w:p>
        </w:tc>
        <w:tc>
          <w:tcPr>
            <w:tcW w:w="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40,178,626</w:t>
            </w:r>
          </w:p>
        </w:tc>
      </w:tr>
      <w:tr>
        <w:trPr>
          <w:trHeight w:val="172"/>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540" w:type="dxa"/>
            <w:vAlign w:val="bottom"/>
          </w:tcPr>
          <w:p>
            <w:pPr>
              <w:spacing w:after="0"/>
              <w:rPr>
                <w:sz w:val="14"/>
                <w:szCs w:val="1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661,635,110</w:t>
            </w:r>
          </w:p>
        </w:tc>
        <w:tc>
          <w:tcPr>
            <w:tcW w:w="5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605,044,635</w:t>
            </w:r>
          </w:p>
        </w:tc>
      </w:tr>
      <w:tr>
        <w:trPr>
          <w:trHeight w:val="172"/>
        </w:trPr>
        <w:tc>
          <w:tcPr>
            <w:tcW w:w="5980" w:type="dxa"/>
            <w:vAlign w:val="bottom"/>
          </w:tcPr>
          <w:p>
            <w:pPr>
              <w:spacing w:after="0"/>
              <w:rPr>
                <w:sz w:val="14"/>
                <w:szCs w:val="14"/>
                <w:color w:val="auto"/>
              </w:rPr>
            </w:pPr>
          </w:p>
        </w:tc>
        <w:tc>
          <w:tcPr>
            <w:tcW w:w="22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ind w:left="620"/>
              <w:spacing w:after="0"/>
              <w:rPr>
                <w:sz w:val="20"/>
                <w:szCs w:val="20"/>
                <w:color w:val="auto"/>
              </w:rPr>
            </w:pPr>
            <w:r>
              <w:rPr>
                <w:rFonts w:ascii="Courier New" w:cs="Courier New" w:eastAsia="Courier New" w:hAnsi="Courier New"/>
                <w:sz w:val="15"/>
                <w:szCs w:val="15"/>
                <w:color w:val="auto"/>
              </w:rPr>
              <w:t>Total Contributed Capital and Retained Earnings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703,257,468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655,223,261</w:t>
            </w:r>
          </w:p>
        </w:tc>
      </w:tr>
      <w:tr>
        <w:trPr>
          <w:trHeight w:val="344"/>
        </w:trPr>
        <w:tc>
          <w:tcPr>
            <w:tcW w:w="598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(933,395 shares repurchased in 1999)</w:t>
            </w:r>
          </w:p>
        </w:tc>
        <w:tc>
          <w:tcPr>
            <w:tcW w:w="540" w:type="dxa"/>
            <w:vAlign w:val="bottom"/>
          </w:tcPr>
          <w:p>
            <w:pPr>
              <w:spacing w:after="0"/>
              <w:rPr>
                <w:sz w:val="24"/>
                <w:szCs w:val="2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25,427,315</w:t>
            </w:r>
          </w:p>
        </w:tc>
        <w:tc>
          <w:tcPr>
            <w:tcW w:w="5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5980" w:type="dxa"/>
            <w:vAlign w:val="bottom"/>
          </w:tcPr>
          <w:p>
            <w:pPr>
              <w:spacing w:after="0"/>
              <w:rPr>
                <w:sz w:val="14"/>
                <w:szCs w:val="14"/>
                <w:color w:val="auto"/>
              </w:rPr>
            </w:pPr>
          </w:p>
        </w:tc>
        <w:tc>
          <w:tcPr>
            <w:tcW w:w="22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ind w:left="620"/>
              <w:spacing w:after="0"/>
              <w:rPr>
                <w:sz w:val="20"/>
                <w:szCs w:val="20"/>
                <w:color w:val="auto"/>
              </w:rPr>
            </w:pPr>
            <w:r>
              <w:rPr>
                <w:rFonts w:ascii="Courier New" w:cs="Courier New" w:eastAsia="Courier New" w:hAnsi="Courier New"/>
                <w:sz w:val="15"/>
                <w:szCs w:val="15"/>
                <w:color w:val="auto"/>
              </w:rPr>
              <w:t>Total Shareholders' Equity</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677,830,153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655,223,261</w:t>
            </w:r>
          </w:p>
        </w:tc>
      </w:tr>
      <w:tr>
        <w:trPr>
          <w:trHeight w:val="172"/>
        </w:trPr>
        <w:tc>
          <w:tcPr>
            <w:tcW w:w="5980" w:type="dxa"/>
            <w:vAlign w:val="bottom"/>
          </w:tcPr>
          <w:p>
            <w:pPr>
              <w:spacing w:after="0"/>
              <w:rPr>
                <w:sz w:val="14"/>
                <w:szCs w:val="14"/>
                <w:color w:val="auto"/>
              </w:rPr>
            </w:pPr>
          </w:p>
        </w:tc>
        <w:tc>
          <w:tcPr>
            <w:tcW w:w="22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980" w:type="dxa"/>
            <w:vAlign w:val="bottom"/>
          </w:tcPr>
          <w:p>
            <w:pPr>
              <w:ind w:left="620"/>
              <w:spacing w:after="0"/>
              <w:rPr>
                <w:sz w:val="20"/>
                <w:szCs w:val="20"/>
                <w:color w:val="auto"/>
              </w:rPr>
            </w:pPr>
            <w:r>
              <w:rPr>
                <w:rFonts w:ascii="Courier New" w:cs="Courier New" w:eastAsia="Courier New" w:hAnsi="Courier New"/>
                <w:sz w:val="15"/>
                <w:szCs w:val="15"/>
                <w:color w:val="auto"/>
              </w:rPr>
              <w:t>Total Liabilities and</w:t>
            </w: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980" w:type="dxa"/>
            <w:vAlign w:val="bottom"/>
          </w:tcPr>
          <w:p>
            <w:pPr>
              <w:ind w:left="800"/>
              <w:spacing w:after="0"/>
              <w:rPr>
                <w:sz w:val="20"/>
                <w:szCs w:val="20"/>
                <w:color w:val="auto"/>
              </w:rPr>
            </w:pPr>
            <w:r>
              <w:rPr>
                <w:rFonts w:ascii="Courier New" w:cs="Courier New" w:eastAsia="Courier New" w:hAnsi="Courier New"/>
                <w:sz w:val="15"/>
                <w:szCs w:val="15"/>
                <w:color w:val="auto"/>
              </w:rPr>
              <w:t>Shareholders' Equity</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1,499,519,526</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$ 1,453,432,046</w:t>
            </w:r>
          </w:p>
        </w:tc>
      </w:tr>
      <w:tr>
        <w:trPr>
          <w:trHeight w:val="172"/>
        </w:trPr>
        <w:tc>
          <w:tcPr>
            <w:tcW w:w="5980" w:type="dxa"/>
            <w:vAlign w:val="bottom"/>
          </w:tcPr>
          <w:p>
            <w:pPr>
              <w:spacing w:after="0"/>
              <w:rPr>
                <w:sz w:val="14"/>
                <w:szCs w:val="14"/>
                <w:color w:val="auto"/>
              </w:rPr>
            </w:pPr>
          </w:p>
        </w:tc>
        <w:tc>
          <w:tcPr>
            <w:tcW w:w="22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5" w:right="1440" w:bottom="1440" w:gutter="0" w:footer="0" w:header="0"/>
        </w:sectPr>
      </w:pPr>
    </w:p>
    <w:bookmarkStart w:id="4" w:name="page5"/>
    <w:bookmarkEnd w:id="4"/>
    <w:p>
      <w:pPr>
        <w:ind w:left="2580"/>
        <w:spacing w:after="0"/>
        <w:rPr>
          <w:sz w:val="20"/>
          <w:szCs w:val="20"/>
          <w:color w:val="auto"/>
        </w:rPr>
      </w:pPr>
      <w:r>
        <w:rPr>
          <w:rFonts w:ascii="Courier New" w:cs="Courier New" w:eastAsia="Courier New" w:hAnsi="Courier New"/>
          <w:sz w:val="15"/>
          <w:szCs w:val="15"/>
          <w:color w:val="auto"/>
        </w:rPr>
        <w:t>ERIE INDEMNITY COMPANY</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2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14"/>
                <w:szCs w:val="14"/>
                <w:color w:val="auto"/>
              </w:rPr>
            </w:pPr>
          </w:p>
        </w:tc>
        <w:tc>
          <w:tcPr>
            <w:tcW w:w="280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June 30</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June 30</w:t>
            </w:r>
          </w:p>
        </w:tc>
        <w:tc>
          <w:tcPr>
            <w:tcW w:w="1020" w:type="dxa"/>
            <w:vAlign w:val="bottom"/>
          </w:tcPr>
          <w:p>
            <w:pPr>
              <w:spacing w:after="0"/>
              <w:rPr>
                <w:sz w:val="14"/>
                <w:szCs w:val="14"/>
                <w:color w:val="auto"/>
              </w:rPr>
            </w:pPr>
          </w:p>
        </w:tc>
      </w:tr>
      <w:tr>
        <w:trPr>
          <w:trHeight w:val="172"/>
        </w:trPr>
        <w:tc>
          <w:tcPr>
            <w:tcW w:w="4640" w:type="dxa"/>
            <w:vAlign w:val="bottom"/>
          </w:tcPr>
          <w:p>
            <w:pPr>
              <w:spacing w:after="0"/>
              <w:rPr>
                <w:sz w:val="14"/>
                <w:szCs w:val="14"/>
                <w:color w:val="auto"/>
              </w:rPr>
            </w:pPr>
          </w:p>
        </w:tc>
        <w:tc>
          <w:tcPr>
            <w:tcW w:w="1980" w:type="dxa"/>
            <w:vAlign w:val="bottom"/>
            <w:gridSpan w:val="2"/>
          </w:tcPr>
          <w:p>
            <w:pPr>
              <w:ind w:left="540"/>
              <w:spacing w:after="0"/>
              <w:rPr>
                <w:sz w:val="20"/>
                <w:szCs w:val="20"/>
                <w:color w:val="auto"/>
              </w:rPr>
            </w:pPr>
            <w:r>
              <w:rPr>
                <w:rFonts w:ascii="Courier New" w:cs="Courier New" w:eastAsia="Courier New" w:hAnsi="Courier New"/>
                <w:sz w:val="10"/>
                <w:szCs w:val="10"/>
                <w:color w:val="auto"/>
                <w:w w:val="71"/>
              </w:rPr>
              <w:t>---------------------------------</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MANAGEMENT OPERATIONS:</w:t>
            </w:r>
          </w:p>
        </w:tc>
        <w:tc>
          <w:tcPr>
            <w:tcW w:w="800" w:type="dxa"/>
            <w:vAlign w:val="bottom"/>
          </w:tcPr>
          <w:p>
            <w:pPr>
              <w:spacing w:after="0"/>
              <w:rPr>
                <w:sz w:val="14"/>
                <w:szCs w:val="14"/>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spacing w:after="0"/>
              <w:rPr>
                <w:sz w:val="14"/>
                <w:szCs w:val="14"/>
                <w:color w:val="auto"/>
              </w:rPr>
            </w:pPr>
          </w:p>
        </w:tc>
        <w:tc>
          <w:tcPr>
            <w:tcW w:w="10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r>
      <w:tr>
        <w:trPr>
          <w:trHeight w:val="516"/>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Management Fee Revenue</w:t>
            </w:r>
          </w:p>
        </w:tc>
        <w:tc>
          <w:tcPr>
            <w:tcW w:w="8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137,502,858</w:t>
            </w:r>
          </w:p>
        </w:tc>
        <w:tc>
          <w:tcPr>
            <w:tcW w:w="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130,184,972</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259,337,064</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247,508,627</w:t>
            </w: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Service Agreement Revenue</w:t>
            </w:r>
          </w:p>
        </w:tc>
        <w:tc>
          <w:tcPr>
            <w:tcW w:w="80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3,704,565</w:t>
            </w:r>
          </w:p>
        </w:tc>
        <w:tc>
          <w:tcPr>
            <w:tcW w:w="4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2,942,924</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7,433,674</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5,942,245</w:t>
            </w: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Other Operating Revenue</w:t>
            </w:r>
          </w:p>
        </w:tc>
        <w:tc>
          <w:tcPr>
            <w:tcW w:w="80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311,125</w:t>
            </w:r>
          </w:p>
        </w:tc>
        <w:tc>
          <w:tcPr>
            <w:tcW w:w="4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373,829</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647,908</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747,790</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Total Revenue from Management Operations</w:t>
            </w:r>
          </w:p>
        </w:tc>
        <w:tc>
          <w:tcPr>
            <w:tcW w:w="80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141,518,548</w:t>
            </w:r>
          </w:p>
        </w:tc>
        <w:tc>
          <w:tcPr>
            <w:tcW w:w="4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133,501,725</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267,418,646</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254,198,662</w:t>
            </w:r>
          </w:p>
        </w:tc>
      </w:tr>
      <w:tr>
        <w:trPr>
          <w:trHeight w:val="344"/>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Cost of Management Operations</w:t>
            </w:r>
          </w:p>
        </w:tc>
        <w:tc>
          <w:tcPr>
            <w:tcW w:w="800" w:type="dxa"/>
            <w:vAlign w:val="bottom"/>
          </w:tcPr>
          <w:p>
            <w:pPr>
              <w:spacing w:after="0"/>
              <w:rPr>
                <w:sz w:val="24"/>
                <w:szCs w:val="2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100,931,839</w:t>
            </w:r>
          </w:p>
        </w:tc>
        <w:tc>
          <w:tcPr>
            <w:tcW w:w="400" w:type="dxa"/>
            <w:vAlign w:val="bottom"/>
          </w:tcPr>
          <w:p>
            <w:pPr>
              <w:spacing w:after="0"/>
              <w:rPr>
                <w:sz w:val="24"/>
                <w:szCs w:val="2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94,437,016</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192,465,363</w:t>
            </w: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181,373,102</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Net Revenue From</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640" w:type="dxa"/>
            <w:vAlign w:val="bottom"/>
          </w:tcPr>
          <w:p>
            <w:pPr>
              <w:ind w:left="520"/>
              <w:spacing w:after="0"/>
              <w:rPr>
                <w:sz w:val="20"/>
                <w:szCs w:val="20"/>
                <w:color w:val="auto"/>
              </w:rPr>
            </w:pPr>
            <w:r>
              <w:rPr>
                <w:rFonts w:ascii="Courier New" w:cs="Courier New" w:eastAsia="Courier New" w:hAnsi="Courier New"/>
                <w:sz w:val="15"/>
                <w:szCs w:val="15"/>
                <w:color w:val="auto"/>
              </w:rPr>
              <w:t>Management Operations</w:t>
            </w:r>
          </w:p>
        </w:tc>
        <w:tc>
          <w:tcPr>
            <w:tcW w:w="8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40,586,709</w:t>
            </w:r>
          </w:p>
        </w:tc>
        <w:tc>
          <w:tcPr>
            <w:tcW w:w="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39,064,709</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74,953,283</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72,825,560</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INSURANCE UNDERWRITING OPERATIONS:</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4"/>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Premiums Earned</w:t>
            </w:r>
          </w:p>
        </w:tc>
        <w:tc>
          <w:tcPr>
            <w:tcW w:w="8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29,517,142</w:t>
            </w:r>
          </w:p>
        </w:tc>
        <w:tc>
          <w:tcPr>
            <w:tcW w:w="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28,146,565</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58,124,065</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55,607,627</w:t>
            </w: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Losses and Loss Adjustment Expenses Incurred</w:t>
            </w:r>
          </w:p>
        </w:tc>
        <w:tc>
          <w:tcPr>
            <w:tcW w:w="80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20,130,338</w:t>
            </w:r>
          </w:p>
        </w:tc>
        <w:tc>
          <w:tcPr>
            <w:tcW w:w="4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20,453,563</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41,521,508</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38,950,953</w:t>
            </w: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Policy Acquisition and Other Underwriting</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Expenses</w:t>
            </w:r>
          </w:p>
        </w:tc>
        <w:tc>
          <w:tcPr>
            <w:tcW w:w="80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8,273,850</w:t>
            </w:r>
          </w:p>
        </w:tc>
        <w:tc>
          <w:tcPr>
            <w:tcW w:w="4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7,999,725</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16,096,949</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15,535,916</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Total Losses and Expenses</w:t>
            </w:r>
          </w:p>
        </w:tc>
        <w:tc>
          <w:tcPr>
            <w:tcW w:w="80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28,404,188</w:t>
            </w:r>
          </w:p>
        </w:tc>
        <w:tc>
          <w:tcPr>
            <w:tcW w:w="4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28,453,288</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57,618,457</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54,486,869</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Underwriting Gain (Loss)</w:t>
            </w:r>
          </w:p>
        </w:tc>
        <w:tc>
          <w:tcPr>
            <w:tcW w:w="8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1,112,954</w:t>
            </w:r>
          </w:p>
        </w:tc>
        <w:tc>
          <w:tcPr>
            <w:tcW w:w="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(306,723)</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505,608</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1,120,758</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INVESTMENT OPERATIONS:</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4"/>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Equity in Earnings of Erie Family</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Life Insurance Company</w:t>
            </w:r>
          </w:p>
        </w:tc>
        <w:tc>
          <w:tcPr>
            <w:tcW w:w="8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1,271,560</w:t>
            </w:r>
          </w:p>
        </w:tc>
        <w:tc>
          <w:tcPr>
            <w:tcW w:w="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1,203,568</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2,327,467</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2,609,044</w:t>
            </w: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Net Investment Income</w:t>
            </w:r>
          </w:p>
        </w:tc>
        <w:tc>
          <w:tcPr>
            <w:tcW w:w="80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10,933,553</w:t>
            </w:r>
          </w:p>
        </w:tc>
        <w:tc>
          <w:tcPr>
            <w:tcW w:w="4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9,160,614</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21,399,140</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18,075,277</w:t>
            </w: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Net Realized Gain on Investments</w:t>
            </w:r>
          </w:p>
        </w:tc>
        <w:tc>
          <w:tcPr>
            <w:tcW w:w="80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3,972,170</w:t>
            </w:r>
          </w:p>
        </w:tc>
        <w:tc>
          <w:tcPr>
            <w:tcW w:w="4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3,189,588</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7,221,022</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4,186,366</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Total Revenue from Investment Operations</w:t>
            </w:r>
          </w:p>
        </w:tc>
        <w:tc>
          <w:tcPr>
            <w:tcW w:w="80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16,177,283</w:t>
            </w:r>
          </w:p>
        </w:tc>
        <w:tc>
          <w:tcPr>
            <w:tcW w:w="4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13,553,770</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30,947,629</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24,870,687</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Income Before Income Taxes</w:t>
            </w:r>
          </w:p>
        </w:tc>
        <w:tc>
          <w:tcPr>
            <w:tcW w:w="80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57,876,946</w:t>
            </w:r>
          </w:p>
        </w:tc>
        <w:tc>
          <w:tcPr>
            <w:tcW w:w="4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52,311,756</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106,406,520</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98,817,005</w:t>
            </w:r>
          </w:p>
        </w:tc>
      </w:tr>
      <w:tr>
        <w:trPr>
          <w:trHeight w:val="344"/>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Provision for Income Taxes</w:t>
            </w:r>
          </w:p>
        </w:tc>
        <w:tc>
          <w:tcPr>
            <w:tcW w:w="800" w:type="dxa"/>
            <w:vAlign w:val="bottom"/>
          </w:tcPr>
          <w:p>
            <w:pPr>
              <w:spacing w:after="0"/>
              <w:rPr>
                <w:sz w:val="24"/>
                <w:szCs w:val="2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18,651,964</w:t>
            </w:r>
          </w:p>
        </w:tc>
        <w:tc>
          <w:tcPr>
            <w:tcW w:w="400" w:type="dxa"/>
            <w:vAlign w:val="bottom"/>
          </w:tcPr>
          <w:p>
            <w:pPr>
              <w:spacing w:after="0"/>
              <w:rPr>
                <w:sz w:val="24"/>
                <w:szCs w:val="2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16,841,275</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33,773,980</w:t>
            </w: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31,647,465</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39,224,982</w:t>
            </w:r>
          </w:p>
        </w:tc>
        <w:tc>
          <w:tcPr>
            <w:tcW w:w="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35,470,481</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72,632,540</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67,169,540</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Net Income per Share</w:t>
            </w:r>
          </w:p>
        </w:tc>
        <w:tc>
          <w:tcPr>
            <w:tcW w:w="8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0.53</w:t>
            </w:r>
          </w:p>
        </w:tc>
        <w:tc>
          <w:tcPr>
            <w:tcW w:w="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0.48</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0.98</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Shares Outstanding</w:t>
            </w:r>
          </w:p>
        </w:tc>
        <w:tc>
          <w:tcPr>
            <w:tcW w:w="80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73,678,486</w:t>
            </w:r>
          </w:p>
        </w:tc>
        <w:tc>
          <w:tcPr>
            <w:tcW w:w="400" w:type="dxa"/>
            <w:vAlign w:val="bottom"/>
          </w:tcPr>
          <w:p>
            <w:pPr>
              <w:spacing w:after="0"/>
              <w:rPr>
                <w:sz w:val="14"/>
                <w:szCs w:val="14"/>
                <w:color w:val="auto"/>
              </w:rPr>
            </w:pP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74,400,000</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74,013,951</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74,400,000</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ind w:left="180"/>
              <w:spacing w:after="0"/>
              <w:rPr>
                <w:sz w:val="20"/>
                <w:szCs w:val="20"/>
                <w:color w:val="auto"/>
              </w:rPr>
            </w:pPr>
            <w:r>
              <w:rPr>
                <w:rFonts w:ascii="Courier New" w:cs="Courier New" w:eastAsia="Courier New" w:hAnsi="Courier New"/>
                <w:sz w:val="15"/>
                <w:szCs w:val="15"/>
                <w:color w:val="auto"/>
              </w:rPr>
              <w:t>Dividends Declared per 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Class A non-voting Common</w:t>
            </w:r>
          </w:p>
        </w:tc>
        <w:tc>
          <w:tcPr>
            <w:tcW w:w="8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0.12</w:t>
            </w:r>
          </w:p>
        </w:tc>
        <w:tc>
          <w:tcPr>
            <w:tcW w:w="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0.1075</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0.24</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0.215</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ind w:left="340"/>
              <w:spacing w:after="0"/>
              <w:rPr>
                <w:sz w:val="20"/>
                <w:szCs w:val="20"/>
                <w:color w:val="auto"/>
              </w:rPr>
            </w:pPr>
            <w:r>
              <w:rPr>
                <w:rFonts w:ascii="Courier New" w:cs="Courier New" w:eastAsia="Courier New" w:hAnsi="Courier New"/>
                <w:sz w:val="15"/>
                <w:szCs w:val="15"/>
                <w:color w:val="auto"/>
              </w:rPr>
              <w:t>Class B Common</w:t>
            </w:r>
          </w:p>
        </w:tc>
        <w:tc>
          <w:tcPr>
            <w:tcW w:w="8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18.00</w:t>
            </w:r>
          </w:p>
        </w:tc>
        <w:tc>
          <w:tcPr>
            <w:tcW w:w="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16.125</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36.00</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32.25</w:t>
            </w:r>
          </w:p>
        </w:tc>
      </w:tr>
      <w:tr>
        <w:trPr>
          <w:trHeight w:val="172"/>
        </w:trPr>
        <w:tc>
          <w:tcPr>
            <w:tcW w:w="46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20"/>
          </w:cols>
          <w:pgMar w:left="240" w:top="805" w:right="139" w:bottom="1440" w:gutter="0" w:footer="0" w:header="0"/>
        </w:sectPr>
      </w:pPr>
    </w:p>
    <w:bookmarkStart w:id="5" w:name="page6"/>
    <w:bookmarkEnd w:id="5"/>
    <w:p>
      <w:pPr>
        <w:ind w:left="2580"/>
        <w:spacing w:after="0"/>
        <w:rPr>
          <w:sz w:val="20"/>
          <w:szCs w:val="20"/>
          <w:color w:val="auto"/>
        </w:rPr>
      </w:pPr>
      <w:r>
        <w:rPr>
          <w:rFonts w:ascii="Courier New" w:cs="Courier New" w:eastAsia="Courier New" w:hAnsi="Courier New"/>
          <w:sz w:val="15"/>
          <w:szCs w:val="15"/>
          <w:color w:val="auto"/>
        </w:rPr>
        <w:t>ERIE INDEMNITY COMPANY</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CONSOLIDATED STATEMENTS OF COMPREHENSIVE INCOME (UNAUDITED)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20" w:type="dxa"/>
            <w:vAlign w:val="bottom"/>
            <w:gridSpan w:val="3"/>
          </w:tcPr>
          <w:p>
            <w:pPr>
              <w:jc w:val="right"/>
              <w:ind w:right="605"/>
              <w:spacing w:after="0"/>
              <w:rPr>
                <w:sz w:val="20"/>
                <w:szCs w:val="20"/>
                <w:color w:val="auto"/>
              </w:rPr>
            </w:pPr>
            <w:r>
              <w:rPr>
                <w:rFonts w:ascii="Courier New" w:cs="Courier New" w:eastAsia="Courier New" w:hAnsi="Courier New"/>
                <w:sz w:val="15"/>
                <w:szCs w:val="15"/>
                <w:color w:val="auto"/>
              </w:rPr>
              <w:t>Three Months Ended</w:t>
            </w:r>
          </w:p>
        </w:tc>
        <w:tc>
          <w:tcPr>
            <w:tcW w:w="300" w:type="dxa"/>
            <w:vAlign w:val="bottom"/>
          </w:tcPr>
          <w:p>
            <w:pPr>
              <w:spacing w:after="0"/>
              <w:rPr>
                <w:sz w:val="14"/>
                <w:szCs w:val="14"/>
                <w:color w:val="auto"/>
              </w:rPr>
            </w:pPr>
          </w:p>
        </w:tc>
        <w:tc>
          <w:tcPr>
            <w:tcW w:w="286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4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740" w:type="dxa"/>
            <w:vAlign w:val="bottom"/>
            <w:gridSpan w:val="2"/>
          </w:tcPr>
          <w:p>
            <w:pPr>
              <w:jc w:val="right"/>
              <w:ind w:right="965"/>
              <w:spacing w:after="0"/>
              <w:rPr>
                <w:sz w:val="20"/>
                <w:szCs w:val="20"/>
                <w:color w:val="auto"/>
              </w:rPr>
            </w:pPr>
            <w:r>
              <w:rPr>
                <w:rFonts w:ascii="Courier New" w:cs="Courier New" w:eastAsia="Courier New" w:hAnsi="Courier New"/>
                <w:sz w:val="15"/>
                <w:szCs w:val="15"/>
                <w:color w:val="auto"/>
              </w:rPr>
              <w:t>June 30</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w w:val="98"/>
              </w:rPr>
              <w:t>June 30</w:t>
            </w:r>
          </w:p>
        </w:tc>
        <w:tc>
          <w:tcPr>
            <w:tcW w:w="980" w:type="dxa"/>
            <w:vAlign w:val="bottom"/>
          </w:tcPr>
          <w:p>
            <w:pPr>
              <w:spacing w:after="0"/>
              <w:rPr>
                <w:sz w:val="14"/>
                <w:szCs w:val="14"/>
                <w:color w:val="auto"/>
              </w:rPr>
            </w:pPr>
          </w:p>
        </w:tc>
      </w:tr>
      <w:tr>
        <w:trPr>
          <w:trHeight w:val="172"/>
        </w:trPr>
        <w:tc>
          <w:tcPr>
            <w:tcW w:w="4680" w:type="dxa"/>
            <w:vAlign w:val="bottom"/>
          </w:tcPr>
          <w:p>
            <w:pPr>
              <w:spacing w:after="0"/>
              <w:rPr>
                <w:sz w:val="14"/>
                <w:szCs w:val="14"/>
                <w:color w:val="auto"/>
              </w:rPr>
            </w:pPr>
          </w:p>
        </w:tc>
        <w:tc>
          <w:tcPr>
            <w:tcW w:w="1940" w:type="dxa"/>
            <w:vAlign w:val="bottom"/>
            <w:gridSpan w:val="2"/>
          </w:tcPr>
          <w:p>
            <w:pPr>
              <w:ind w:left="500"/>
              <w:spacing w:after="0"/>
              <w:rPr>
                <w:sz w:val="20"/>
                <w:szCs w:val="20"/>
                <w:color w:val="auto"/>
              </w:rPr>
            </w:pPr>
            <w:r>
              <w:rPr>
                <w:rFonts w:ascii="Courier New" w:cs="Courier New" w:eastAsia="Courier New" w:hAnsi="Courier New"/>
                <w:sz w:val="10"/>
                <w:szCs w:val="10"/>
                <w:color w:val="auto"/>
                <w:w w:val="71"/>
              </w:rPr>
              <w:t>---------------------------------</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39,224,982</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35,470,481</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72,632,540</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67,169,540</w:t>
            </w:r>
          </w:p>
        </w:tc>
      </w:tr>
      <w:tr>
        <w:trPr>
          <w:trHeight w:val="172"/>
        </w:trPr>
        <w:tc>
          <w:tcPr>
            <w:tcW w:w="4680" w:type="dxa"/>
            <w:vAlign w:val="bottom"/>
          </w:tcPr>
          <w:p>
            <w:pPr>
              <w:spacing w:after="0"/>
              <w:rPr>
                <w:sz w:val="14"/>
                <w:szCs w:val="14"/>
                <w:color w:val="auto"/>
              </w:rPr>
            </w:pPr>
          </w:p>
        </w:tc>
        <w:tc>
          <w:tcPr>
            <w:tcW w:w="1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(Losses) Gains on Securities:</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680" w:type="dxa"/>
            <w:vAlign w:val="bottom"/>
          </w:tcPr>
          <w:p>
            <w:pPr>
              <w:ind w:left="340"/>
              <w:spacing w:after="0"/>
              <w:rPr>
                <w:sz w:val="20"/>
                <w:szCs w:val="20"/>
                <w:color w:val="auto"/>
              </w:rPr>
            </w:pPr>
            <w:r>
              <w:rPr>
                <w:rFonts w:ascii="Courier New" w:cs="Courier New" w:eastAsia="Courier New" w:hAnsi="Courier New"/>
                <w:sz w:val="15"/>
                <w:szCs w:val="15"/>
                <w:color w:val="auto"/>
              </w:rPr>
              <w:t>Unrealized Holding (Losses) Gains Arising</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680" w:type="dxa"/>
            <w:vAlign w:val="bottom"/>
          </w:tcPr>
          <w:p>
            <w:pPr>
              <w:ind w:left="520"/>
              <w:spacing w:after="0"/>
              <w:rPr>
                <w:sz w:val="20"/>
                <w:szCs w:val="20"/>
                <w:color w:val="auto"/>
              </w:rPr>
            </w:pPr>
            <w:r>
              <w:rPr>
                <w:rFonts w:ascii="Courier New" w:cs="Courier New" w:eastAsia="Courier New" w:hAnsi="Courier New"/>
                <w:sz w:val="15"/>
                <w:szCs w:val="15"/>
                <w:color w:val="auto"/>
              </w:rPr>
              <w:t>During Period</w:t>
            </w:r>
          </w:p>
        </w:tc>
        <w:tc>
          <w:tcPr>
            <w:tcW w:w="76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(6,866,848)</w:t>
            </w:r>
          </w:p>
        </w:tc>
        <w:tc>
          <w:tcPr>
            <w:tcW w:w="44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2,719,010</w:t>
            </w: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(5,942,467)</w:t>
            </w:r>
          </w:p>
        </w:tc>
        <w:tc>
          <w:tcPr>
            <w:tcW w:w="6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17,473,855</w:t>
            </w:r>
          </w:p>
        </w:tc>
      </w:tr>
      <w:tr>
        <w:trPr>
          <w:trHeight w:val="172"/>
        </w:trPr>
        <w:tc>
          <w:tcPr>
            <w:tcW w:w="4680" w:type="dxa"/>
            <w:vAlign w:val="bottom"/>
          </w:tcPr>
          <w:p>
            <w:pPr>
              <w:ind w:left="340"/>
              <w:spacing w:after="0"/>
              <w:rPr>
                <w:sz w:val="20"/>
                <w:szCs w:val="20"/>
                <w:color w:val="auto"/>
              </w:rPr>
            </w:pPr>
            <w:r>
              <w:rPr>
                <w:rFonts w:ascii="Courier New" w:cs="Courier New" w:eastAsia="Courier New" w:hAnsi="Courier New"/>
                <w:sz w:val="15"/>
                <w:szCs w:val="15"/>
                <w:color w:val="auto"/>
              </w:rPr>
              <w:t>Less:  Reclassification Adjustment for</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680" w:type="dxa"/>
            <w:vAlign w:val="bottom"/>
          </w:tcPr>
          <w:p>
            <w:pPr>
              <w:ind w:left="520"/>
              <w:spacing w:after="0"/>
              <w:rPr>
                <w:sz w:val="20"/>
                <w:szCs w:val="20"/>
                <w:color w:val="auto"/>
              </w:rPr>
            </w:pPr>
            <w:r>
              <w:rPr>
                <w:rFonts w:ascii="Courier New" w:cs="Courier New" w:eastAsia="Courier New" w:hAnsi="Courier New"/>
                <w:sz w:val="15"/>
                <w:szCs w:val="15"/>
                <w:color w:val="auto"/>
              </w:rPr>
              <w:t>Gains Included in Net Income</w:t>
            </w:r>
          </w:p>
        </w:tc>
        <w:tc>
          <w:tcPr>
            <w:tcW w:w="76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3,972,170</w:t>
            </w:r>
          </w:p>
        </w:tc>
        <w:tc>
          <w:tcPr>
            <w:tcW w:w="44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3,189,589</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7,221,022</w:t>
            </w:r>
          </w:p>
        </w:tc>
        <w:tc>
          <w:tcPr>
            <w:tcW w:w="6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4,186,366</w:t>
            </w:r>
          </w:p>
        </w:tc>
      </w:tr>
      <w:tr>
        <w:trPr>
          <w:trHeight w:val="172"/>
        </w:trPr>
        <w:tc>
          <w:tcPr>
            <w:tcW w:w="4680" w:type="dxa"/>
            <w:vAlign w:val="bottom"/>
          </w:tcPr>
          <w:p>
            <w:pPr>
              <w:spacing w:after="0"/>
              <w:rPr>
                <w:sz w:val="14"/>
                <w:szCs w:val="14"/>
                <w:color w:val="auto"/>
              </w:rPr>
            </w:pPr>
          </w:p>
        </w:tc>
        <w:tc>
          <w:tcPr>
            <w:tcW w:w="1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ind w:left="520"/>
              <w:spacing w:after="0"/>
              <w:rPr>
                <w:sz w:val="20"/>
                <w:szCs w:val="20"/>
                <w:color w:val="auto"/>
              </w:rPr>
            </w:pPr>
            <w:r>
              <w:rPr>
                <w:rFonts w:ascii="Courier New" w:cs="Courier New" w:eastAsia="Courier New" w:hAnsi="Courier New"/>
                <w:sz w:val="15"/>
                <w:szCs w:val="15"/>
                <w:color w:val="auto"/>
              </w:rPr>
              <w:t>Net Unrealized Holding (Losses) Gains</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680" w:type="dxa"/>
            <w:vAlign w:val="bottom"/>
          </w:tcPr>
          <w:p>
            <w:pPr>
              <w:ind w:left="700"/>
              <w:spacing w:after="0"/>
              <w:rPr>
                <w:sz w:val="20"/>
                <w:szCs w:val="20"/>
                <w:color w:val="auto"/>
              </w:rPr>
            </w:pPr>
            <w:r>
              <w:rPr>
                <w:rFonts w:ascii="Courier New" w:cs="Courier New" w:eastAsia="Courier New" w:hAnsi="Courier New"/>
                <w:sz w:val="15"/>
                <w:szCs w:val="15"/>
                <w:color w:val="auto"/>
              </w:rPr>
              <w:t>Arising During Period</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(10,839,018)</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(470,579)</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(13,163,489)</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13,287,489</w:t>
            </w: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Income Tax Benefit (Expense) Related to</w:t>
            </w: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680" w:type="dxa"/>
            <w:vAlign w:val="bottom"/>
          </w:tcPr>
          <w:p>
            <w:pPr>
              <w:ind w:left="340"/>
              <w:spacing w:after="0"/>
              <w:rPr>
                <w:sz w:val="20"/>
                <w:szCs w:val="20"/>
                <w:color w:val="auto"/>
              </w:rPr>
            </w:pPr>
            <w:r>
              <w:rPr>
                <w:rFonts w:ascii="Courier New" w:cs="Courier New" w:eastAsia="Courier New" w:hAnsi="Courier New"/>
                <w:sz w:val="15"/>
                <w:szCs w:val="15"/>
                <w:color w:val="auto"/>
              </w:rPr>
              <w:t>Unrealized Gains or Losses</w:t>
            </w:r>
          </w:p>
        </w:tc>
        <w:tc>
          <w:tcPr>
            <w:tcW w:w="76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3,793,657</w:t>
            </w:r>
          </w:p>
        </w:tc>
        <w:tc>
          <w:tcPr>
            <w:tcW w:w="44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164,703</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4,607,221</w:t>
            </w:r>
          </w:p>
        </w:tc>
        <w:tc>
          <w:tcPr>
            <w:tcW w:w="6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(4,650,621)</w:t>
            </w:r>
          </w:p>
        </w:tc>
      </w:tr>
      <w:tr>
        <w:trPr>
          <w:trHeight w:val="172"/>
        </w:trPr>
        <w:tc>
          <w:tcPr>
            <w:tcW w:w="4680" w:type="dxa"/>
            <w:vAlign w:val="bottom"/>
          </w:tcPr>
          <w:p>
            <w:pPr>
              <w:spacing w:after="0"/>
              <w:rPr>
                <w:sz w:val="14"/>
                <w:szCs w:val="14"/>
                <w:color w:val="auto"/>
              </w:rPr>
            </w:pPr>
          </w:p>
        </w:tc>
        <w:tc>
          <w:tcPr>
            <w:tcW w:w="1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Other Comprehensive (Loss) Income, Net of Tax</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(7,045,361)</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(305,876)</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(8,556,268)</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8,636,868</w:t>
            </w:r>
          </w:p>
        </w:tc>
      </w:tr>
      <w:tr>
        <w:trPr>
          <w:trHeight w:val="172"/>
        </w:trPr>
        <w:tc>
          <w:tcPr>
            <w:tcW w:w="4680" w:type="dxa"/>
            <w:vAlign w:val="bottom"/>
          </w:tcPr>
          <w:p>
            <w:pPr>
              <w:spacing w:after="0"/>
              <w:rPr>
                <w:sz w:val="14"/>
                <w:szCs w:val="14"/>
                <w:color w:val="auto"/>
              </w:rPr>
            </w:pPr>
          </w:p>
        </w:tc>
        <w:tc>
          <w:tcPr>
            <w:tcW w:w="1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Comprehensive Income</w:t>
            </w:r>
          </w:p>
        </w:tc>
        <w:tc>
          <w:tcPr>
            <w:tcW w:w="7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32,179,621</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35,164,605</w:t>
            </w: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64,076,272</w:t>
            </w:r>
          </w:p>
        </w:tc>
        <w:tc>
          <w:tcPr>
            <w:tcW w:w="6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75,806,408</w:t>
            </w:r>
          </w:p>
        </w:tc>
      </w:tr>
      <w:tr>
        <w:trPr>
          <w:trHeight w:val="172"/>
        </w:trPr>
        <w:tc>
          <w:tcPr>
            <w:tcW w:w="4680" w:type="dxa"/>
            <w:vAlign w:val="bottom"/>
          </w:tcPr>
          <w:p>
            <w:pPr>
              <w:spacing w:after="0"/>
              <w:rPr>
                <w:sz w:val="14"/>
                <w:szCs w:val="14"/>
                <w:color w:val="auto"/>
              </w:rPr>
            </w:pPr>
          </w:p>
        </w:tc>
        <w:tc>
          <w:tcPr>
            <w:tcW w:w="1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520"/>
          </w:cols>
          <w:pgMar w:left="240" w:top="805" w:right="139" w:bottom="1440" w:gutter="0" w:footer="0" w:header="0"/>
        </w:sectPr>
      </w:pPr>
    </w:p>
    <w:bookmarkStart w:id="6" w:name="page7"/>
    <w:bookmarkEnd w:id="6"/>
    <w:p>
      <w:pPr>
        <w:ind w:left="2580"/>
        <w:spacing w:after="0"/>
        <w:rPr>
          <w:sz w:val="20"/>
          <w:szCs w:val="20"/>
          <w:color w:val="auto"/>
        </w:rPr>
      </w:pPr>
      <w:r>
        <w:rPr>
          <w:rFonts w:ascii="Courier New" w:cs="Courier New" w:eastAsia="Courier New" w:hAnsi="Courier New"/>
          <w:sz w:val="15"/>
          <w:szCs w:val="15"/>
          <w:color w:val="auto"/>
        </w:rPr>
        <w:t>ERIE INDEMNITY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ind w:left="1600"/>
              <w:spacing w:after="0"/>
              <w:rPr>
                <w:sz w:val="20"/>
                <w:szCs w:val="20"/>
                <w:color w:val="auto"/>
              </w:rPr>
            </w:pPr>
            <w:r>
              <w:rPr>
                <w:rFonts w:ascii="Courier New" w:cs="Courier New" w:eastAsia="Courier New" w:hAnsi="Courier New"/>
                <w:sz w:val="15"/>
                <w:szCs w:val="15"/>
                <w:color w:val="auto"/>
              </w:rPr>
              <w:t>CONSOLIDATED STATEMENTS OF CASH FLOWS (UNAUDITED)</w:t>
            </w:r>
          </w:p>
        </w:tc>
        <w:tc>
          <w:tcPr>
            <w:tcW w:w="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88"/>
        </w:trPr>
        <w:tc>
          <w:tcPr>
            <w:tcW w:w="6620" w:type="dxa"/>
            <w:vAlign w:val="bottom"/>
          </w:tcPr>
          <w:p>
            <w:pPr>
              <w:spacing w:after="0"/>
              <w:rPr>
                <w:sz w:val="24"/>
                <w:szCs w:val="24"/>
                <w:color w:val="auto"/>
              </w:rPr>
            </w:pPr>
          </w:p>
        </w:tc>
        <w:tc>
          <w:tcPr>
            <w:tcW w:w="240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Six Months Ended</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6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w w:val="99"/>
              </w:rPr>
              <w:t>June 30, 1999</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June 30, 1998</w:t>
            </w:r>
          </w:p>
        </w:tc>
      </w:tr>
      <w:tr>
        <w:trPr>
          <w:trHeight w:val="172"/>
        </w:trPr>
        <w:tc>
          <w:tcPr>
            <w:tcW w:w="6620" w:type="dxa"/>
            <w:vAlign w:val="bottom"/>
          </w:tcPr>
          <w:p>
            <w:pPr>
              <w:spacing w:after="0"/>
              <w:rPr>
                <w:sz w:val="14"/>
                <w:szCs w:val="14"/>
                <w:color w:val="auto"/>
              </w:rPr>
            </w:pPr>
          </w:p>
        </w:tc>
        <w:tc>
          <w:tcPr>
            <w:tcW w:w="240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6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72,632,540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67,169,540</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Adjustment to reconcile net income</w:t>
            </w:r>
          </w:p>
        </w:tc>
        <w:tc>
          <w:tcPr>
            <w:tcW w:w="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to net cash provided by (used in)</w:t>
            </w:r>
          </w:p>
        </w:tc>
        <w:tc>
          <w:tcPr>
            <w:tcW w:w="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662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1,021,138</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992,036</w:t>
            </w:r>
          </w:p>
        </w:tc>
      </w:tr>
      <w:tr>
        <w:trPr>
          <w:trHeight w:val="172"/>
        </w:trPr>
        <w:tc>
          <w:tcPr>
            <w:tcW w:w="6620" w:type="dxa"/>
            <w:vAlign w:val="bottom"/>
          </w:tcPr>
          <w:p>
            <w:pPr>
              <w:ind w:left="620"/>
              <w:spacing w:after="0"/>
              <w:rPr>
                <w:sz w:val="20"/>
                <w:szCs w:val="20"/>
                <w:color w:val="auto"/>
              </w:rPr>
            </w:pPr>
            <w:r>
              <w:rPr>
                <w:rFonts w:ascii="Courier New" w:cs="Courier New" w:eastAsia="Courier New" w:hAnsi="Courier New"/>
                <w:sz w:val="15"/>
                <w:szCs w:val="15"/>
                <w:color w:val="auto"/>
              </w:rPr>
              <w:t>Deferred income tax expense</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610,164</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974,895</w:t>
            </w:r>
          </w:p>
        </w:tc>
      </w:tr>
      <w:tr>
        <w:trPr>
          <w:trHeight w:val="172"/>
        </w:trPr>
        <w:tc>
          <w:tcPr>
            <w:tcW w:w="6620" w:type="dxa"/>
            <w:vAlign w:val="bottom"/>
          </w:tcPr>
          <w:p>
            <w:pPr>
              <w:ind w:left="620"/>
              <w:spacing w:after="0"/>
              <w:rPr>
                <w:sz w:val="20"/>
                <w:szCs w:val="20"/>
                <w:color w:val="auto"/>
              </w:rPr>
            </w:pPr>
            <w:r>
              <w:rPr>
                <w:rFonts w:ascii="Courier New" w:cs="Courier New" w:eastAsia="Courier New" w:hAnsi="Courier New"/>
                <w:sz w:val="15"/>
                <w:szCs w:val="15"/>
                <w:color w:val="auto"/>
              </w:rPr>
              <w:t>Amortization of deferred policy acquisition costs</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11,080,179</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10,504,487</w:t>
            </w:r>
          </w:p>
        </w:tc>
      </w:tr>
      <w:tr>
        <w:trPr>
          <w:trHeight w:val="172"/>
        </w:trPr>
        <w:tc>
          <w:tcPr>
            <w:tcW w:w="6620" w:type="dxa"/>
            <w:vAlign w:val="bottom"/>
          </w:tcPr>
          <w:p>
            <w:pPr>
              <w:ind w:left="620"/>
              <w:spacing w:after="0"/>
              <w:rPr>
                <w:sz w:val="20"/>
                <w:szCs w:val="20"/>
                <w:color w:val="auto"/>
              </w:rPr>
            </w:pPr>
            <w:r>
              <w:rPr>
                <w:rFonts w:ascii="Courier New" w:cs="Courier New" w:eastAsia="Courier New" w:hAnsi="Courier New"/>
                <w:sz w:val="15"/>
                <w:szCs w:val="15"/>
                <w:color w:val="auto"/>
              </w:rPr>
              <w:t>Realized gain on investments</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(7,221,022)</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(4,186,366)</w:t>
            </w:r>
          </w:p>
        </w:tc>
      </w:tr>
      <w:tr>
        <w:trPr>
          <w:trHeight w:val="172"/>
        </w:trPr>
        <w:tc>
          <w:tcPr>
            <w:tcW w:w="6620" w:type="dxa"/>
            <w:vAlign w:val="bottom"/>
          </w:tcPr>
          <w:p>
            <w:pPr>
              <w:ind w:left="620"/>
              <w:spacing w:after="0"/>
              <w:rPr>
                <w:sz w:val="20"/>
                <w:szCs w:val="20"/>
                <w:color w:val="auto"/>
              </w:rPr>
            </w:pPr>
            <w:r>
              <w:rPr>
                <w:rFonts w:ascii="Courier New" w:cs="Courier New" w:eastAsia="Courier New" w:hAnsi="Courier New"/>
                <w:sz w:val="15"/>
                <w:szCs w:val="15"/>
                <w:color w:val="auto"/>
              </w:rPr>
              <w:t>Net amortization of bond discount</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75,686</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(88,703)</w:t>
            </w:r>
          </w:p>
        </w:tc>
      </w:tr>
      <w:tr>
        <w:trPr>
          <w:trHeight w:val="172"/>
        </w:trPr>
        <w:tc>
          <w:tcPr>
            <w:tcW w:w="6620" w:type="dxa"/>
            <w:vAlign w:val="bottom"/>
          </w:tcPr>
          <w:p>
            <w:pPr>
              <w:ind w:left="620"/>
              <w:spacing w:after="0"/>
              <w:rPr>
                <w:sz w:val="20"/>
                <w:szCs w:val="20"/>
                <w:color w:val="auto"/>
              </w:rPr>
            </w:pPr>
            <w:r>
              <w:rPr>
                <w:rFonts w:ascii="Courier New" w:cs="Courier New" w:eastAsia="Courier New" w:hAnsi="Courier New"/>
                <w:sz w:val="15"/>
                <w:szCs w:val="15"/>
                <w:color w:val="auto"/>
              </w:rPr>
              <w:t>Undistributed earnings of Erie Family Life</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(1,652,981)</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(1,995,874)</w:t>
            </w:r>
          </w:p>
        </w:tc>
      </w:tr>
      <w:tr>
        <w:trPr>
          <w:trHeight w:val="172"/>
        </w:trPr>
        <w:tc>
          <w:tcPr>
            <w:tcW w:w="6620" w:type="dxa"/>
            <w:vAlign w:val="bottom"/>
          </w:tcPr>
          <w:p>
            <w:pPr>
              <w:ind w:left="620"/>
              <w:spacing w:after="0"/>
              <w:rPr>
                <w:sz w:val="20"/>
                <w:szCs w:val="20"/>
                <w:color w:val="auto"/>
              </w:rPr>
            </w:pPr>
            <w:r>
              <w:rPr>
                <w:rFonts w:ascii="Courier New" w:cs="Courier New" w:eastAsia="Courier New" w:hAnsi="Courier New"/>
                <w:sz w:val="15"/>
                <w:szCs w:val="15"/>
                <w:color w:val="auto"/>
              </w:rPr>
              <w:t>Deferred compensation</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398,015</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721,957</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Increase in accrued investment income</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(636,589)</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(447,892)</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Increase in receivables</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(39,264,207)</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(28,562,521)</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Policy acquisition costs deferred</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(11,651,556)</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(11,085,056)</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Increase in prepaid expenses and other assets</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(3,891,789)</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(5,740,002)</w:t>
            </w:r>
          </w:p>
        </w:tc>
      </w:tr>
      <w:tr>
        <w:trPr>
          <w:trHeight w:val="172"/>
        </w:trPr>
        <w:tc>
          <w:tcPr>
            <w:tcW w:w="6620" w:type="dxa"/>
            <w:vAlign w:val="bottom"/>
          </w:tcPr>
          <w:p>
            <w:pPr>
              <w:spacing w:after="0"/>
              <w:rPr>
                <w:sz w:val="20"/>
                <w:szCs w:val="20"/>
                <w:color w:val="auto"/>
              </w:rPr>
            </w:pPr>
            <w:r>
              <w:rPr>
                <w:rFonts w:ascii="Courier New" w:cs="Courier New" w:eastAsia="Courier New" w:hAnsi="Courier New"/>
                <w:sz w:val="15"/>
                <w:szCs w:val="15"/>
                <w:color w:val="auto"/>
              </w:rPr>
              <w:t>Increase in accounts payable and accrued expenses</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5,013,765</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4,142,361</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Increase in accrued commissions</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819,272</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2,450,461</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Increase in income taxes payable</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3,291,593</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2,751,373</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Increase in loss reserves</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11,423,849</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19,875,401</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Increase in unearned premiums</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7,086,319</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9,687,984</w:t>
            </w:r>
          </w:p>
        </w:tc>
      </w:tr>
      <w:tr>
        <w:trPr>
          <w:trHeight w:val="172"/>
        </w:trPr>
        <w:tc>
          <w:tcPr>
            <w:tcW w:w="6620" w:type="dxa"/>
            <w:vAlign w:val="bottom"/>
          </w:tcPr>
          <w:p>
            <w:pPr>
              <w:spacing w:after="0"/>
              <w:rPr>
                <w:sz w:val="14"/>
                <w:szCs w:val="14"/>
                <w:color w:val="auto"/>
              </w:rPr>
            </w:pPr>
          </w:p>
        </w:tc>
        <w:tc>
          <w:tcPr>
            <w:tcW w:w="240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20" w:type="dxa"/>
            <w:vAlign w:val="bottom"/>
          </w:tcPr>
          <w:p>
            <w:pPr>
              <w:ind w:left="62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49,134,376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67,164,081</w:t>
            </w:r>
          </w:p>
        </w:tc>
      </w:tr>
      <w:tr>
        <w:trPr>
          <w:trHeight w:val="344"/>
        </w:trPr>
        <w:tc>
          <w:tcPr>
            <w:tcW w:w="66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Purchase of investments:</w:t>
            </w:r>
          </w:p>
        </w:tc>
        <w:tc>
          <w:tcPr>
            <w:tcW w:w="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Fixed maturities</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(86,580,523)</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(52,491,656)</w:t>
            </w: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Equity securities</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(32,419,130)</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(35,906,487)</w:t>
            </w: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Mortgage loans</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(66,286)</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Other invested assets</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(3,644,781)</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(9,768,461)</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Sales/maturities of investments:</w:t>
            </w:r>
          </w:p>
        </w:tc>
        <w:tc>
          <w:tcPr>
            <w:tcW w:w="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Fixed maturities</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49,854,609</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21,264,251</w:t>
            </w: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Equity securities</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29,963,355</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24,734,685</w:t>
            </w: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Mortgage loans</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55,076</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61,335</w:t>
            </w: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Other invested assets</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600,011</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632,882</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Purchase of property and equipment</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(337,762)</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(346,947)</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Purchase of computer software</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(2,435,077)</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(1,714,556)</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Loans to Agents</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(1,177,218)</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(983,013)</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Collections on Agent loans</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1,743,711</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744,557</w:t>
            </w:r>
          </w:p>
        </w:tc>
      </w:tr>
      <w:tr>
        <w:trPr>
          <w:trHeight w:val="172"/>
        </w:trPr>
        <w:tc>
          <w:tcPr>
            <w:tcW w:w="6620" w:type="dxa"/>
            <w:vAlign w:val="bottom"/>
          </w:tcPr>
          <w:p>
            <w:pPr>
              <w:spacing w:after="0"/>
              <w:rPr>
                <w:sz w:val="14"/>
                <w:szCs w:val="14"/>
                <w:color w:val="auto"/>
              </w:rPr>
            </w:pPr>
          </w:p>
        </w:tc>
        <w:tc>
          <w:tcPr>
            <w:tcW w:w="240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2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investing activities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(44,444,015)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(53,773,410)</w:t>
            </w:r>
          </w:p>
        </w:tc>
      </w:tr>
      <w:tr>
        <w:trPr>
          <w:trHeight w:val="344"/>
        </w:trPr>
        <w:tc>
          <w:tcPr>
            <w:tcW w:w="66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Dividends paid to shareholders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(16,142,270)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(14,510,889)</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Treasury stock</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(25,427,315)</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w:t>
            </w:r>
          </w:p>
        </w:tc>
      </w:tr>
      <w:tr>
        <w:trPr>
          <w:trHeight w:val="172"/>
        </w:trPr>
        <w:tc>
          <w:tcPr>
            <w:tcW w:w="6620" w:type="dxa"/>
            <w:vAlign w:val="bottom"/>
          </w:tcPr>
          <w:p>
            <w:pPr>
              <w:spacing w:after="0"/>
              <w:rPr>
                <w:sz w:val="14"/>
                <w:szCs w:val="14"/>
                <w:color w:val="auto"/>
              </w:rPr>
            </w:pPr>
          </w:p>
        </w:tc>
        <w:tc>
          <w:tcPr>
            <w:tcW w:w="240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2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financing activities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(41,569,585)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(14,510,889)</w:t>
            </w:r>
          </w:p>
        </w:tc>
      </w:tr>
      <w:tr>
        <w:trPr>
          <w:trHeight w:val="172"/>
        </w:trPr>
        <w:tc>
          <w:tcPr>
            <w:tcW w:w="6620" w:type="dxa"/>
            <w:vAlign w:val="bottom"/>
          </w:tcPr>
          <w:p>
            <w:pPr>
              <w:spacing w:after="0"/>
              <w:rPr>
                <w:sz w:val="14"/>
                <w:szCs w:val="14"/>
                <w:color w:val="auto"/>
              </w:rPr>
            </w:pPr>
          </w:p>
        </w:tc>
        <w:tc>
          <w:tcPr>
            <w:tcW w:w="240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Net decrease in cash and cash equivalents</w:t>
            </w:r>
          </w:p>
        </w:tc>
        <w:tc>
          <w:tcPr>
            <w:tcW w:w="520" w:type="dxa"/>
            <w:vAlign w:val="bottom"/>
          </w:tcPr>
          <w:p>
            <w:pPr>
              <w:spacing w:after="0"/>
              <w:rPr>
                <w:sz w:val="14"/>
                <w:szCs w:val="14"/>
                <w:color w:val="auto"/>
              </w:rPr>
            </w:pP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(36,879,224)</w:t>
            </w:r>
          </w:p>
        </w:tc>
        <w:tc>
          <w:tcPr>
            <w:tcW w:w="8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(1,120,218)</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520" w:type="dxa"/>
            <w:vAlign w:val="bottom"/>
          </w:tcPr>
          <w:p>
            <w:pPr>
              <w:spacing w:after="0"/>
              <w:rPr>
                <w:sz w:val="14"/>
                <w:szCs w:val="14"/>
                <w:color w:val="auto"/>
              </w:rPr>
            </w:pP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53,580,043</w:t>
            </w:r>
          </w:p>
        </w:tc>
        <w:tc>
          <w:tcPr>
            <w:tcW w:w="82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53,148,495</w:t>
            </w:r>
          </w:p>
        </w:tc>
      </w:tr>
      <w:tr>
        <w:trPr>
          <w:trHeight w:val="172"/>
        </w:trPr>
        <w:tc>
          <w:tcPr>
            <w:tcW w:w="6620" w:type="dxa"/>
            <w:vAlign w:val="bottom"/>
          </w:tcPr>
          <w:p>
            <w:pPr>
              <w:spacing w:after="0"/>
              <w:rPr>
                <w:sz w:val="14"/>
                <w:szCs w:val="14"/>
                <w:color w:val="auto"/>
              </w:rPr>
            </w:pPr>
          </w:p>
        </w:tc>
        <w:tc>
          <w:tcPr>
            <w:tcW w:w="240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2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16,700,819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52,028,277</w:t>
            </w:r>
          </w:p>
        </w:tc>
      </w:tr>
      <w:tr>
        <w:trPr>
          <w:trHeight w:val="172"/>
        </w:trPr>
        <w:tc>
          <w:tcPr>
            <w:tcW w:w="6620" w:type="dxa"/>
            <w:vAlign w:val="bottom"/>
          </w:tcPr>
          <w:p>
            <w:pPr>
              <w:spacing w:after="0"/>
              <w:rPr>
                <w:sz w:val="14"/>
                <w:szCs w:val="14"/>
                <w:color w:val="auto"/>
              </w:rPr>
            </w:pPr>
          </w:p>
        </w:tc>
        <w:tc>
          <w:tcPr>
            <w:tcW w:w="240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62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6620" w:type="dxa"/>
            <w:vAlign w:val="bottom"/>
          </w:tcPr>
          <w:p>
            <w:pPr>
              <w:spacing w:after="0"/>
              <w:rPr>
                <w:sz w:val="20"/>
                <w:szCs w:val="20"/>
                <w:color w:val="auto"/>
              </w:rPr>
            </w:pPr>
            <w:r>
              <w:rPr>
                <w:rFonts w:ascii="Courier New" w:cs="Courier New" w:eastAsia="Courier New" w:hAnsi="Courier New"/>
                <w:sz w:val="15"/>
                <w:szCs w:val="15"/>
                <w:color w:val="auto"/>
              </w:rPr>
              <w:t>Cash paid during the six months  ended June 30,  1999 and 1998 for income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$29,864,633 and $28,221,547 respectively.</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080"/>
          </w:cols>
          <w:pgMar w:left="240" w:top="805" w:right="579" w:bottom="1440" w:gutter="0" w:footer="0" w:header="0"/>
        </w:sectPr>
      </w:pPr>
    </w:p>
    <w:bookmarkStart w:id="7" w:name="page8"/>
    <w:bookmarkEnd w:id="7"/>
    <w:p>
      <w:pPr>
        <w:ind w:left="2580"/>
        <w:spacing w:after="0"/>
        <w:rPr>
          <w:sz w:val="20"/>
          <w:szCs w:val="20"/>
          <w:color w:val="auto"/>
        </w:rPr>
      </w:pPr>
      <w:r>
        <w:rPr>
          <w:rFonts w:ascii="Courier New" w:cs="Courier New" w:eastAsia="Courier New" w:hAnsi="Courier New"/>
          <w:sz w:val="15"/>
          <w:szCs w:val="15"/>
          <w:color w:val="auto"/>
        </w:rPr>
        <w:t>ERIE INDEMNITY COMPANY</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NOTES TO CONSOLIDATED FINANCIAL STATEMENTS (UNAUDITED)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BASIS OF PRESENTATION</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accompanying unaudited consolidated financial statements, which include the accounts of the Erie Indemnity Company and its' wholly owned subsidiaries Erie Insurance Company, Erie Insurance Company of New York and Erie Insurance Property &amp; Casualty Company,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six-month period ended June 30, 1999 are not necessarily indicative of the results that may be expected for the year ending December 31, 1999. For further information, refer to the consolidated financial statements and footnotes thereto included in the Company's Form 10-K for the year ended December 31, 1998.</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EARNINGS PER SHARE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Earnings per share is based on the weighted average number of Class A shares outstanding giving effect to the conversion of the weighted average number of Class B shares outstanding at a rate of 2,400 Class A shares for one Class B share as set out in the Company's Articles of Incorporation. Weighted average equivalent shares outstanding totaled 73,678,486 for the three months ended June 30, 1999 and 74,013,951 for the six months ended June 30, 1999. For the three and six month periods ended June 30, 1998 the weighted average equivalent shares outstanding totaled 74,400,000.</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INVESTMENTS</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Management considers all fixed maturities and marketable equity securities available-for-sale. Marketable equity securities consist primarily of common and nonredeemable preferred stocks while fixed maturities consist of bonds and notes. Available-for-sale securities are stated at fair value, with the unrealized gains and losses, net of tax, reported as a separate component of shareholders' equity. Management determines the appropriate classification of fixed maturities at the time of purchase and reevaluates such designation as of each statement of financial position date.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NOTES TO CONSOLIDATED FINANCIAL STATEMENTS (UNAUDITED)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summary of available-for-sale securities: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Gross</w:t>
            </w:r>
          </w:p>
        </w:tc>
        <w:tc>
          <w:tcPr>
            <w:tcW w:w="460" w:type="dxa"/>
            <w:vAlign w:val="bottom"/>
          </w:tcPr>
          <w:p>
            <w:pPr>
              <w:spacing w:after="0"/>
              <w:rPr>
                <w:sz w:val="14"/>
                <w:szCs w:val="14"/>
                <w:color w:val="auto"/>
              </w:rPr>
            </w:pPr>
          </w:p>
        </w:tc>
        <w:tc>
          <w:tcPr>
            <w:tcW w:w="12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Gross</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Estimated</w:t>
            </w:r>
          </w:p>
        </w:tc>
      </w:tr>
      <w:tr>
        <w:trPr>
          <w:trHeight w:val="172"/>
        </w:trPr>
        <w:tc>
          <w:tcPr>
            <w:tcW w:w="3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Amortized</w:t>
            </w:r>
          </w:p>
        </w:tc>
        <w:tc>
          <w:tcPr>
            <w:tcW w:w="460" w:type="dxa"/>
            <w:vAlign w:val="bottom"/>
          </w:tcPr>
          <w:p>
            <w:pPr>
              <w:spacing w:after="0"/>
              <w:rPr>
                <w:sz w:val="14"/>
                <w:szCs w:val="14"/>
                <w:color w:val="auto"/>
              </w:rPr>
            </w:pP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Unrealized</w:t>
            </w:r>
          </w:p>
        </w:tc>
        <w:tc>
          <w:tcPr>
            <w:tcW w:w="460" w:type="dxa"/>
            <w:vAlign w:val="bottom"/>
          </w:tcPr>
          <w:p>
            <w:pPr>
              <w:spacing w:after="0"/>
              <w:rPr>
                <w:sz w:val="14"/>
                <w:szCs w:val="14"/>
                <w:color w:val="auto"/>
              </w:rPr>
            </w:pPr>
          </w:p>
        </w:tc>
        <w:tc>
          <w:tcPr>
            <w:tcW w:w="128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5"/>
              </w:rPr>
              <w:t>Unrealized</w:t>
            </w:r>
          </w:p>
        </w:tc>
        <w:tc>
          <w:tcPr>
            <w:tcW w:w="3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500" w:type="dxa"/>
            <w:vAlign w:val="bottom"/>
          </w:tcPr>
          <w:p>
            <w:pPr>
              <w:spacing w:after="0"/>
              <w:rPr>
                <w:sz w:val="14"/>
                <w:szCs w:val="14"/>
                <w:color w:val="auto"/>
              </w:rPr>
            </w:pPr>
          </w:p>
        </w:tc>
        <w:tc>
          <w:tcPr>
            <w:tcW w:w="138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Cost</w:t>
            </w:r>
          </w:p>
        </w:tc>
        <w:tc>
          <w:tcPr>
            <w:tcW w:w="46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Gains</w:t>
            </w:r>
          </w:p>
        </w:tc>
        <w:tc>
          <w:tcPr>
            <w:tcW w:w="460" w:type="dxa"/>
            <w:vAlign w:val="bottom"/>
          </w:tcPr>
          <w:p>
            <w:pPr>
              <w:spacing w:after="0"/>
              <w:rPr>
                <w:sz w:val="14"/>
                <w:szCs w:val="14"/>
                <w:color w:val="auto"/>
              </w:rPr>
            </w:pPr>
          </w:p>
        </w:tc>
        <w:tc>
          <w:tcPr>
            <w:tcW w:w="12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Losses</w:t>
            </w:r>
          </w:p>
        </w:tc>
        <w:tc>
          <w:tcPr>
            <w:tcW w:w="3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920" w:type="dxa"/>
            <w:vAlign w:val="bottom"/>
          </w:tcPr>
          <w:p>
            <w:pPr>
              <w:spacing w:after="0"/>
              <w:rPr>
                <w:sz w:val="20"/>
                <w:szCs w:val="20"/>
                <w:color w:val="auto"/>
              </w:rPr>
            </w:pPr>
            <w:r>
              <w:rPr>
                <w:rFonts w:ascii="Courier New" w:cs="Courier New" w:eastAsia="Courier New" w:hAnsi="Courier New"/>
                <w:sz w:val="15"/>
                <w:szCs w:val="15"/>
                <w:color w:val="auto"/>
              </w:rPr>
              <w:t>June 30, 1999</w:t>
            </w: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Fixed Maturities:</w:t>
            </w: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U.S. Treasuries &amp; Government</w:t>
            </w: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Agencies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11,817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12,104</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States &amp; Political Subdivisions</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49,607</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2,162</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210</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51,559</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Special Revenue</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125,022</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4,429</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359</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129,092</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Public Utilities</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18,213</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70</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505</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17,778</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U. S. Industrial &amp; Miscellaneous</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222,927</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2,825</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2,183</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223,569</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Foreign Industrial &amp; Miscellaneous</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11,654</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454</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11,275</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Foreign Governments-Agency</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1,991</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1,900</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Total Bonds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441,231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9,877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3,831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447,277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16,920</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1,009</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542</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17,387</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Total Fixed Maturities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458,151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10,886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4,373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464,664</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64,719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43,709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6,351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102,077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Non-Redeemable Preferred Stock</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114,156</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4,214</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1,882</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116,488</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Total Equity Securities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178,875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47,923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8,233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218,565</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 Available-for-Sale Securities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637,026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58,809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683,229</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Gross</w:t>
            </w:r>
          </w:p>
        </w:tc>
        <w:tc>
          <w:tcPr>
            <w:tcW w:w="460" w:type="dxa"/>
            <w:vAlign w:val="bottom"/>
          </w:tcPr>
          <w:p>
            <w:pPr>
              <w:spacing w:after="0"/>
              <w:rPr>
                <w:sz w:val="24"/>
                <w:szCs w:val="24"/>
                <w:color w:val="auto"/>
              </w:rPr>
            </w:pPr>
          </w:p>
        </w:tc>
        <w:tc>
          <w:tcPr>
            <w:tcW w:w="1280" w:type="dxa"/>
            <w:vAlign w:val="bottom"/>
          </w:tcPr>
          <w:p>
            <w:pPr>
              <w:ind w:left="340"/>
              <w:spacing w:after="0"/>
              <w:rPr>
                <w:sz w:val="20"/>
                <w:szCs w:val="20"/>
                <w:color w:val="auto"/>
              </w:rPr>
            </w:pPr>
            <w:r>
              <w:rPr>
                <w:rFonts w:ascii="Courier New" w:cs="Courier New" w:eastAsia="Courier New" w:hAnsi="Courier New"/>
                <w:sz w:val="15"/>
                <w:szCs w:val="15"/>
                <w:color w:val="auto"/>
              </w:rPr>
              <w:t>Gross</w:t>
            </w:r>
          </w:p>
        </w:tc>
        <w:tc>
          <w:tcPr>
            <w:tcW w:w="320" w:type="dxa"/>
            <w:vAlign w:val="bottom"/>
          </w:tcPr>
          <w:p>
            <w:pPr>
              <w:spacing w:after="0"/>
              <w:rPr>
                <w:sz w:val="24"/>
                <w:szCs w:val="2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Estimated</w:t>
            </w:r>
          </w:p>
        </w:tc>
      </w:tr>
      <w:tr>
        <w:trPr>
          <w:trHeight w:val="172"/>
        </w:trPr>
        <w:tc>
          <w:tcPr>
            <w:tcW w:w="3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Amortized</w:t>
            </w:r>
          </w:p>
        </w:tc>
        <w:tc>
          <w:tcPr>
            <w:tcW w:w="46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Unrealized</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Unrealized</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500" w:type="dxa"/>
            <w:vAlign w:val="bottom"/>
          </w:tcPr>
          <w:p>
            <w:pPr>
              <w:spacing w:after="0"/>
              <w:rPr>
                <w:sz w:val="14"/>
                <w:szCs w:val="14"/>
                <w:color w:val="auto"/>
              </w:rPr>
            </w:pP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Cost</w:t>
            </w:r>
          </w:p>
        </w:tc>
        <w:tc>
          <w:tcPr>
            <w:tcW w:w="460" w:type="dxa"/>
            <w:vAlign w:val="bottom"/>
          </w:tcPr>
          <w:p>
            <w:pPr>
              <w:spacing w:after="0"/>
              <w:rPr>
                <w:sz w:val="14"/>
                <w:szCs w:val="14"/>
                <w:color w:val="auto"/>
              </w:rPr>
            </w:pPr>
          </w:p>
        </w:tc>
        <w:tc>
          <w:tcPr>
            <w:tcW w:w="14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Gains</w:t>
            </w:r>
          </w:p>
        </w:tc>
        <w:tc>
          <w:tcPr>
            <w:tcW w:w="460" w:type="dxa"/>
            <w:vAlign w:val="bottom"/>
          </w:tcPr>
          <w:p>
            <w:pPr>
              <w:spacing w:after="0"/>
              <w:rPr>
                <w:sz w:val="14"/>
                <w:szCs w:val="14"/>
                <w:color w:val="auto"/>
              </w:rPr>
            </w:pPr>
          </w:p>
        </w:tc>
        <w:tc>
          <w:tcPr>
            <w:tcW w:w="1280" w:type="dxa"/>
            <w:vAlign w:val="bottom"/>
          </w:tcPr>
          <w:p>
            <w:pPr>
              <w:ind w:left="340"/>
              <w:spacing w:after="0"/>
              <w:rPr>
                <w:sz w:val="20"/>
                <w:szCs w:val="20"/>
                <w:color w:val="auto"/>
              </w:rPr>
            </w:pPr>
            <w:r>
              <w:rPr>
                <w:rFonts w:ascii="Courier New" w:cs="Courier New" w:eastAsia="Courier New" w:hAnsi="Courier New"/>
                <w:sz w:val="15"/>
                <w:szCs w:val="15"/>
                <w:color w:val="auto"/>
              </w:rPr>
              <w:t>Losses</w:t>
            </w:r>
          </w:p>
        </w:tc>
        <w:tc>
          <w:tcPr>
            <w:tcW w:w="32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Fixed Maturities:</w:t>
            </w: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U.S. Treasuries &amp; Government</w:t>
            </w: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Agencies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13,018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689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13,707</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States &amp; Political Subdivisions</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48,307</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3,293</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51,600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Special Revenue</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132,025</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7,215</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139,235</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Public Utilities</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13,116</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300</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13,416</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U.S. Industrial &amp; Miscellaneous</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195,296</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9,028</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629</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203,695</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Foreign Industrial &amp; Miscellaneous</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5,159</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165</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5,238</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Foreign Governments-Agency</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1,990</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1,809</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Total Bonds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408,911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20,690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428,700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12,191</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577</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12,653</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Total Fixed Maturities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421,102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21,267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441,353</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Equity Securities:</w:t>
            </w:r>
          </w:p>
        </w:tc>
        <w:tc>
          <w:tcPr>
            <w:tcW w:w="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60,622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37,626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8,018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90,230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Non-Redeemable Preferred Stock</w:t>
            </w:r>
          </w:p>
        </w:tc>
        <w:tc>
          <w:tcPr>
            <w:tcW w:w="500" w:type="dxa"/>
            <w:vAlign w:val="bottom"/>
          </w:tcPr>
          <w:p>
            <w:pPr>
              <w:spacing w:after="0"/>
              <w:rPr>
                <w:sz w:val="14"/>
                <w:szCs w:val="14"/>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109,355</w:t>
            </w: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4,813</w:t>
            </w:r>
          </w:p>
        </w:tc>
        <w:tc>
          <w:tcPr>
            <w:tcW w:w="460" w:type="dxa"/>
            <w:vAlign w:val="bottom"/>
          </w:tcPr>
          <w:p>
            <w:pPr>
              <w:spacing w:after="0"/>
              <w:rPr>
                <w:sz w:val="14"/>
                <w:szCs w:val="14"/>
                <w:color w:val="auto"/>
              </w:rPr>
            </w:pP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1,594</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112,574</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Total Equity Securities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169,977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42,439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202,804</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 Available-for-Sale Securities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591,079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63,706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10,628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644,157</w:t>
            </w:r>
          </w:p>
        </w:tc>
      </w:tr>
      <w:tr>
        <w:trPr>
          <w:trHeight w:val="172"/>
        </w:trPr>
        <w:tc>
          <w:tcPr>
            <w:tcW w:w="392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820"/>
          </w:cols>
          <w:pgMar w:left="240" w:top="805" w:right="8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NOTES TO CONSOLIDATED FINANCIAL STATEMENTS (UNAUDITED) (Continued)</w:t>
      </w:r>
    </w:p>
    <w:p>
      <w:pPr>
        <w:spacing w:after="0" w:line="176" w:lineRule="exact"/>
        <w:rPr>
          <w:sz w:val="20"/>
          <w:szCs w:val="20"/>
          <w:color w:val="auto"/>
        </w:rPr>
      </w:pPr>
    </w:p>
    <w:p>
      <w:pPr>
        <w:jc w:val="both"/>
        <w:ind w:right="900"/>
        <w:spacing w:after="0" w:line="241" w:lineRule="auto"/>
        <w:rPr>
          <w:sz w:val="20"/>
          <w:szCs w:val="20"/>
          <w:color w:val="auto"/>
        </w:rPr>
      </w:pPr>
      <w:r>
        <w:rPr>
          <w:rFonts w:ascii="Courier New" w:cs="Courier New" w:eastAsia="Courier New" w:hAnsi="Courier New"/>
          <w:sz w:val="15"/>
          <w:szCs w:val="15"/>
          <w:color w:val="auto"/>
        </w:rPr>
        <w:t>Deferred income taxes decreased by $2,553,275 at June 30, 1999 compared to a $5,342,948 increase at December 31, 1998 related to the change in unrealized gains (losses) on available-for-sale securities.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Mortgage</w:t>
            </w:r>
          </w:p>
        </w:tc>
        <w:tc>
          <w:tcPr>
            <w:tcW w:w="3940" w:type="dxa"/>
            <w:vAlign w:val="bottom"/>
            <w:gridSpan w:val="8"/>
          </w:tcPr>
          <w:p>
            <w:pPr>
              <w:spacing w:after="0"/>
              <w:rPr>
                <w:sz w:val="20"/>
                <w:szCs w:val="20"/>
                <w:color w:val="auto"/>
              </w:rPr>
            </w:pPr>
            <w:r>
              <w:rPr>
                <w:rFonts w:ascii="Courier New" w:cs="Courier New" w:eastAsia="Courier New" w:hAnsi="Courier New"/>
                <w:sz w:val="15"/>
                <w:szCs w:val="15"/>
                <w:color w:val="auto"/>
                <w:w w:val="98"/>
              </w:rPr>
              <w:t>loans on real estate are  recorded at unpaid</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adjusted</w:t>
            </w:r>
          </w:p>
        </w:tc>
        <w:tc>
          <w:tcPr>
            <w:tcW w:w="13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for</w:t>
            </w:r>
          </w:p>
        </w:tc>
      </w:tr>
      <w:tr>
        <w:trPr>
          <w:trHeight w:val="172"/>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amortization</w:t>
            </w:r>
          </w:p>
        </w:tc>
        <w:tc>
          <w:tcPr>
            <w:tcW w:w="1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of premium or</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discount.</w:t>
            </w:r>
          </w:p>
        </w:tc>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A valuation</w:t>
            </w:r>
          </w:p>
        </w:tc>
        <w:tc>
          <w:tcPr>
            <w:tcW w:w="2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allowance  is provided</w:t>
            </w:r>
          </w:p>
        </w:tc>
        <w:tc>
          <w:tcPr>
            <w:tcW w:w="13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for</w:t>
            </w:r>
          </w:p>
        </w:tc>
      </w:tr>
      <w:tr>
        <w:trPr>
          <w:trHeight w:val="172"/>
        </w:trPr>
        <w:tc>
          <w:tcPr>
            <w:tcW w:w="4820" w:type="dxa"/>
            <w:vAlign w:val="bottom"/>
            <w:gridSpan w:val="9"/>
          </w:tcPr>
          <w:p>
            <w:pPr>
              <w:spacing w:after="0"/>
              <w:rPr>
                <w:sz w:val="20"/>
                <w:szCs w:val="20"/>
                <w:color w:val="auto"/>
              </w:rPr>
            </w:pPr>
            <w:r>
              <w:rPr>
                <w:rFonts w:ascii="Courier New" w:cs="Courier New" w:eastAsia="Courier New" w:hAnsi="Courier New"/>
                <w:sz w:val="15"/>
                <w:szCs w:val="15"/>
                <w:color w:val="auto"/>
              </w:rPr>
              <w:t>impairment in net realizable value based on periodic</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valuations.</w:t>
            </w:r>
          </w:p>
        </w:tc>
        <w:tc>
          <w:tcPr>
            <w:tcW w:w="218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rPr>
              <w:t>The change in</w:t>
            </w:r>
          </w:p>
        </w:tc>
      </w:tr>
      <w:tr>
        <w:trPr>
          <w:trHeight w:val="172"/>
        </w:trPr>
        <w:tc>
          <w:tcPr>
            <w:tcW w:w="5860" w:type="dxa"/>
            <w:vAlign w:val="bottom"/>
            <w:gridSpan w:val="11"/>
          </w:tcPr>
          <w:p>
            <w:pPr>
              <w:spacing w:after="0"/>
              <w:rPr>
                <w:sz w:val="20"/>
                <w:szCs w:val="20"/>
                <w:color w:val="auto"/>
              </w:rPr>
            </w:pPr>
            <w:r>
              <w:rPr>
                <w:rFonts w:ascii="Courier New" w:cs="Courier New" w:eastAsia="Courier New" w:hAnsi="Courier New"/>
                <w:sz w:val="15"/>
                <w:szCs w:val="15"/>
                <w:color w:val="auto"/>
              </w:rPr>
              <w:t>the  allowance is reflected on the income  statement in realized</w:t>
            </w:r>
          </w:p>
        </w:tc>
        <w:tc>
          <w:tcPr>
            <w:tcW w:w="218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w w:val="99"/>
              </w:rPr>
              <w:t>gain (loss) on</w:t>
            </w:r>
          </w:p>
        </w:tc>
      </w:tr>
      <w:tr>
        <w:trPr>
          <w:trHeight w:val="172"/>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investments.</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4"/>
        </w:trPr>
        <w:tc>
          <w:tcPr>
            <w:tcW w:w="8040" w:type="dxa"/>
            <w:vAlign w:val="bottom"/>
            <w:gridSpan w:val="13"/>
          </w:tcPr>
          <w:p>
            <w:pPr>
              <w:spacing w:after="0"/>
              <w:rPr>
                <w:sz w:val="20"/>
                <w:szCs w:val="20"/>
                <w:color w:val="auto"/>
              </w:rPr>
            </w:pPr>
            <w:r>
              <w:rPr>
                <w:rFonts w:ascii="Courier New" w:cs="Courier New" w:eastAsia="Courier New" w:hAnsi="Courier New"/>
                <w:sz w:val="15"/>
                <w:szCs w:val="15"/>
                <w:color w:val="auto"/>
              </w:rPr>
              <w:t>Other invested assets (primarily investments in real estate and private equity</w:t>
            </w:r>
          </w:p>
        </w:tc>
      </w:tr>
      <w:tr>
        <w:trPr>
          <w:trHeight w:val="172"/>
        </w:trPr>
        <w:tc>
          <w:tcPr>
            <w:tcW w:w="6740" w:type="dxa"/>
            <w:vAlign w:val="bottom"/>
            <w:gridSpan w:val="12"/>
          </w:tcPr>
          <w:p>
            <w:pPr>
              <w:spacing w:after="0"/>
              <w:rPr>
                <w:sz w:val="20"/>
                <w:szCs w:val="20"/>
                <w:color w:val="auto"/>
              </w:rPr>
            </w:pPr>
            <w:r>
              <w:rPr>
                <w:rFonts w:ascii="Courier New" w:cs="Courier New" w:eastAsia="Courier New" w:hAnsi="Courier New"/>
                <w:sz w:val="15"/>
                <w:szCs w:val="15"/>
                <w:color w:val="auto"/>
              </w:rPr>
              <w:t>limited partnerships) are recorded under the equity method of accounting.</w:t>
            </w:r>
          </w:p>
        </w:tc>
        <w:tc>
          <w:tcPr>
            <w:tcW w:w="1300" w:type="dxa"/>
            <w:vAlign w:val="bottom"/>
          </w:tcPr>
          <w:p>
            <w:pPr>
              <w:spacing w:after="0"/>
              <w:rPr>
                <w:sz w:val="14"/>
                <w:szCs w:val="14"/>
                <w:color w:val="auto"/>
              </w:rPr>
            </w:pPr>
          </w:p>
        </w:tc>
      </w:tr>
      <w:tr>
        <w:trPr>
          <w:trHeight w:val="516"/>
        </w:trPr>
        <w:tc>
          <w:tcPr>
            <w:tcW w:w="5860" w:type="dxa"/>
            <w:vAlign w:val="bottom"/>
            <w:gridSpan w:val="11"/>
          </w:tcPr>
          <w:p>
            <w:pPr>
              <w:spacing w:after="0"/>
              <w:rPr>
                <w:sz w:val="20"/>
                <w:szCs w:val="20"/>
                <w:color w:val="auto"/>
              </w:rPr>
            </w:pPr>
            <w:r>
              <w:rPr>
                <w:rFonts w:ascii="Courier New" w:cs="Courier New" w:eastAsia="Courier New" w:hAnsi="Courier New"/>
                <w:sz w:val="15"/>
                <w:szCs w:val="15"/>
                <w:color w:val="auto"/>
                <w:w w:val="99"/>
              </w:rPr>
              <w:t>NOTE D -- SUMMARIZED FINANCIAL STATEMENT INFORMATION OF AFFILIATE</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4"/>
        </w:trPr>
        <w:tc>
          <w:tcPr>
            <w:tcW w:w="2140" w:type="dxa"/>
            <w:vAlign w:val="bottom"/>
            <w:gridSpan w:val="4"/>
          </w:tcPr>
          <w:p>
            <w:pPr>
              <w:spacing w:after="0"/>
              <w:rPr>
                <w:sz w:val="20"/>
                <w:szCs w:val="20"/>
                <w:color w:val="auto"/>
              </w:rPr>
            </w:pPr>
            <w:r>
              <w:rPr>
                <w:rFonts w:ascii="Courier New" w:cs="Courier New" w:eastAsia="Courier New" w:hAnsi="Courier New"/>
                <w:sz w:val="15"/>
                <w:szCs w:val="15"/>
                <w:color w:val="auto"/>
                <w:w w:val="98"/>
              </w:rPr>
              <w:t>The Company has a 21.63%</w:t>
            </w:r>
          </w:p>
        </w:tc>
        <w:tc>
          <w:tcPr>
            <w:tcW w:w="5900" w:type="dxa"/>
            <w:vAlign w:val="bottom"/>
            <w:gridSpan w:val="9"/>
          </w:tcPr>
          <w:p>
            <w:pPr>
              <w:jc w:val="right"/>
              <w:ind w:right="825"/>
              <w:spacing w:after="0"/>
              <w:rPr>
                <w:sz w:val="20"/>
                <w:szCs w:val="20"/>
                <w:color w:val="auto"/>
              </w:rPr>
            </w:pPr>
            <w:r>
              <w:rPr>
                <w:rFonts w:ascii="Courier New" w:cs="Courier New" w:eastAsia="Courier New" w:hAnsi="Courier New"/>
                <w:sz w:val="15"/>
                <w:szCs w:val="15"/>
                <w:color w:val="auto"/>
              </w:rPr>
              <w:t>investment in Erie Family Life Insurance Company (EFL)</w:t>
            </w:r>
          </w:p>
        </w:tc>
      </w:tr>
      <w:tr>
        <w:trPr>
          <w:trHeight w:val="172"/>
        </w:trPr>
        <w:tc>
          <w:tcPr>
            <w:tcW w:w="8040" w:type="dxa"/>
            <w:vAlign w:val="bottom"/>
            <w:gridSpan w:val="13"/>
          </w:tcPr>
          <w:p>
            <w:pPr>
              <w:spacing w:after="0"/>
              <w:rPr>
                <w:sz w:val="20"/>
                <w:szCs w:val="20"/>
                <w:color w:val="auto"/>
              </w:rPr>
            </w:pPr>
            <w:r>
              <w:rPr>
                <w:rFonts w:ascii="Courier New" w:cs="Courier New" w:eastAsia="Courier New" w:hAnsi="Courier New"/>
                <w:sz w:val="15"/>
                <w:szCs w:val="15"/>
                <w:color w:val="auto"/>
              </w:rPr>
              <w:t>and  accounts  for this  investment  using  the  equity  method.  The  following</w:t>
            </w:r>
          </w:p>
        </w:tc>
      </w:tr>
      <w:tr>
        <w:trPr>
          <w:trHeight w:val="172"/>
        </w:trPr>
        <w:tc>
          <w:tcPr>
            <w:tcW w:w="5860" w:type="dxa"/>
            <w:vAlign w:val="bottom"/>
            <w:gridSpan w:val="11"/>
          </w:tcPr>
          <w:p>
            <w:pPr>
              <w:spacing w:after="0"/>
              <w:rPr>
                <w:sz w:val="20"/>
                <w:szCs w:val="20"/>
                <w:color w:val="auto"/>
              </w:rPr>
            </w:pPr>
            <w:r>
              <w:rPr>
                <w:rFonts w:ascii="Courier New" w:cs="Courier New" w:eastAsia="Courier New" w:hAnsi="Courier New"/>
                <w:sz w:val="15"/>
                <w:szCs w:val="15"/>
                <w:color w:val="auto"/>
              </w:rPr>
              <w:t>represents summarized financial statement information for EFL:</w:t>
            </w: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88"/>
        </w:trPr>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June 30, 1999</w:t>
            </w:r>
          </w:p>
        </w:tc>
      </w:tr>
      <w:tr>
        <w:trPr>
          <w:trHeight w:val="17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51,144,570</w:t>
            </w:r>
          </w:p>
        </w:tc>
      </w:tr>
      <w:tr>
        <w:trPr>
          <w:trHeight w:val="172"/>
        </w:trPr>
        <w:tc>
          <w:tcPr>
            <w:tcW w:w="1960" w:type="dxa"/>
            <w:vAlign w:val="bottom"/>
            <w:gridSpan w:val="3"/>
          </w:tcPr>
          <w:p>
            <w:pPr>
              <w:spacing w:after="0"/>
              <w:rPr>
                <w:sz w:val="20"/>
                <w:szCs w:val="20"/>
                <w:color w:val="auto"/>
              </w:rPr>
            </w:pPr>
            <w:r>
              <w:rPr>
                <w:rFonts w:ascii="Courier New" w:cs="Courier New" w:eastAsia="Courier New" w:hAnsi="Courier New"/>
                <w:sz w:val="15"/>
                <w:szCs w:val="15"/>
                <w:color w:val="auto"/>
              </w:rPr>
              <w:t>Benefits and expenses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34,372,686</w:t>
            </w:r>
          </w:p>
        </w:tc>
      </w:tr>
      <w:tr>
        <w:trPr>
          <w:trHeight w:val="17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gridSpan w:val="5"/>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16,771,884</w:t>
            </w:r>
          </w:p>
        </w:tc>
      </w:tr>
      <w:tr>
        <w:trPr>
          <w:trHeight w:val="172"/>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w w:val="96"/>
              </w:rPr>
              <w:t>Income taxes</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6,011,516</w:t>
            </w:r>
          </w:p>
        </w:tc>
      </w:tr>
      <w:tr>
        <w:trPr>
          <w:trHeight w:val="17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Net income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10,760,368</w:t>
            </w:r>
          </w:p>
        </w:tc>
      </w:tr>
      <w:tr>
        <w:trPr>
          <w:trHeight w:val="17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gridSpan w:val="6"/>
          </w:tcPr>
          <w:p>
            <w:pPr>
              <w:spacing w:after="0"/>
              <w:rPr>
                <w:sz w:val="20"/>
                <w:szCs w:val="20"/>
                <w:color w:val="auto"/>
              </w:rPr>
            </w:pPr>
            <w:r>
              <w:rPr>
                <w:rFonts w:ascii="Courier New" w:cs="Courier New" w:eastAsia="Courier New" w:hAnsi="Courier New"/>
                <w:sz w:val="15"/>
                <w:szCs w:val="15"/>
                <w:color w:val="auto"/>
              </w:rPr>
              <w:t>Dividends paid to shareholders</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2,976,752</w:t>
            </w:r>
          </w:p>
        </w:tc>
      </w:tr>
      <w:tr>
        <w:trPr>
          <w:trHeight w:val="17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gridSpan w:val="7"/>
          </w:tcPr>
          <w:p>
            <w:pPr>
              <w:spacing w:after="0"/>
              <w:rPr>
                <w:sz w:val="20"/>
                <w:szCs w:val="20"/>
                <w:color w:val="auto"/>
              </w:rPr>
            </w:pPr>
            <w:r>
              <w:rPr>
                <w:rFonts w:ascii="Courier New" w:cs="Courier New" w:eastAsia="Courier New" w:hAnsi="Courier New"/>
                <w:sz w:val="15"/>
                <w:szCs w:val="15"/>
                <w:color w:val="auto"/>
              </w:rPr>
              <w:t>Net unrealized appreciation on investment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560" w:type="dxa"/>
            <w:vAlign w:val="bottom"/>
            <w:gridSpan w:val="6"/>
          </w:tcPr>
          <w:p>
            <w:pPr>
              <w:ind w:left="180"/>
              <w:spacing w:after="0"/>
              <w:rPr>
                <w:sz w:val="20"/>
                <w:szCs w:val="20"/>
                <w:color w:val="auto"/>
              </w:rPr>
            </w:pPr>
            <w:r>
              <w:rPr>
                <w:rFonts w:ascii="Courier New" w:cs="Courier New" w:eastAsia="Courier New" w:hAnsi="Courier New"/>
                <w:sz w:val="15"/>
                <w:szCs w:val="15"/>
                <w:color w:val="auto"/>
                <w:w w:val="98"/>
              </w:rPr>
              <w:t>securities at June 30, net of deferred</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8,494,788</w:t>
            </w:r>
          </w:p>
        </w:tc>
      </w:tr>
      <w:tr>
        <w:trPr>
          <w:trHeight w:val="172"/>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860" w:type="dxa"/>
            <w:vAlign w:val="bottom"/>
            <w:gridSpan w:val="11"/>
          </w:tcPr>
          <w:p>
            <w:pPr>
              <w:spacing w:after="0"/>
              <w:rPr>
                <w:sz w:val="20"/>
                <w:szCs w:val="20"/>
                <w:color w:val="auto"/>
              </w:rPr>
            </w:pPr>
            <w:r>
              <w:rPr>
                <w:rFonts w:ascii="Courier New" w:cs="Courier New" w:eastAsia="Courier New" w:hAnsi="Courier New"/>
                <w:sz w:val="15"/>
                <w:szCs w:val="15"/>
                <w:color w:val="auto"/>
                <w:w w:val="99"/>
              </w:rPr>
              <w:t>NOTE E -- NOTE RECEIVABLE FROM ERIE FAMILY LIFE INSURANCE COMPANY</w:t>
            </w: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4"/>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On December</w:t>
            </w: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29,  1995,</w:t>
            </w:r>
          </w:p>
        </w:tc>
        <w:tc>
          <w:tcPr>
            <w:tcW w:w="2060" w:type="dxa"/>
            <w:vAlign w:val="bottom"/>
            <w:gridSpan w:val="3"/>
          </w:tcPr>
          <w:p>
            <w:pPr>
              <w:jc w:val="center"/>
              <w:ind w:right="25"/>
              <w:spacing w:after="0"/>
              <w:rPr>
                <w:sz w:val="20"/>
                <w:szCs w:val="20"/>
                <w:color w:val="auto"/>
              </w:rPr>
            </w:pPr>
            <w:r>
              <w:rPr>
                <w:rFonts w:ascii="Courier New" w:cs="Courier New" w:eastAsia="Courier New" w:hAnsi="Courier New"/>
                <w:sz w:val="15"/>
                <w:szCs w:val="15"/>
                <w:color w:val="auto"/>
                <w:w w:val="99"/>
              </w:rPr>
              <w:t>EFL issued a surplus</w:t>
            </w:r>
          </w:p>
        </w:tc>
        <w:tc>
          <w:tcPr>
            <w:tcW w:w="3840" w:type="dxa"/>
            <w:vAlign w:val="bottom"/>
            <w:gridSpan w:val="6"/>
          </w:tcPr>
          <w:p>
            <w:pPr>
              <w:jc w:val="right"/>
              <w:ind w:right="825"/>
              <w:spacing w:after="0"/>
              <w:rPr>
                <w:sz w:val="20"/>
                <w:szCs w:val="20"/>
                <w:color w:val="auto"/>
              </w:rPr>
            </w:pPr>
            <w:r>
              <w:rPr>
                <w:rFonts w:ascii="Courier New" w:cs="Courier New" w:eastAsia="Courier New" w:hAnsi="Courier New"/>
                <w:sz w:val="15"/>
                <w:szCs w:val="15"/>
                <w:color w:val="auto"/>
                <w:w w:val="98"/>
              </w:rPr>
              <w:t>note to the Company in return for</w:t>
            </w:r>
          </w:p>
        </w:tc>
      </w:tr>
      <w:tr>
        <w:trPr>
          <w:trHeight w:val="172"/>
        </w:trPr>
        <w:tc>
          <w:tcPr>
            <w:tcW w:w="1060" w:type="dxa"/>
            <w:vAlign w:val="bottom"/>
            <w:gridSpan w:val="2"/>
          </w:tcPr>
          <w:p>
            <w:pPr>
              <w:spacing w:after="0"/>
              <w:rPr>
                <w:sz w:val="20"/>
                <w:szCs w:val="20"/>
                <w:color w:val="auto"/>
              </w:rPr>
            </w:pPr>
            <w:r>
              <w:rPr>
                <w:rFonts w:ascii="Courier New" w:cs="Courier New" w:eastAsia="Courier New" w:hAnsi="Courier New"/>
                <w:sz w:val="15"/>
                <w:szCs w:val="15"/>
                <w:color w:val="auto"/>
              </w:rPr>
              <w:t>cash of $15</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million.</w:t>
            </w:r>
          </w:p>
        </w:tc>
        <w:tc>
          <w:tcPr>
            <w:tcW w:w="2240" w:type="dxa"/>
            <w:vAlign w:val="bottom"/>
            <w:gridSpan w:val="4"/>
          </w:tcPr>
          <w:p>
            <w:pPr>
              <w:jc w:val="center"/>
              <w:ind w:left="5"/>
              <w:spacing w:after="0"/>
              <w:rPr>
                <w:sz w:val="20"/>
                <w:szCs w:val="20"/>
                <w:color w:val="auto"/>
              </w:rPr>
            </w:pPr>
            <w:r>
              <w:rPr>
                <w:rFonts w:ascii="Courier New" w:cs="Courier New" w:eastAsia="Courier New" w:hAnsi="Courier New"/>
                <w:sz w:val="15"/>
                <w:szCs w:val="15"/>
                <w:color w:val="auto"/>
                <w:w w:val="99"/>
              </w:rPr>
              <w:t>The note bears an annual</w:t>
            </w:r>
          </w:p>
        </w:tc>
        <w:tc>
          <w:tcPr>
            <w:tcW w:w="1060" w:type="dxa"/>
            <w:vAlign w:val="bottom"/>
            <w:gridSpan w:val="3"/>
          </w:tcPr>
          <w:p>
            <w:pPr>
              <w:jc w:val="right"/>
              <w:ind w:right="85"/>
              <w:spacing w:after="0"/>
              <w:rPr>
                <w:sz w:val="20"/>
                <w:szCs w:val="20"/>
                <w:color w:val="auto"/>
              </w:rPr>
            </w:pPr>
            <w:r>
              <w:rPr>
                <w:rFonts w:ascii="Courier New" w:cs="Courier New" w:eastAsia="Courier New" w:hAnsi="Courier New"/>
                <w:sz w:val="15"/>
                <w:szCs w:val="15"/>
                <w:color w:val="auto"/>
              </w:rPr>
              <w:t>interest</w:t>
            </w:r>
          </w:p>
        </w:tc>
        <w:tc>
          <w:tcPr>
            <w:tcW w:w="278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w w:val="98"/>
              </w:rPr>
              <w:t>rate of 6.45% and all</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payments</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of</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interest</w:t>
            </w:r>
          </w:p>
        </w:tc>
        <w:tc>
          <w:tcPr>
            <w:tcW w:w="1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principal</w:t>
            </w:r>
          </w:p>
        </w:tc>
        <w:tc>
          <w:tcPr>
            <w:tcW w:w="640" w:type="dxa"/>
            <w:vAlign w:val="bottom"/>
          </w:tcPr>
          <w:p>
            <w:pPr>
              <w:spacing w:after="0"/>
              <w:rPr>
                <w:sz w:val="20"/>
                <w:szCs w:val="20"/>
                <w:color w:val="auto"/>
              </w:rPr>
            </w:pPr>
            <w:r>
              <w:rPr>
                <w:rFonts w:ascii="Courier New" w:cs="Courier New" w:eastAsia="Courier New" w:hAnsi="Courier New"/>
                <w:sz w:val="15"/>
                <w:szCs w:val="15"/>
                <w:color w:val="auto"/>
              </w:rPr>
              <w:t>of the</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 may be</w:t>
            </w:r>
          </w:p>
        </w:tc>
        <w:tc>
          <w:tcPr>
            <w:tcW w:w="278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repaid  only out of</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unassigned</w:t>
            </w:r>
          </w:p>
        </w:tc>
        <w:tc>
          <w:tcPr>
            <w:tcW w:w="180" w:type="dxa"/>
            <w:vAlign w:val="bottom"/>
          </w:tcPr>
          <w:p>
            <w:pPr>
              <w:spacing w:after="0"/>
              <w:rPr>
                <w:sz w:val="14"/>
                <w:szCs w:val="14"/>
                <w:color w:val="auto"/>
              </w:rPr>
            </w:pPr>
          </w:p>
        </w:tc>
        <w:tc>
          <w:tcPr>
            <w:tcW w:w="6980" w:type="dxa"/>
            <w:vAlign w:val="bottom"/>
            <w:gridSpan w:val="11"/>
          </w:tcPr>
          <w:p>
            <w:pPr>
              <w:jc w:val="right"/>
              <w:ind w:right="825"/>
              <w:spacing w:after="0"/>
              <w:rPr>
                <w:sz w:val="20"/>
                <w:szCs w:val="20"/>
                <w:color w:val="auto"/>
              </w:rPr>
            </w:pPr>
            <w:r>
              <w:rPr>
                <w:rFonts w:ascii="Courier New" w:cs="Courier New" w:eastAsia="Courier New" w:hAnsi="Courier New"/>
                <w:sz w:val="15"/>
                <w:szCs w:val="15"/>
                <w:color w:val="auto"/>
                <w:w w:val="99"/>
              </w:rPr>
              <w:t>surplus of EFL and are subject to prior approval of the Pennsylvania</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12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Commissioner.</w:t>
            </w:r>
          </w:p>
        </w:tc>
        <w:tc>
          <w:tcPr>
            <w:tcW w:w="242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Interest on the surplus</w:t>
            </w:r>
          </w:p>
        </w:tc>
        <w:tc>
          <w:tcPr>
            <w:tcW w:w="7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5"/>
              </w:rPr>
              <w:t>note is</w:t>
            </w:r>
          </w:p>
        </w:tc>
        <w:tc>
          <w:tcPr>
            <w:tcW w:w="278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scheduled to be paid</w:t>
            </w:r>
          </w:p>
        </w:tc>
      </w:tr>
      <w:tr>
        <w:trPr>
          <w:trHeight w:val="172"/>
        </w:trPr>
        <w:tc>
          <w:tcPr>
            <w:tcW w:w="8040" w:type="dxa"/>
            <w:vAlign w:val="bottom"/>
            <w:gridSpan w:val="13"/>
          </w:tcPr>
          <w:p>
            <w:pPr>
              <w:spacing w:after="0"/>
              <w:rPr>
                <w:sz w:val="20"/>
                <w:szCs w:val="20"/>
                <w:color w:val="auto"/>
              </w:rPr>
            </w:pPr>
            <w:r>
              <w:rPr>
                <w:rFonts w:ascii="Courier New" w:cs="Courier New" w:eastAsia="Courier New" w:hAnsi="Courier New"/>
                <w:sz w:val="15"/>
                <w:szCs w:val="15"/>
                <w:color w:val="auto"/>
              </w:rPr>
              <w:t>semi-annually. The note will be payable on demand on or after December 31, 2005.</w:t>
            </w:r>
          </w:p>
        </w:tc>
      </w:tr>
      <w:tr>
        <w:trPr>
          <w:trHeight w:val="172"/>
        </w:trPr>
        <w:tc>
          <w:tcPr>
            <w:tcW w:w="1960" w:type="dxa"/>
            <w:vAlign w:val="bottom"/>
            <w:gridSpan w:val="3"/>
          </w:tcPr>
          <w:p>
            <w:pPr>
              <w:spacing w:after="0"/>
              <w:rPr>
                <w:sz w:val="20"/>
                <w:szCs w:val="20"/>
                <w:color w:val="auto"/>
              </w:rPr>
            </w:pPr>
            <w:r>
              <w:rPr>
                <w:rFonts w:ascii="Courier New" w:cs="Courier New" w:eastAsia="Courier New" w:hAnsi="Courier New"/>
                <w:sz w:val="15"/>
                <w:szCs w:val="15"/>
                <w:color w:val="auto"/>
              </w:rPr>
              <w:t>EFL paid the Company</w:t>
            </w:r>
          </w:p>
        </w:tc>
        <w:tc>
          <w:tcPr>
            <w:tcW w:w="3300" w:type="dxa"/>
            <w:vAlign w:val="bottom"/>
            <w:gridSpan w:val="7"/>
          </w:tcPr>
          <w:p>
            <w:pPr>
              <w:jc w:val="right"/>
              <w:ind w:right="85"/>
              <w:spacing w:after="0"/>
              <w:rPr>
                <w:sz w:val="20"/>
                <w:szCs w:val="20"/>
                <w:color w:val="auto"/>
              </w:rPr>
            </w:pPr>
            <w:r>
              <w:rPr>
                <w:rFonts w:ascii="Courier New" w:cs="Courier New" w:eastAsia="Courier New" w:hAnsi="Courier New"/>
                <w:sz w:val="15"/>
                <w:szCs w:val="15"/>
                <w:color w:val="auto"/>
                <w:w w:val="99"/>
              </w:rPr>
              <w:t>$483,750 for interest in the second</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quarter of 1999.</w:t>
            </w:r>
          </w:p>
        </w:tc>
        <w:tc>
          <w:tcPr>
            <w:tcW w:w="1300" w:type="dxa"/>
            <w:vAlign w:val="bottom"/>
          </w:tcPr>
          <w:p>
            <w:pPr>
              <w:spacing w:after="0"/>
              <w:rPr>
                <w:sz w:val="14"/>
                <w:szCs w:val="14"/>
                <w:color w:val="auto"/>
              </w:rPr>
            </w:pP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TREASURY STOCK</w:t>
      </w:r>
    </w:p>
    <w:p>
      <w:pPr>
        <w:spacing w:after="0" w:line="176" w:lineRule="exact"/>
        <w:rPr>
          <w:sz w:val="20"/>
          <w:szCs w:val="20"/>
          <w:color w:val="auto"/>
        </w:rPr>
      </w:pPr>
    </w:p>
    <w:p>
      <w:pPr>
        <w:jc w:val="both"/>
        <w:ind w:right="900"/>
        <w:spacing w:after="0" w:line="260" w:lineRule="auto"/>
        <w:rPr>
          <w:sz w:val="20"/>
          <w:szCs w:val="20"/>
          <w:color w:val="auto"/>
        </w:rPr>
      </w:pPr>
      <w:r>
        <w:rPr>
          <w:rFonts w:ascii="Courier New" w:cs="Courier New" w:eastAsia="Courier New" w:hAnsi="Courier New"/>
          <w:sz w:val="14"/>
          <w:szCs w:val="14"/>
          <w:color w:val="auto"/>
        </w:rPr>
        <w:t>In December 1998, the Board of Directors of the Company authorized the repurchase of up to $70 million of its Class A common stock from January 1, 1999 through December 31, 2001. The Company's repurchase of shares of common stock are recorded as "Treasury Stock" and result in a reduction of "Shareholders' Equity." Treasury shares are recorded on the Consolidated Statements of Financial Position at cost. In the second quarter of 1999, 465,300 shares were repurchased at a total cost of $12,654,449 or an average price of $27.18.</w:t>
      </w:r>
    </w:p>
    <w:p>
      <w:pPr>
        <w:spacing w:after="0" w:line="1" w:lineRule="exact"/>
        <w:rPr>
          <w:sz w:val="20"/>
          <w:szCs w:val="20"/>
          <w:color w:val="auto"/>
        </w:rPr>
      </w:pPr>
    </w:p>
    <w:p>
      <w:pPr>
        <w:ind w:right="980"/>
        <w:spacing w:after="0"/>
        <w:rPr>
          <w:sz w:val="20"/>
          <w:szCs w:val="20"/>
          <w:color w:val="auto"/>
        </w:rPr>
      </w:pPr>
      <w:r>
        <w:rPr>
          <w:rFonts w:ascii="Courier New" w:cs="Courier New" w:eastAsia="Courier New" w:hAnsi="Courier New"/>
          <w:sz w:val="15"/>
          <w:szCs w:val="15"/>
          <w:color w:val="auto"/>
        </w:rPr>
        <w:t>During the first six months of 1999, 933,395 shares were repurchased at a total cost of $25,427,315 or an average price of $27.24.</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81" w:right="219" w:hanging="178"/>
        <w:spacing w:after="0" w:line="260" w:lineRule="auto"/>
        <w:rPr>
          <w:sz w:val="20"/>
          <w:szCs w:val="20"/>
          <w:color w:val="auto"/>
        </w:rPr>
      </w:pPr>
      <w:r>
        <w:rPr>
          <w:rFonts w:ascii="Courier New" w:cs="Courier New" w:eastAsia="Courier New" w:hAnsi="Courier New"/>
          <w:sz w:val="14"/>
          <w:szCs w:val="14"/>
          <w:color w:val="auto"/>
        </w:rPr>
        <w:t>Six Months Ended June 30, 1998</w:t>
      </w:r>
    </w:p>
    <w:p>
      <w:pPr>
        <w:ind w:left="1"/>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621" w:hanging="621"/>
        <w:spacing w:after="0"/>
        <w:tabs>
          <w:tab w:leader="none" w:pos="62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47,691,941</w:t>
      </w:r>
    </w:p>
    <w:p>
      <w:pPr>
        <w:spacing w:after="0" w:line="2" w:lineRule="exact"/>
        <w:rPr>
          <w:sz w:val="20"/>
          <w:szCs w:val="20"/>
          <w:color w:val="auto"/>
        </w:rPr>
      </w:pPr>
    </w:p>
    <w:p>
      <w:pPr>
        <w:ind w:left="621"/>
        <w:spacing w:after="0"/>
        <w:rPr>
          <w:sz w:val="20"/>
          <w:szCs w:val="20"/>
          <w:color w:val="auto"/>
        </w:rPr>
      </w:pPr>
      <w:r>
        <w:rPr>
          <w:rFonts w:ascii="Courier New" w:cs="Courier New" w:eastAsia="Courier New" w:hAnsi="Courier New"/>
          <w:sz w:val="15"/>
          <w:szCs w:val="15"/>
          <w:color w:val="auto"/>
        </w:rPr>
        <w:t>29,057,962</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18,633,979</w:t>
      </w:r>
    </w:p>
    <w:p>
      <w:pPr>
        <w:spacing w:after="0" w:line="2" w:lineRule="exact"/>
        <w:rPr>
          <w:sz w:val="20"/>
          <w:szCs w:val="20"/>
          <w:color w:val="auto"/>
        </w:rPr>
      </w:pPr>
    </w:p>
    <w:p>
      <w:pPr>
        <w:jc w:val="right"/>
        <w:ind w:right="119"/>
        <w:spacing w:after="0"/>
        <w:rPr>
          <w:sz w:val="20"/>
          <w:szCs w:val="20"/>
          <w:color w:val="auto"/>
        </w:rPr>
      </w:pPr>
      <w:r>
        <w:rPr>
          <w:rFonts w:ascii="Courier New" w:cs="Courier New" w:eastAsia="Courier New" w:hAnsi="Courier New"/>
          <w:sz w:val="15"/>
          <w:szCs w:val="15"/>
          <w:color w:val="auto"/>
        </w:rPr>
        <w:t>6,571,824</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621" w:hanging="621"/>
        <w:spacing w:after="0"/>
        <w:tabs>
          <w:tab w:leader="none" w:pos="62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12,062,155</w:t>
      </w:r>
    </w:p>
    <w:p>
      <w:pPr>
        <w:spacing w:after="0" w:line="3"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5"/>
          <w:szCs w:val="15"/>
          <w:color w:val="auto"/>
        </w:rPr>
      </w:pPr>
    </w:p>
    <w:p>
      <w:pPr>
        <w:ind w:left="721" w:hanging="721"/>
        <w:spacing w:after="0"/>
        <w:tabs>
          <w:tab w:leader="none" w:pos="72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2,693,252</w:t>
      </w:r>
    </w:p>
    <w:p>
      <w:pPr>
        <w:spacing w:after="0" w:line="13" w:lineRule="exact"/>
        <w:rPr>
          <w:rFonts w:ascii="Courier New" w:cs="Courier New" w:eastAsia="Courier New" w:hAnsi="Courier New"/>
          <w:sz w:val="14"/>
          <w:szCs w:val="14"/>
          <w:color w:val="auto"/>
        </w:rPr>
      </w:pPr>
    </w:p>
    <w:p>
      <w:pPr>
        <w:ind w:left="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621" w:hanging="621"/>
        <w:spacing w:after="0"/>
        <w:tabs>
          <w:tab w:leader="none" w:pos="62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25,004,334</w:t>
      </w:r>
    </w:p>
    <w:p>
      <w:pPr>
        <w:spacing w:after="0" w:line="3"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ectPr>
          <w:pgSz w:w="11900" w:h="16838" w:orient="portrait"/>
          <w:cols w:equalWidth="0" w:num="2">
            <w:col w:w="8040" w:space="539"/>
            <w:col w:w="1641"/>
          </w:cols>
          <w:pgMar w:left="240" w:top="805" w:right="1440" w:bottom="1440" w:gutter="0" w:footer="0" w:header="0"/>
        </w:sectPr>
      </w:pPr>
    </w:p>
    <w:bookmarkStart w:id="10" w:name="page11"/>
    <w:bookmarkEnd w:id="10"/>
    <w:p>
      <w:pPr>
        <w:ind w:left="800" w:right="3779" w:hanging="804"/>
        <w:spacing w:after="0"/>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financial statements and related notes found on pages 3 through 10, since they contain important information that is helpful in evaluating the Company's operating results and financial condition.</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jc w:val="both"/>
        <w:ind w:right="3079"/>
        <w:spacing w:after="0" w:line="263" w:lineRule="auto"/>
        <w:rPr>
          <w:sz w:val="20"/>
          <w:szCs w:val="20"/>
          <w:color w:val="auto"/>
        </w:rPr>
      </w:pPr>
      <w:r>
        <w:rPr>
          <w:rFonts w:ascii="Courier New" w:cs="Courier New" w:eastAsia="Courier New" w:hAnsi="Courier New"/>
          <w:sz w:val="14"/>
          <w:szCs w:val="14"/>
          <w:color w:val="auto"/>
        </w:rPr>
        <w:t>Consolidated net income increased by 10.6% for the second quarter of 1999 to $39,224,982, or $.53 per share, from $35,470,481 or $.48 per share, for the second quarter of 1998. The increase in net income for the quarter was driven by improved results in all three of the Company's operating segments. For the six months ended June 30, 1999, net income increased 8.1% to $72,632,540 or $.98 per share, from $67,169,540 or $.90 per share reported for the same period in 1998.</w:t>
      </w:r>
    </w:p>
    <w:p>
      <w:pPr>
        <w:spacing w:after="0" w:line="161"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Operating income increased 9.3% to $36,386,730, or $.49 per share for the three months ended June 30, 1999 from $33,275,647, or $.45 per share for the three months ended June 30, 1998. For the six months ended June 30, 1999, operating income increased 5.5% to $67,566,725, or $.91 per share, from $64,069,002, or $.86 per share, for the same period in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Management Operations</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Net revenue from the Company's management operations increased 3.9% to $40,586,709 for the three months ended June 30, 1999 from $39,064,709 for the same period in 1998. The gross margin from management operations (net revenue divided by total revenue), of 28.7% in the second quarter of 1999, was slightly less than the gross margin of 29.3% reported in the second quarter of 1998. For the six months ended June 30, 1999 net revenue from management operations totaled $74,953,283, an increase of 2.9% when compared to the first six months of 1998.</w:t>
      </w:r>
    </w:p>
    <w:p>
      <w:pPr>
        <w:spacing w:after="0" w:line="177"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Management fee revenue derived from the management operations of the Company, which serves as attorney-in-fact for the Erie Insurance Exchange (the Exchange), increased 5.6% to $137,502,858 for the three months ended June 30, 1999 from $130,184,972 for the three months ended June 30, 1998. Management fee revenue increased 4.8% to $259,337,064 in the first six months of 1999 compared to $247,508,627 for the same period in 1998.</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direct and affiliated assumed premiums of the Exchange, upon which management fee is based, increased by 2.5 % to $550,011,427 in the second quarter of 1999 compared to $536,825,827 in the second quarter of 1998. The rate of growth in management fee revenue was greater than the rate of growth in direct and affiliated assumed premium of the Exchange because the management fee rate charged the Exchange beginning January 1, 1999 was 25% compared to a rate of 24.25% charged in the second quarter of 1998. The Company's Board of Directors has the authority to change the management fee rate at its discretion, but cannot exceed a rate of 25%. For the year, premiums written increased 1.6% to $1,037,348,253 compared to $1,020,634,719 written for the first six months of 1998. Premium growth was adversely influenced by previously announced pricing actions in the Private Passenger Auto line of insurance. However, policy growth for the first six months of 1999 when compared to the same period in 1998 was strong as policy retention rates and new policy growth improved. Policies in force increased 4.4% to 2,622,735 for the period ended June 30, 1999 from 2,512,172 policies in force at June 30, 1998. Policy retention (the percentage of current policyholders that have renewed their policy) was 91.0% and 90.7% for the period ended June 30, 1999 and 1998, respectively for private passenger auto and 89.8% and 89.4% for the six months ended June 30, 1999 and 1998, respectively overall for all lines combined.</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11" w:name="page12"/>
    <w:bookmarkEnd w:id="11"/>
    <w:p>
      <w:pPr>
        <w:ind w:left="800" w:right="3779" w:hanging="804"/>
        <w:spacing w:after="0"/>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 (Continued)</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Service agreement revenue totaled $3,704,565 and $2,942,924 for the quarter ended June 30, 1999 and 1998, respectively. Service agreement revenue is derived from two sources. First, the Company is reimbursed by the Exchange for a portion of service charges collected by the property/casualty insurers of the Group from Policyholders for the costs incurred by the Company in providing extended payment terms on policies written by the Group. Service charges totaled $1,746,219 for the three months ended June 30, 1999 compared to $1,508,081 during the same period in 1998. Second, service income is received from the Exchange as compensation for the management and administration of voluntary assumed reinsurance from non-affiliated insurers. The Company receives a 7.0% service fee on the premiums from this business. These fees totaled $1,958,346 and $1,434,843 for the three months ended June 30, 1999 and 1998, respectively on net voluntary assumed reinsurance premiums of $27,976,382 and $20,497,760 in the second quarter of 1999 and 1998, respectively.</w:t>
      </w:r>
    </w:p>
    <w:p>
      <w:pPr>
        <w:spacing w:after="0" w:line="182"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For the six months ended June 30, 1999 service agreement revenue increased 25.1% to $7,433,674 from $5,942,245. Service charges increased 14.2% to $3,445,390 from $3,016,162, while service agreement income rose by 36.3% to $3,988,284. Net voluntary assumed reinsurance premiums totaled $56,975,494 and $41,801,183 for the first six months of 1999 and 1998, respectively.</w:t>
      </w:r>
    </w:p>
    <w:p>
      <w:pPr>
        <w:spacing w:after="0" w:line="175"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cost of management operations increased 6.9% for the second quarter of 1999 to $100,931,839 from $94,437,016 during the second quarter of 1998. For the six months ended June 30, 1999 the cost of management operations grew by 6.1% to $192,465,363 compared to $181,373,102 for the same period in 1998.</w:t>
      </w:r>
    </w:p>
    <w:p>
      <w:pPr>
        <w:spacing w:after="0" w:line="175"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Commissions are the largest component of the cost of management operations. The Company is responsible for the payment of commissions to the independent Agents who sell insurance products for the Company's subsidiaries and the Exchange, and its subsidiary, Flagship City Insurance Company. The Agents receive commissions based on fixed percentage fee schedules with different commission rates by product line of insurance. Also included in commission expense are the costs of promotional incentives for Agents and Agent contingency awards. Agent contingency awards are based upon the underwriting profitability of the insurance written and serviced by the Agent within the Erie Insurance Group of companies.</w:t>
      </w:r>
    </w:p>
    <w:p>
      <w:pPr>
        <w:spacing w:after="0" w:line="179"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Commission costs totaled $69,432,411 for the second quarter of 1999, a 6.8% increase over the $65,015,264 reported in the second quarter of 1998. Commissions grew by 5.7% to $130,067,383 from $123,057,643 recorded for the first six months of 1998. Commission costs grew faster than the rate of growth in written premiums due to increased provisions for agent contingency and incentive awards and an increase in the average commission rate.</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cost of management operations excluding commission costs, increased 7.1% for the three months ended June 30, 1999 to $31,499,428 from $29,421,752 recorded in the second quarter of 1998. Personnel costs, including salaries, employee benefits, and payroll taxes, are the second largest component in cost of operations, after commissions. The Company's personnel costs totaled $18,073,887 for the three month period ended June 30, 1999, compared to $17,406,012 for the same period in 1998, an increase of 3.8%.</w:t>
      </w:r>
    </w:p>
    <w:p>
      <w:pPr>
        <w:spacing w:after="0" w:line="177"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The cost of management operations was also affected by information technology consulting and corporate litigation costs incurred during the second quarter of 1999. Such costs amounted to about $1,250,837 during the quarter.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07" w:right="1440" w:bottom="1440" w:gutter="0" w:footer="0" w:header="0"/>
        </w:sectPr>
      </w:pPr>
    </w:p>
    <w:bookmarkStart w:id="12" w:name="page13"/>
    <w:bookmarkEnd w:id="12"/>
    <w:p>
      <w:pPr>
        <w:ind w:left="800" w:right="3779" w:hanging="804"/>
        <w:spacing w:after="0"/>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Insurance Underwriting Operations</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Insurance underwriting results are produced from the Company's property and casualty insurance subsidiaries, Erie Insurance Company and Erie Insurance Company of New York, which together assume a 5.5% share of the underwriting results of the Erie Insurance Group under an intercompany reinsurance pooling arrangement. These operations generated a gain of $1,112,954 in the second quarter of 1999 compared to a loss of $306,723 in the second quarter of 1998. In the second quarter of 1999, premiums earned increased 4.9% to $29,517,142 compared to $28,146,565 for the same period in 1998. Losses, loss adjustment expenses and other underwriting expenses incurred decreased 0.2% for the second quarter of 1999 to $28,404,188 compared to $28,453,288 for the prior year's second quarter. Catastrophe losses in the second quarter of 1999 were $960,483 compared to the 1998 second quarter total of $2,262,739.</w:t>
      </w:r>
    </w:p>
    <w:p>
      <w:pPr>
        <w:spacing w:after="0" w:line="180"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GAAP combined ratio for the Company's property and casualty insurance operations increased slightly to 99.1% for the six months ended June 30, 1999 compared to a ratio of 98.0% for the same period in 1998. The GAAP combined ratio represents the ratio of loss, loss adjustment, acquisition, and other underwriting expenses incurred to premiums earned.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of Investment Operations</w:t>
      </w:r>
    </w:p>
    <w:p>
      <w:pPr>
        <w:spacing w:after="0" w:line="176" w:lineRule="exact"/>
        <w:rPr>
          <w:sz w:val="20"/>
          <w:szCs w:val="20"/>
          <w:color w:val="auto"/>
        </w:rPr>
      </w:pPr>
    </w:p>
    <w:p>
      <w:pPr>
        <w:jc w:val="both"/>
        <w:ind w:right="3079"/>
        <w:spacing w:after="0" w:line="261" w:lineRule="auto"/>
        <w:rPr>
          <w:sz w:val="20"/>
          <w:szCs w:val="20"/>
          <w:color w:val="auto"/>
        </w:rPr>
      </w:pPr>
      <w:r>
        <w:rPr>
          <w:rFonts w:ascii="Courier New" w:cs="Courier New" w:eastAsia="Courier New" w:hAnsi="Courier New"/>
          <w:sz w:val="14"/>
          <w:szCs w:val="14"/>
          <w:color w:val="auto"/>
        </w:rPr>
        <w:t>Total revenue from investment operations for the second quarter of 1999 increased to $16,177,283 from $13,553,770 in the second quarter of 1998. This increase was driven by a $782,582 increase in non-recurring realized gains on investments combined with a $1,772,939 increase in net investment income. Also contributing to the increase was an increase in the earnings recognized from the Company's 21.63% ownership of Erie Family Life Insurance Company to $1,271,560 in the second quarter of 1999 from $1,203,568 recorded in the second quarter of 1998. Total revenue from investment operations for the six months ended June 30, 1999 increased 24.4% to $30,947,629 from $24,870,687 for the same period in 1998. This increase resulted from a $3,323,863 increase in net investment income and a $3,034,656 increase in net realized gains on investments.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Company's investment strategy takes a long-term perspective emphasizing investment quality, diversification and superior investment returns. Investments are managed on a total return approach that focuses on current income and capital appreciation. The Company's investment strategy also provides for liquidity to meet the short and long-term commitments of the Company. At June 30, 1999, the Company's investment portfolio of investment-grade bonds, common stock and preferred stock, all of which are readily marketable, and cash and short-term investments, totaled $700 million, or 47%, of total assets. These resources provide the liquidity the Company requires to meet demands on its funds.</w:t>
      </w:r>
    </w:p>
    <w:p>
      <w:pPr>
        <w:spacing w:after="0" w:line="179"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At June 30, 1999, 96.0% of total investments consist of fixed maturities and equity securities. Mortgage loans and other invested assets represented only 4.0% of total investments at that date. Mortgage loans and real estate investments have the potential for higher returns, but also carry more risk, including less liquidity and greater uncertainty in the rate of return.</w:t>
      </w:r>
    </w:p>
    <w:p>
      <w:pPr>
        <w:spacing w:after="0" w:line="175"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Company's investments are subject to certain risks, including interest rate and reinvestment risk. Fixed maturity and preferred stock security values generally fluctuate inversely with movements in interest rates. The Company's corporate and municipal bond investments may contain call and sinking fund features which</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07" w:right="1440" w:bottom="1440" w:gutter="0" w:footer="0" w:header="0"/>
        </w:sectPr>
      </w:pPr>
    </w:p>
    <w:bookmarkStart w:id="13" w:name="page14"/>
    <w:bookmarkEnd w:id="13"/>
    <w:p>
      <w:pPr>
        <w:ind w:left="800" w:right="3779" w:hanging="804"/>
        <w:spacing w:after="0"/>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 (Continued)</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may result in early redemptions. Declines in interest rates could cause early redemptions or prepayments which could require the Company to reinvest at lower rates.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jc w:val="both"/>
        <w:ind w:right="3079"/>
        <w:spacing w:after="0" w:line="262" w:lineRule="auto"/>
        <w:rPr>
          <w:sz w:val="20"/>
          <w:szCs w:val="20"/>
          <w:color w:val="auto"/>
        </w:rPr>
      </w:pPr>
      <w:r>
        <w:rPr>
          <w:rFonts w:ascii="Courier New" w:cs="Courier New" w:eastAsia="Courier New" w:hAnsi="Courier New"/>
          <w:sz w:val="14"/>
          <w:szCs w:val="14"/>
          <w:color w:val="auto"/>
        </w:rPr>
        <w:t>Liquidity is a measure of the Company's ability to secure enough cash to meet its contractual obligations and operating needs. Operating cash flows are generated from management operations as the attorney-in-fact for the Exchange, the net cash flow from the Erie Insurance Company's 5% and the Erie Insurance Company of New York's .5% participation in the underwriting results of the reinsurance pool with the Exchange, and the Company's investment income from affiliated and non-affiliated investments. With respect to the management fee, funds are generally received from the Exchange on a premiums collected basis. The Company pays commissions on premiums collected rather than written premiums.</w:t>
      </w:r>
    </w:p>
    <w:p>
      <w:pPr>
        <w:spacing w:after="0" w:line="162"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Company generates sufficient net positive cash flow from its operations to fund its commitments, repurchase its common stock, and build its investment portfolio, thereby increasing future investment returns. The Company also maintains a high degree of liquidity in its investment portfolio in the form of readily marketable fixed maturities, common stocks and short-term investments. Net cash flows provided by operating activities for the six months ended June 30, 1999 and 1998, were $49,134,376 and $67,164,081, respectively.</w:t>
      </w:r>
    </w:p>
    <w:p>
      <w:pPr>
        <w:spacing w:after="0" w:line="177"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Dividends declared and paid to shareholders in the three months ended June 30, 1999 and 1998, totaled $8,043,169 and $7,255,444, respectively. There are no regulatory restrictions on the payment of dividends to the Company's shareholders, although there are state law restrictions on the payment of dividends from the Company's insurance subsidiaries to the Company. Dividends from subsidiaries are not material to the Company's cash flow.</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Temporary differences between the financial statement carrying amounts and tax bases of assets and liabilities that give rise to deferred tax assets and liabilities resulted in net deferred tax liabilities at June 30, 1999 of $15,178,671 and at December 31, 1998 of $17,121,777.</w:t>
      </w:r>
    </w:p>
    <w:p>
      <w:pPr>
        <w:spacing w:after="0" w:line="175" w:lineRule="exact"/>
        <w:rPr>
          <w:sz w:val="20"/>
          <w:szCs w:val="20"/>
          <w:color w:val="auto"/>
        </w:rPr>
      </w:pPr>
    </w:p>
    <w:p>
      <w:pPr>
        <w:jc w:val="both"/>
        <w:ind w:right="3079"/>
        <w:spacing w:after="0" w:line="261" w:lineRule="auto"/>
        <w:rPr>
          <w:sz w:val="20"/>
          <w:szCs w:val="20"/>
          <w:color w:val="auto"/>
        </w:rPr>
      </w:pPr>
      <w:r>
        <w:rPr>
          <w:rFonts w:ascii="Courier New" w:cs="Courier New" w:eastAsia="Courier New" w:hAnsi="Courier New"/>
          <w:sz w:val="14"/>
          <w:szCs w:val="14"/>
          <w:color w:val="auto"/>
        </w:rPr>
        <w:t>The National Association of Insurance Commissioners (NAIC) standard for measuring the solvency of insurance companies, referred to as Risk Based Capital (RBC), is a method of measuring the minimum amount of capital appropriate for an insurance company to support its overall business operations in consideration of its size and risk profile. The RBC formula is used by state insurance regulators as an early warning tool to identify, for the purpose of initiating regulatory action, insurance companies that potentially are inadequately capitalized. In addition, the formula defines minimum capital standards that will supplement the current system of low fixed minimum capital and surplus requirements on a state-by-state basis. At December 31, 1998, the Exchange, its subsidiary Flagship City Insurance Company and the Company's property/casualty insurance subsidiaries' financial statements prepared under Statutory Accounting Practices are all substantially in excess of levels that would require regulatory action.</w:t>
      </w:r>
    </w:p>
    <w:p>
      <w:pPr>
        <w:spacing w:after="0" w:line="16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At June 30, 1999 and December 31, 1998, the Company's receivables from its affiliates totaled $527,128,264 and $489,913,986, respectively. These receivables, primarily due from the Exchange, as a result of the management fee, expense reimbursements and the intercompany reinsurance pool, represent a concentration of credit risk.</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07" w:right="1440" w:bottom="1440" w:gutter="0" w:footer="0" w:header="0"/>
        </w:sectPr>
      </w:pPr>
    </w:p>
    <w:bookmarkStart w:id="14" w:name="page15"/>
    <w:bookmarkEnd w:id="14"/>
    <w:p>
      <w:pPr>
        <w:ind w:left="800" w:right="3779" w:hanging="804"/>
        <w:spacing w:after="0"/>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REDEMPTION PLAN</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Erie Indemnity Company Stock Redemption Plan entitles estates of qualified shareholders to cause the Company to redeem shares of stock of the Company at a price equal to the fair market value of the stock at time of redemption. The redemption amount is limited to an aggregation of: (1) an initial amount of $10 million as of December 31, 1995 and (2) beginning in 1996 and annually thereafter, an additional annual amount as determined by the Board is its sole discretion, not to exceed 20% of the Company's net income from management operations during the prior fiscal year. This aggregate amount is reduced by redemption amounts paid. However, at no time shall the aggregate redemption limitation exceed 20% of the Company's retained earnings determined as of the close of the prior year. In addition, the plan limits the repurchase from any single shareholder's estate to 33% of total share holdings of such shareholder. On April 27, 1999 the Board approved an increase in the redemption amount of $19,190,347 to $77,987,383. As of June 30, 1999, no shares have been redeemed under the Stock Redemption Plan.</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REPURCHASE PLAN</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At the December 16, 1998 regular meeting of the Board of Directors of the Erie Indemnity Company, the board approved a stock repurchase plan beginning January 1, 1999, under which the Company may repurchase as much as $70 million of its outstanding Class A common stock through December 31, 2001. The Company may purchase the shares from time to time in the open market or through privately negotiated transactions, depending on prevailing market conditions and alternative uses of the Company's capital. In the second quarter of 1999, 465,300 shares were repurchased at a total cost of $12,645,449 or an average price of $27.18. During the first six months of 1999, 933,395 shares were repurchased at a total cost of $25,427,315 or an average price of $27.24.</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 DISCLOSURE</w:t>
      </w:r>
    </w:p>
    <w:p>
      <w:pPr>
        <w:spacing w:after="0" w:line="176" w:lineRule="exact"/>
        <w:rPr>
          <w:sz w:val="20"/>
          <w:szCs w:val="20"/>
          <w:color w:val="auto"/>
        </w:rPr>
      </w:pPr>
    </w:p>
    <w:p>
      <w:pPr>
        <w:jc w:val="both"/>
        <w:ind w:right="3079"/>
        <w:spacing w:after="0" w:line="261" w:lineRule="auto"/>
        <w:rPr>
          <w:sz w:val="20"/>
          <w:szCs w:val="20"/>
          <w:color w:val="auto"/>
        </w:rPr>
      </w:pPr>
      <w:r>
        <w:rPr>
          <w:rFonts w:ascii="Courier New" w:cs="Courier New" w:eastAsia="Courier New" w:hAnsi="Courier New"/>
          <w:sz w:val="14"/>
          <w:szCs w:val="14"/>
          <w:color w:val="auto"/>
        </w:rPr>
        <w:t>Erie Indemnity Company and the property/casualty insurance companies it manages are dependent on electronic processing and information systems to conduct business. Like all companies with such dependencies, the Company is continually faced with significant decisions and technology challenges. Among these challenges is the so-called "Year 2000 Issue," the inability of many computer systems to recognize dates beginning with the year 2000 and beyond. The Year 2000 Issue is perhaps more pervasive than any previous risk management issue faced by businesses of all types. To effectively manage the risks associated with the Year 2000 Issue, management has taken measures over the past six years designed to reduce the Company's potential for business interruption. References to the Company in the description below, including cost information, pertain to the Company and the property/casualty insurance companies under its management.</w:t>
      </w:r>
    </w:p>
    <w:p>
      <w:pPr>
        <w:spacing w:after="0" w:line="16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effect of the Year 2000 Issue cannot be measured exactly with certainty; any forecasts about the effect of the Year 2000 Issue and remediation projections are necessarily forward-looking statements and are subject to the risks and uncertainties noted on page 18.</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07" w:right="1440" w:bottom="1440" w:gutter="0" w:footer="0" w:header="0"/>
        </w:sectPr>
      </w:pPr>
    </w:p>
    <w:bookmarkStart w:id="15" w:name="page16"/>
    <w:bookmarkEnd w:id="15"/>
    <w:p>
      <w:pPr>
        <w:ind w:left="800" w:right="3779" w:hanging="804"/>
        <w:spacing w:after="0"/>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State of Readiness</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Exposure to systems failure is a risk faced by the Company every day. Unlike these every day risks, the date change to the Year 2000 is predictable. Efforts to mitigate The ERIE's exposure through effective identification, remediation, testing and contingency planning are organized and being conducted on all major business processes to minimize the risks.</w:t>
      </w:r>
    </w:p>
    <w:p>
      <w:pPr>
        <w:spacing w:after="0" w:line="175" w:lineRule="exact"/>
        <w:rPr>
          <w:sz w:val="20"/>
          <w:szCs w:val="20"/>
          <w:color w:val="auto"/>
        </w:rPr>
      </w:pPr>
    </w:p>
    <w:p>
      <w:pPr>
        <w:jc w:val="both"/>
        <w:ind w:right="3079"/>
        <w:spacing w:after="0" w:line="262" w:lineRule="auto"/>
        <w:rPr>
          <w:sz w:val="20"/>
          <w:szCs w:val="20"/>
          <w:color w:val="auto"/>
        </w:rPr>
      </w:pPr>
      <w:r>
        <w:rPr>
          <w:rFonts w:ascii="Courier New" w:cs="Courier New" w:eastAsia="Courier New" w:hAnsi="Courier New"/>
          <w:sz w:val="14"/>
          <w:szCs w:val="14"/>
          <w:color w:val="auto"/>
        </w:rPr>
        <w:t>To assure that the Company effectively addresses this risk, management has in place a structure that provides oversight of Year 2000 project activities, which are being conducted within the major business units of the Company. Oversight by Executive and Senior Management is being facilitated through a dedicated project office. This office, (the Y2K Office) is working in consultation with each business unit to assure consistency and adequacy of risk management activities and to collect companywide project status and cost information.</w:t>
      </w:r>
    </w:p>
    <w:p>
      <w:pPr>
        <w:spacing w:after="0" w:line="164"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Within each business unit, each key business process has been evaluated to assure that underlying systems and components exposed to potential Year 2000 failure are appropriately identified and addressed. Underlying system components include internal operating systems (hardware and software), infrastructure elements including non-information technology components and systems, communications systems and devices, internally developed mainframe applications, personal computer hardware and software, external parties and providers and peripheral devices.</w:t>
      </w:r>
    </w:p>
    <w:p>
      <w:pPr>
        <w:spacing w:after="0" w:line="177"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Each underlying component supporting key business processes was identified and mission critical business processes were prioritized during 1998. Priority was assigned based on the relative importance of the component to the business process and based on the importance of the business process relative to other business processes.</w:t>
      </w:r>
    </w:p>
    <w:p>
      <w:pPr>
        <w:spacing w:after="0" w:line="175"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Efforts to remediate non-compliant internal components (principally mainframe applications) began in the mid-1990's as a routine part of systems development and maintenance. Remediation of the Company's mainframe applications was completed and component testing was conducted during the first quarter of 1999.</w:t>
      </w:r>
    </w:p>
    <w:p>
      <w:pPr>
        <w:spacing w:after="0" w:line="175"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To supplement component testing and to provide a greater degree of assurance that business functions will be uninterrupted, Year 2000 simulation testing on the full insurance operations system was performed during March and April of 1999 and was completed April 30, 1999. Full systems testing included simultaneous testing of underlying components necessary to the support of key insurance operations business processes. Testing environments that closely approximate operating environments for mainframe and LAN-based PC applications were developed for use during this testing. The results of testing did not indicate that key business processing applications will encounter any material problems in the year 2000 due to the inability to recognize dates in the year 2000.</w:t>
      </w:r>
    </w:p>
    <w:p>
      <w:pPr>
        <w:spacing w:after="0" w:line="179"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Certain administrative systems (non-insurance operations) which operate in LAN based PC environments are also undergoing Year 2000 simulation testing which began in May, 1999 and is scheduled for completion by the end of July, 1999. While these systems are vendor certified as compliant, management believes the presence of certain customizations makes testing prudent. Test results through June 30, 1999 indicate no material problems.</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Y2K Office conducts ongoing monitoring of key external parties including utility suppliers, voice and data communications providers and financial institutions. Where possible and practicable, focused testing has been accomplished with these parties. No matter has come to our attention concerning the state of readiness of these key third parties that causes management to believe any of these parties will be unable to provide continuous service to the Company.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807" w:right="1440" w:bottom="1440" w:gutter="0" w:footer="0" w:header="0"/>
        </w:sectPr>
      </w:pPr>
    </w:p>
    <w:bookmarkStart w:id="16" w:name="page17"/>
    <w:bookmarkEnd w:id="16"/>
    <w:p>
      <w:pPr>
        <w:ind w:left="800" w:right="3779" w:hanging="804"/>
        <w:spacing w:after="0"/>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 (Continued)</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During the second quarter of 1999, each business unit developed contingency plans designed to respond to potential component or total systems failure. The plans incorporate a variety of back up processes some of which are automated, some manual. The plans provide that several operating areas accelerate work into 1999 or postpone work into later January 2000, where possible. Provisions for back up capabilities on services provided by key third parties are also included in the plans where feasible.</w:t>
      </w:r>
    </w:p>
    <w:p>
      <w:pPr>
        <w:spacing w:after="0" w:line="177"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With the approval of the plans by Executive Management in July, 1999, the Company is beginning to execute the steps necessary to carry out the back up plans which are planned for completion during the third quarter. These steps include the orientation and training of employees integral to the plan as well as the procurement of supplies and equipment necessary to conduct business in the back up environment, should that become necessary.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to Address Year 2000 Issues</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Prior to 1998, the Company did not establish a specific budget to address the Year 2000 Issue. By including Year 2000 changes in the scope of each system development and maintenance project, the Year 2000 Issue became an extension of all system projects. It is estimated that through June 30, 1999 costs incurred for specific Y2K activities including programming, testing, integrated test planning, and administrative efforts approximate $2.3 million. This estimate includes the cost of our internal efforts based on rates for personnel engaged in these activities. Future costs will be incurred as contingency plan testing continues during 1999. In addition, the cost of consulting resources engaged during the first six months of 1999 amounted to $122,000.</w:t>
      </w:r>
    </w:p>
    <w:p>
      <w:pPr>
        <w:spacing w:after="0" w:line="179"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Management believes that the cost of testing and administrative support will approximate $175,000 during the remaining six months of 1999 based on the project plans for these activities. This estimate includes the cost of personnel involved in testing and the cost to maintain the technical test environment. Costs incurred to replace non-compliant software and hardware during 1999 have not been and are not expected to be significant.</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In addition to these costs, the Company will incur internal personnel costs and certain other planned expenditures for items which will enable business continuity plans to be executed. Costs for the development and testing of contingency plans during 1999 approximate $125,000 with $50,000 being incurred through June 30, 1999 and approximately $75,000 estimated for the remainder of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of the Company's Year 2000 Issues</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proper functioning of the Company's computer systems and applications is critical to the continued operations of the Company. By addressing the Year 2000 Issue over several years in the ordinary course of business, the costs and uncertainty associated with it have been reduced significantly. Management does not believe that critical business operations of the Company will be adversely affected to any significant degree by the Year 2000 Issue.</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It is possible that certain key external parties will certify their systems as year 2000 compliant when in fact they are not. The inability of the Company to respond to uncontrollable circumstances remains a concern. For example, if numerous key third parties are unable to support the operations of the Company, operations could be adversely affected. The Company, as part of overall risk management, has prepared contingency plans to respond, where feasible, to the possibility of key third party failure(s). Management does not believe that these scenarios have a greater than remote possibility of occurrence.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807" w:right="1440" w:bottom="1440" w:gutter="0" w:footer="0" w:header="0"/>
        </w:sectPr>
      </w:pPr>
    </w:p>
    <w:bookmarkStart w:id="17" w:name="page18"/>
    <w:bookmarkEnd w:id="17"/>
    <w:p>
      <w:pPr>
        <w:ind w:left="800" w:right="3779" w:hanging="804"/>
        <w:spacing w:after="0"/>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 (Continued)</w:t>
      </w:r>
    </w:p>
    <w:p>
      <w:pPr>
        <w:spacing w:after="0" w:line="176" w:lineRule="exact"/>
        <w:rPr>
          <w:sz w:val="20"/>
          <w:szCs w:val="20"/>
          <w:color w:val="auto"/>
        </w:rPr>
      </w:pPr>
    </w:p>
    <w:p>
      <w:pPr>
        <w:jc w:val="both"/>
        <w:ind w:right="3079"/>
        <w:spacing w:after="0"/>
        <w:rPr>
          <w:sz w:val="20"/>
          <w:szCs w:val="20"/>
          <w:color w:val="auto"/>
        </w:rPr>
      </w:pPr>
      <w:r>
        <w:rPr>
          <w:rFonts w:ascii="Courier New" w:cs="Courier New" w:eastAsia="Courier New" w:hAnsi="Courier New"/>
          <w:sz w:val="15"/>
          <w:szCs w:val="15"/>
          <w:color w:val="auto"/>
        </w:rPr>
        <w:t>Company's Contingency Plans if a Vendor or the Company Fail to Address Year 2000 Issues</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This risk described above has been addressed through contingency planning. The level of contingency planning is commensurate with the relative importance of the external party to the operations of the Company and the relative risk that the party will be unable to operate satisfactorily in 2000. Such contingency plans have been developed and will be tested during the final six months of 1999.</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statements containing the beliefs of management about the Company's state of readiness for Year 2000 Issues are necessarily forward-looking statements that involve risks and uncertainties. These risks and uncertainties include but are not limited to: human or mechanical errors in correcting Year 2000 Issues; incorrect or improper (intentional or otherwise) representations by third parties as to their compliance or remediation efforts; the failure of third parties to follow through on their remediation efforts; and the inability to identify and/or locate processing chips that are subject to Year 2000 problems.</w:t>
      </w:r>
    </w:p>
    <w:p>
      <w:pPr>
        <w:spacing w:after="0" w:line="200" w:lineRule="exact"/>
        <w:rPr>
          <w:sz w:val="20"/>
          <w:szCs w:val="20"/>
          <w:color w:val="auto"/>
        </w:rPr>
      </w:pPr>
    </w:p>
    <w:p>
      <w:pPr>
        <w:spacing w:after="0" w:line="321"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Statements contained herein expressing the beliefs of management such as those contained in the "Financial Condition - Investments", and the "Liquidity and Capital Resources" sections hereof, and the other statements which are not historical facts contained in this report are forward looking statements that involve risks and uncertainties. These risks and uncertainties include but are not limited to: legislative, judicial and regulatory changes, the impact of competitive products and pricing, product development, geographic spread of risk, weather and weather-related events, other types of catastrophic events,</w:t>
      </w:r>
    </w:p>
    <w:p>
      <w:pPr>
        <w:spacing w:after="0" w:line="6" w:lineRule="exact"/>
        <w:rPr>
          <w:sz w:val="20"/>
          <w:szCs w:val="20"/>
          <w:color w:val="auto"/>
        </w:rPr>
      </w:pPr>
    </w:p>
    <w:p>
      <w:pPr>
        <w:jc w:val="both"/>
        <w:ind w:right="3079"/>
        <w:spacing w:after="0"/>
        <w:rPr>
          <w:sz w:val="20"/>
          <w:szCs w:val="20"/>
          <w:color w:val="auto"/>
        </w:rPr>
      </w:pPr>
      <w:r>
        <w:rPr>
          <w:rFonts w:ascii="Courier New" w:cs="Courier New" w:eastAsia="Courier New" w:hAnsi="Courier New"/>
          <w:sz w:val="15"/>
          <w:szCs w:val="15"/>
          <w:color w:val="auto"/>
        </w:rPr>
        <w:t>securities markets fluctuations, and technological difficulties and advancements.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0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H.O. Hirt Trusts collectively own 2,340 shares of the Company's Class B Common Stock, which has the exclusive right to vote in the election of directors of the Company. Since such shares represent 76.22% of the outstanding share of the Company Class B Common Stock, the vote of the H.O. Hirt Trusts is sufficient to determine the outcome of any election of directors. The trustees of the H.O. Hirt Trusts are F. William Hirt, Chairman of the Board of the Company, a director of the Company, a beneficial owner of more that 10% of the Company's outstanding Class A Common Stock and a beneficiary of one of the two H.O. Hirt Trusts; his sister, Susan Hirt Hagen, a director of the Company, a beneficial owner of more than 10% of the Company's outstanding Class A Common Stock and a beneficiary of the other H.O. Hirt Trust and Mellon Bank, N.A. Under the provisions of the H.O. Hirt Trusts, the shares of the company's Class B Common Stock held by the H.O. Hirt Trusts are to be voted as directed by a majority of the three trustees.</w:t>
      </w:r>
    </w:p>
    <w:p>
      <w:pPr>
        <w:spacing w:after="0" w:line="182"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Under the Pennsylvania Insurance Company Law and the Company's By-laws, the candidates for the election as directors of the Company are to be nominated by a committee consisting solely of persons who are not officers or employees of the Company or of any entity controlling, controlled by or under common control with the Company and who are not beneficial owners of a controlling interest in the voting securities of the Company. On March 11, 1998, the Nominating Committee of the Company's Board of Directors nominated 12 persons as candidates for election as directors of the Company at the Company's April 28, 1998 annual meeting of shareholders. The 12 persons nominated did not include Thomas B. Hagen, the husband of Susan Hirt Hagen, as a candidate for election as a director of the Company at such annual meeting. Thomas B. Hagen had served as a director of the Company since 1979.</w:t>
      </w:r>
    </w:p>
    <w:p>
      <w:pPr>
        <w:spacing w:after="0" w:line="180" w:lineRule="exact"/>
        <w:rPr>
          <w:sz w:val="20"/>
          <w:szCs w:val="20"/>
          <w:color w:val="auto"/>
        </w:rPr>
      </w:pPr>
    </w:p>
    <w:p>
      <w:pPr>
        <w:jc w:val="both"/>
        <w:ind w:right="3079"/>
        <w:spacing w:after="0" w:line="261" w:lineRule="auto"/>
        <w:rPr>
          <w:sz w:val="20"/>
          <w:szCs w:val="20"/>
          <w:color w:val="auto"/>
        </w:rPr>
      </w:pPr>
      <w:r>
        <w:rPr>
          <w:rFonts w:ascii="Courier New" w:cs="Courier New" w:eastAsia="Courier New" w:hAnsi="Courier New"/>
          <w:sz w:val="14"/>
          <w:szCs w:val="14"/>
          <w:color w:val="auto"/>
        </w:rPr>
        <w:t>On April 2, 1998, Susan Hirt Hagen, a director, filed duplicate petitions in the Orphans' Court Division of the Court of Common Pleas of Erie County, Pennsylvania (the "Court") seeking the removal of Mellon Bank N.A. ("Mellon") as a co-trustee of the H.O. Hirt Trusts. The principal basis for the alleged relief was the allegation that Mellon, as the owner of an insurance agency, was a competitor of the Company. Among the relief requested by Susan Hirt Hagen in the petitions was the grant of a preliminary injunction against Mellon from voting the Class B Common Stock held by the H.O. Hirt Trusts for the purpose of the election of directors at the Company's April 28, 1998 Annual Meeting of Shareholders. Because of the potential substantial harm to the Company if the preliminary injunction was granted, the Company filed a petition to intervene in the preliminary injunction proceedings which the Court granted on April 21, 1998 and an order denying Susan Hirt Hagen's request for a preliminary injunction. On April 28, 1998, the Company's 1998 Annual Meeting of Shareholders was held as scheduled and each of the candidates for election as a director of the Company named in the Company's April 1, 1998 proxy statement was elected as a director of the Company with the affirmative votes of Mellon and F.</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Hirt as a majority of the trustees of the H.O. Hirt Trusts.</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On June 3, 1998, the Company, because of its substantial interest in the outcome of any matter involving a change in Mellon's status as a co-trustee of the H.O. Hirt Trusts, petitioned the Court to intervene in the trial of the issues remaining under Susan Hirt Hagen's petitions to remove Mellon as a co-trustee. On June 24, 1998, the Court denied the Company's petition, and, on July 13, 1998, the Company appealed the Court's denial to the Superior Court of Pennsylvania. On August 5, 1998, Susan Hirt Hagen, a director of the Company, filed a motion with the Superior Court of Pennsylvania to quash the Company's appeal. On August 17, 1998, the Company filed its response to Susan Hirt Hagen's motion to quash the Company's appeal. On October 19, 1998, the Superior Court of Pennsylvania denied without prejudice Susan Hirt Hagen's motion to quash the Company's appeal, and the Superior Court of Pennsylvania established a schedule for the submission of briefs on the merits of the Company's appeal.</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805" w:right="1440" w:bottom="1440" w:gutter="0" w:footer="0" w:header="0"/>
        </w:sectPr>
      </w:pPr>
    </w:p>
    <w:bookmarkStart w:id="19" w:name="page20"/>
    <w:bookmarkEnd w:id="19"/>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 (Continued)</w:t>
      </w:r>
    </w:p>
    <w:p>
      <w:pPr>
        <w:spacing w:after="0" w:line="176" w:lineRule="exact"/>
        <w:rPr>
          <w:sz w:val="20"/>
          <w:szCs w:val="20"/>
          <w:color w:val="auto"/>
        </w:rPr>
      </w:pPr>
    </w:p>
    <w:p>
      <w:pPr>
        <w:jc w:val="both"/>
        <w:ind w:right="3079"/>
        <w:spacing w:after="0" w:line="261" w:lineRule="auto"/>
        <w:rPr>
          <w:sz w:val="20"/>
          <w:szCs w:val="20"/>
          <w:color w:val="auto"/>
        </w:rPr>
      </w:pPr>
      <w:r>
        <w:rPr>
          <w:rFonts w:ascii="Courier New" w:cs="Courier New" w:eastAsia="Courier New" w:hAnsi="Courier New"/>
          <w:sz w:val="14"/>
          <w:szCs w:val="14"/>
          <w:color w:val="auto"/>
        </w:rPr>
        <w:t>During June and July 1998, substantial discovery took place involving Susan Hirt Hagen's petitions to remove Mellon as co-trustee. Preceding the scheduled trial date of July 30, 1998, discussions took place between counsel for Mellon and counsel for Susan Hirt Hagen concerning a possible basis for settlement of the pending litigation. These discussions involved the circumstances under which Mellon might resign as co-trustee of the H.O. Hirt Trusts and the establishment of procedures pursuant to which a successor trustee would be appointed by the Court or by agreement of Susan Hirt Hagen and F. William Hirt. After a hearing conducted on July 30, 1998, the Court by letter advised counsel for all parties that the Court would not approve the settlement proposal that had been presented during the July 30, 1998 hearing, and that Mellon was to advise the Court on or before August 21, 1998 whether a revised settlement proposal would be submitted or whether the petitions to remove Mellon as co-trustee should be scheduled for trial by the Court for some later unspecified date.</w:t>
      </w:r>
    </w:p>
    <w:p>
      <w:pPr>
        <w:spacing w:after="0" w:line="166" w:lineRule="exact"/>
        <w:rPr>
          <w:sz w:val="20"/>
          <w:szCs w:val="20"/>
          <w:color w:val="auto"/>
        </w:rPr>
      </w:pPr>
    </w:p>
    <w:p>
      <w:pPr>
        <w:jc w:val="both"/>
        <w:ind w:right="3079"/>
        <w:spacing w:after="0" w:line="261" w:lineRule="auto"/>
        <w:rPr>
          <w:sz w:val="20"/>
          <w:szCs w:val="20"/>
          <w:color w:val="auto"/>
        </w:rPr>
      </w:pPr>
      <w:r>
        <w:rPr>
          <w:rFonts w:ascii="Courier New" w:cs="Courier New" w:eastAsia="Courier New" w:hAnsi="Courier New"/>
          <w:sz w:val="14"/>
          <w:szCs w:val="14"/>
          <w:color w:val="auto"/>
        </w:rPr>
        <w:t>On August 4, 1998, the Company filed a further petition with the Court seeking the right to intervene in the proceedings insofar as the proceedings would entail the possible approval of any settlement of the petitions to remove Mellon as co-trustee or the appointment of a successor trustee to Mellon. On October 21, 1998, Mellon submitted to the Court a Petition to Resign Pursuant to and upon the Fulfillment of Certain Conditions Precedent (the "Mellon Petition"). On October 29, 1998, the Court conducted a hearing at which time, among other things, the Court heard testimony from two potential successor corporate trustees to Mellon, each of which potential successors (either Bankers Trust or Bank Boston), the Court was advised, had the approval of Mellon, Susan Hirt Hagen and F. William Hirt. During that same hearing, the Court indicated that it would accept the Mellon Petition and would in the future enter an order providing for the granting of the Mellon Petition, in conjunction with a further hearing on the matter of the appointment of a successor corporate co-trustee and the final Court approval thereof. On November 2, 1998, the Court scheduled such a further hearing for January 6, 1999.</w:t>
      </w:r>
    </w:p>
    <w:p>
      <w:pPr>
        <w:spacing w:after="0" w:line="337"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On January 6, 1999, with the concurrence of all parties, the Court accepted the resignation of Mellon as co-trustee of the H.O. Trusts and released Mellon from all further obligations with respect to the H.O. Hirt Trusts. On the same date, the Court appointed Bankers Trust as the successor co-trustee of the H.O. Hirt Trusts. On January 26, 1999, the Court assessed $637,500 in costs incurred by Mellon in connection with the removal litigation against Susan Hirt Hagen.</w:t>
      </w:r>
    </w:p>
    <w:p>
      <w:pPr>
        <w:spacing w:after="0" w:line="176" w:lineRule="exact"/>
        <w:rPr>
          <w:sz w:val="20"/>
          <w:szCs w:val="20"/>
          <w:color w:val="auto"/>
        </w:rPr>
      </w:pPr>
    </w:p>
    <w:p>
      <w:pPr>
        <w:jc w:val="both"/>
        <w:ind w:right="3079"/>
        <w:spacing w:after="0" w:line="261" w:lineRule="auto"/>
        <w:rPr>
          <w:sz w:val="20"/>
          <w:szCs w:val="20"/>
          <w:color w:val="auto"/>
        </w:rPr>
      </w:pPr>
      <w:r>
        <w:rPr>
          <w:rFonts w:ascii="Courier New" w:cs="Courier New" w:eastAsia="Courier New" w:hAnsi="Courier New"/>
          <w:sz w:val="14"/>
          <w:szCs w:val="14"/>
          <w:color w:val="auto"/>
        </w:rPr>
        <w:t>On March 3, 1999 Bankers Trust filed with the Court a Petition to Accept Resignation of Trustee (the "Bankers Trust Petition") in which Bankers Trust requested the Court that its resignation as corporate Co-Trustee of the H. O. Hirt Trusts be accepted and a successor corporate Trustee be appointed. On March 4, 1999 the Court appointed Judge William R. Cunningham to serve in the Orphans' Court to preside over the matter of the Bankers Trust Petition, and a hearing was fixed for May 7, 1999. On or about May 6, 1999 Bankers Trust filed a petition for Citation to Show Cause why Declaratory Relief Should not be Granted ("Bankers Trust Declaratory Action Petition"). The Bankers Trust Declaratory Action Petition seeks a determination by the Court whether a provision of the Pennsylvania Insurance Company Law, Section 40 P.S. ss.991.1405(c)(4) provides the exclusive means by which persons may be nominated and elected to the Board, or whether the Trustees have the power to nominate and elect to the Board persons other than those designated by the Nominating Committee.</w:t>
      </w:r>
    </w:p>
    <w:p>
      <w:pPr>
        <w:spacing w:after="0" w:line="16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On May 7, 1999 the Court issued an Order approving the resignation of Bankers Trust Company as the corporate Trustee effective upon the entry of an Order appointing a successor corporate Trustee. Also on May 7, 1999 the Court issued an Order setting a schedule for the filing and determination of objections to the Bankers Trust Declaratory Action Petition, indicating that any objections to the Petition must be filed on or before May 25, 1999; responses to the objections must be filed on or before June 15, 1999; and the Court set Oral Argument on any objections and responses on June 29, 1999. Thereafter, if necessary, a Hearing on the merits of the Declaratory Action Petition would be held on July 28, 1999.</w:t>
      </w:r>
    </w:p>
    <w:p>
      <w:pPr>
        <w:spacing w:after="0" w:line="179" w:lineRule="exact"/>
        <w:rPr>
          <w:sz w:val="20"/>
          <w:szCs w:val="20"/>
          <w:color w:val="auto"/>
        </w:rPr>
      </w:pPr>
    </w:p>
    <w:p>
      <w:pPr>
        <w:jc w:val="both"/>
        <w:ind w:right="3079"/>
        <w:spacing w:after="0" w:line="265" w:lineRule="auto"/>
        <w:rPr>
          <w:sz w:val="20"/>
          <w:szCs w:val="20"/>
          <w:color w:val="auto"/>
        </w:rPr>
      </w:pPr>
      <w:r>
        <w:rPr>
          <w:rFonts w:ascii="Courier New" w:cs="Courier New" w:eastAsia="Courier New" w:hAnsi="Courier New"/>
          <w:sz w:val="14"/>
          <w:szCs w:val="14"/>
          <w:color w:val="auto"/>
        </w:rPr>
        <w:t>On June 16, 1999, Susan Hirt Hagen filed with the Court a motion for leave to amend the response she had filed to the Petition, so as to assert a claim against the Company in the nature of a request for a permanent injunction against certain Bylaw amendments adopted by the Company effective June 15, 1999.</w:t>
      </w:r>
    </w:p>
    <w:p>
      <w:pPr>
        <w:spacing w:after="0" w:line="160"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On June 29, 1999, the Court heard oral argument on the objections which the Company and F. William Hirt filed to the Petition. On July 15, 1999, the Court entered its Order and Opinion which sustained the objections to the Petition and dismissed without prejudice the Petition, and also dismissed without prejudice Susan Hirt Hagen's Motion to Amend.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805" w:right="1440" w:bottom="1440" w:gutter="0" w:footer="0" w:header="0"/>
        </w:sectPr>
      </w:pPr>
    </w:p>
    <w:bookmarkStart w:id="20" w:name="page21"/>
    <w:bookmarkEnd w:id="20"/>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27 - Financial Data Schedule</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All other exhibits for which provision is made in the applicable accounting regulation of the Securities and Exchange Commission are not required under the related instructions or are applicable, and therefore, have been omitted.</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The Company did not file any reports on Form 8-K during the three-month period ended June 30, 1999.</w:t>
      </w:r>
    </w:p>
    <w:p>
      <w:pPr>
        <w:sectPr>
          <w:pgSz w:w="11900" w:h="16838" w:orient="portrait"/>
          <w:cols w:equalWidth="0" w:num="1">
            <w:col w:w="10219"/>
          </w:cols>
          <w:pgMar w:left="240" w:top="633" w:right="1440" w:bottom="1440" w:gutter="0" w:footer="0" w:header="0"/>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spacing w:after="0" w:line="241" w:lineRule="auto"/>
        <w:rPr>
          <w:sz w:val="20"/>
          <w:szCs w:val="20"/>
          <w:color w:val="auto"/>
        </w:rPr>
      </w:pPr>
      <w:r>
        <w:rPr>
          <w:rFonts w:ascii="Courier New" w:cs="Courier New" w:eastAsia="Courier New" w:hAnsi="Courier New"/>
          <w:sz w:val="15"/>
          <w:szCs w:val="15"/>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tabs>
          <w:tab w:leader="none" w:pos="960" w:val="left"/>
          <w:tab w:leader="none" w:pos="1680" w:val="left"/>
          <w:tab w:leader="none" w:pos="2300" w:val="left"/>
        </w:tabs>
        <w:rPr>
          <w:sz w:val="20"/>
          <w:szCs w:val="20"/>
          <w:color w:val="auto"/>
        </w:rPr>
      </w:pPr>
      <w:r>
        <w:rPr>
          <w:rFonts w:ascii="Courier New" w:cs="Courier New" w:eastAsia="Courier New" w:hAnsi="Courier New"/>
          <w:sz w:val="15"/>
          <w:szCs w:val="15"/>
          <w:color w:val="auto"/>
        </w:rPr>
        <w:t>Exchange</w:t>
        <w:tab/>
        <w:t>Act of</w:t>
        <w:tab/>
        <w:t>1934,</w:t>
      </w:r>
      <w:r>
        <w:rPr>
          <w:sz w:val="20"/>
          <w:szCs w:val="20"/>
          <w:color w:val="auto"/>
        </w:rPr>
        <w:tab/>
      </w:r>
      <w:r>
        <w:rPr>
          <w:rFonts w:ascii="Courier New" w:cs="Courier New" w:eastAsia="Courier New" w:hAnsi="Courier New"/>
          <w:sz w:val="14"/>
          <w:szCs w:val="14"/>
          <w:color w:val="auto"/>
        </w:rPr>
        <w:t>the</w:t>
      </w:r>
    </w:p>
    <w:p>
      <w:pPr>
        <w:spacing w:after="0" w:line="2" w:lineRule="exact"/>
        <w:rPr>
          <w:sz w:val="20"/>
          <w:szCs w:val="20"/>
          <w:color w:val="auto"/>
        </w:rPr>
      </w:pPr>
    </w:p>
    <w:p>
      <w:pPr>
        <w:spacing w:after="0"/>
        <w:tabs>
          <w:tab w:leader="none" w:pos="680" w:val="left"/>
          <w:tab w:leader="none" w:pos="1400" w:val="left"/>
        </w:tabs>
        <w:rPr>
          <w:sz w:val="20"/>
          <w:szCs w:val="20"/>
          <w:color w:val="auto"/>
        </w:rPr>
      </w:pPr>
      <w:r>
        <w:rPr>
          <w:rFonts w:ascii="Courier New" w:cs="Courier New" w:eastAsia="Courier New" w:hAnsi="Courier New"/>
          <w:sz w:val="15"/>
          <w:szCs w:val="15"/>
          <w:color w:val="auto"/>
        </w:rPr>
        <w:t>signed</w:t>
        <w:tab/>
        <w:t>on its</w:t>
      </w:r>
      <w:r>
        <w:rPr>
          <w:sz w:val="20"/>
          <w:szCs w:val="20"/>
          <w:color w:val="auto"/>
        </w:rPr>
        <w:tab/>
      </w:r>
      <w:r>
        <w:rPr>
          <w:rFonts w:ascii="Courier New" w:cs="Courier New" w:eastAsia="Courier New" w:hAnsi="Courier New"/>
          <w:sz w:val="14"/>
          <w:szCs w:val="14"/>
          <w:color w:val="auto"/>
        </w:rPr>
        <w:t>behalf by the</w:t>
      </w:r>
    </w:p>
    <w:p>
      <w:pPr>
        <w:spacing w:after="0" w:line="345" w:lineRule="exact"/>
        <w:rPr>
          <w:sz w:val="20"/>
          <w:szCs w:val="20"/>
          <w:color w:val="auto"/>
        </w:rPr>
      </w:pPr>
    </w:p>
    <w:p>
      <w:pPr>
        <w:sectPr>
          <w:pgSz w:w="11900" w:h="16838" w:orient="portrait"/>
          <w:cols w:equalWidth="0" w:num="2">
            <w:col w:w="4460" w:space="100"/>
            <w:col w:w="5659"/>
          </w:cols>
          <w:pgMar w:left="240" w:top="633" w:right="1440" w:bottom="1440" w:gutter="0" w:footer="0" w:header="0"/>
          <w:type w:val="continuous"/>
        </w:sectPr>
      </w:pPr>
    </w:p>
    <w:p>
      <w:pPr>
        <w:jc w:val="center"/>
        <w:ind w:right="-660"/>
        <w:spacing w:after="0"/>
        <w:rPr>
          <w:sz w:val="20"/>
          <w:szCs w:val="20"/>
          <w:color w:val="auto"/>
        </w:rPr>
      </w:pPr>
      <w:r>
        <w:rPr>
          <w:rFonts w:ascii="Courier New" w:cs="Courier New" w:eastAsia="Courier New" w:hAnsi="Courier New"/>
          <w:sz w:val="15"/>
          <w:szCs w:val="15"/>
          <w:color w:val="auto"/>
        </w:rPr>
        <w:t>Erie Indemnity Company</w:t>
      </w:r>
    </w:p>
    <w:p>
      <w:pPr>
        <w:spacing w:after="0" w:line="2"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5"/>
          <w:szCs w:val="15"/>
          <w:color w:val="auto"/>
        </w:rPr>
        <w:t>(Registrant)</w:t>
      </w:r>
    </w:p>
    <w:p>
      <w:pPr>
        <w:spacing w:after="0" w:line="17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July 19, 1999</w:t>
      </w:r>
    </w:p>
    <w:p>
      <w:pPr>
        <w:spacing w:after="0" w:line="2" w:lineRule="exact"/>
        <w:rPr>
          <w:sz w:val="20"/>
          <w:szCs w:val="20"/>
          <w:color w:val="auto"/>
        </w:rPr>
      </w:pPr>
    </w:p>
    <w:p>
      <w:pPr>
        <w:ind w:left="4560"/>
        <w:spacing w:after="0"/>
        <w:tabs>
          <w:tab w:leader="none" w:pos="50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Stephen A. Milne</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(Stephen A. Milne, President &amp; CEO)</w:t>
      </w:r>
    </w:p>
    <w:p>
      <w:pPr>
        <w:spacing w:after="0" w:line="346" w:lineRule="exact"/>
        <w:rPr>
          <w:sz w:val="20"/>
          <w:szCs w:val="20"/>
          <w:color w:val="auto"/>
        </w:rPr>
      </w:pPr>
    </w:p>
    <w:p>
      <w:pPr>
        <w:ind w:left="4560"/>
        <w:spacing w:after="0"/>
        <w:tabs>
          <w:tab w:leader="none" w:pos="50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Philip A. Garcia</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(Philip A. Garcia, Executive Vice President &amp; CFO)</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3" w:right="1440" w:bottom="1440" w:gutter="0" w:footer="0" w:header="0"/>
          <w:type w:val="continuous"/>
        </w:sectPr>
      </w:pPr>
    </w:p>
    <w:bookmarkStart w:id="21" w:name="page22"/>
    <w:bookmarkEnd w:id="21"/>
    <w:p>
      <w:pPr>
        <w:ind w:left="374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right="3319" w:firstLine="358"/>
        <w:spacing w:after="0" w:line="241" w:lineRule="auto"/>
        <w:rPr>
          <w:sz w:val="20"/>
          <w:szCs w:val="20"/>
          <w:color w:val="auto"/>
        </w:rPr>
      </w:pPr>
      <w:r>
        <w:rPr>
          <w:rFonts w:ascii="Courier New" w:cs="Courier New" w:eastAsia="Courier New" w:hAnsi="Courier New"/>
          <w:sz w:val="15"/>
          <w:szCs w:val="15"/>
          <w:color w:val="auto"/>
        </w:rPr>
        <w:t>THIS FDS CONTAINS INFORMATION EXTRACTED FROM THE FINANCIAL STATEMENTS OF THE ERIE INDEMNITY COMPANY FOR THE QUARTER ENDED JUNE 30, 1999 AND IS QUALIFIED IN REFERENCE TO THE COMPANY'S FORM 10-Q</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0000922621</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ERIE INDEMNITY COMPANY</w:t>
      </w:r>
    </w:p>
    <w:p>
      <w:pPr>
        <w:spacing w:after="0" w:line="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1,000</w:t>
      </w:r>
    </w:p>
    <w:p>
      <w:pPr>
        <w:spacing w:after="0" w:line="200" w:lineRule="exact"/>
        <w:rPr>
          <w:sz w:val="20"/>
          <w:szCs w:val="20"/>
          <w:color w:val="auto"/>
        </w:rPr>
      </w:pPr>
    </w:p>
    <w:p>
      <w:pPr>
        <w:spacing w:after="0" w:line="318"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3-MOS</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DEC-31-1999</w:t>
      </w:r>
    </w:p>
    <w:p>
      <w:pPr>
        <w:spacing w:after="0" w:line="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JUN-30-1999</w:t>
      </w:r>
    </w:p>
    <w:p>
      <w:pPr>
        <w:spacing w:after="0" w:line="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464,664</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218,565</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8,298</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712,035</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16,701</w:t>
      </w:r>
    </w:p>
    <w:p>
      <w:pPr>
        <w:spacing w:after="0" w:line="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894</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11,434</w:t>
      </w:r>
    </w:p>
    <w:p>
      <w:pPr>
        <w:spacing w:after="0" w:line="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1,499,520</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437,588</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236,143</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2,170</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675,660</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1,499,520</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29,517</w:t>
      </w:r>
    </w:p>
    <w:p>
      <w:pPr>
        <w:spacing w:after="0" w:line="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12,205</w:t>
      </w:r>
    </w:p>
    <w:p>
      <w:pPr>
        <w:spacing w:after="0" w:line="2"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3,972</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20,130</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8,274</w:t>
      </w:r>
    </w:p>
    <w:p>
      <w:pPr>
        <w:spacing w:after="0" w:line="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57,877</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18,652</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39,225</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.53</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19"/>
      </w:cols>
      <w:pgMar w:left="34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2020-02-22T14:48:26Z</dcterms:created>
  <dcterms:modified xsi:type="dcterms:W3CDTF">2020-02-22T14:48:26Z</dcterms:modified>
</cp:coreProperties>
</file>