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FORM 10-Q</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64"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auto"/>
        </w:rPr>
        <w:t>Washington, D.C. 20549</w:t>
      </w:r>
    </w:p>
    <w:p>
      <w:pPr>
        <w:spacing w:after="0" w:line="206" w:lineRule="exact"/>
        <w:rPr>
          <w:sz w:val="20"/>
          <w:szCs w:val="20"/>
          <w:color w:val="auto"/>
        </w:rPr>
      </w:pPr>
    </w:p>
    <w:p>
      <w:pPr>
        <w:ind w:left="2840"/>
        <w:spacing w:after="0"/>
        <w:rPr>
          <w:sz w:val="20"/>
          <w:szCs w:val="20"/>
          <w:color w:val="auto"/>
        </w:rPr>
      </w:pPr>
      <w:r>
        <w:rPr>
          <w:rFonts w:ascii="Arial" w:cs="Arial" w:eastAsia="Arial" w:hAnsi="Arial"/>
          <w:sz w:val="22"/>
          <w:szCs w:val="22"/>
          <w:b w:val="1"/>
          <w:bCs w:val="1"/>
          <w:color w:val="auto"/>
        </w:rPr>
        <w:t>QUARTERLY REPORT UNDER SECTION 13 OR 15(d) OF</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For the quarter ended March 31, 2005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Commission file number 0-24000</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ERIE INDEMNITY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311785</wp:posOffset>
            </wp:positionV>
            <wp:extent cx="55314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420" w:type="dxa"/>
            <w:vAlign w:val="bottom"/>
          </w:tcPr>
          <w:p>
            <w:pPr>
              <w:spacing w:after="0"/>
              <w:rPr>
                <w:sz w:val="18"/>
                <w:szCs w:val="18"/>
                <w:color w:val="auto"/>
              </w:rPr>
            </w:pPr>
          </w:p>
        </w:tc>
        <w:tc>
          <w:tcPr>
            <w:tcW w:w="4460" w:type="dxa"/>
            <w:vAlign w:val="bottom"/>
            <w:gridSpan w:val="3"/>
          </w:tcPr>
          <w:p>
            <w:pPr>
              <w:jc w:val="center"/>
              <w:ind w:left="30"/>
              <w:spacing w:after="0"/>
              <w:rPr>
                <w:sz w:val="20"/>
                <w:szCs w:val="20"/>
                <w:color w:val="auto"/>
              </w:rPr>
            </w:pPr>
            <w:r>
              <w:rPr>
                <w:rFonts w:ascii="Arial" w:cs="Arial" w:eastAsia="Arial" w:hAnsi="Arial"/>
                <w:sz w:val="18"/>
                <w:szCs w:val="18"/>
                <w:color w:val="auto"/>
                <w:w w:val="99"/>
              </w:rPr>
              <w:t>(Exact name of registrant as specified in its charter)</w:t>
            </w:r>
          </w:p>
        </w:tc>
        <w:tc>
          <w:tcPr>
            <w:tcW w:w="14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581"/>
        </w:trPr>
        <w:tc>
          <w:tcPr>
            <w:tcW w:w="54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8"/>
              </w:rPr>
              <w:t>PENNSYLVANIA</w:t>
            </w:r>
          </w:p>
        </w:tc>
        <w:tc>
          <w:tcPr>
            <w:tcW w:w="580" w:type="dxa"/>
            <w:vAlign w:val="bottom"/>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2"/>
          </w:tcPr>
          <w:p>
            <w:pPr>
              <w:jc w:val="right"/>
              <w:ind w:right="2150"/>
              <w:spacing w:after="0"/>
              <w:rPr>
                <w:sz w:val="20"/>
                <w:szCs w:val="20"/>
                <w:color w:val="auto"/>
              </w:rPr>
            </w:pPr>
            <w:r>
              <w:rPr>
                <w:rFonts w:ascii="Arial" w:cs="Arial" w:eastAsia="Arial" w:hAnsi="Arial"/>
                <w:sz w:val="18"/>
                <w:szCs w:val="18"/>
                <w:color w:val="auto"/>
              </w:rPr>
              <w:t>25-0466020</w:t>
            </w:r>
          </w:p>
        </w:tc>
      </w:tr>
      <w:tr>
        <w:trPr>
          <w:trHeight w:val="209"/>
        </w:trPr>
        <w:tc>
          <w:tcPr>
            <w:tcW w:w="7880" w:type="dxa"/>
            <w:vAlign w:val="bottom"/>
            <w:gridSpan w:val="4"/>
          </w:tcPr>
          <w:p>
            <w:pPr>
              <w:jc w:val="center"/>
              <w:ind w:right="2440"/>
              <w:spacing w:after="0"/>
              <w:rPr>
                <w:sz w:val="20"/>
                <w:szCs w:val="20"/>
                <w:color w:val="auto"/>
              </w:rPr>
            </w:pPr>
            <w:r>
              <w:rPr>
                <w:rFonts w:ascii="Arial" w:cs="Arial" w:eastAsia="Arial" w:hAnsi="Arial"/>
                <w:sz w:val="18"/>
                <w:szCs w:val="18"/>
                <w:color w:val="auto"/>
                <w:w w:val="99"/>
              </w:rPr>
              <w:t>(State or other jurisdiction of</w:t>
            </w:r>
          </w:p>
        </w:tc>
        <w:tc>
          <w:tcPr>
            <w:tcW w:w="140" w:type="dxa"/>
            <w:vAlign w:val="bottom"/>
          </w:tcPr>
          <w:p>
            <w:pPr>
              <w:spacing w:after="0"/>
              <w:rPr>
                <w:sz w:val="18"/>
                <w:szCs w:val="18"/>
                <w:color w:val="auto"/>
              </w:rPr>
            </w:pPr>
          </w:p>
        </w:tc>
        <w:tc>
          <w:tcPr>
            <w:tcW w:w="3400" w:type="dxa"/>
            <w:vAlign w:val="bottom"/>
          </w:tcPr>
          <w:p>
            <w:pPr>
              <w:jc w:val="center"/>
              <w:ind w:right="1950"/>
              <w:spacing w:after="0"/>
              <w:rPr>
                <w:sz w:val="20"/>
                <w:szCs w:val="20"/>
                <w:color w:val="auto"/>
              </w:rPr>
            </w:pPr>
            <w:r>
              <w:rPr>
                <w:rFonts w:ascii="Arial" w:cs="Arial" w:eastAsia="Arial" w:hAnsi="Arial"/>
                <w:sz w:val="18"/>
                <w:szCs w:val="18"/>
                <w:color w:val="auto"/>
                <w:w w:val="99"/>
              </w:rPr>
              <w:t>(I.R.S. Employer</w:t>
            </w:r>
          </w:p>
        </w:tc>
      </w:tr>
      <w:tr>
        <w:trPr>
          <w:trHeight w:val="217"/>
        </w:trPr>
        <w:tc>
          <w:tcPr>
            <w:tcW w:w="7880" w:type="dxa"/>
            <w:vAlign w:val="bottom"/>
            <w:gridSpan w:val="4"/>
          </w:tcPr>
          <w:p>
            <w:pPr>
              <w:jc w:val="center"/>
              <w:ind w:right="2460"/>
              <w:spacing w:after="0"/>
              <w:rPr>
                <w:sz w:val="20"/>
                <w:szCs w:val="20"/>
                <w:color w:val="auto"/>
              </w:rPr>
            </w:pPr>
            <w:r>
              <w:rPr>
                <w:rFonts w:ascii="Arial" w:cs="Arial" w:eastAsia="Arial" w:hAnsi="Arial"/>
                <w:sz w:val="18"/>
                <w:szCs w:val="18"/>
                <w:color w:val="auto"/>
                <w:w w:val="99"/>
              </w:rPr>
              <w:t>incorporation or organization)</w:t>
            </w:r>
          </w:p>
        </w:tc>
        <w:tc>
          <w:tcPr>
            <w:tcW w:w="3540" w:type="dxa"/>
            <w:vAlign w:val="bottom"/>
            <w:gridSpan w:val="2"/>
          </w:tcPr>
          <w:p>
            <w:pPr>
              <w:jc w:val="center"/>
              <w:ind w:right="1810"/>
              <w:spacing w:after="0"/>
              <w:rPr>
                <w:sz w:val="20"/>
                <w:szCs w:val="20"/>
                <w:color w:val="auto"/>
              </w:rPr>
            </w:pPr>
            <w:r>
              <w:rPr>
                <w:rFonts w:ascii="Arial" w:cs="Arial" w:eastAsia="Arial" w:hAnsi="Arial"/>
                <w:sz w:val="18"/>
                <w:szCs w:val="18"/>
                <w:color w:val="auto"/>
                <w:w w:val="99"/>
              </w:rPr>
              <w:t>Identification No.)</w:t>
            </w:r>
          </w:p>
        </w:tc>
      </w:tr>
      <w:tr>
        <w:trPr>
          <w:trHeight w:val="392"/>
        </w:trPr>
        <w:tc>
          <w:tcPr>
            <w:tcW w:w="54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100 Erie Insurance Place, Erie, Pennsylvania</w:t>
            </w:r>
          </w:p>
        </w:tc>
        <w:tc>
          <w:tcPr>
            <w:tcW w:w="580" w:type="dxa"/>
            <w:vAlign w:val="bottom"/>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2"/>
          </w:tcPr>
          <w:p>
            <w:pPr>
              <w:jc w:val="right"/>
              <w:ind w:right="2370"/>
              <w:spacing w:after="0"/>
              <w:rPr>
                <w:sz w:val="20"/>
                <w:szCs w:val="20"/>
                <w:color w:val="auto"/>
              </w:rPr>
            </w:pPr>
            <w:r>
              <w:rPr>
                <w:rFonts w:ascii="Arial" w:cs="Arial" w:eastAsia="Arial" w:hAnsi="Arial"/>
                <w:sz w:val="18"/>
                <w:szCs w:val="18"/>
                <w:color w:val="auto"/>
              </w:rPr>
              <w:t>16530</w:t>
            </w:r>
          </w:p>
        </w:tc>
      </w:tr>
      <w:tr>
        <w:trPr>
          <w:trHeight w:val="223"/>
        </w:trPr>
        <w:tc>
          <w:tcPr>
            <w:tcW w:w="7880" w:type="dxa"/>
            <w:vAlign w:val="bottom"/>
            <w:gridSpan w:val="4"/>
          </w:tcPr>
          <w:p>
            <w:pPr>
              <w:jc w:val="center"/>
              <w:ind w:right="2440"/>
              <w:spacing w:after="0"/>
              <w:rPr>
                <w:sz w:val="20"/>
                <w:szCs w:val="20"/>
                <w:color w:val="auto"/>
              </w:rPr>
            </w:pPr>
            <w:r>
              <w:rPr>
                <w:rFonts w:ascii="Arial" w:cs="Arial" w:eastAsia="Arial" w:hAnsi="Arial"/>
                <w:sz w:val="18"/>
                <w:szCs w:val="18"/>
                <w:color w:val="auto"/>
                <w:w w:val="99"/>
              </w:rPr>
              <w:t>(Address of principal executive offices)</w:t>
            </w:r>
          </w:p>
        </w:tc>
        <w:tc>
          <w:tcPr>
            <w:tcW w:w="140" w:type="dxa"/>
            <w:vAlign w:val="bottom"/>
          </w:tcPr>
          <w:p>
            <w:pPr>
              <w:spacing w:after="0"/>
              <w:rPr>
                <w:sz w:val="19"/>
                <w:szCs w:val="19"/>
                <w:color w:val="auto"/>
              </w:rPr>
            </w:pPr>
          </w:p>
        </w:tc>
        <w:tc>
          <w:tcPr>
            <w:tcW w:w="3400" w:type="dxa"/>
            <w:vAlign w:val="bottom"/>
          </w:tcPr>
          <w:p>
            <w:pPr>
              <w:jc w:val="center"/>
              <w:ind w:right="1930"/>
              <w:spacing w:after="0"/>
              <w:rPr>
                <w:sz w:val="20"/>
                <w:szCs w:val="20"/>
                <w:color w:val="auto"/>
              </w:rPr>
            </w:pPr>
            <w:r>
              <w:rPr>
                <w:rFonts w:ascii="Arial" w:cs="Arial" w:eastAsia="Arial" w:hAnsi="Arial"/>
                <w:sz w:val="18"/>
                <w:szCs w:val="18"/>
                <w:color w:val="auto"/>
              </w:rPr>
              <w:t>(Zip Code)</w:t>
            </w:r>
          </w:p>
        </w:tc>
      </w:tr>
      <w:tr>
        <w:trPr>
          <w:trHeight w:val="378"/>
        </w:trPr>
        <w:tc>
          <w:tcPr>
            <w:tcW w:w="7880" w:type="dxa"/>
            <w:vAlign w:val="bottom"/>
            <w:gridSpan w:val="4"/>
          </w:tcPr>
          <w:p>
            <w:pPr>
              <w:jc w:val="center"/>
              <w:ind w:left="3450"/>
              <w:spacing w:after="0"/>
              <w:rPr>
                <w:sz w:val="20"/>
                <w:szCs w:val="20"/>
                <w:color w:val="auto"/>
              </w:rPr>
            </w:pPr>
            <w:r>
              <w:rPr>
                <w:rFonts w:ascii="Arial" w:cs="Arial" w:eastAsia="Arial" w:hAnsi="Arial"/>
                <w:sz w:val="18"/>
                <w:szCs w:val="18"/>
                <w:color w:val="auto"/>
                <w:w w:val="99"/>
              </w:rPr>
              <w:t>(814) 870-2000</w:t>
            </w:r>
          </w:p>
        </w:tc>
        <w:tc>
          <w:tcPr>
            <w:tcW w:w="14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162"/>
        </w:trPr>
        <w:tc>
          <w:tcPr>
            <w:tcW w:w="3420" w:type="dxa"/>
            <w:vAlign w:val="bottom"/>
          </w:tcPr>
          <w:p>
            <w:pPr>
              <w:spacing w:after="0"/>
              <w:rPr>
                <w:sz w:val="14"/>
                <w:szCs w:val="14"/>
                <w:color w:val="auto"/>
              </w:rPr>
            </w:pPr>
          </w:p>
        </w:tc>
        <w:tc>
          <w:tcPr>
            <w:tcW w:w="4460" w:type="dxa"/>
            <w:vAlign w:val="bottom"/>
            <w:tcBorders>
              <w:bottom w:val="single" w:sz="8" w:color="808080"/>
            </w:tcBorders>
            <w:gridSpan w:val="3"/>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3400" w:type="dxa"/>
            <w:vAlign w:val="bottom"/>
          </w:tcPr>
          <w:p>
            <w:pPr>
              <w:spacing w:after="0"/>
              <w:rPr>
                <w:sz w:val="14"/>
                <w:szCs w:val="14"/>
                <w:color w:val="auto"/>
              </w:rPr>
            </w:pPr>
          </w:p>
        </w:tc>
      </w:tr>
      <w:tr>
        <w:trPr>
          <w:trHeight w:val="304"/>
        </w:trPr>
        <w:tc>
          <w:tcPr>
            <w:tcW w:w="3420" w:type="dxa"/>
            <w:vAlign w:val="bottom"/>
          </w:tcPr>
          <w:p>
            <w:pPr>
              <w:spacing w:after="0"/>
              <w:rPr>
                <w:sz w:val="24"/>
                <w:szCs w:val="24"/>
                <w:color w:val="auto"/>
              </w:rPr>
            </w:pPr>
          </w:p>
        </w:tc>
        <w:tc>
          <w:tcPr>
            <w:tcW w:w="4460" w:type="dxa"/>
            <w:vAlign w:val="bottom"/>
            <w:gridSpan w:val="3"/>
          </w:tcPr>
          <w:p>
            <w:pPr>
              <w:jc w:val="center"/>
              <w:ind w:left="30"/>
              <w:spacing w:after="0"/>
              <w:rPr>
                <w:sz w:val="20"/>
                <w:szCs w:val="20"/>
                <w:color w:val="auto"/>
              </w:rPr>
            </w:pPr>
            <w:r>
              <w:rPr>
                <w:rFonts w:ascii="Arial" w:cs="Arial" w:eastAsia="Arial" w:hAnsi="Arial"/>
                <w:sz w:val="18"/>
                <w:szCs w:val="18"/>
                <w:color w:val="auto"/>
                <w:w w:val="99"/>
              </w:rPr>
              <w:t>Registrant’s telephone number, including area code</w:t>
            </w:r>
          </w:p>
        </w:tc>
        <w:tc>
          <w:tcPr>
            <w:tcW w:w="14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378"/>
        </w:trPr>
        <w:tc>
          <w:tcPr>
            <w:tcW w:w="3420" w:type="dxa"/>
            <w:vAlign w:val="bottom"/>
          </w:tcPr>
          <w:p>
            <w:pPr>
              <w:spacing w:after="0"/>
              <w:rPr>
                <w:sz w:val="24"/>
                <w:szCs w:val="24"/>
                <w:color w:val="auto"/>
              </w:rPr>
            </w:pPr>
          </w:p>
        </w:tc>
        <w:tc>
          <w:tcPr>
            <w:tcW w:w="4460" w:type="dxa"/>
            <w:vAlign w:val="bottom"/>
            <w:gridSpan w:val="3"/>
          </w:tcPr>
          <w:p>
            <w:pPr>
              <w:jc w:val="center"/>
              <w:ind w:left="30"/>
              <w:spacing w:after="0"/>
              <w:rPr>
                <w:sz w:val="20"/>
                <w:szCs w:val="20"/>
                <w:color w:val="auto"/>
              </w:rPr>
            </w:pPr>
            <w:r>
              <w:rPr>
                <w:rFonts w:ascii="Arial" w:cs="Arial" w:eastAsia="Arial" w:hAnsi="Arial"/>
                <w:sz w:val="18"/>
                <w:szCs w:val="18"/>
                <w:color w:val="auto"/>
                <w:w w:val="99"/>
              </w:rPr>
              <w:t>Not applicable</w:t>
            </w:r>
          </w:p>
        </w:tc>
        <w:tc>
          <w:tcPr>
            <w:tcW w:w="140" w:type="dxa"/>
            <w:vAlign w:val="bottom"/>
          </w:tcPr>
          <w:p>
            <w:pPr>
              <w:spacing w:after="0"/>
              <w:rPr>
                <w:sz w:val="24"/>
                <w:szCs w:val="24"/>
                <w:color w:val="auto"/>
              </w:rPr>
            </w:pPr>
          </w:p>
        </w:tc>
        <w:tc>
          <w:tcPr>
            <w:tcW w:w="34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111760</wp:posOffset>
            </wp:positionV>
            <wp:extent cx="58146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85" w:lineRule="exact"/>
        <w:rPr>
          <w:sz w:val="20"/>
          <w:szCs w:val="20"/>
          <w:color w:val="auto"/>
        </w:rPr>
      </w:pPr>
    </w:p>
    <w:p>
      <w:pPr>
        <w:ind w:right="80"/>
        <w:spacing w:after="0" w:line="21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periods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an accelerated filer (as defined in Rule 12b-2 of the Act).</w:t>
      </w:r>
    </w:p>
    <w:p>
      <w:pPr>
        <w:spacing w:after="0" w:line="125" w:lineRule="exact"/>
        <w:rPr>
          <w:sz w:val="20"/>
          <w:szCs w:val="20"/>
          <w:color w:val="auto"/>
        </w:rPr>
      </w:pPr>
    </w:p>
    <w:p>
      <w:pPr>
        <w:ind w:left="2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practical date.</w:t>
      </w:r>
    </w:p>
    <w:p>
      <w:pPr>
        <w:spacing w:after="0" w:line="17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Class A Common Stock, no par value, with a stated value of $.0292 per share—62,690,756 shares as of April 18, 2005.</w:t>
      </w:r>
    </w:p>
    <w:p>
      <w:pPr>
        <w:spacing w:after="0" w:line="17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Class B Common Stock, no par value, with a stated value of $70 per share—2,843 shares as of April 18, 2005.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common stock is the only class of stock the Registrant is presently authorized to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22"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INDEX</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ERIE INDEMNITY COMPANY</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20" w:type="dxa"/>
            <w:vAlign w:val="bottom"/>
            <w:gridSpan w:val="17"/>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 FINANCIAL INFORMATION</w:t>
              </w:r>
            </w:hyperlink>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69"/>
        </w:trPr>
        <w:tc>
          <w:tcPr>
            <w:tcW w:w="10620" w:type="dxa"/>
            <w:vAlign w:val="bottom"/>
            <w:gridSpan w:val="17"/>
            <w:vMerge w:val="continue"/>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60" w:type="dxa"/>
            <w:vAlign w:val="bottom"/>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Item 1.</w:t>
              </w:r>
            </w:hyperlink>
          </w:p>
        </w:tc>
        <w:tc>
          <w:tcPr>
            <w:tcW w:w="780" w:type="dxa"/>
            <w:vAlign w:val="bottom"/>
            <w:gridSpan w:val="2"/>
          </w:tcPr>
          <w:p>
            <w:pPr>
              <w:spacing w:after="0"/>
              <w:rPr>
                <w:sz w:val="24"/>
                <w:szCs w:val="24"/>
                <w:color w:val="auto"/>
              </w:rPr>
            </w:pPr>
          </w:p>
        </w:tc>
        <w:tc>
          <w:tcPr>
            <w:tcW w:w="9280" w:type="dxa"/>
            <w:vAlign w:val="bottom"/>
            <w:gridSpan w:val="1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 (Unaudited)</w:t>
              </w:r>
            </w:hyperlink>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100" w:type="dxa"/>
            <w:vAlign w:val="bottom"/>
            <w:tcBorders>
              <w:bottom w:val="single" w:sz="8" w:color="0000EE"/>
            </w:tcBorders>
            <w:gridSpan w:val="11"/>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Consolidated Statements of Financial Position—March 31, 2005 and December 31, 2004</w:t>
              </w:r>
            </w:hyperlink>
          </w:p>
        </w:tc>
        <w:tc>
          <w:tcPr>
            <w:tcW w:w="2180" w:type="dxa"/>
            <w:vAlign w:val="bottom"/>
            <w:gridSpan w:val="3"/>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85"/>
        </w:trPr>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100" w:type="dxa"/>
            <w:vAlign w:val="bottom"/>
            <w:tcBorders>
              <w:bottom w:val="single" w:sz="8" w:color="0000EE"/>
            </w:tcBorders>
            <w:gridSpan w:val="11"/>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Consolidated Statements of Operations—Three months ended March 31, 2005 and 2004</w:t>
              </w:r>
            </w:hyperlink>
          </w:p>
        </w:tc>
        <w:tc>
          <w:tcPr>
            <w:tcW w:w="2180" w:type="dxa"/>
            <w:vAlign w:val="bottom"/>
            <w:gridSpan w:val="3"/>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85"/>
        </w:trPr>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80" w:type="dxa"/>
            <w:vAlign w:val="bottom"/>
            <w:gridSpan w:val="14"/>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Statements of Comprehensive Income—Three months ended March 31, 2005 and 2004</w:t>
              </w:r>
            </w:hyperlink>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85"/>
        </w:trPr>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100" w:type="dxa"/>
            <w:vAlign w:val="bottom"/>
            <w:tcBorders>
              <w:top w:val="single" w:sz="8" w:color="0000EE"/>
            </w:tcBorders>
            <w:gridSpan w:val="13"/>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Consolidated Statements of Cash Flows—Three months ended March 31, 2005 and 2004</w:t>
              </w:r>
            </w:hyperlink>
          </w:p>
        </w:tc>
        <w:tc>
          <w:tcPr>
            <w:tcW w:w="118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85"/>
        </w:trPr>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4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9"/>
              </w:rPr>
            </w:pPr>
            <w:hyperlink w:anchor="page9">
              <w:r>
                <w:rPr>
                  <w:rFonts w:ascii="Arial" w:cs="Arial" w:eastAsia="Arial" w:hAnsi="Arial"/>
                  <w:sz w:val="18"/>
                  <w:szCs w:val="18"/>
                  <w:color w:val="0000EE"/>
                  <w:w w:val="99"/>
                </w:rPr>
                <w:t>Notes to Consolidated Financial Statements—March 31, 2005</w:t>
              </w:r>
            </w:hyperlink>
          </w:p>
        </w:tc>
        <w:tc>
          <w:tcPr>
            <w:tcW w:w="2200" w:type="dxa"/>
            <w:vAlign w:val="bottom"/>
            <w:tcBorders>
              <w:top w:val="single" w:sz="8" w:color="0000EE"/>
            </w:tcBorders>
            <w:gridSpan w:val="4"/>
          </w:tcPr>
          <w:p>
            <w:pPr>
              <w:spacing w:after="0"/>
              <w:rPr>
                <w:sz w:val="24"/>
                <w:szCs w:val="24"/>
                <w:color w:val="auto"/>
              </w:rPr>
            </w:pPr>
          </w:p>
        </w:tc>
        <w:tc>
          <w:tcPr>
            <w:tcW w:w="2140" w:type="dxa"/>
            <w:vAlign w:val="bottom"/>
            <w:gridSpan w:val="2"/>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85"/>
        </w:trPr>
        <w:tc>
          <w:tcPr>
            <w:tcW w:w="560" w:type="dxa"/>
            <w:vAlign w:val="bottom"/>
          </w:tcPr>
          <w:p>
            <w:pPr>
              <w:spacing w:after="0"/>
              <w:rPr>
                <w:rFonts w:ascii="Arial" w:cs="Arial" w:eastAsia="Arial" w:hAnsi="Arial"/>
                <w:sz w:val="18"/>
                <w:szCs w:val="18"/>
                <w:color w:val="0000EE"/>
                <w:w w:val="98"/>
              </w:rPr>
            </w:pPr>
            <w:hyperlink w:anchor="page24">
              <w:r>
                <w:rPr>
                  <w:rFonts w:ascii="Arial" w:cs="Arial" w:eastAsia="Arial" w:hAnsi="Arial"/>
                  <w:sz w:val="18"/>
                  <w:szCs w:val="18"/>
                  <w:color w:val="0000EE"/>
                  <w:w w:val="98"/>
                </w:rPr>
                <w:t>Item 2.</w:t>
              </w:r>
            </w:hyperlink>
          </w:p>
        </w:tc>
        <w:tc>
          <w:tcPr>
            <w:tcW w:w="780" w:type="dxa"/>
            <w:vAlign w:val="bottom"/>
            <w:gridSpan w:val="2"/>
          </w:tcPr>
          <w:p>
            <w:pPr>
              <w:spacing w:after="0"/>
              <w:rPr>
                <w:sz w:val="24"/>
                <w:szCs w:val="24"/>
                <w:color w:val="auto"/>
              </w:rPr>
            </w:pPr>
          </w:p>
        </w:tc>
        <w:tc>
          <w:tcPr>
            <w:tcW w:w="9280" w:type="dxa"/>
            <w:vAlign w:val="bottom"/>
            <w:gridSpan w:val="14"/>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720" w:type="dxa"/>
            <w:vAlign w:val="bottom"/>
            <w:gridSpan w:val="2"/>
            <w:shd w:val="clear" w:color="auto" w:fill="0000EE"/>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60" w:type="dxa"/>
            <w:vAlign w:val="bottom"/>
          </w:tcPr>
          <w:p>
            <w:pPr>
              <w:spacing w:after="0"/>
              <w:rPr>
                <w:rFonts w:ascii="Arial" w:cs="Arial" w:eastAsia="Arial" w:hAnsi="Arial"/>
                <w:sz w:val="18"/>
                <w:szCs w:val="18"/>
                <w:color w:val="0000EE"/>
                <w:w w:val="98"/>
              </w:rPr>
            </w:pPr>
            <w:hyperlink w:anchor="page44">
              <w:r>
                <w:rPr>
                  <w:rFonts w:ascii="Arial" w:cs="Arial" w:eastAsia="Arial" w:hAnsi="Arial"/>
                  <w:sz w:val="18"/>
                  <w:szCs w:val="18"/>
                  <w:color w:val="0000EE"/>
                  <w:w w:val="98"/>
                </w:rPr>
                <w:t>Item 3.</w:t>
              </w:r>
            </w:hyperlink>
          </w:p>
        </w:tc>
        <w:tc>
          <w:tcPr>
            <w:tcW w:w="780" w:type="dxa"/>
            <w:vAlign w:val="bottom"/>
            <w:gridSpan w:val="2"/>
          </w:tcPr>
          <w:p>
            <w:pPr>
              <w:spacing w:after="0"/>
              <w:rPr>
                <w:sz w:val="24"/>
                <w:szCs w:val="24"/>
                <w:color w:val="auto"/>
              </w:rPr>
            </w:pPr>
          </w:p>
        </w:tc>
        <w:tc>
          <w:tcPr>
            <w:tcW w:w="9280" w:type="dxa"/>
            <w:vAlign w:val="bottom"/>
            <w:gridSpan w:val="14"/>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Quantitative and Qualitative Disclosures About Market Risk</w:t>
              </w:r>
            </w:hyperlink>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720" w:type="dxa"/>
            <w:vAlign w:val="bottom"/>
            <w:gridSpan w:val="2"/>
            <w:shd w:val="clear" w:color="auto" w:fill="0000EE"/>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60" w:type="dxa"/>
            <w:vAlign w:val="bottom"/>
          </w:tcPr>
          <w:p>
            <w:pPr>
              <w:spacing w:after="0"/>
              <w:rPr>
                <w:rFonts w:ascii="Arial" w:cs="Arial" w:eastAsia="Arial" w:hAnsi="Arial"/>
                <w:sz w:val="18"/>
                <w:szCs w:val="18"/>
                <w:color w:val="0000EE"/>
                <w:w w:val="98"/>
              </w:rPr>
            </w:pPr>
            <w:hyperlink w:anchor="page45">
              <w:r>
                <w:rPr>
                  <w:rFonts w:ascii="Arial" w:cs="Arial" w:eastAsia="Arial" w:hAnsi="Arial"/>
                  <w:sz w:val="18"/>
                  <w:szCs w:val="18"/>
                  <w:color w:val="0000EE"/>
                  <w:w w:val="98"/>
                </w:rPr>
                <w:t>Item 4.</w:t>
              </w:r>
            </w:hyperlink>
          </w:p>
        </w:tc>
        <w:tc>
          <w:tcPr>
            <w:tcW w:w="780" w:type="dxa"/>
            <w:vAlign w:val="bottom"/>
            <w:gridSpan w:val="2"/>
          </w:tcPr>
          <w:p>
            <w:pPr>
              <w:spacing w:after="0"/>
              <w:rPr>
                <w:sz w:val="24"/>
                <w:szCs w:val="24"/>
                <w:color w:val="auto"/>
              </w:rPr>
            </w:pPr>
          </w:p>
        </w:tc>
        <w:tc>
          <w:tcPr>
            <w:tcW w:w="9280" w:type="dxa"/>
            <w:vAlign w:val="bottom"/>
            <w:gridSpan w:val="14"/>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Controls and Procedures</w:t>
              </w:r>
            </w:hyperlink>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920" w:type="dxa"/>
            <w:vAlign w:val="bottom"/>
            <w:gridSpan w:val="4"/>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620" w:type="dxa"/>
            <w:vAlign w:val="bottom"/>
            <w:gridSpan w:val="17"/>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PART II. OTHER INFORMATION</w:t>
              </w:r>
            </w:hyperlink>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620" w:type="dxa"/>
            <w:vAlign w:val="bottom"/>
            <w:gridSpan w:val="6"/>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60" w:type="dxa"/>
            <w:vAlign w:val="bottom"/>
          </w:tcPr>
          <w:p>
            <w:pPr>
              <w:spacing w:after="0"/>
              <w:rPr>
                <w:rFonts w:ascii="Arial" w:cs="Arial" w:eastAsia="Arial" w:hAnsi="Arial"/>
                <w:sz w:val="18"/>
                <w:szCs w:val="18"/>
                <w:color w:val="0000EE"/>
                <w:w w:val="98"/>
              </w:rPr>
            </w:pPr>
            <w:hyperlink w:anchor="page46">
              <w:r>
                <w:rPr>
                  <w:rFonts w:ascii="Arial" w:cs="Arial" w:eastAsia="Arial" w:hAnsi="Arial"/>
                  <w:sz w:val="18"/>
                  <w:szCs w:val="18"/>
                  <w:color w:val="0000EE"/>
                  <w:w w:val="98"/>
                </w:rPr>
                <w:t>Item 2.</w:t>
              </w:r>
            </w:hyperlink>
          </w:p>
        </w:tc>
        <w:tc>
          <w:tcPr>
            <w:tcW w:w="780" w:type="dxa"/>
            <w:vAlign w:val="bottom"/>
            <w:gridSpan w:val="2"/>
          </w:tcPr>
          <w:p>
            <w:pPr>
              <w:spacing w:after="0"/>
              <w:rPr>
                <w:sz w:val="24"/>
                <w:szCs w:val="24"/>
                <w:color w:val="auto"/>
              </w:rPr>
            </w:pPr>
          </w:p>
        </w:tc>
        <w:tc>
          <w:tcPr>
            <w:tcW w:w="9280" w:type="dxa"/>
            <w:vAlign w:val="bottom"/>
            <w:gridSpan w:val="14"/>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Changes in Securities, and Use of Proceeds and Issuer Purchases of Equity Securities</w:t>
              </w:r>
            </w:hyperlink>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280" w:type="dxa"/>
            <w:vAlign w:val="bottom"/>
            <w:gridSpan w:val="7"/>
            <w:shd w:val="clear" w:color="auto" w:fill="0000EE"/>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0" w:type="dxa"/>
            <w:vAlign w:val="bottom"/>
          </w:tcPr>
          <w:p>
            <w:pPr>
              <w:spacing w:after="0" w:line="182" w:lineRule="exact"/>
              <w:rPr>
                <w:rFonts w:ascii="Arial" w:cs="Arial" w:eastAsia="Arial" w:hAnsi="Arial"/>
                <w:sz w:val="18"/>
                <w:szCs w:val="18"/>
                <w:color w:val="0000EE"/>
                <w:w w:val="98"/>
              </w:rPr>
            </w:pPr>
            <w:hyperlink w:anchor="page47">
              <w:r>
                <w:rPr>
                  <w:rFonts w:ascii="Arial" w:cs="Arial" w:eastAsia="Arial" w:hAnsi="Arial"/>
                  <w:sz w:val="18"/>
                  <w:szCs w:val="18"/>
                  <w:color w:val="0000EE"/>
                  <w:w w:val="98"/>
                </w:rPr>
                <w:t>Item 6.</w:t>
              </w:r>
            </w:hyperlink>
          </w:p>
        </w:tc>
        <w:tc>
          <w:tcPr>
            <w:tcW w:w="780" w:type="dxa"/>
            <w:vAlign w:val="bottom"/>
            <w:gridSpan w:val="2"/>
          </w:tcPr>
          <w:p>
            <w:pPr>
              <w:spacing w:after="0"/>
              <w:rPr>
                <w:sz w:val="15"/>
                <w:szCs w:val="15"/>
                <w:color w:val="auto"/>
              </w:rPr>
            </w:pPr>
          </w:p>
        </w:tc>
        <w:tc>
          <w:tcPr>
            <w:tcW w:w="9280" w:type="dxa"/>
            <w:vAlign w:val="bottom"/>
            <w:gridSpan w:val="14"/>
          </w:tcPr>
          <w:p>
            <w:pPr>
              <w:spacing w:after="0" w:line="182" w:lineRule="exact"/>
              <w:rPr>
                <w:rFonts w:ascii="Arial" w:cs="Arial" w:eastAsia="Arial" w:hAnsi="Arial"/>
                <w:sz w:val="18"/>
                <w:szCs w:val="18"/>
                <w:color w:val="0000EE"/>
              </w:rPr>
            </w:pPr>
            <w:hyperlink w:anchor="page47">
              <w:r>
                <w:rPr>
                  <w:rFonts w:ascii="Arial" w:cs="Arial" w:eastAsia="Arial" w:hAnsi="Arial"/>
                  <w:sz w:val="18"/>
                  <w:szCs w:val="18"/>
                  <w:color w:val="0000EE"/>
                </w:rPr>
                <w:t>Exhibits</w:t>
              </w:r>
            </w:hyperlink>
          </w:p>
        </w:tc>
        <w:tc>
          <w:tcPr>
            <w:tcW w:w="800" w:type="dxa"/>
            <w:vAlign w:val="bottom"/>
            <w:gridSpan w:val="2"/>
          </w:tcPr>
          <w:p>
            <w:pPr>
              <w:jc w:val="right"/>
              <w:ind w:right="60"/>
              <w:spacing w:after="0" w:line="18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340" w:type="dxa"/>
            <w:vAlign w:val="bottom"/>
            <w:gridSpan w:val="3"/>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SIGNATURES</w:t>
              </w:r>
            </w:hyperlink>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411"/>
        </w:trPr>
        <w:tc>
          <w:tcPr>
            <w:tcW w:w="116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Exhibit 10.83</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3"/>
        </w:trPr>
        <w:tc>
          <w:tcPr>
            <w:tcW w:w="1340" w:type="dxa"/>
            <w:vAlign w:val="bottom"/>
            <w:gridSpan w:val="3"/>
          </w:tcPr>
          <w:p>
            <w:pPr>
              <w:spacing w:after="0" w:line="202" w:lineRule="exact"/>
              <w:rPr>
                <w:sz w:val="20"/>
                <w:szCs w:val="20"/>
                <w:color w:val="auto"/>
              </w:rPr>
            </w:pPr>
            <w:r>
              <w:rPr>
                <w:rFonts w:ascii="Arial" w:cs="Arial" w:eastAsia="Arial" w:hAnsi="Arial"/>
                <w:sz w:val="18"/>
                <w:szCs w:val="18"/>
                <w:color w:val="auto"/>
              </w:rPr>
              <w:t>Exhibit 31.1</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3"/>
        </w:trPr>
        <w:tc>
          <w:tcPr>
            <w:tcW w:w="1340" w:type="dxa"/>
            <w:vAlign w:val="bottom"/>
            <w:gridSpan w:val="3"/>
          </w:tcPr>
          <w:p>
            <w:pPr>
              <w:spacing w:after="0" w:line="202" w:lineRule="exact"/>
              <w:rPr>
                <w:sz w:val="20"/>
                <w:szCs w:val="20"/>
                <w:color w:val="auto"/>
              </w:rPr>
            </w:pPr>
            <w:r>
              <w:rPr>
                <w:rFonts w:ascii="Arial" w:cs="Arial" w:eastAsia="Arial" w:hAnsi="Arial"/>
                <w:sz w:val="18"/>
                <w:szCs w:val="18"/>
                <w:color w:val="auto"/>
              </w:rPr>
              <w:t>Exhibit 31.2</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7"/>
        </w:trPr>
        <w:tc>
          <w:tcPr>
            <w:tcW w:w="1340" w:type="dxa"/>
            <w:vAlign w:val="bottom"/>
            <w:gridSpan w:val="3"/>
          </w:tcPr>
          <w:p>
            <w:pPr>
              <w:spacing w:after="0"/>
              <w:rPr>
                <w:sz w:val="20"/>
                <w:szCs w:val="20"/>
                <w:color w:val="auto"/>
              </w:rPr>
            </w:pPr>
            <w:r>
              <w:rPr>
                <w:rFonts w:ascii="Arial" w:cs="Arial" w:eastAsia="Arial" w:hAnsi="Arial"/>
                <w:sz w:val="18"/>
                <w:szCs w:val="18"/>
                <w:color w:val="auto"/>
              </w:rPr>
              <w:t>Exhibit 32</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78"/>
        </w:trPr>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720" w:type="dxa"/>
            <w:vAlign w:val="bottom"/>
            <w:gridSpan w:val="7"/>
          </w:tcPr>
          <w:p>
            <w:pPr>
              <w:ind w:left="432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60" w:type="dxa"/>
            <w:vAlign w:val="bottom"/>
            <w:tcBorders>
              <w:bottom w:val="single" w:sz="8" w:color="808080"/>
            </w:tcBorders>
          </w:tcPr>
          <w:p>
            <w:pPr>
              <w:spacing w:after="0"/>
              <w:rPr>
                <w:sz w:val="18"/>
                <w:szCs w:val="18"/>
                <w:color w:val="auto"/>
              </w:rPr>
            </w:pPr>
          </w:p>
        </w:tc>
        <w:tc>
          <w:tcPr>
            <w:tcW w:w="60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62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44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204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9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960" w:type="dxa"/>
            <w:vAlign w:val="bottom"/>
            <w:tcBorders>
              <w:bottom w:val="single" w:sz="8" w:color="808080"/>
            </w:tcBorders>
          </w:tcPr>
          <w:p>
            <w:pPr>
              <w:spacing w:after="0"/>
              <w:rPr>
                <w:sz w:val="18"/>
                <w:szCs w:val="18"/>
                <w:color w:val="auto"/>
              </w:rPr>
            </w:pPr>
          </w:p>
        </w:tc>
        <w:tc>
          <w:tcPr>
            <w:tcW w:w="1180" w:type="dxa"/>
            <w:vAlign w:val="bottom"/>
            <w:tcBorders>
              <w:bottom w:val="single" w:sz="8" w:color="808080"/>
            </w:tcBorders>
          </w:tcPr>
          <w:p>
            <w:pPr>
              <w:spacing w:after="0"/>
              <w:rPr>
                <w:sz w:val="18"/>
                <w:szCs w:val="18"/>
                <w:color w:val="auto"/>
              </w:rPr>
            </w:pPr>
          </w:p>
        </w:tc>
        <w:tc>
          <w:tcPr>
            <w:tcW w:w="74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auto"/>
        </w:rPr>
        <w:t>PART I. FINANCIAL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 FINANCIAL STATEMENTS (UNAUDITED)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ERIE INDEMNITY COMPANY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FINANCIAL POSITION</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5"/>
          </w:tcPr>
          <w:p>
            <w:pPr>
              <w:ind w:left="320"/>
              <w:spacing w:after="0"/>
              <w:rPr>
                <w:sz w:val="20"/>
                <w:szCs w:val="20"/>
                <w:color w:val="auto"/>
              </w:rPr>
            </w:pPr>
            <w:r>
              <w:rPr>
                <w:rFonts w:ascii="Arial" w:cs="Arial" w:eastAsia="Arial" w:hAnsi="Arial"/>
                <w:sz w:val="14"/>
                <w:szCs w:val="14"/>
                <w:color w:val="auto"/>
              </w:rPr>
              <w:t>(Dollars in thousands)</w:t>
            </w:r>
          </w:p>
        </w:tc>
        <w:tc>
          <w:tcPr>
            <w:tcW w:w="0" w:type="dxa"/>
            <w:vAlign w:val="bottom"/>
          </w:tcPr>
          <w:p>
            <w:pPr>
              <w:spacing w:after="0"/>
              <w:rPr>
                <w:sz w:val="1"/>
                <w:szCs w:val="1"/>
                <w:color w:val="auto"/>
              </w:rPr>
            </w:pPr>
          </w:p>
        </w:tc>
      </w:tr>
      <w:tr>
        <w:trPr>
          <w:trHeight w:val="162"/>
        </w:trPr>
        <w:tc>
          <w:tcPr>
            <w:tcW w:w="8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560"/>
              <w:spacing w:after="0"/>
              <w:rPr>
                <w:sz w:val="20"/>
                <w:szCs w:val="20"/>
                <w:color w:val="auto"/>
              </w:rPr>
            </w:pPr>
            <w:r>
              <w:rPr>
                <w:rFonts w:ascii="Arial" w:cs="Arial" w:eastAsia="Arial" w:hAnsi="Arial"/>
                <w:sz w:val="14"/>
                <w:szCs w:val="14"/>
                <w:color w:val="auto"/>
              </w:rPr>
              <w:t>March 31</w:t>
            </w:r>
          </w:p>
        </w:tc>
        <w:tc>
          <w:tcPr>
            <w:tcW w:w="1020" w:type="dxa"/>
            <w:vAlign w:val="bottom"/>
            <w:gridSpan w:val="3"/>
          </w:tcPr>
          <w:p>
            <w:pPr>
              <w:ind w:left="2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57"/>
        </w:trPr>
        <w:tc>
          <w:tcPr>
            <w:tcW w:w="8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32"/>
              <w:spacing w:after="0" w:line="157" w:lineRule="exact"/>
              <w:rPr>
                <w:sz w:val="20"/>
                <w:szCs w:val="20"/>
                <w:color w:val="auto"/>
              </w:rPr>
            </w:pPr>
            <w:r>
              <w:rPr>
                <w:rFonts w:ascii="Arial" w:cs="Arial" w:eastAsia="Arial" w:hAnsi="Arial"/>
                <w:sz w:val="14"/>
                <w:szCs w:val="14"/>
                <w:color w:val="auto"/>
              </w:rPr>
              <w:t>2005</w:t>
            </w:r>
          </w:p>
        </w:tc>
        <w:tc>
          <w:tcPr>
            <w:tcW w:w="4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11"/>
              <w:spacing w:after="0" w:line="157" w:lineRule="exact"/>
              <w:rPr>
                <w:sz w:val="20"/>
                <w:szCs w:val="20"/>
                <w:color w:val="auto"/>
              </w:rPr>
            </w:pPr>
            <w:r>
              <w:rPr>
                <w:rFonts w:ascii="Arial" w:cs="Arial" w:eastAsia="Arial" w:hAnsi="Arial"/>
                <w:sz w:val="14"/>
                <w:szCs w:val="14"/>
                <w:color w:val="auto"/>
              </w:rPr>
              <w:t>2004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60" w:type="dxa"/>
            <w:vAlign w:val="bottom"/>
            <w:gridSpan w:val="3"/>
          </w:tcPr>
          <w:p>
            <w:pPr>
              <w:jc w:val="center"/>
              <w:ind w:right="440"/>
              <w:spacing w:after="0" w:line="155" w:lineRule="exact"/>
              <w:rPr>
                <w:sz w:val="20"/>
                <w:szCs w:val="20"/>
                <w:color w:val="auto"/>
              </w:rPr>
            </w:pPr>
            <w:r>
              <w:rPr>
                <w:rFonts w:ascii="Arial" w:cs="Arial" w:eastAsia="Arial" w:hAnsi="Arial"/>
                <w:sz w:val="14"/>
                <w:szCs w:val="14"/>
                <w:color w:val="auto"/>
              </w:rPr>
              <w:t>(Unaudited)</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8020" w:type="dxa"/>
            <w:vAlign w:val="bottom"/>
          </w:tcPr>
          <w:p>
            <w:pPr>
              <w:spacing w:after="0"/>
              <w:rPr>
                <w:sz w:val="20"/>
                <w:szCs w:val="20"/>
                <w:color w:val="auto"/>
              </w:rPr>
            </w:pPr>
            <w:r>
              <w:rPr>
                <w:rFonts w:ascii="Arial" w:cs="Arial" w:eastAsia="Arial" w:hAnsi="Arial"/>
                <w:sz w:val="18"/>
                <w:szCs w:val="18"/>
                <w:b w:val="1"/>
                <w:bCs w:val="1"/>
                <w:color w:val="auto"/>
              </w:rPr>
              <w:t>INVESTMENTS</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Fixed maturities at fair value (amortized cost of $963,341 and $939,280, respectively)</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981,572</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974,512</w:t>
            </w:r>
          </w:p>
        </w:tc>
        <w:tc>
          <w:tcPr>
            <w:tcW w:w="0" w:type="dxa"/>
            <w:vAlign w:val="bottom"/>
          </w:tcPr>
          <w:p>
            <w:pPr>
              <w:spacing w:after="0"/>
              <w:rPr>
                <w:sz w:val="1"/>
                <w:szCs w:val="1"/>
                <w:color w:val="auto"/>
              </w:rPr>
            </w:pPr>
          </w:p>
        </w:tc>
      </w:tr>
      <w:tr>
        <w:trPr>
          <w:trHeight w:val="203"/>
        </w:trPr>
        <w:tc>
          <w:tcPr>
            <w:tcW w:w="8020" w:type="dxa"/>
            <w:vAlign w:val="bottom"/>
          </w:tcPr>
          <w:p>
            <w:pPr>
              <w:ind w:left="220"/>
              <w:spacing w:after="0" w:line="202" w:lineRule="exact"/>
              <w:rPr>
                <w:sz w:val="20"/>
                <w:szCs w:val="20"/>
                <w:color w:val="auto"/>
              </w:rPr>
            </w:pPr>
            <w:r>
              <w:rPr>
                <w:rFonts w:ascii="Arial" w:cs="Arial" w:eastAsia="Arial" w:hAnsi="Arial"/>
                <w:sz w:val="18"/>
                <w:szCs w:val="18"/>
                <w:color w:val="auto"/>
              </w:rPr>
              <w:t>Equity securities at fair value (cost of $ 192,310 and $175,860, respectively)</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209,330</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202,694</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Limited partnerships (cost of $117,338 and $116,097, respectively)</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132,723</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130,464</w:t>
            </w:r>
          </w:p>
        </w:tc>
        <w:tc>
          <w:tcPr>
            <w:tcW w:w="0" w:type="dxa"/>
            <w:vAlign w:val="bottom"/>
          </w:tcPr>
          <w:p>
            <w:pPr>
              <w:spacing w:after="0"/>
              <w:rPr>
                <w:sz w:val="1"/>
                <w:szCs w:val="1"/>
                <w:color w:val="auto"/>
              </w:rPr>
            </w:pPr>
          </w:p>
        </w:tc>
      </w:tr>
      <w:tr>
        <w:trPr>
          <w:trHeight w:val="203"/>
        </w:trPr>
        <w:tc>
          <w:tcPr>
            <w:tcW w:w="8020" w:type="dxa"/>
            <w:vAlign w:val="bottom"/>
          </w:tcPr>
          <w:p>
            <w:pPr>
              <w:ind w:left="220"/>
              <w:spacing w:after="0" w:line="202" w:lineRule="exact"/>
              <w:rPr>
                <w:sz w:val="20"/>
                <w:szCs w:val="20"/>
                <w:color w:val="auto"/>
              </w:rPr>
            </w:pPr>
            <w:r>
              <w:rPr>
                <w:rFonts w:ascii="Arial" w:cs="Arial" w:eastAsia="Arial" w:hAnsi="Arial"/>
                <w:sz w:val="18"/>
                <w:szCs w:val="18"/>
                <w:color w:val="auto"/>
              </w:rPr>
              <w:t>Real estate mortgage loans</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4,997</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5,044</w:t>
            </w:r>
          </w:p>
        </w:tc>
        <w:tc>
          <w:tcPr>
            <w:tcW w:w="0" w:type="dxa"/>
            <w:vAlign w:val="bottom"/>
          </w:tcPr>
          <w:p>
            <w:pPr>
              <w:spacing w:after="0"/>
              <w:rPr>
                <w:sz w:val="1"/>
                <w:szCs w:val="1"/>
                <w:color w:val="auto"/>
              </w:rPr>
            </w:pPr>
          </w:p>
        </w:tc>
      </w:tr>
      <w:tr>
        <w:trPr>
          <w:trHeight w:val="210"/>
        </w:trPr>
        <w:tc>
          <w:tcPr>
            <w:tcW w:w="8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b w:val="1"/>
                <w:bCs w:val="1"/>
                <w:color w:val="auto"/>
              </w:rPr>
              <w:t>Total investments</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b w:val="1"/>
                <w:bCs w:val="1"/>
                <w:color w:val="auto"/>
                <w:w w:val="97"/>
              </w:rPr>
              <w:t>1,328,622</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w w:val="99"/>
              </w:rPr>
              <w:t>1,312,714</w:t>
            </w:r>
          </w:p>
        </w:tc>
        <w:tc>
          <w:tcPr>
            <w:tcW w:w="0" w:type="dxa"/>
            <w:vAlign w:val="bottom"/>
          </w:tcPr>
          <w:p>
            <w:pPr>
              <w:spacing w:after="0"/>
              <w:rPr>
                <w:sz w:val="1"/>
                <w:szCs w:val="1"/>
                <w:color w:val="auto"/>
              </w:rPr>
            </w:pPr>
          </w:p>
        </w:tc>
      </w:tr>
      <w:tr>
        <w:trPr>
          <w:trHeight w:val="405"/>
        </w:trPr>
        <w:tc>
          <w:tcPr>
            <w:tcW w:w="802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53,307</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50,061</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Accrued investment income</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14,131</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12,480</w:t>
            </w:r>
          </w:p>
        </w:tc>
        <w:tc>
          <w:tcPr>
            <w:tcW w:w="0" w:type="dxa"/>
            <w:vAlign w:val="bottom"/>
          </w:tcPr>
          <w:p>
            <w:pPr>
              <w:spacing w:after="0"/>
              <w:rPr>
                <w:sz w:val="1"/>
                <w:szCs w:val="1"/>
                <w:color w:val="auto"/>
              </w:rPr>
            </w:pPr>
          </w:p>
        </w:tc>
      </w:tr>
      <w:tr>
        <w:trPr>
          <w:trHeight w:val="203"/>
        </w:trPr>
        <w:tc>
          <w:tcPr>
            <w:tcW w:w="8020" w:type="dxa"/>
            <w:vAlign w:val="bottom"/>
          </w:tcPr>
          <w:p>
            <w:pPr>
              <w:ind w:left="220"/>
              <w:spacing w:after="0" w:line="202" w:lineRule="exact"/>
              <w:rPr>
                <w:sz w:val="20"/>
                <w:szCs w:val="20"/>
                <w:color w:val="auto"/>
              </w:rPr>
            </w:pPr>
            <w:r>
              <w:rPr>
                <w:rFonts w:ascii="Arial" w:cs="Arial" w:eastAsia="Arial" w:hAnsi="Arial"/>
                <w:sz w:val="18"/>
                <w:szCs w:val="18"/>
                <w:color w:val="auto"/>
              </w:rPr>
              <w:t>Premiums receivable from policyholders</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272,870</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275,721</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Federal income taxes recoverable</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3,331</w:t>
            </w:r>
          </w:p>
        </w:tc>
        <w:tc>
          <w:tcPr>
            <w:tcW w:w="0" w:type="dxa"/>
            <w:vAlign w:val="bottom"/>
          </w:tcPr>
          <w:p>
            <w:pPr>
              <w:spacing w:after="0"/>
              <w:rPr>
                <w:sz w:val="1"/>
                <w:szCs w:val="1"/>
                <w:color w:val="auto"/>
              </w:rPr>
            </w:pPr>
          </w:p>
        </w:tc>
      </w:tr>
      <w:tr>
        <w:trPr>
          <w:trHeight w:val="203"/>
        </w:trPr>
        <w:tc>
          <w:tcPr>
            <w:tcW w:w="8020" w:type="dxa"/>
            <w:vAlign w:val="bottom"/>
          </w:tcPr>
          <w:p>
            <w:pPr>
              <w:ind w:left="220"/>
              <w:spacing w:after="0" w:line="202" w:lineRule="exact"/>
              <w:rPr>
                <w:sz w:val="20"/>
                <w:szCs w:val="20"/>
                <w:color w:val="auto"/>
              </w:rPr>
            </w:pPr>
            <w:r>
              <w:rPr>
                <w:rFonts w:ascii="Arial" w:cs="Arial" w:eastAsia="Arial" w:hAnsi="Arial"/>
                <w:sz w:val="18"/>
                <w:szCs w:val="18"/>
                <w:color w:val="auto"/>
              </w:rPr>
              <w:t>Reinsurance recoverable from Erie Insurance Exchange on unpaid losses</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762,272</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765,563</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Ceded unearned premiums to Erie Insurance Exchange</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131,315</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128,187</w:t>
            </w:r>
          </w:p>
        </w:tc>
        <w:tc>
          <w:tcPr>
            <w:tcW w:w="0" w:type="dxa"/>
            <w:vAlign w:val="bottom"/>
          </w:tcPr>
          <w:p>
            <w:pPr>
              <w:spacing w:after="0"/>
              <w:rPr>
                <w:sz w:val="1"/>
                <w:szCs w:val="1"/>
                <w:color w:val="auto"/>
              </w:rPr>
            </w:pPr>
          </w:p>
        </w:tc>
      </w:tr>
      <w:tr>
        <w:trPr>
          <w:trHeight w:val="203"/>
        </w:trPr>
        <w:tc>
          <w:tcPr>
            <w:tcW w:w="8020" w:type="dxa"/>
            <w:vAlign w:val="bottom"/>
          </w:tcPr>
          <w:p>
            <w:pPr>
              <w:ind w:left="220"/>
              <w:spacing w:after="0" w:line="202" w:lineRule="exact"/>
              <w:rPr>
                <w:sz w:val="20"/>
                <w:szCs w:val="20"/>
                <w:color w:val="auto"/>
              </w:rPr>
            </w:pPr>
            <w:r>
              <w:rPr>
                <w:rFonts w:ascii="Arial" w:cs="Arial" w:eastAsia="Arial" w:hAnsi="Arial"/>
                <w:sz w:val="18"/>
                <w:szCs w:val="18"/>
                <w:color w:val="auto"/>
              </w:rPr>
              <w:t>Notes receivable from Erie Family Life Insurance Company</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40,000</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Other receivables from Erie Insurance Exchange and affiliates</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190,313</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211,488</w:t>
            </w:r>
          </w:p>
        </w:tc>
        <w:tc>
          <w:tcPr>
            <w:tcW w:w="0" w:type="dxa"/>
            <w:vAlign w:val="bottom"/>
          </w:tcPr>
          <w:p>
            <w:pPr>
              <w:spacing w:after="0"/>
              <w:rPr>
                <w:sz w:val="1"/>
                <w:szCs w:val="1"/>
                <w:color w:val="auto"/>
              </w:rPr>
            </w:pPr>
          </w:p>
        </w:tc>
      </w:tr>
      <w:tr>
        <w:trPr>
          <w:trHeight w:val="203"/>
        </w:trPr>
        <w:tc>
          <w:tcPr>
            <w:tcW w:w="8020" w:type="dxa"/>
            <w:vAlign w:val="bottom"/>
          </w:tcPr>
          <w:p>
            <w:pPr>
              <w:ind w:left="220"/>
              <w:spacing w:after="0" w:line="202" w:lineRule="exact"/>
              <w:rPr>
                <w:sz w:val="20"/>
                <w:szCs w:val="20"/>
                <w:color w:val="auto"/>
              </w:rPr>
            </w:pPr>
            <w:r>
              <w:rPr>
                <w:rFonts w:ascii="Arial" w:cs="Arial" w:eastAsia="Arial" w:hAnsi="Arial"/>
                <w:sz w:val="18"/>
                <w:szCs w:val="18"/>
                <w:color w:val="auto"/>
              </w:rPr>
              <w:t>Reinsurance recoverable from non-affiliates</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305</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Deferred policy acquisition costs</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16,904</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17,112</w:t>
            </w:r>
          </w:p>
        </w:tc>
        <w:tc>
          <w:tcPr>
            <w:tcW w:w="0" w:type="dxa"/>
            <w:vAlign w:val="bottom"/>
          </w:tcPr>
          <w:p>
            <w:pPr>
              <w:spacing w:after="0"/>
              <w:rPr>
                <w:sz w:val="1"/>
                <w:szCs w:val="1"/>
                <w:color w:val="auto"/>
              </w:rPr>
            </w:pPr>
          </w:p>
        </w:tc>
      </w:tr>
      <w:tr>
        <w:trPr>
          <w:trHeight w:val="203"/>
        </w:trPr>
        <w:tc>
          <w:tcPr>
            <w:tcW w:w="8020" w:type="dxa"/>
            <w:vAlign w:val="bottom"/>
          </w:tcPr>
          <w:p>
            <w:pPr>
              <w:ind w:left="220"/>
              <w:spacing w:after="0" w:line="202" w:lineRule="exact"/>
              <w:rPr>
                <w:sz w:val="20"/>
                <w:szCs w:val="20"/>
                <w:color w:val="auto"/>
              </w:rPr>
            </w:pPr>
            <w:r>
              <w:rPr>
                <w:rFonts w:ascii="Arial" w:cs="Arial" w:eastAsia="Arial" w:hAnsi="Arial"/>
                <w:sz w:val="18"/>
                <w:szCs w:val="18"/>
                <w:color w:val="auto"/>
              </w:rPr>
              <w:t>Property and equipment</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13,209</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13,581</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Equity in Erie Family Life Insurance Company</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56,010</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58,728</w:t>
            </w:r>
          </w:p>
        </w:tc>
        <w:tc>
          <w:tcPr>
            <w:tcW w:w="0" w:type="dxa"/>
            <w:vAlign w:val="bottom"/>
          </w:tcPr>
          <w:p>
            <w:pPr>
              <w:spacing w:after="0"/>
              <w:rPr>
                <w:sz w:val="1"/>
                <w:szCs w:val="1"/>
                <w:color w:val="auto"/>
              </w:rPr>
            </w:pPr>
          </w:p>
        </w:tc>
      </w:tr>
      <w:tr>
        <w:trPr>
          <w:trHeight w:val="203"/>
        </w:trPr>
        <w:tc>
          <w:tcPr>
            <w:tcW w:w="8020" w:type="dxa"/>
            <w:vAlign w:val="bottom"/>
          </w:tcPr>
          <w:p>
            <w:pPr>
              <w:ind w:left="220"/>
              <w:spacing w:after="0" w:line="202" w:lineRule="exact"/>
              <w:rPr>
                <w:sz w:val="20"/>
                <w:szCs w:val="20"/>
                <w:color w:val="auto"/>
              </w:rPr>
            </w:pPr>
            <w:r>
              <w:rPr>
                <w:rFonts w:ascii="Arial" w:cs="Arial" w:eastAsia="Arial" w:hAnsi="Arial"/>
                <w:sz w:val="18"/>
                <w:szCs w:val="18"/>
                <w:color w:val="auto"/>
              </w:rPr>
              <w:t>Prepaid pension</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47,835</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50,860</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Other assets</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49,512</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39,567</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20" w:type="dxa"/>
            <w:vAlign w:val="bottom"/>
          </w:tcPr>
          <w:p>
            <w:pPr>
              <w:ind w:left="420"/>
              <w:spacing w:after="0"/>
              <w:rPr>
                <w:sz w:val="20"/>
                <w:szCs w:val="20"/>
                <w:color w:val="auto"/>
              </w:rPr>
            </w:pPr>
            <w:r>
              <w:rPr>
                <w:rFonts w:ascii="Arial" w:cs="Arial" w:eastAsia="Arial" w:hAnsi="Arial"/>
                <w:sz w:val="18"/>
                <w:szCs w:val="18"/>
                <w:b w:val="1"/>
                <w:bCs w:val="1"/>
                <w:color w:val="auto"/>
              </w:rPr>
              <w:t>Total assets</w:t>
            </w:r>
          </w:p>
        </w:tc>
        <w:tc>
          <w:tcPr>
            <w:tcW w:w="10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7"/>
              </w:rPr>
              <w:t>2,976,605</w:t>
            </w:r>
          </w:p>
        </w:tc>
        <w:tc>
          <w:tcPr>
            <w:tcW w:w="100" w:type="dxa"/>
            <w:vAlign w:val="bottom"/>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9"/>
              </w:rPr>
              <w:t>2,979,744</w:t>
            </w: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Arial" w:cs="Arial" w:eastAsia="Arial" w:hAnsi="Arial"/>
                <w:sz w:val="18"/>
                <w:szCs w:val="18"/>
                <w:color w:val="auto"/>
              </w:rPr>
              <w:t>See Accompanying Notes to Consolidated Financial Statements.</w:t>
            </w:r>
          </w:p>
        </w:tc>
        <w:tc>
          <w:tcPr>
            <w:tcW w:w="1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802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20" w:type="dxa"/>
            <w:vAlign w:val="bottom"/>
          </w:tcPr>
          <w:p>
            <w:pPr>
              <w:ind w:left="5660"/>
              <w:spacing w:after="0"/>
              <w:rPr>
                <w:sz w:val="20"/>
                <w:szCs w:val="20"/>
                <w:color w:val="auto"/>
              </w:rPr>
            </w:pPr>
            <w:r>
              <w:rPr>
                <w:rFonts w:ascii="Arial" w:cs="Arial" w:eastAsia="Arial" w:hAnsi="Arial"/>
                <w:sz w:val="18"/>
                <w:szCs w:val="18"/>
                <w:color w:val="auto"/>
              </w:rPr>
              <w:t>3</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8020" w:type="dxa"/>
            <w:vAlign w:val="bottom"/>
            <w:tcBorders>
              <w:bottom w:val="single" w:sz="8" w:color="808080"/>
            </w:tcBorders>
          </w:tcPr>
          <w:p>
            <w:pPr>
              <w:spacing w:after="0"/>
              <w:rPr>
                <w:sz w:val="18"/>
                <w:szCs w:val="18"/>
                <w:color w:val="auto"/>
              </w:rPr>
            </w:pPr>
          </w:p>
        </w:tc>
        <w:tc>
          <w:tcPr>
            <w:tcW w:w="102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44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ERIE INDEMNITY COMPANY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FINANCIAL POSITION (Continued)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5"/>
          </w:tcPr>
          <w:p>
            <w:pPr>
              <w:jc w:val="right"/>
              <w:ind w:right="540"/>
              <w:spacing w:after="0"/>
              <w:rPr>
                <w:sz w:val="20"/>
                <w:szCs w:val="20"/>
                <w:color w:val="auto"/>
              </w:rPr>
            </w:pPr>
            <w:r>
              <w:rPr>
                <w:rFonts w:ascii="Arial" w:cs="Arial" w:eastAsia="Arial" w:hAnsi="Arial"/>
                <w:sz w:val="14"/>
                <w:szCs w:val="14"/>
                <w:color w:val="auto"/>
              </w:rPr>
              <w:t>(Dollars in thousands)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560"/>
              <w:spacing w:after="0"/>
              <w:rPr>
                <w:sz w:val="20"/>
                <w:szCs w:val="20"/>
                <w:color w:val="auto"/>
              </w:rPr>
            </w:pPr>
            <w:r>
              <w:rPr>
                <w:rFonts w:ascii="Arial" w:cs="Arial" w:eastAsia="Arial" w:hAnsi="Arial"/>
                <w:sz w:val="14"/>
                <w:szCs w:val="14"/>
                <w:color w:val="auto"/>
              </w:rPr>
              <w:t>March 31</w:t>
            </w:r>
          </w:p>
        </w:tc>
        <w:tc>
          <w:tcPr>
            <w:tcW w:w="1020" w:type="dxa"/>
            <w:vAlign w:val="bottom"/>
            <w:gridSpan w:val="3"/>
          </w:tcPr>
          <w:p>
            <w:pPr>
              <w:ind w:left="2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33"/>
              <w:spacing w:after="0" w:line="157" w:lineRule="exact"/>
              <w:rPr>
                <w:sz w:val="20"/>
                <w:szCs w:val="20"/>
                <w:color w:val="auto"/>
              </w:rPr>
            </w:pPr>
            <w:r>
              <w:rPr>
                <w:rFonts w:ascii="Arial" w:cs="Arial" w:eastAsia="Arial" w:hAnsi="Arial"/>
                <w:sz w:val="14"/>
                <w:szCs w:val="14"/>
                <w:color w:val="auto"/>
              </w:rPr>
              <w:t>2005</w:t>
            </w:r>
          </w:p>
        </w:tc>
        <w:tc>
          <w:tcPr>
            <w:tcW w:w="4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11"/>
              <w:spacing w:after="0" w:line="157" w:lineRule="exact"/>
              <w:rPr>
                <w:sz w:val="20"/>
                <w:szCs w:val="20"/>
                <w:color w:val="auto"/>
              </w:rPr>
            </w:pPr>
            <w:r>
              <w:rPr>
                <w:rFonts w:ascii="Arial" w:cs="Arial" w:eastAsia="Arial" w:hAnsi="Arial"/>
                <w:sz w:val="14"/>
                <w:szCs w:val="14"/>
                <w:color w:val="auto"/>
              </w:rPr>
              <w:t>2004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3"/>
          </w:tcPr>
          <w:p>
            <w:pPr>
              <w:jc w:val="center"/>
              <w:ind w:right="440"/>
              <w:spacing w:after="0" w:line="155" w:lineRule="exact"/>
              <w:rPr>
                <w:sz w:val="20"/>
                <w:szCs w:val="20"/>
                <w:color w:val="auto"/>
              </w:rPr>
            </w:pPr>
            <w:r>
              <w:rPr>
                <w:rFonts w:ascii="Arial" w:cs="Arial" w:eastAsia="Arial" w:hAnsi="Arial"/>
                <w:sz w:val="14"/>
                <w:szCs w:val="14"/>
                <w:color w:val="auto"/>
              </w:rPr>
              <w:t>(Unaudited)</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884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Unpaid losses and loss adjustment expenses</w:t>
            </w:r>
          </w:p>
        </w:tc>
        <w:tc>
          <w:tcPr>
            <w:tcW w:w="3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942,586</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943,034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tcPr>
          <w:p>
            <w:pPr>
              <w:ind w:left="200"/>
              <w:spacing w:after="0" w:line="202" w:lineRule="exact"/>
              <w:rPr>
                <w:sz w:val="20"/>
                <w:szCs w:val="20"/>
                <w:color w:val="auto"/>
              </w:rPr>
            </w:pPr>
            <w:r>
              <w:rPr>
                <w:rFonts w:ascii="Arial" w:cs="Arial" w:eastAsia="Arial" w:hAnsi="Arial"/>
                <w:sz w:val="18"/>
                <w:szCs w:val="18"/>
                <w:color w:val="auto"/>
              </w:rPr>
              <w:t>Unearned premiums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464,154</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472,553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Commissions payable and accrued</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148,126</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179,284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tcPr>
          <w:p>
            <w:pPr>
              <w:ind w:left="200"/>
              <w:spacing w:after="0" w:line="202" w:lineRule="exact"/>
              <w:rPr>
                <w:sz w:val="20"/>
                <w:szCs w:val="20"/>
                <w:color w:val="auto"/>
              </w:rPr>
            </w:pPr>
            <w:r>
              <w:rPr>
                <w:rFonts w:ascii="Arial" w:cs="Arial" w:eastAsia="Arial" w:hAnsi="Arial"/>
                <w:sz w:val="18"/>
                <w:szCs w:val="18"/>
                <w:color w:val="auto"/>
              </w:rPr>
              <w:t>Securities lending collateral</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10,128</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Accounts payable and accrued expenses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61,346</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49,025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tcPr>
          <w:p>
            <w:pPr>
              <w:ind w:left="200"/>
              <w:spacing w:after="0" w:line="202" w:lineRule="exact"/>
              <w:rPr>
                <w:sz w:val="20"/>
                <w:szCs w:val="20"/>
                <w:color w:val="auto"/>
              </w:rPr>
            </w:pPr>
            <w:r>
              <w:rPr>
                <w:rFonts w:ascii="Arial" w:cs="Arial" w:eastAsia="Arial" w:hAnsi="Arial"/>
                <w:sz w:val="18"/>
                <w:szCs w:val="18"/>
                <w:color w:val="auto"/>
              </w:rPr>
              <w:t>Federal income taxes payable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19,669</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15,223</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24,122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tcPr>
          <w:p>
            <w:pPr>
              <w:ind w:left="200"/>
              <w:spacing w:after="0" w:line="202" w:lineRule="exact"/>
              <w:rPr>
                <w:sz w:val="20"/>
                <w:szCs w:val="20"/>
                <w:color w:val="auto"/>
              </w:rPr>
            </w:pPr>
            <w:r>
              <w:rPr>
                <w:rFonts w:ascii="Arial" w:cs="Arial" w:eastAsia="Arial" w:hAnsi="Arial"/>
                <w:sz w:val="18"/>
                <w:szCs w:val="18"/>
                <w:color w:val="auto"/>
              </w:rPr>
              <w:t>Dividends payable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20,529</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20,612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Employee benefit obligations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25,654</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24,233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8820" w:type="dxa"/>
            <w:vAlign w:val="bottom"/>
          </w:tcPr>
          <w:p>
            <w:pPr>
              <w:ind w:left="60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7"/>
              </w:rPr>
              <w:t>1,707,415</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9"/>
              </w:rPr>
              <w:t>1,712,863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8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SHAREHOLDERS’ EQUITY</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tcPr>
          <w:p>
            <w:pPr>
              <w:ind w:left="200"/>
              <w:spacing w:after="0" w:line="202" w:lineRule="exact"/>
              <w:rPr>
                <w:sz w:val="20"/>
                <w:szCs w:val="20"/>
                <w:color w:val="auto"/>
              </w:rPr>
            </w:pPr>
            <w:r>
              <w:rPr>
                <w:rFonts w:ascii="Arial" w:cs="Arial" w:eastAsia="Arial" w:hAnsi="Arial"/>
                <w:sz w:val="18"/>
                <w:szCs w:val="18"/>
                <w:color w:val="auto"/>
              </w:rPr>
              <w:t>Capital Stock</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2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Class A common, stated value $.0292 per share; authorized 74,996,930 shares; 67,574,400 and</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shd w:val="clear" w:color="auto" w:fill="CCEEFF"/>
          </w:tcPr>
          <w:p>
            <w:pPr>
              <w:ind w:left="600"/>
              <w:spacing w:after="0" w:line="203" w:lineRule="exact"/>
              <w:rPr>
                <w:sz w:val="20"/>
                <w:szCs w:val="20"/>
                <w:color w:val="auto"/>
              </w:rPr>
            </w:pPr>
            <w:r>
              <w:rPr>
                <w:rFonts w:ascii="Arial" w:cs="Arial" w:eastAsia="Arial" w:hAnsi="Arial"/>
                <w:sz w:val="18"/>
                <w:szCs w:val="18"/>
                <w:color w:val="auto"/>
              </w:rPr>
              <w:t>67,540,800 shares issued, respectively; 62,741,013 and 62,992,841 shares outstanding, respectively</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rPr>
              <w:t>1,971</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1,970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20" w:type="dxa"/>
            <w:vAlign w:val="bottom"/>
          </w:tcPr>
          <w:p>
            <w:pPr>
              <w:ind w:left="400"/>
              <w:spacing w:after="0" w:line="201" w:lineRule="exact"/>
              <w:rPr>
                <w:sz w:val="20"/>
                <w:szCs w:val="20"/>
                <w:color w:val="auto"/>
              </w:rPr>
            </w:pPr>
            <w:r>
              <w:rPr>
                <w:rFonts w:ascii="Arial" w:cs="Arial" w:eastAsia="Arial" w:hAnsi="Arial"/>
                <w:sz w:val="18"/>
                <w:szCs w:val="18"/>
                <w:color w:val="auto"/>
              </w:rPr>
              <w:t>Class B common, convertible at a rate of 2,400 Class A shares for one Class B share, stated value $70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tcPr>
          <w:p>
            <w:pPr>
              <w:ind w:left="600"/>
              <w:spacing w:after="0" w:line="203" w:lineRule="exact"/>
              <w:rPr>
                <w:sz w:val="20"/>
                <w:szCs w:val="20"/>
                <w:color w:val="auto"/>
              </w:rPr>
            </w:pPr>
            <w:r>
              <w:rPr>
                <w:rFonts w:ascii="Arial" w:cs="Arial" w:eastAsia="Arial" w:hAnsi="Arial"/>
                <w:sz w:val="18"/>
                <w:szCs w:val="18"/>
                <w:color w:val="auto"/>
              </w:rPr>
              <w:t>per share; 2,844 and 2,858 shares authorized, issued and outstanding, respectively</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440"/>
              <w:spacing w:after="0" w:line="203" w:lineRule="exact"/>
              <w:rPr>
                <w:sz w:val="20"/>
                <w:szCs w:val="20"/>
                <w:color w:val="auto"/>
              </w:rPr>
            </w:pPr>
            <w:r>
              <w:rPr>
                <w:rFonts w:ascii="Arial" w:cs="Arial" w:eastAsia="Arial" w:hAnsi="Arial"/>
                <w:sz w:val="18"/>
                <w:szCs w:val="18"/>
                <w:color w:val="auto"/>
              </w:rPr>
              <w:t>199</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7,830</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7,830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tcPr>
          <w:p>
            <w:pPr>
              <w:ind w:left="200"/>
              <w:spacing w:after="0" w:line="202" w:lineRule="exact"/>
              <w:rPr>
                <w:sz w:val="20"/>
                <w:szCs w:val="20"/>
                <w:color w:val="auto"/>
              </w:rPr>
            </w:pPr>
            <w:r>
              <w:rPr>
                <w:rFonts w:ascii="Arial" w:cs="Arial" w:eastAsia="Arial" w:hAnsi="Arial"/>
                <w:sz w:val="18"/>
                <w:szCs w:val="18"/>
                <w:color w:val="auto"/>
              </w:rPr>
              <w:t>Accumulated other comprehensive income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38,295</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58,611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Retained earnings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w w:val="97"/>
              </w:rPr>
              <w:t>1,391,422</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9"/>
              </w:rPr>
              <w:t>1,354,181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820" w:type="dxa"/>
            <w:vAlign w:val="bottom"/>
          </w:tcPr>
          <w:p>
            <w:pPr>
              <w:ind w:left="600"/>
              <w:spacing w:after="0"/>
              <w:rPr>
                <w:sz w:val="20"/>
                <w:szCs w:val="20"/>
                <w:color w:val="auto"/>
              </w:rPr>
            </w:pPr>
            <w:r>
              <w:rPr>
                <w:rFonts w:ascii="Arial" w:cs="Arial" w:eastAsia="Arial" w:hAnsi="Arial"/>
                <w:sz w:val="18"/>
                <w:szCs w:val="18"/>
                <w:color w:val="auto"/>
              </w:rPr>
              <w:t>Total contributed capital and retained earnings</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1,439,717</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1,422,792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Treasury stock, at cost, 4,833,387 and 4,547,959 shares, respectively</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170,527)</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155,911)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8820" w:type="dxa"/>
            <w:vAlign w:val="bottom"/>
          </w:tcPr>
          <w:p>
            <w:pPr>
              <w:ind w:left="600"/>
              <w:spacing w:after="0"/>
              <w:rPr>
                <w:sz w:val="20"/>
                <w:szCs w:val="20"/>
                <w:color w:val="auto"/>
              </w:rPr>
            </w:pPr>
            <w:r>
              <w:rPr>
                <w:rFonts w:ascii="Arial" w:cs="Arial" w:eastAsia="Arial" w:hAnsi="Arial"/>
                <w:sz w:val="18"/>
                <w:szCs w:val="18"/>
                <w:b w:val="1"/>
                <w:bCs w:val="1"/>
                <w:color w:val="auto"/>
              </w:rPr>
              <w:t>Total shareholders’ equity</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7"/>
              </w:rPr>
              <w:t>1,269,190</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9"/>
              </w:rPr>
              <w:t>1,266,881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b w:val="1"/>
                <w:bCs w:val="1"/>
                <w:color w:val="auto"/>
              </w:rPr>
              <w:t>Total liabilities and shareholders’ equity</w:t>
            </w:r>
          </w:p>
        </w:tc>
        <w:tc>
          <w:tcPr>
            <w:tcW w:w="1560" w:type="dxa"/>
            <w:vAlign w:val="bottom"/>
            <w:gridSpan w:val="4"/>
            <w:shd w:val="clear" w:color="auto" w:fill="CCEEFF"/>
          </w:tcPr>
          <w:p>
            <w:pPr>
              <w:jc w:val="right"/>
              <w:ind w:right="440"/>
              <w:spacing w:after="0" w:line="202"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2,976,605</w:t>
            </w:r>
          </w:p>
        </w:tc>
        <w:tc>
          <w:tcPr>
            <w:tcW w:w="102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u w:val="single" w:color="auto"/>
                <w:color w:val="auto"/>
                <w:w w:val="99"/>
              </w:rPr>
              <w:t>$</w:t>
            </w:r>
            <w:r>
              <w:rPr>
                <w:rFonts w:ascii="Arial" w:cs="Arial" w:eastAsia="Arial" w:hAnsi="Arial"/>
                <w:sz w:val="18"/>
                <w:szCs w:val="18"/>
                <w:b w:val="1"/>
                <w:bCs w:val="1"/>
                <w:color w:val="auto"/>
                <w:w w:val="99"/>
              </w:rPr>
              <w:t>2,979,744</w:t>
            </w:r>
          </w:p>
        </w:tc>
        <w:tc>
          <w:tcPr>
            <w:tcW w:w="0" w:type="dxa"/>
            <w:vAlign w:val="bottom"/>
          </w:tcPr>
          <w:p>
            <w:pPr>
              <w:spacing w:after="0"/>
              <w:rPr>
                <w:sz w:val="1"/>
                <w:szCs w:val="1"/>
                <w:color w:val="auto"/>
              </w:rPr>
            </w:pPr>
          </w:p>
        </w:tc>
      </w:tr>
      <w:tr>
        <w:trPr>
          <w:trHeight w:val="20"/>
        </w:trPr>
        <w:tc>
          <w:tcPr>
            <w:tcW w:w="8840" w:type="dxa"/>
            <w:vAlign w:val="bottom"/>
            <w:gridSpan w:val="2"/>
            <w:vMerge w:val="restart"/>
          </w:tcPr>
          <w:p>
            <w:pPr>
              <w:spacing w:after="0"/>
              <w:rPr>
                <w:sz w:val="20"/>
                <w:szCs w:val="20"/>
                <w:color w:val="auto"/>
              </w:rPr>
            </w:pPr>
            <w:r>
              <w:rPr>
                <w:rFonts w:ascii="Arial" w:cs="Arial" w:eastAsia="Arial" w:hAnsi="Arial"/>
                <w:sz w:val="18"/>
                <w:szCs w:val="18"/>
                <w:color w:val="auto"/>
              </w:rPr>
              <w:t>See Accompanying Notes to Consolidated Financial Statements.</w:t>
            </w: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88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840" w:type="dxa"/>
            <w:vAlign w:val="bottom"/>
            <w:gridSpan w:val="2"/>
          </w:tcPr>
          <w:p>
            <w:pPr>
              <w:jc w:val="right"/>
              <w:ind w:right="299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2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44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ERIE INDEMNITY COMPANY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 (UNAUDITED)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40" w:type="dxa"/>
            <w:vAlign w:val="bottom"/>
            <w:gridSpan w:val="6"/>
          </w:tcPr>
          <w:p>
            <w:pPr>
              <w:ind w:left="300"/>
              <w:spacing w:after="0"/>
              <w:rPr>
                <w:sz w:val="20"/>
                <w:szCs w:val="20"/>
                <w:color w:val="auto"/>
              </w:rPr>
            </w:pPr>
            <w:r>
              <w:rPr>
                <w:rFonts w:ascii="Arial" w:cs="Arial" w:eastAsia="Arial" w:hAnsi="Arial"/>
                <w:sz w:val="14"/>
                <w:szCs w:val="14"/>
                <w:color w:val="auto"/>
              </w:rPr>
              <w:t>Three Months Ended March 31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91"/>
              <w:spacing w:after="0" w:line="157" w:lineRule="exact"/>
              <w:rPr>
                <w:sz w:val="20"/>
                <w:szCs w:val="20"/>
                <w:color w:val="auto"/>
              </w:rPr>
            </w:pPr>
            <w:r>
              <w:rPr>
                <w:rFonts w:ascii="Arial" w:cs="Arial" w:eastAsia="Arial" w:hAnsi="Arial"/>
                <w:sz w:val="14"/>
                <w:szCs w:val="14"/>
                <w:color w:val="auto"/>
              </w:rPr>
              <w:t>2005</w:t>
            </w: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91"/>
              <w:spacing w:after="0" w:line="157" w:lineRule="exact"/>
              <w:rPr>
                <w:sz w:val="20"/>
                <w:szCs w:val="20"/>
                <w:color w:val="auto"/>
              </w:rPr>
            </w:pPr>
            <w:r>
              <w:rPr>
                <w:rFonts w:ascii="Arial" w:cs="Arial" w:eastAsia="Arial" w:hAnsi="Arial"/>
                <w:sz w:val="14"/>
                <w:szCs w:val="14"/>
                <w:color w:val="auto"/>
              </w:rPr>
              <w:t>2004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20" w:type="dxa"/>
            <w:vAlign w:val="bottom"/>
          </w:tcPr>
          <w:p>
            <w:pPr>
              <w:spacing w:after="0"/>
              <w:rPr>
                <w:sz w:val="13"/>
                <w:szCs w:val="13"/>
                <w:color w:val="auto"/>
              </w:rPr>
            </w:pPr>
          </w:p>
        </w:tc>
        <w:tc>
          <w:tcPr>
            <w:tcW w:w="3580" w:type="dxa"/>
            <w:vAlign w:val="bottom"/>
            <w:gridSpan w:val="8"/>
          </w:tcPr>
          <w:p>
            <w:pPr>
              <w:ind w:left="600"/>
              <w:spacing w:after="0" w:line="155" w:lineRule="exact"/>
              <w:rPr>
                <w:sz w:val="20"/>
                <w:szCs w:val="20"/>
                <w:color w:val="auto"/>
              </w:rPr>
            </w:pPr>
            <w:r>
              <w:rPr>
                <w:rFonts w:ascii="Arial" w:cs="Arial" w:eastAsia="Arial" w:hAnsi="Arial"/>
                <w:sz w:val="14"/>
                <w:szCs w:val="14"/>
                <w:color w:val="auto"/>
              </w:rPr>
              <w:t>(Dollars in thousands, except per share data)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REVENUE</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7820" w:type="dxa"/>
            <w:vAlign w:val="bottom"/>
          </w:tcPr>
          <w:p>
            <w:pPr>
              <w:ind w:left="200"/>
              <w:spacing w:after="0"/>
              <w:rPr>
                <w:sz w:val="20"/>
                <w:szCs w:val="20"/>
                <w:color w:val="auto"/>
              </w:rPr>
            </w:pPr>
            <w:r>
              <w:rPr>
                <w:rFonts w:ascii="Arial" w:cs="Arial" w:eastAsia="Arial" w:hAnsi="Arial"/>
                <w:sz w:val="18"/>
                <w:szCs w:val="18"/>
                <w:color w:val="auto"/>
              </w:rPr>
              <w:t>Management fee revenue - net</w:t>
            </w:r>
          </w:p>
        </w:tc>
        <w:tc>
          <w:tcPr>
            <w:tcW w:w="7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217,736</w:t>
            </w:r>
          </w:p>
        </w:tc>
        <w:tc>
          <w:tcPr>
            <w:tcW w:w="360" w:type="dxa"/>
            <w:vAlign w:val="bottom"/>
          </w:tcPr>
          <w:p>
            <w:pPr>
              <w:spacing w:after="0"/>
              <w:rPr>
                <w:sz w:val="24"/>
                <w:szCs w:val="24"/>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209,664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Premiums earned</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53,648</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50,649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ind w:left="200"/>
              <w:spacing w:after="0" w:line="202" w:lineRule="exact"/>
              <w:rPr>
                <w:sz w:val="20"/>
                <w:szCs w:val="20"/>
                <w:color w:val="auto"/>
              </w:rPr>
            </w:pPr>
            <w:r>
              <w:rPr>
                <w:rFonts w:ascii="Arial" w:cs="Arial" w:eastAsia="Arial" w:hAnsi="Arial"/>
                <w:sz w:val="18"/>
                <w:szCs w:val="18"/>
                <w:color w:val="auto"/>
              </w:rPr>
              <w:t>Service agreement revenue</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4,787</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5,598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8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operating revenue</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276,171</w:t>
            </w: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265,911</w:t>
            </w:r>
          </w:p>
        </w:tc>
        <w:tc>
          <w:tcPr>
            <w:tcW w:w="0" w:type="dxa"/>
            <w:vAlign w:val="bottom"/>
          </w:tcPr>
          <w:p>
            <w:pPr>
              <w:spacing w:after="0"/>
              <w:rPr>
                <w:sz w:val="1"/>
                <w:szCs w:val="1"/>
                <w:color w:val="auto"/>
              </w:rPr>
            </w:pPr>
          </w:p>
        </w:tc>
      </w:tr>
      <w:tr>
        <w:trPr>
          <w:trHeight w:val="426"/>
        </w:trPr>
        <w:tc>
          <w:tcPr>
            <w:tcW w:w="784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6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Cost of management operations</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167,940</w:t>
            </w: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161,821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ind w:left="200"/>
              <w:spacing w:after="0" w:line="202" w:lineRule="exact"/>
              <w:rPr>
                <w:sz w:val="20"/>
                <w:szCs w:val="20"/>
                <w:color w:val="auto"/>
              </w:rPr>
            </w:pPr>
            <w:r>
              <w:rPr>
                <w:rFonts w:ascii="Arial" w:cs="Arial" w:eastAsia="Arial" w:hAnsi="Arial"/>
                <w:sz w:val="18"/>
                <w:szCs w:val="18"/>
                <w:color w:val="auto"/>
              </w:rPr>
              <w:t>Losses and loss adjustment expenses incurred</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32,677</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38,037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Policy acquisition and other underwriting expenses</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11,844</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11,318</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7820" w:type="dxa"/>
            <w:vAlign w:val="bottom"/>
          </w:tcPr>
          <w:p>
            <w:pPr>
              <w:ind w:left="400"/>
              <w:spacing w:after="0"/>
              <w:rPr>
                <w:sz w:val="20"/>
                <w:szCs w:val="20"/>
                <w:color w:val="auto"/>
              </w:rPr>
            </w:pPr>
            <w:r>
              <w:rPr>
                <w:rFonts w:ascii="Arial" w:cs="Arial" w:eastAsia="Arial" w:hAnsi="Arial"/>
                <w:sz w:val="18"/>
                <w:szCs w:val="18"/>
                <w:b w:val="1"/>
                <w:bCs w:val="1"/>
                <w:color w:val="auto"/>
              </w:rPr>
              <w:t>Total operating expenses</w:t>
            </w:r>
          </w:p>
        </w:tc>
        <w:tc>
          <w:tcPr>
            <w:tcW w:w="600" w:type="dxa"/>
            <w:vAlign w:val="bottom"/>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212,461</w:t>
            </w: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211,176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8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INVESTMENT INCOME - UNAFFILIATED</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7820" w:type="dxa"/>
            <w:vAlign w:val="bottom"/>
          </w:tcPr>
          <w:p>
            <w:pPr>
              <w:ind w:left="200"/>
              <w:spacing w:after="0"/>
              <w:rPr>
                <w:sz w:val="20"/>
                <w:szCs w:val="20"/>
                <w:color w:val="auto"/>
              </w:rPr>
            </w:pPr>
            <w:r>
              <w:rPr>
                <w:rFonts w:ascii="Arial" w:cs="Arial" w:eastAsia="Arial" w:hAnsi="Arial"/>
                <w:sz w:val="18"/>
                <w:szCs w:val="18"/>
                <w:color w:val="auto"/>
              </w:rPr>
              <w:t>Investment income, net of expenses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14,468</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14,686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Net realized gains on investments</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5,497</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2,853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ind w:left="200"/>
              <w:spacing w:after="0" w:line="202" w:lineRule="exact"/>
              <w:rPr>
                <w:sz w:val="20"/>
                <w:szCs w:val="20"/>
                <w:color w:val="auto"/>
              </w:rPr>
            </w:pPr>
            <w:r>
              <w:rPr>
                <w:rFonts w:ascii="Arial" w:cs="Arial" w:eastAsia="Arial" w:hAnsi="Arial"/>
                <w:sz w:val="18"/>
                <w:szCs w:val="18"/>
                <w:color w:val="auto"/>
              </w:rPr>
              <w:t>Equity in earnings of limited partnerships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2,111</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b w:val="1"/>
                <w:bCs w:val="1"/>
                <w:color w:val="auto"/>
              </w:rPr>
              <w:t>Total investment income - unaffiliated</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b w:val="1"/>
                <w:bCs w:val="1"/>
                <w:color w:val="auto"/>
              </w:rPr>
              <w:t>22,076</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17,957</w:t>
            </w:r>
          </w:p>
        </w:tc>
        <w:tc>
          <w:tcPr>
            <w:tcW w:w="0" w:type="dxa"/>
            <w:vAlign w:val="bottom"/>
          </w:tcPr>
          <w:p>
            <w:pPr>
              <w:spacing w:after="0"/>
              <w:rPr>
                <w:sz w:val="1"/>
                <w:szCs w:val="1"/>
                <w:color w:val="auto"/>
              </w:rPr>
            </w:pPr>
          </w:p>
        </w:tc>
      </w:tr>
      <w:tr>
        <w:trPr>
          <w:trHeight w:val="20"/>
        </w:trPr>
        <w:tc>
          <w:tcPr>
            <w:tcW w:w="78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40" w:type="dxa"/>
            <w:vAlign w:val="bottom"/>
            <w:gridSpan w:val="2"/>
          </w:tcPr>
          <w:p>
            <w:pPr>
              <w:spacing w:after="0"/>
              <w:rPr>
                <w:sz w:val="20"/>
                <w:szCs w:val="20"/>
                <w:color w:val="auto"/>
              </w:rPr>
            </w:pPr>
            <w:r>
              <w:rPr>
                <w:rFonts w:ascii="Arial" w:cs="Arial" w:eastAsia="Arial" w:hAnsi="Arial"/>
                <w:sz w:val="18"/>
                <w:szCs w:val="18"/>
                <w:color w:val="auto"/>
              </w:rPr>
              <w:t>Income before income taxes and equity in earnings of Erie Family Life Insurance Company</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85,786</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72,692</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78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Provision for income taxes</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28,729</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24,435</w:t>
            </w:r>
          </w:p>
        </w:tc>
        <w:tc>
          <w:tcPr>
            <w:tcW w:w="0" w:type="dxa"/>
            <w:vAlign w:val="bottom"/>
          </w:tcPr>
          <w:p>
            <w:pPr>
              <w:spacing w:after="0"/>
              <w:rPr>
                <w:sz w:val="1"/>
                <w:szCs w:val="1"/>
                <w:color w:val="auto"/>
              </w:rPr>
            </w:pPr>
          </w:p>
        </w:tc>
      </w:tr>
      <w:tr>
        <w:trPr>
          <w:trHeight w:val="405"/>
        </w:trPr>
        <w:tc>
          <w:tcPr>
            <w:tcW w:w="7840" w:type="dxa"/>
            <w:vAlign w:val="bottom"/>
            <w:gridSpan w:val="2"/>
          </w:tcPr>
          <w:p>
            <w:pPr>
              <w:spacing w:after="0"/>
              <w:rPr>
                <w:sz w:val="20"/>
                <w:szCs w:val="20"/>
                <w:color w:val="auto"/>
              </w:rPr>
            </w:pPr>
            <w:r>
              <w:rPr>
                <w:rFonts w:ascii="Arial" w:cs="Arial" w:eastAsia="Arial" w:hAnsi="Arial"/>
                <w:sz w:val="18"/>
                <w:szCs w:val="18"/>
                <w:color w:val="auto"/>
              </w:rPr>
              <w:t>Equity in earnings of Erie Family Life Insurance Company, net of tax</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714</w:t>
            </w: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b w:val="1"/>
                <w:bCs w:val="1"/>
                <w:color w:val="auto"/>
              </w:rPr>
              <w:t>Net income</w:t>
            </w:r>
          </w:p>
        </w:tc>
        <w:tc>
          <w:tcPr>
            <w:tcW w:w="740" w:type="dxa"/>
            <w:vAlign w:val="bottom"/>
            <w:gridSpan w:val="2"/>
            <w:shd w:val="clear" w:color="auto" w:fill="CCEEFF"/>
          </w:tcPr>
          <w:p>
            <w:pPr>
              <w:ind w:left="600"/>
              <w:spacing w:after="0" w:line="202" w:lineRule="exact"/>
              <w:rPr>
                <w:sz w:val="20"/>
                <w:szCs w:val="20"/>
                <w:color w:val="auto"/>
              </w:rPr>
            </w:pPr>
            <w:r>
              <w:rPr>
                <w:rFonts w:ascii="Arial" w:cs="Arial" w:eastAsia="Arial" w:hAnsi="Arial"/>
                <w:sz w:val="18"/>
                <w:szCs w:val="18"/>
                <w:b w:val="1"/>
                <w:bCs w:val="1"/>
                <w:color w:val="auto"/>
              </w:rPr>
              <w:t>$</w:t>
            </w:r>
          </w:p>
        </w:tc>
        <w:tc>
          <w:tcPr>
            <w:tcW w:w="13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b w:val="1"/>
                <w:bCs w:val="1"/>
                <w:color w:val="auto"/>
              </w:rPr>
              <w:t>57,771</w:t>
            </w:r>
          </w:p>
        </w:tc>
        <w:tc>
          <w:tcPr>
            <w:tcW w:w="5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49,572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vMerge w:val="restart"/>
          </w:tcPr>
          <w:p>
            <w:pPr>
              <w:ind w:left="400"/>
              <w:spacing w:after="0"/>
              <w:rPr>
                <w:sz w:val="20"/>
                <w:szCs w:val="20"/>
                <w:color w:val="auto"/>
              </w:rPr>
            </w:pPr>
            <w:r>
              <w:rPr>
                <w:rFonts w:ascii="Arial" w:cs="Arial" w:eastAsia="Arial" w:hAnsi="Arial"/>
                <w:sz w:val="18"/>
                <w:szCs w:val="18"/>
                <w:b w:val="1"/>
                <w:bCs w:val="1"/>
                <w:color w:val="auto"/>
              </w:rPr>
              <w:t>Net income per share – basic</w:t>
            </w: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782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Class A common stock</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.91</w:t>
            </w:r>
          </w:p>
        </w:tc>
        <w:tc>
          <w:tcPr>
            <w:tcW w:w="5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820" w:type="dxa"/>
            <w:vAlign w:val="bottom"/>
          </w:tcPr>
          <w:p>
            <w:pPr>
              <w:ind w:left="600"/>
              <w:spacing w:after="0" w:line="196" w:lineRule="exact"/>
              <w:rPr>
                <w:sz w:val="20"/>
                <w:szCs w:val="20"/>
                <w:color w:val="auto"/>
              </w:rPr>
            </w:pPr>
            <w:r>
              <w:rPr>
                <w:rFonts w:ascii="Arial" w:cs="Arial" w:eastAsia="Arial" w:hAnsi="Arial"/>
                <w:sz w:val="18"/>
                <w:szCs w:val="18"/>
                <w:color w:val="auto"/>
              </w:rPr>
              <w:t>Class B common stock</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360"/>
              <w:spacing w:after="0" w:line="196" w:lineRule="exact"/>
              <w:rPr>
                <w:sz w:val="20"/>
                <w:szCs w:val="20"/>
                <w:color w:val="auto"/>
              </w:rPr>
            </w:pPr>
            <w:r>
              <w:rPr>
                <w:rFonts w:ascii="Arial" w:cs="Arial" w:eastAsia="Arial" w:hAnsi="Arial"/>
                <w:sz w:val="18"/>
                <w:szCs w:val="18"/>
                <w:color w:val="auto"/>
              </w:rPr>
              <w:t>138.84</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117.87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820" w:type="dxa"/>
            <w:vAlign w:val="bottom"/>
            <w:shd w:val="clear" w:color="auto" w:fill="CCEEFF"/>
          </w:tcPr>
          <w:p>
            <w:pPr>
              <w:ind w:left="400"/>
              <w:spacing w:after="0" w:line="196" w:lineRule="exact"/>
              <w:rPr>
                <w:sz w:val="20"/>
                <w:szCs w:val="20"/>
                <w:color w:val="auto"/>
              </w:rPr>
            </w:pPr>
            <w:r>
              <w:rPr>
                <w:rFonts w:ascii="Arial" w:cs="Arial" w:eastAsia="Arial" w:hAnsi="Arial"/>
                <w:sz w:val="18"/>
                <w:szCs w:val="18"/>
                <w:b w:val="1"/>
                <w:bCs w:val="1"/>
                <w:color w:val="auto"/>
              </w:rPr>
              <w:t>Net income per share – diluted</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60"/>
              <w:spacing w:after="0" w:line="196" w:lineRule="exact"/>
              <w:rPr>
                <w:sz w:val="20"/>
                <w:szCs w:val="20"/>
                <w:color w:val="auto"/>
              </w:rPr>
            </w:pPr>
            <w:r>
              <w:rPr>
                <w:rFonts w:ascii="Arial" w:cs="Arial" w:eastAsia="Arial" w:hAnsi="Arial"/>
                <w:sz w:val="18"/>
                <w:szCs w:val="18"/>
                <w:color w:val="auto"/>
              </w:rPr>
              <w:t>.83</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vMerge w:val="restart"/>
          </w:tcPr>
          <w:p>
            <w:pPr>
              <w:ind w:left="400"/>
              <w:spacing w:after="0"/>
              <w:rPr>
                <w:sz w:val="20"/>
                <w:szCs w:val="20"/>
                <w:color w:val="auto"/>
              </w:rPr>
            </w:pPr>
            <w:r>
              <w:rPr>
                <w:rFonts w:ascii="Arial" w:cs="Arial" w:eastAsia="Arial" w:hAnsi="Arial"/>
                <w:sz w:val="18"/>
                <w:szCs w:val="18"/>
                <w:b w:val="1"/>
                <w:bCs w:val="1"/>
                <w:color w:val="auto"/>
              </w:rPr>
              <w:t>Weighted average shares outstanding</w:t>
            </w: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782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Basic:</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ind w:left="800"/>
              <w:spacing w:after="0" w:line="202" w:lineRule="exact"/>
              <w:rPr>
                <w:sz w:val="20"/>
                <w:szCs w:val="20"/>
                <w:color w:val="auto"/>
              </w:rPr>
            </w:pPr>
            <w:r>
              <w:rPr>
                <w:rFonts w:ascii="Arial" w:cs="Arial" w:eastAsia="Arial" w:hAnsi="Arial"/>
                <w:sz w:val="18"/>
                <w:szCs w:val="18"/>
                <w:color w:val="auto"/>
              </w:rPr>
              <w:t>Class A common stock</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62,926,683</w:t>
            </w: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63,950,847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820" w:type="dxa"/>
            <w:vAlign w:val="bottom"/>
            <w:shd w:val="clear" w:color="auto" w:fill="CCEEFF"/>
          </w:tcPr>
          <w:p>
            <w:pPr>
              <w:ind w:left="800"/>
              <w:spacing w:after="0" w:line="196" w:lineRule="exact"/>
              <w:rPr>
                <w:sz w:val="20"/>
                <w:szCs w:val="20"/>
                <w:color w:val="auto"/>
              </w:rPr>
            </w:pPr>
            <w:r>
              <w:rPr>
                <w:rFonts w:ascii="Arial" w:cs="Arial" w:eastAsia="Arial" w:hAnsi="Arial"/>
                <w:sz w:val="18"/>
                <w:szCs w:val="18"/>
                <w:color w:val="auto"/>
              </w:rPr>
              <w:t>Class B common stock</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60"/>
              <w:spacing w:after="0" w:line="196" w:lineRule="exact"/>
              <w:rPr>
                <w:sz w:val="20"/>
                <w:szCs w:val="20"/>
                <w:color w:val="auto"/>
              </w:rPr>
            </w:pPr>
            <w:r>
              <w:rPr>
                <w:rFonts w:ascii="Arial" w:cs="Arial" w:eastAsia="Arial" w:hAnsi="Arial"/>
                <w:sz w:val="18"/>
                <w:szCs w:val="18"/>
                <w:color w:val="auto"/>
              </w:rPr>
              <w:t>2,851</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2,878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820" w:type="dxa"/>
            <w:vAlign w:val="bottom"/>
          </w:tcPr>
          <w:p>
            <w:pPr>
              <w:ind w:left="600"/>
              <w:spacing w:after="0" w:line="196" w:lineRule="exact"/>
              <w:rPr>
                <w:sz w:val="20"/>
                <w:szCs w:val="20"/>
                <w:color w:val="auto"/>
              </w:rPr>
            </w:pPr>
            <w:r>
              <w:rPr>
                <w:rFonts w:ascii="Arial" w:cs="Arial" w:eastAsia="Arial" w:hAnsi="Arial"/>
                <w:sz w:val="18"/>
                <w:szCs w:val="18"/>
                <w:color w:val="auto"/>
              </w:rPr>
              <w:t>Diluted Shares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69,845,958</w:t>
            </w: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70,926,223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8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b w:val="1"/>
                <w:bCs w:val="1"/>
                <w:color w:val="auto"/>
              </w:rPr>
              <w:t>Dividends declared per share:</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ind w:left="600"/>
              <w:spacing w:after="0" w:line="202" w:lineRule="exact"/>
              <w:rPr>
                <w:sz w:val="20"/>
                <w:szCs w:val="20"/>
                <w:color w:val="auto"/>
              </w:rPr>
            </w:pPr>
            <w:r>
              <w:rPr>
                <w:rFonts w:ascii="Arial" w:cs="Arial" w:eastAsia="Arial" w:hAnsi="Arial"/>
                <w:sz w:val="18"/>
                <w:szCs w:val="18"/>
                <w:color w:val="auto"/>
              </w:rPr>
              <w:t>Class A common stock</w:t>
            </w:r>
          </w:p>
        </w:tc>
        <w:tc>
          <w:tcPr>
            <w:tcW w:w="740" w:type="dxa"/>
            <w:vAlign w:val="bottom"/>
            <w:gridSpan w:val="2"/>
          </w:tcPr>
          <w:p>
            <w:pPr>
              <w:ind w:left="60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0.325</w:t>
            </w:r>
          </w:p>
        </w:tc>
        <w:tc>
          <w:tcPr>
            <w:tcW w:w="5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0.215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820" w:type="dxa"/>
            <w:vAlign w:val="bottom"/>
            <w:shd w:val="clear" w:color="auto" w:fill="CCEEFF"/>
          </w:tcPr>
          <w:p>
            <w:pPr>
              <w:ind w:left="600"/>
              <w:spacing w:after="0" w:line="196" w:lineRule="exact"/>
              <w:rPr>
                <w:sz w:val="20"/>
                <w:szCs w:val="20"/>
                <w:color w:val="auto"/>
              </w:rPr>
            </w:pPr>
            <w:r>
              <w:rPr>
                <w:rFonts w:ascii="Arial" w:cs="Arial" w:eastAsia="Arial" w:hAnsi="Arial"/>
                <w:sz w:val="18"/>
                <w:szCs w:val="18"/>
                <w:color w:val="auto"/>
              </w:rPr>
              <w:t>Class B common stock</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60"/>
              <w:spacing w:after="0" w:line="196" w:lineRule="exact"/>
              <w:rPr>
                <w:sz w:val="20"/>
                <w:szCs w:val="20"/>
                <w:color w:val="auto"/>
              </w:rPr>
            </w:pPr>
            <w:r>
              <w:rPr>
                <w:rFonts w:ascii="Arial" w:cs="Arial" w:eastAsia="Arial" w:hAnsi="Arial"/>
                <w:sz w:val="18"/>
                <w:szCs w:val="18"/>
                <w:color w:val="auto"/>
              </w:rPr>
              <w:t>48.75</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32.25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ERIE INDEMNITY COMPANY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COMPREHENSIVE INCOME (UNAUDITED)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060" w:type="dxa"/>
            <w:vAlign w:val="bottom"/>
            <w:gridSpan w:val="7"/>
          </w:tcPr>
          <w:p>
            <w:pPr>
              <w:spacing w:after="0"/>
              <w:rPr>
                <w:sz w:val="20"/>
                <w:szCs w:val="20"/>
                <w:color w:val="auto"/>
              </w:rPr>
            </w:pPr>
            <w:r>
              <w:rPr>
                <w:rFonts w:ascii="Arial" w:cs="Arial" w:eastAsia="Arial" w:hAnsi="Arial"/>
                <w:sz w:val="14"/>
                <w:szCs w:val="14"/>
                <w:color w:val="auto"/>
              </w:rPr>
              <w:t>Three Months Ended March 31</w:t>
            </w:r>
          </w:p>
        </w:tc>
        <w:tc>
          <w:tcPr>
            <w:tcW w:w="0" w:type="dxa"/>
            <w:vAlign w:val="bottom"/>
          </w:tcPr>
          <w:p>
            <w:pPr>
              <w:spacing w:after="0"/>
              <w:rPr>
                <w:sz w:val="1"/>
                <w:szCs w:val="1"/>
                <w:color w:val="auto"/>
              </w:rPr>
            </w:pPr>
          </w:p>
        </w:tc>
      </w:tr>
      <w:tr>
        <w:trPr>
          <w:trHeight w:val="157"/>
        </w:trPr>
        <w:tc>
          <w:tcPr>
            <w:tcW w:w="55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14"/>
              <w:spacing w:after="0" w:line="157" w:lineRule="exact"/>
              <w:rPr>
                <w:sz w:val="20"/>
                <w:szCs w:val="20"/>
                <w:color w:val="auto"/>
              </w:rPr>
            </w:pPr>
            <w:r>
              <w:rPr>
                <w:rFonts w:ascii="Arial" w:cs="Arial" w:eastAsia="Arial" w:hAnsi="Arial"/>
                <w:sz w:val="14"/>
                <w:szCs w:val="14"/>
                <w:color w:val="auto"/>
              </w:rPr>
              <w:t>2005</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33"/>
              <w:spacing w:after="0" w:line="157" w:lineRule="exact"/>
              <w:rPr>
                <w:sz w:val="20"/>
                <w:szCs w:val="20"/>
                <w:color w:val="auto"/>
              </w:rPr>
            </w:pPr>
            <w:r>
              <w:rPr>
                <w:rFonts w:ascii="Arial" w:cs="Arial" w:eastAsia="Arial" w:hAnsi="Arial"/>
                <w:sz w:val="14"/>
                <w:szCs w:val="14"/>
                <w:color w:val="auto"/>
              </w:rPr>
              <w:t>2004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5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20" w:type="dxa"/>
            <w:vAlign w:val="bottom"/>
            <w:gridSpan w:val="6"/>
          </w:tcPr>
          <w:p>
            <w:pPr>
              <w:jc w:val="right"/>
              <w:ind w:right="380"/>
              <w:spacing w:after="0" w:line="155" w:lineRule="exact"/>
              <w:rPr>
                <w:sz w:val="20"/>
                <w:szCs w:val="20"/>
                <w:color w:val="auto"/>
              </w:rPr>
            </w:pPr>
            <w:r>
              <w:rPr>
                <w:rFonts w:ascii="Arial" w:cs="Arial" w:eastAsia="Arial" w:hAnsi="Arial"/>
                <w:sz w:val="14"/>
                <w:szCs w:val="14"/>
                <w:color w:val="auto"/>
              </w:rPr>
              <w:t>(Dollars in thousands)</w:t>
            </w:r>
          </w:p>
        </w:tc>
        <w:tc>
          <w:tcPr>
            <w:tcW w:w="0" w:type="dxa"/>
            <w:vAlign w:val="bottom"/>
          </w:tcPr>
          <w:p>
            <w:pPr>
              <w:spacing w:after="0"/>
              <w:rPr>
                <w:sz w:val="1"/>
                <w:szCs w:val="1"/>
                <w:color w:val="auto"/>
              </w:rPr>
            </w:pPr>
          </w:p>
        </w:tc>
      </w:tr>
      <w:tr>
        <w:trPr>
          <w:trHeight w:val="203"/>
        </w:trPr>
        <w:tc>
          <w:tcPr>
            <w:tcW w:w="55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income</w:t>
            </w:r>
          </w:p>
        </w:tc>
        <w:tc>
          <w:tcPr>
            <w:tcW w:w="3980" w:type="dxa"/>
            <w:vAlign w:val="bottom"/>
            <w:gridSpan w:val="2"/>
            <w:shd w:val="clear" w:color="auto" w:fill="CCEEFF"/>
          </w:tcPr>
          <w:p>
            <w:pPr>
              <w:ind w:left="3840"/>
              <w:spacing w:after="0" w:line="202" w:lineRule="exact"/>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57,771</w:t>
            </w:r>
          </w:p>
        </w:tc>
        <w:tc>
          <w:tcPr>
            <w:tcW w:w="106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$ 49,572</w:t>
            </w:r>
          </w:p>
        </w:tc>
        <w:tc>
          <w:tcPr>
            <w:tcW w:w="0" w:type="dxa"/>
            <w:vAlign w:val="bottom"/>
          </w:tcPr>
          <w:p>
            <w:pPr>
              <w:spacing w:after="0"/>
              <w:rPr>
                <w:sz w:val="1"/>
                <w:szCs w:val="1"/>
                <w:color w:val="auto"/>
              </w:rPr>
            </w:pPr>
          </w:p>
        </w:tc>
      </w:tr>
      <w:tr>
        <w:trPr>
          <w:trHeight w:val="210"/>
        </w:trPr>
        <w:tc>
          <w:tcPr>
            <w:tcW w:w="5520" w:type="dxa"/>
            <w:vAlign w:val="bottom"/>
          </w:tcPr>
          <w:p>
            <w:pPr>
              <w:ind w:left="220"/>
              <w:spacing w:after="0"/>
              <w:rPr>
                <w:sz w:val="20"/>
                <w:szCs w:val="20"/>
                <w:color w:val="auto"/>
              </w:rPr>
            </w:pPr>
            <w:r>
              <w:rPr>
                <w:rFonts w:ascii="Arial" w:cs="Arial" w:eastAsia="Arial" w:hAnsi="Arial"/>
                <w:sz w:val="18"/>
                <w:szCs w:val="18"/>
                <w:color w:val="auto"/>
              </w:rPr>
              <w:t>Unrealized gains on securities:</w:t>
            </w:r>
          </w:p>
        </w:tc>
        <w:tc>
          <w:tcPr>
            <w:tcW w:w="38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2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Unrealized holding (losses) gains arising during period</w:t>
            </w:r>
          </w:p>
        </w:tc>
        <w:tc>
          <w:tcPr>
            <w:tcW w:w="3980" w:type="dxa"/>
            <w:vAlign w:val="bottom"/>
            <w:gridSpan w:val="2"/>
            <w:shd w:val="clear" w:color="auto" w:fill="CCEEFF"/>
          </w:tcPr>
          <w:p>
            <w:pPr>
              <w:ind w:left="384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25,759)</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22,942</w:t>
            </w:r>
          </w:p>
        </w:tc>
        <w:tc>
          <w:tcPr>
            <w:tcW w:w="0" w:type="dxa"/>
            <w:vAlign w:val="bottom"/>
          </w:tcPr>
          <w:p>
            <w:pPr>
              <w:spacing w:after="0"/>
              <w:rPr>
                <w:sz w:val="1"/>
                <w:szCs w:val="1"/>
                <w:color w:val="auto"/>
              </w:rPr>
            </w:pPr>
          </w:p>
        </w:tc>
      </w:tr>
      <w:tr>
        <w:trPr>
          <w:trHeight w:val="203"/>
        </w:trPr>
        <w:tc>
          <w:tcPr>
            <w:tcW w:w="5520" w:type="dxa"/>
            <w:vAlign w:val="bottom"/>
          </w:tcPr>
          <w:p>
            <w:pPr>
              <w:ind w:left="420"/>
              <w:spacing w:after="0" w:line="202" w:lineRule="exact"/>
              <w:rPr>
                <w:sz w:val="20"/>
                <w:szCs w:val="20"/>
                <w:color w:val="auto"/>
              </w:rPr>
            </w:pPr>
            <w:r>
              <w:rPr>
                <w:rFonts w:ascii="Arial" w:cs="Arial" w:eastAsia="Arial" w:hAnsi="Arial"/>
                <w:sz w:val="18"/>
                <w:szCs w:val="18"/>
                <w:color w:val="auto"/>
              </w:rPr>
              <w:t>Less: Gains included in net income</w:t>
            </w:r>
          </w:p>
        </w:tc>
        <w:tc>
          <w:tcPr>
            <w:tcW w:w="3840" w:type="dxa"/>
            <w:vAlign w:val="bottom"/>
          </w:tcPr>
          <w:p>
            <w:pPr>
              <w:spacing w:after="0"/>
              <w:rPr>
                <w:sz w:val="17"/>
                <w:szCs w:val="17"/>
                <w:color w:val="auto"/>
              </w:rPr>
            </w:pP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5,497)</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2,853)</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520" w:type="dxa"/>
            <w:vAlign w:val="bottom"/>
            <w:shd w:val="clear" w:color="auto" w:fill="CCEEFF"/>
          </w:tcPr>
          <w:p>
            <w:pPr>
              <w:ind w:left="620"/>
              <w:spacing w:after="0" w:line="202" w:lineRule="exact"/>
              <w:rPr>
                <w:sz w:val="20"/>
                <w:szCs w:val="20"/>
                <w:color w:val="auto"/>
              </w:rPr>
            </w:pPr>
            <w:r>
              <w:rPr>
                <w:rFonts w:ascii="Arial" w:cs="Arial" w:eastAsia="Arial" w:hAnsi="Arial"/>
                <w:sz w:val="18"/>
                <w:szCs w:val="18"/>
                <w:color w:val="auto"/>
              </w:rPr>
              <w:t>Net unrealized holding (losses) gains arising during period</w:t>
            </w:r>
          </w:p>
        </w:tc>
        <w:tc>
          <w:tcPr>
            <w:tcW w:w="3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31,256)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20,089</w:t>
            </w:r>
          </w:p>
        </w:tc>
        <w:tc>
          <w:tcPr>
            <w:tcW w:w="0" w:type="dxa"/>
            <w:vAlign w:val="bottom"/>
          </w:tcPr>
          <w:p>
            <w:pPr>
              <w:spacing w:after="0"/>
              <w:rPr>
                <w:sz w:val="1"/>
                <w:szCs w:val="1"/>
                <w:color w:val="auto"/>
              </w:rPr>
            </w:pPr>
          </w:p>
        </w:tc>
      </w:tr>
      <w:tr>
        <w:trPr>
          <w:trHeight w:val="203"/>
        </w:trPr>
        <w:tc>
          <w:tcPr>
            <w:tcW w:w="5520" w:type="dxa"/>
            <w:vAlign w:val="bottom"/>
          </w:tcPr>
          <w:p>
            <w:pPr>
              <w:ind w:left="220"/>
              <w:spacing w:after="0" w:line="202" w:lineRule="exact"/>
              <w:rPr>
                <w:sz w:val="20"/>
                <w:szCs w:val="20"/>
                <w:color w:val="auto"/>
              </w:rPr>
            </w:pPr>
            <w:r>
              <w:rPr>
                <w:rFonts w:ascii="Arial" w:cs="Arial" w:eastAsia="Arial" w:hAnsi="Arial"/>
                <w:sz w:val="18"/>
                <w:szCs w:val="18"/>
                <w:color w:val="auto"/>
              </w:rPr>
              <w:t>Income tax benefit (expense) related to unrealized (losses) gains</w:t>
            </w:r>
          </w:p>
        </w:tc>
        <w:tc>
          <w:tcPr>
            <w:tcW w:w="3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10,940</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7,031)</w:t>
            </w:r>
          </w:p>
        </w:tc>
        <w:tc>
          <w:tcPr>
            <w:tcW w:w="0" w:type="dxa"/>
            <w:vAlign w:val="bottom"/>
          </w:tcPr>
          <w:p>
            <w:pPr>
              <w:spacing w:after="0"/>
              <w:rPr>
                <w:sz w:val="1"/>
                <w:szCs w:val="1"/>
                <w:color w:val="auto"/>
              </w:rPr>
            </w:pPr>
          </w:p>
        </w:tc>
      </w:tr>
      <w:tr>
        <w:trPr>
          <w:trHeight w:val="210"/>
        </w:trPr>
        <w:tc>
          <w:tcPr>
            <w:tcW w:w="55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Change in other comprehensive income, net of tax</w:t>
            </w:r>
          </w:p>
        </w:tc>
        <w:tc>
          <w:tcPr>
            <w:tcW w:w="3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20,316)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13,058</w:t>
            </w:r>
          </w:p>
        </w:tc>
        <w:tc>
          <w:tcPr>
            <w:tcW w:w="0" w:type="dxa"/>
            <w:vAlign w:val="bottom"/>
          </w:tcPr>
          <w:p>
            <w:pPr>
              <w:spacing w:after="0"/>
              <w:rPr>
                <w:sz w:val="1"/>
                <w:szCs w:val="1"/>
                <w:color w:val="auto"/>
              </w:rPr>
            </w:pPr>
          </w:p>
        </w:tc>
      </w:tr>
      <w:tr>
        <w:trPr>
          <w:trHeight w:val="412"/>
        </w:trPr>
        <w:tc>
          <w:tcPr>
            <w:tcW w:w="552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3840" w:type="dxa"/>
            <w:vAlign w:val="bottom"/>
          </w:tcPr>
          <w:p>
            <w:pPr>
              <w:spacing w:after="0"/>
              <w:rPr>
                <w:sz w:val="24"/>
                <w:szCs w:val="24"/>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37,455</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$ 62,630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8"/>
                <w:szCs w:val="18"/>
                <w:color w:val="auto"/>
              </w:rPr>
              <w:t>See Accompanying Notes to Consolidated Financial Statements.</w:t>
            </w:r>
          </w:p>
        </w:tc>
        <w:tc>
          <w:tcPr>
            <w:tcW w:w="3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520" w:type="dxa"/>
            <w:vAlign w:val="bottom"/>
            <w:vMerge w:val="continue"/>
          </w:tcPr>
          <w:p>
            <w:pPr>
              <w:spacing w:after="0"/>
              <w:rPr>
                <w:sz w:val="24"/>
                <w:szCs w:val="24"/>
                <w:color w:val="auto"/>
              </w:rPr>
            </w:pPr>
          </w:p>
        </w:tc>
        <w:tc>
          <w:tcPr>
            <w:tcW w:w="3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520" w:type="dxa"/>
            <w:vAlign w:val="bottom"/>
          </w:tcPr>
          <w:p>
            <w:pPr>
              <w:spacing w:after="0"/>
              <w:rPr>
                <w:sz w:val="24"/>
                <w:szCs w:val="24"/>
                <w:color w:val="auto"/>
              </w:rPr>
            </w:pPr>
          </w:p>
        </w:tc>
        <w:tc>
          <w:tcPr>
            <w:tcW w:w="3840" w:type="dxa"/>
            <w:vAlign w:val="bottom"/>
          </w:tcPr>
          <w:p>
            <w:pPr>
              <w:jc w:val="right"/>
              <w:ind w:right="351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520" w:type="dxa"/>
            <w:vAlign w:val="bottom"/>
            <w:tcBorders>
              <w:bottom w:val="single" w:sz="8" w:color="808080"/>
            </w:tcBorders>
          </w:tcPr>
          <w:p>
            <w:pPr>
              <w:spacing w:after="0"/>
              <w:rPr>
                <w:sz w:val="18"/>
                <w:szCs w:val="18"/>
                <w:color w:val="auto"/>
              </w:rPr>
            </w:pPr>
          </w:p>
        </w:tc>
        <w:tc>
          <w:tcPr>
            <w:tcW w:w="384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60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6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ERIE INDEMNITY COMPANY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 (UNAUDITED)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60" w:type="dxa"/>
            <w:vAlign w:val="bottom"/>
          </w:tcPr>
          <w:p>
            <w:pPr>
              <w:spacing w:after="0"/>
              <w:rPr>
                <w:sz w:val="14"/>
                <w:szCs w:val="14"/>
                <w:color w:val="auto"/>
              </w:rPr>
            </w:pPr>
          </w:p>
        </w:tc>
        <w:tc>
          <w:tcPr>
            <w:tcW w:w="2160" w:type="dxa"/>
            <w:vAlign w:val="bottom"/>
            <w:gridSpan w:val="8"/>
          </w:tcPr>
          <w:p>
            <w:pPr>
              <w:jc w:val="right"/>
              <w:ind w:right="140"/>
              <w:spacing w:after="0"/>
              <w:rPr>
                <w:sz w:val="20"/>
                <w:szCs w:val="20"/>
                <w:color w:val="auto"/>
              </w:rPr>
            </w:pPr>
            <w:r>
              <w:rPr>
                <w:rFonts w:ascii="Arial" w:cs="Arial" w:eastAsia="Arial" w:hAnsi="Arial"/>
                <w:sz w:val="14"/>
                <w:szCs w:val="14"/>
                <w:color w:val="auto"/>
              </w:rPr>
              <w:t>Three Months Ended March 31</w:t>
            </w:r>
          </w:p>
        </w:tc>
      </w:tr>
      <w:tr>
        <w:trPr>
          <w:trHeight w:val="157"/>
        </w:trPr>
        <w:tc>
          <w:tcPr>
            <w:tcW w:w="92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31"/>
              <w:spacing w:after="0" w:line="157" w:lineRule="exact"/>
              <w:rPr>
                <w:sz w:val="20"/>
                <w:szCs w:val="20"/>
                <w:color w:val="auto"/>
              </w:rPr>
            </w:pPr>
            <w:r>
              <w:rPr>
                <w:rFonts w:ascii="Arial" w:cs="Arial" w:eastAsia="Arial" w:hAnsi="Arial"/>
                <w:sz w:val="14"/>
                <w:szCs w:val="14"/>
                <w:color w:val="auto"/>
              </w:rPr>
              <w:t>2005</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1"/>
              <w:spacing w:after="0" w:line="157" w:lineRule="exact"/>
              <w:rPr>
                <w:sz w:val="20"/>
                <w:szCs w:val="20"/>
                <w:color w:val="auto"/>
              </w:rPr>
            </w:pPr>
            <w:r>
              <w:rPr>
                <w:rFonts w:ascii="Arial" w:cs="Arial" w:eastAsia="Arial" w:hAnsi="Arial"/>
                <w:sz w:val="14"/>
                <w:szCs w:val="14"/>
                <w:color w:val="auto"/>
              </w:rPr>
              <w:t>2004</w:t>
            </w:r>
          </w:p>
        </w:tc>
        <w:tc>
          <w:tcPr>
            <w:tcW w:w="100" w:type="dxa"/>
            <w:vAlign w:val="bottom"/>
          </w:tcPr>
          <w:p>
            <w:pPr>
              <w:spacing w:after="0"/>
              <w:rPr>
                <w:sz w:val="13"/>
                <w:szCs w:val="13"/>
                <w:color w:val="auto"/>
              </w:rPr>
            </w:pPr>
          </w:p>
        </w:tc>
      </w:tr>
      <w:tr>
        <w:trPr>
          <w:trHeight w:val="156"/>
        </w:trPr>
        <w:tc>
          <w:tcPr>
            <w:tcW w:w="9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0" w:type="dxa"/>
            <w:vAlign w:val="bottom"/>
            <w:gridSpan w:val="7"/>
          </w:tcPr>
          <w:p>
            <w:pPr>
              <w:jc w:val="right"/>
              <w:ind w:right="440"/>
              <w:spacing w:after="0" w:line="155" w:lineRule="exact"/>
              <w:rPr>
                <w:sz w:val="20"/>
                <w:szCs w:val="20"/>
                <w:color w:val="auto"/>
              </w:rPr>
            </w:pPr>
            <w:r>
              <w:rPr>
                <w:rFonts w:ascii="Arial" w:cs="Arial" w:eastAsia="Arial" w:hAnsi="Arial"/>
                <w:sz w:val="14"/>
                <w:szCs w:val="14"/>
                <w:color w:val="auto"/>
              </w:rPr>
              <w:t>(Dollars in thousands)</w:t>
            </w:r>
          </w:p>
        </w:tc>
      </w:tr>
      <w:tr>
        <w:trPr>
          <w:trHeight w:val="203"/>
        </w:trPr>
        <w:tc>
          <w:tcPr>
            <w:tcW w:w="92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9260" w:type="dxa"/>
            <w:vAlign w:val="bottom"/>
          </w:tcPr>
          <w:p>
            <w:pPr>
              <w:ind w:left="220"/>
              <w:spacing w:after="0" w:line="202" w:lineRule="exact"/>
              <w:rPr>
                <w:sz w:val="20"/>
                <w:szCs w:val="20"/>
                <w:color w:val="auto"/>
              </w:rPr>
            </w:pPr>
            <w:r>
              <w:rPr>
                <w:rFonts w:ascii="Arial" w:cs="Arial" w:eastAsia="Arial" w:hAnsi="Arial"/>
                <w:sz w:val="18"/>
                <w:szCs w:val="18"/>
                <w:color w:val="auto"/>
              </w:rPr>
              <w:t>Management fee received</w:t>
            </w: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4"/>
              </w:rPr>
              <w:t>$ 231,991</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4"/>
          </w:tcPr>
          <w:p>
            <w:pPr>
              <w:jc w:val="right"/>
              <w:ind w:right="100"/>
              <w:spacing w:after="0" w:line="202" w:lineRule="exact"/>
              <w:rPr>
                <w:sz w:val="20"/>
                <w:szCs w:val="20"/>
                <w:color w:val="auto"/>
              </w:rPr>
            </w:pPr>
            <w:r>
              <w:rPr>
                <w:rFonts w:ascii="Arial" w:cs="Arial" w:eastAsia="Arial" w:hAnsi="Arial"/>
                <w:sz w:val="18"/>
                <w:szCs w:val="18"/>
                <w:color w:val="auto"/>
              </w:rPr>
              <w:t>$ 200,016</w:t>
            </w:r>
          </w:p>
        </w:tc>
      </w:tr>
      <w:tr>
        <w:trPr>
          <w:trHeight w:val="203"/>
        </w:trPr>
        <w:tc>
          <w:tcPr>
            <w:tcW w:w="92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Service agreement fee received</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4,553</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5,598</w:t>
            </w:r>
          </w:p>
        </w:tc>
      </w:tr>
      <w:tr>
        <w:trPr>
          <w:trHeight w:val="203"/>
        </w:trPr>
        <w:tc>
          <w:tcPr>
            <w:tcW w:w="9260" w:type="dxa"/>
            <w:vAlign w:val="bottom"/>
          </w:tcPr>
          <w:p>
            <w:pPr>
              <w:ind w:left="220"/>
              <w:spacing w:after="0" w:line="202" w:lineRule="exact"/>
              <w:rPr>
                <w:sz w:val="20"/>
                <w:szCs w:val="20"/>
                <w:color w:val="auto"/>
              </w:rPr>
            </w:pPr>
            <w:r>
              <w:rPr>
                <w:rFonts w:ascii="Arial" w:cs="Arial" w:eastAsia="Arial" w:hAnsi="Arial"/>
                <w:sz w:val="18"/>
                <w:szCs w:val="18"/>
                <w:color w:val="auto"/>
              </w:rPr>
              <w:t>Premiums collected</w:t>
            </w:r>
          </w:p>
        </w:tc>
        <w:tc>
          <w:tcPr>
            <w:tcW w:w="16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51,307</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49,348</w:t>
            </w:r>
          </w:p>
        </w:tc>
      </w:tr>
      <w:tr>
        <w:trPr>
          <w:trHeight w:val="203"/>
        </w:trPr>
        <w:tc>
          <w:tcPr>
            <w:tcW w:w="92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Net investment income received</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14,030</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13,916</w:t>
            </w:r>
          </w:p>
        </w:tc>
      </w:tr>
      <w:tr>
        <w:trPr>
          <w:trHeight w:val="203"/>
        </w:trPr>
        <w:tc>
          <w:tcPr>
            <w:tcW w:w="9260" w:type="dxa"/>
            <w:vAlign w:val="bottom"/>
          </w:tcPr>
          <w:p>
            <w:pPr>
              <w:ind w:left="220"/>
              <w:spacing w:after="0" w:line="202" w:lineRule="exact"/>
              <w:rPr>
                <w:sz w:val="20"/>
                <w:szCs w:val="20"/>
                <w:color w:val="auto"/>
              </w:rPr>
            </w:pPr>
            <w:r>
              <w:rPr>
                <w:rFonts w:ascii="Arial" w:cs="Arial" w:eastAsia="Arial" w:hAnsi="Arial"/>
                <w:sz w:val="18"/>
                <w:szCs w:val="18"/>
                <w:color w:val="auto"/>
              </w:rPr>
              <w:t>Dividends received from Erie Family Life</w:t>
            </w: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450</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429</w:t>
            </w:r>
          </w:p>
        </w:tc>
      </w:tr>
      <w:tr>
        <w:trPr>
          <w:trHeight w:val="203"/>
        </w:trPr>
        <w:tc>
          <w:tcPr>
            <w:tcW w:w="92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Salaries and wages paid</w:t>
            </w: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24,853)</w:t>
            </w:r>
          </w:p>
        </w:tc>
        <w:tc>
          <w:tcPr>
            <w:tcW w:w="3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20,217)</w:t>
            </w:r>
          </w:p>
        </w:tc>
      </w:tr>
      <w:tr>
        <w:trPr>
          <w:trHeight w:val="203"/>
        </w:trPr>
        <w:tc>
          <w:tcPr>
            <w:tcW w:w="9260" w:type="dxa"/>
            <w:vAlign w:val="bottom"/>
          </w:tcPr>
          <w:p>
            <w:pPr>
              <w:ind w:left="220"/>
              <w:spacing w:after="0" w:line="202" w:lineRule="exact"/>
              <w:rPr>
                <w:sz w:val="20"/>
                <w:szCs w:val="20"/>
                <w:color w:val="auto"/>
              </w:rPr>
            </w:pPr>
            <w:r>
              <w:rPr>
                <w:rFonts w:ascii="Arial" w:cs="Arial" w:eastAsia="Arial" w:hAnsi="Arial"/>
                <w:sz w:val="18"/>
                <w:szCs w:val="18"/>
                <w:color w:val="auto"/>
              </w:rPr>
              <w:t>Pension funding and employee benefits paid</w:t>
            </w: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1,724)</w:t>
            </w:r>
          </w:p>
        </w:tc>
        <w:tc>
          <w:tcPr>
            <w:tcW w:w="3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10,892)</w:t>
            </w:r>
          </w:p>
        </w:tc>
      </w:tr>
      <w:tr>
        <w:trPr>
          <w:trHeight w:val="203"/>
        </w:trPr>
        <w:tc>
          <w:tcPr>
            <w:tcW w:w="92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Commissions paid to agents</w:t>
            </w:r>
          </w:p>
        </w:tc>
        <w:tc>
          <w:tcPr>
            <w:tcW w:w="1060" w:type="dxa"/>
            <w:vAlign w:val="bottom"/>
            <w:gridSpan w:val="4"/>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w w:val="99"/>
              </w:rPr>
              <w:t>( 110,959)</w:t>
            </w:r>
          </w:p>
        </w:tc>
        <w:tc>
          <w:tcPr>
            <w:tcW w:w="1100" w:type="dxa"/>
            <w:vAlign w:val="bottom"/>
            <w:gridSpan w:val="4"/>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( 108,220)</w:t>
            </w:r>
          </w:p>
        </w:tc>
      </w:tr>
      <w:tr>
        <w:trPr>
          <w:trHeight w:val="203"/>
        </w:trPr>
        <w:tc>
          <w:tcPr>
            <w:tcW w:w="9260" w:type="dxa"/>
            <w:vAlign w:val="bottom"/>
          </w:tcPr>
          <w:p>
            <w:pPr>
              <w:ind w:left="220"/>
              <w:spacing w:after="0" w:line="202" w:lineRule="exact"/>
              <w:rPr>
                <w:sz w:val="20"/>
                <w:szCs w:val="20"/>
                <w:color w:val="auto"/>
              </w:rPr>
            </w:pPr>
            <w:r>
              <w:rPr>
                <w:rFonts w:ascii="Arial" w:cs="Arial" w:eastAsia="Arial" w:hAnsi="Arial"/>
                <w:sz w:val="18"/>
                <w:szCs w:val="18"/>
                <w:color w:val="auto"/>
              </w:rPr>
              <w:t>Agent bonuses paid</w:t>
            </w: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46,399)</w:t>
            </w:r>
          </w:p>
        </w:tc>
        <w:tc>
          <w:tcPr>
            <w:tcW w:w="3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23,753)</w:t>
            </w:r>
          </w:p>
        </w:tc>
      </w:tr>
      <w:tr>
        <w:trPr>
          <w:trHeight w:val="203"/>
        </w:trPr>
        <w:tc>
          <w:tcPr>
            <w:tcW w:w="92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General operating expenses paid</w:t>
            </w: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17,574)</w:t>
            </w:r>
          </w:p>
        </w:tc>
        <w:tc>
          <w:tcPr>
            <w:tcW w:w="3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17,114)</w:t>
            </w:r>
          </w:p>
        </w:tc>
      </w:tr>
      <w:tr>
        <w:trPr>
          <w:trHeight w:val="203"/>
        </w:trPr>
        <w:tc>
          <w:tcPr>
            <w:tcW w:w="9260" w:type="dxa"/>
            <w:vAlign w:val="bottom"/>
          </w:tcPr>
          <w:p>
            <w:pPr>
              <w:ind w:left="220"/>
              <w:spacing w:after="0" w:line="202" w:lineRule="exact"/>
              <w:rPr>
                <w:sz w:val="20"/>
                <w:szCs w:val="20"/>
                <w:color w:val="auto"/>
              </w:rPr>
            </w:pPr>
            <w:r>
              <w:rPr>
                <w:rFonts w:ascii="Arial" w:cs="Arial" w:eastAsia="Arial" w:hAnsi="Arial"/>
                <w:sz w:val="18"/>
                <w:szCs w:val="18"/>
                <w:color w:val="auto"/>
              </w:rPr>
              <w:t>Losses and loss adjustment expenses paid</w:t>
            </w: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29,790)</w:t>
            </w:r>
          </w:p>
        </w:tc>
        <w:tc>
          <w:tcPr>
            <w:tcW w:w="3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35,097)</w:t>
            </w:r>
          </w:p>
        </w:tc>
      </w:tr>
      <w:tr>
        <w:trPr>
          <w:trHeight w:val="203"/>
        </w:trPr>
        <w:tc>
          <w:tcPr>
            <w:tcW w:w="92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Other underwriting and acquisition costs paid</w:t>
            </w: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2,506)</w:t>
            </w:r>
          </w:p>
        </w:tc>
        <w:tc>
          <w:tcPr>
            <w:tcW w:w="3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4,612)</w:t>
            </w:r>
          </w:p>
        </w:tc>
      </w:tr>
      <w:tr>
        <w:trPr>
          <w:trHeight w:val="210"/>
        </w:trPr>
        <w:tc>
          <w:tcPr>
            <w:tcW w:w="9260" w:type="dxa"/>
            <w:vAlign w:val="bottom"/>
          </w:tcPr>
          <w:p>
            <w:pPr>
              <w:ind w:left="220"/>
              <w:spacing w:after="0" w:line="202" w:lineRule="exact"/>
              <w:rPr>
                <w:sz w:val="20"/>
                <w:szCs w:val="20"/>
                <w:color w:val="auto"/>
              </w:rPr>
            </w:pPr>
            <w:r>
              <w:rPr>
                <w:rFonts w:ascii="Arial" w:cs="Arial" w:eastAsia="Arial" w:hAnsi="Arial"/>
                <w:sz w:val="18"/>
                <w:szCs w:val="18"/>
                <w:color w:val="auto"/>
              </w:rPr>
              <w:t>Income taxes paid</w:t>
            </w: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6,057)</w:t>
            </w:r>
          </w:p>
        </w:tc>
        <w:tc>
          <w:tcPr>
            <w:tcW w:w="3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4,811)</w:t>
            </w:r>
          </w:p>
        </w:tc>
      </w:tr>
      <w:tr>
        <w:trPr>
          <w:trHeight w:val="203"/>
        </w:trPr>
        <w:tc>
          <w:tcPr>
            <w:tcW w:w="9260" w:type="dxa"/>
            <w:vAlign w:val="bottom"/>
            <w:shd w:val="clear" w:color="auto" w:fill="CCEEFF"/>
          </w:tcPr>
          <w:p>
            <w:pPr>
              <w:ind w:left="620"/>
              <w:spacing w:after="0" w:line="202" w:lineRule="exact"/>
              <w:rPr>
                <w:sz w:val="20"/>
                <w:szCs w:val="20"/>
                <w:color w:val="auto"/>
              </w:rPr>
            </w:pPr>
            <w:r>
              <w:rPr>
                <w:rFonts w:ascii="Arial" w:cs="Arial" w:eastAsia="Arial" w:hAnsi="Arial"/>
                <w:sz w:val="18"/>
                <w:szCs w:val="18"/>
                <w:b w:val="1"/>
                <w:bCs w:val="1"/>
                <w:color w:val="auto"/>
              </w:rPr>
              <w:t>Net cash provided by operating activities</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62,469</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44,591</w:t>
            </w:r>
          </w:p>
        </w:tc>
        <w:tc>
          <w:tcPr>
            <w:tcW w:w="100" w:type="dxa"/>
            <w:vAlign w:val="bottom"/>
            <w:shd w:val="clear" w:color="auto" w:fill="CCEEFF"/>
          </w:tcPr>
          <w:p>
            <w:pPr>
              <w:spacing w:after="0"/>
              <w:rPr>
                <w:sz w:val="17"/>
                <w:szCs w:val="17"/>
                <w:color w:val="auto"/>
              </w:rPr>
            </w:pPr>
          </w:p>
        </w:tc>
      </w:tr>
      <w:tr>
        <w:trPr>
          <w:trHeight w:val="412"/>
        </w:trPr>
        <w:tc>
          <w:tcPr>
            <w:tcW w:w="92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92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Purchase of investments:</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9260" w:type="dxa"/>
            <w:vAlign w:val="bottom"/>
          </w:tcPr>
          <w:p>
            <w:pPr>
              <w:ind w:left="420"/>
              <w:spacing w:after="0" w:line="202" w:lineRule="exact"/>
              <w:rPr>
                <w:sz w:val="20"/>
                <w:szCs w:val="20"/>
                <w:color w:val="auto"/>
              </w:rPr>
            </w:pPr>
            <w:r>
              <w:rPr>
                <w:rFonts w:ascii="Arial" w:cs="Arial" w:eastAsia="Arial" w:hAnsi="Arial"/>
                <w:sz w:val="18"/>
                <w:szCs w:val="18"/>
                <w:color w:val="auto"/>
              </w:rPr>
              <w:t>Fixed maturities</w:t>
            </w: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97,260)</w:t>
            </w:r>
          </w:p>
        </w:tc>
        <w:tc>
          <w:tcPr>
            <w:tcW w:w="110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( 107,003)</w:t>
            </w:r>
          </w:p>
        </w:tc>
      </w:tr>
      <w:tr>
        <w:trPr>
          <w:trHeight w:val="203"/>
        </w:trPr>
        <w:tc>
          <w:tcPr>
            <w:tcW w:w="92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Equity securities</w:t>
            </w: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50,791)</w:t>
            </w:r>
          </w:p>
        </w:tc>
        <w:tc>
          <w:tcPr>
            <w:tcW w:w="3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5,151)</w:t>
            </w:r>
          </w:p>
        </w:tc>
      </w:tr>
      <w:tr>
        <w:trPr>
          <w:trHeight w:val="203"/>
        </w:trPr>
        <w:tc>
          <w:tcPr>
            <w:tcW w:w="9260" w:type="dxa"/>
            <w:vAlign w:val="bottom"/>
          </w:tcPr>
          <w:p>
            <w:pPr>
              <w:ind w:left="420"/>
              <w:spacing w:after="0" w:line="202" w:lineRule="exact"/>
              <w:rPr>
                <w:sz w:val="20"/>
                <w:szCs w:val="20"/>
                <w:color w:val="auto"/>
              </w:rPr>
            </w:pPr>
            <w:r>
              <w:rPr>
                <w:rFonts w:ascii="Arial" w:cs="Arial" w:eastAsia="Arial" w:hAnsi="Arial"/>
                <w:sz w:val="18"/>
                <w:szCs w:val="18"/>
                <w:color w:val="auto"/>
              </w:rPr>
              <w:t>Limited partnerships</w:t>
            </w: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13,583)</w:t>
            </w:r>
          </w:p>
        </w:tc>
        <w:tc>
          <w:tcPr>
            <w:tcW w:w="3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4,974)</w:t>
            </w:r>
          </w:p>
        </w:tc>
      </w:tr>
      <w:tr>
        <w:trPr>
          <w:trHeight w:val="203"/>
        </w:trPr>
        <w:tc>
          <w:tcPr>
            <w:tcW w:w="92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Sales/maturities of investments:</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9260" w:type="dxa"/>
            <w:vAlign w:val="bottom"/>
          </w:tcPr>
          <w:p>
            <w:pPr>
              <w:ind w:left="420"/>
              <w:spacing w:after="0" w:line="202" w:lineRule="exact"/>
              <w:rPr>
                <w:sz w:val="20"/>
                <w:szCs w:val="20"/>
                <w:color w:val="auto"/>
              </w:rPr>
            </w:pPr>
            <w:r>
              <w:rPr>
                <w:rFonts w:ascii="Arial" w:cs="Arial" w:eastAsia="Arial" w:hAnsi="Arial"/>
                <w:sz w:val="18"/>
                <w:szCs w:val="18"/>
                <w:color w:val="auto"/>
              </w:rPr>
              <w:t>Fixed maturity sales</w:t>
            </w:r>
          </w:p>
        </w:tc>
        <w:tc>
          <w:tcPr>
            <w:tcW w:w="16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48,657</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40,286</w:t>
            </w:r>
          </w:p>
        </w:tc>
      </w:tr>
      <w:tr>
        <w:trPr>
          <w:trHeight w:val="203"/>
        </w:trPr>
        <w:tc>
          <w:tcPr>
            <w:tcW w:w="92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Fixed maturity calls/maturities</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22,969</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31,535</w:t>
            </w:r>
          </w:p>
        </w:tc>
      </w:tr>
      <w:tr>
        <w:trPr>
          <w:trHeight w:val="203"/>
        </w:trPr>
        <w:tc>
          <w:tcPr>
            <w:tcW w:w="9260" w:type="dxa"/>
            <w:vAlign w:val="bottom"/>
          </w:tcPr>
          <w:p>
            <w:pPr>
              <w:ind w:left="420"/>
              <w:spacing w:after="0" w:line="202" w:lineRule="exact"/>
              <w:rPr>
                <w:sz w:val="20"/>
                <w:szCs w:val="20"/>
                <w:color w:val="auto"/>
              </w:rPr>
            </w:pPr>
            <w:r>
              <w:rPr>
                <w:rFonts w:ascii="Arial" w:cs="Arial" w:eastAsia="Arial" w:hAnsi="Arial"/>
                <w:sz w:val="18"/>
                <w:szCs w:val="18"/>
                <w:color w:val="auto"/>
              </w:rPr>
              <w:t>Equity securities</w:t>
            </w:r>
          </w:p>
        </w:tc>
        <w:tc>
          <w:tcPr>
            <w:tcW w:w="16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40,917</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4,959</w:t>
            </w:r>
          </w:p>
        </w:tc>
      </w:tr>
      <w:tr>
        <w:trPr>
          <w:trHeight w:val="203"/>
        </w:trPr>
        <w:tc>
          <w:tcPr>
            <w:tcW w:w="92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Limited partnership sales/distributions</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14,344</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4,707</w:t>
            </w:r>
          </w:p>
        </w:tc>
      </w:tr>
      <w:tr>
        <w:trPr>
          <w:trHeight w:val="203"/>
        </w:trPr>
        <w:tc>
          <w:tcPr>
            <w:tcW w:w="9260" w:type="dxa"/>
            <w:vAlign w:val="bottom"/>
          </w:tcPr>
          <w:p>
            <w:pPr>
              <w:ind w:left="220"/>
              <w:spacing w:after="0" w:line="202" w:lineRule="exact"/>
              <w:rPr>
                <w:sz w:val="20"/>
                <w:szCs w:val="20"/>
                <w:color w:val="auto"/>
              </w:rPr>
            </w:pPr>
            <w:r>
              <w:rPr>
                <w:rFonts w:ascii="Arial" w:cs="Arial" w:eastAsia="Arial" w:hAnsi="Arial"/>
                <w:sz w:val="18"/>
                <w:szCs w:val="18"/>
                <w:color w:val="auto"/>
              </w:rPr>
              <w:t>Increase in collateral from securities lending</w:t>
            </w:r>
          </w:p>
        </w:tc>
        <w:tc>
          <w:tcPr>
            <w:tcW w:w="16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10,128</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4,852</w:t>
            </w:r>
          </w:p>
        </w:tc>
      </w:tr>
      <w:tr>
        <w:trPr>
          <w:trHeight w:val="203"/>
        </w:trPr>
        <w:tc>
          <w:tcPr>
            <w:tcW w:w="92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Purchase of property and equipment</w:t>
            </w: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301)</w:t>
            </w:r>
          </w:p>
        </w:tc>
        <w:tc>
          <w:tcPr>
            <w:tcW w:w="3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264)</w:t>
            </w:r>
          </w:p>
        </w:tc>
      </w:tr>
      <w:tr>
        <w:trPr>
          <w:trHeight w:val="210"/>
        </w:trPr>
        <w:tc>
          <w:tcPr>
            <w:tcW w:w="9260" w:type="dxa"/>
            <w:vAlign w:val="bottom"/>
          </w:tcPr>
          <w:p>
            <w:pPr>
              <w:ind w:left="220"/>
              <w:spacing w:after="0" w:line="202" w:lineRule="exact"/>
              <w:rPr>
                <w:sz w:val="20"/>
                <w:szCs w:val="20"/>
                <w:color w:val="auto"/>
              </w:rPr>
            </w:pPr>
            <w:r>
              <w:rPr>
                <w:rFonts w:ascii="Arial" w:cs="Arial" w:eastAsia="Arial" w:hAnsi="Arial"/>
                <w:sz w:val="18"/>
                <w:szCs w:val="18"/>
                <w:color w:val="auto"/>
              </w:rPr>
              <w:t>Net collections on agent loans</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925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376</w:t>
            </w:r>
          </w:p>
        </w:tc>
        <w:tc>
          <w:tcPr>
            <w:tcW w:w="100" w:type="dxa"/>
            <w:vAlign w:val="bottom"/>
          </w:tcPr>
          <w:p>
            <w:pPr>
              <w:spacing w:after="0"/>
              <w:rPr>
                <w:sz w:val="18"/>
                <w:szCs w:val="18"/>
                <w:color w:val="auto"/>
              </w:rPr>
            </w:pPr>
          </w:p>
        </w:tc>
      </w:tr>
      <w:tr>
        <w:trPr>
          <w:trHeight w:val="203"/>
        </w:trPr>
        <w:tc>
          <w:tcPr>
            <w:tcW w:w="9260" w:type="dxa"/>
            <w:vAlign w:val="bottom"/>
            <w:shd w:val="clear" w:color="auto" w:fill="CCEEFF"/>
          </w:tcPr>
          <w:p>
            <w:pPr>
              <w:ind w:left="620"/>
              <w:spacing w:after="0" w:line="202" w:lineRule="exact"/>
              <w:rPr>
                <w:sz w:val="20"/>
                <w:szCs w:val="20"/>
                <w:color w:val="auto"/>
              </w:rPr>
            </w:pPr>
            <w:r>
              <w:rPr>
                <w:rFonts w:ascii="Arial" w:cs="Arial" w:eastAsia="Arial" w:hAnsi="Arial"/>
                <w:sz w:val="18"/>
                <w:szCs w:val="18"/>
                <w:b w:val="1"/>
                <w:bCs w:val="1"/>
                <w:color w:val="auto"/>
              </w:rPr>
              <w:t>Net cash used in investing activities</w:t>
            </w: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23,995)</w:t>
            </w:r>
          </w:p>
        </w:tc>
        <w:tc>
          <w:tcPr>
            <w:tcW w:w="3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30,677)</w:t>
            </w:r>
          </w:p>
        </w:tc>
      </w:tr>
      <w:tr>
        <w:trPr>
          <w:trHeight w:val="412"/>
        </w:trPr>
        <w:tc>
          <w:tcPr>
            <w:tcW w:w="92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92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Dividends paid to shareholders</w:t>
            </w: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20,612)</w:t>
            </w:r>
          </w:p>
        </w:tc>
        <w:tc>
          <w:tcPr>
            <w:tcW w:w="3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13,872)</w:t>
            </w:r>
          </w:p>
        </w:tc>
      </w:tr>
      <w:tr>
        <w:trPr>
          <w:trHeight w:val="203"/>
        </w:trPr>
        <w:tc>
          <w:tcPr>
            <w:tcW w:w="9260" w:type="dxa"/>
            <w:vAlign w:val="bottom"/>
          </w:tcPr>
          <w:p>
            <w:pPr>
              <w:ind w:left="220"/>
              <w:spacing w:after="0" w:line="202" w:lineRule="exact"/>
              <w:rPr>
                <w:sz w:val="20"/>
                <w:szCs w:val="20"/>
                <w:color w:val="auto"/>
              </w:rPr>
            </w:pPr>
            <w:r>
              <w:rPr>
                <w:rFonts w:ascii="Arial" w:cs="Arial" w:eastAsia="Arial" w:hAnsi="Arial"/>
                <w:sz w:val="18"/>
                <w:szCs w:val="18"/>
                <w:color w:val="auto"/>
              </w:rPr>
              <w:t>Purchase of treasury stock</w:t>
            </w: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14,616)</w:t>
            </w:r>
          </w:p>
        </w:tc>
        <w:tc>
          <w:tcPr>
            <w:tcW w:w="3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6,343)</w:t>
            </w:r>
          </w:p>
        </w:tc>
      </w:tr>
      <w:tr>
        <w:trPr>
          <w:trHeight w:val="27"/>
        </w:trPr>
        <w:tc>
          <w:tcPr>
            <w:tcW w:w="9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9260" w:type="dxa"/>
            <w:vAlign w:val="bottom"/>
            <w:shd w:val="clear" w:color="auto" w:fill="CCEEFF"/>
          </w:tcPr>
          <w:p>
            <w:pPr>
              <w:ind w:left="620"/>
              <w:spacing w:after="0" w:line="202" w:lineRule="exact"/>
              <w:rPr>
                <w:sz w:val="20"/>
                <w:szCs w:val="20"/>
                <w:color w:val="auto"/>
              </w:rPr>
            </w:pPr>
            <w:r>
              <w:rPr>
                <w:rFonts w:ascii="Arial" w:cs="Arial" w:eastAsia="Arial" w:hAnsi="Arial"/>
                <w:sz w:val="18"/>
                <w:szCs w:val="18"/>
                <w:b w:val="1"/>
                <w:bCs w:val="1"/>
                <w:color w:val="auto"/>
              </w:rPr>
              <w:t>Cash used in financing activities</w:t>
            </w: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35,228)</w:t>
            </w:r>
          </w:p>
        </w:tc>
        <w:tc>
          <w:tcPr>
            <w:tcW w:w="3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20,215)</w:t>
            </w:r>
          </w:p>
        </w:tc>
      </w:tr>
      <w:tr>
        <w:trPr>
          <w:trHeight w:val="20"/>
        </w:trPr>
        <w:tc>
          <w:tcPr>
            <w:tcW w:w="9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9260" w:type="dxa"/>
            <w:vAlign w:val="bottom"/>
          </w:tcPr>
          <w:p>
            <w:pPr>
              <w:ind w:left="220"/>
              <w:spacing w:after="0"/>
              <w:rPr>
                <w:sz w:val="20"/>
                <w:szCs w:val="20"/>
                <w:color w:val="auto"/>
              </w:rPr>
            </w:pPr>
            <w:r>
              <w:rPr>
                <w:rFonts w:ascii="Arial" w:cs="Arial" w:eastAsia="Arial" w:hAnsi="Arial"/>
                <w:sz w:val="18"/>
                <w:szCs w:val="18"/>
                <w:color w:val="auto"/>
              </w:rPr>
              <w:t>Net increase (decrease) in cash and cash equivalents</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3,246</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6,301)</w:t>
            </w:r>
          </w:p>
        </w:tc>
      </w:tr>
      <w:tr>
        <w:trPr>
          <w:trHeight w:val="203"/>
        </w:trPr>
        <w:tc>
          <w:tcPr>
            <w:tcW w:w="92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Cash and cash equivalents at beginning of period</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50,061</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87,192</w:t>
            </w:r>
          </w:p>
        </w:tc>
      </w:tr>
      <w:tr>
        <w:trPr>
          <w:trHeight w:val="210"/>
        </w:trPr>
        <w:tc>
          <w:tcPr>
            <w:tcW w:w="9260" w:type="dxa"/>
            <w:vAlign w:val="bottom"/>
          </w:tcPr>
          <w:p>
            <w:pPr>
              <w:ind w:left="620"/>
              <w:spacing w:after="0"/>
              <w:rPr>
                <w:sz w:val="20"/>
                <w:szCs w:val="20"/>
                <w:color w:val="auto"/>
              </w:rPr>
            </w:pPr>
            <w:r>
              <w:rPr>
                <w:rFonts w:ascii="Arial" w:cs="Arial" w:eastAsia="Arial" w:hAnsi="Arial"/>
                <w:sz w:val="18"/>
                <w:szCs w:val="18"/>
                <w:b w:val="1"/>
                <w:bCs w:val="1"/>
                <w:color w:val="auto"/>
              </w:rPr>
              <w:t>Cash and cash equivalents at end of period</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53,307</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80,891</w:t>
            </w:r>
          </w:p>
        </w:tc>
        <w:tc>
          <w:tcPr>
            <w:tcW w:w="100" w:type="dxa"/>
            <w:vAlign w:val="bottom"/>
          </w:tcPr>
          <w:p>
            <w:pPr>
              <w:spacing w:after="0"/>
              <w:rPr>
                <w:sz w:val="18"/>
                <w:szCs w:val="18"/>
                <w:color w:val="auto"/>
              </w:rPr>
            </w:pPr>
          </w:p>
        </w:tc>
      </w:tr>
      <w:tr>
        <w:trPr>
          <w:trHeight w:val="20"/>
        </w:trPr>
        <w:tc>
          <w:tcPr>
            <w:tcW w:w="9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8" w:name="page9"/>
    <w:bookmarkEnd w:id="8"/>
    <w:p>
      <w:pPr>
        <w:ind w:left="4520"/>
        <w:spacing w:after="0"/>
        <w:rPr>
          <w:sz w:val="20"/>
          <w:szCs w:val="20"/>
          <w:color w:val="auto"/>
        </w:rPr>
      </w:pPr>
      <w:r>
        <w:rPr>
          <w:rFonts w:ascii="Arial" w:cs="Arial" w:eastAsia="Arial" w:hAnsi="Arial"/>
          <w:sz w:val="18"/>
          <w:szCs w:val="18"/>
          <w:color w:val="auto"/>
        </w:rPr>
        <w:t>ERIE INDEMNITY COMPANY</w:t>
      </w:r>
    </w:p>
    <w:p>
      <w:pPr>
        <w:spacing w:after="0" w:line="185"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NOTES TO CONSOLIDATED FINANCIAL STATEMENTS (UNAUDITED)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NOTE 1 – BASIS OF PRESENTATION</w:t>
      </w:r>
    </w:p>
    <w:p>
      <w:pPr>
        <w:spacing w:after="0" w:line="17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accompanying unaudited consolidated financial statements, which include the accounts of Erie Indemnity Company and its wholly owned property/casualty insurance subsidiaries, Erie Insurance Company (EIC), Erie Insurance Company of New York (EINY) and Erie Insurance Property &amp; Casualty Company (EIPC), have been prepared in accordance with accounting principles generally accepted in the United States of America for interim financial information and the instructions to Form 10-Q and Article 10 of Regulation S-X. Accordingly, they do not include all of the information and footnotes required by generally accepted accounting principles (GAAP) for complete financial statements. In the opinion of management, all adjustments (consisting of normal recurring accruals) considered necessary for a fair presentation have been included. Operating results for the three-month period ended March 31, 2005 are not necessarily indicative of the results that may be expected for the year ending December 31, 2005. For further information, refer to the consolidated financial statements and footnotes thereto included in the Company’s Form 10-K for the year ended December 31, 2004 as filed with the Securities and Exchange Commission on February 24, 2005.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NOTE 2 – RECLASSIFICATONS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previously reported in the 2004 financial statements have been reclassified to conform to the current period’s presentation.</w:t>
      </w:r>
    </w:p>
    <w:p>
      <w:pPr>
        <w:spacing w:after="0"/>
        <w:rPr>
          <w:sz w:val="20"/>
          <w:szCs w:val="20"/>
          <w:color w:val="auto"/>
        </w:rPr>
      </w:pPr>
      <w:r>
        <w:rPr>
          <w:rFonts w:ascii="Arial" w:cs="Arial" w:eastAsia="Arial" w:hAnsi="Arial"/>
          <w:sz w:val="18"/>
          <w:szCs w:val="18"/>
          <w:color w:val="auto"/>
        </w:rPr>
        <w:t>Such reclassifications did not impact earnings.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NOTE 3 – EARNINGS PER SHARE</w:t>
      </w:r>
    </w:p>
    <w:p>
      <w:pPr>
        <w:spacing w:after="0" w:line="18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Basic earnings per share is calculated under the two-class method which allocates earnings to each class of stock based on its dividend rights. Weighted average shares used in the Class A basic earnings per share calculation were 62.9 million in the first quarter of 2005 and 64.0 million in the first quarter of 2004. Weighted average Class B shares used in the basic earnings per share calculation were 2,851 shares and 2,878 shares in 2005 and 2004, respectively. The computation of diluted earnings per share reflects the conversion of Class B shares and the effect of potentially dilutive outstanding employee stock-based awards under the long-term incentive plan. In January 2005, four shares of Class B voting stock, and in March 2005, 10 shares of Class B voting stock, were converted to 9,600 and 24,000 non-voting shares of Class A stock, respectively. The total weighted average number of Class A equivalent shares outstanding (including conversion of Class B shares) was 69.8 million and 70.9 million for the first quarters of 2005 and 2004, respectively.</w:t>
      </w:r>
    </w:p>
    <w:p>
      <w:pPr>
        <w:spacing w:after="0" w:line="16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9" w:right="27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NOTES TO CONSOLIDATED FINANCIAL STATEMENTS (UNAUDITED)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NOTE 3 – EARNINGS PER SHARE (Continued)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displays the basic and diluted per-share computations.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5"/>
          </w:tcPr>
          <w:p>
            <w:pPr>
              <w:jc w:val="center"/>
              <w:ind w:right="51"/>
              <w:spacing w:after="0"/>
              <w:rPr>
                <w:sz w:val="20"/>
                <w:szCs w:val="20"/>
                <w:color w:val="auto"/>
              </w:rPr>
            </w:pPr>
            <w:r>
              <w:rPr>
                <w:rFonts w:ascii="Arial" w:cs="Arial" w:eastAsia="Arial" w:hAnsi="Arial"/>
                <w:sz w:val="14"/>
                <w:szCs w:val="14"/>
                <w:color w:val="auto"/>
              </w:rPr>
              <w:t>Three Months Ended March 31</w:t>
            </w:r>
          </w:p>
        </w:tc>
        <w:tc>
          <w:tcPr>
            <w:tcW w:w="100" w:type="dxa"/>
            <w:vAlign w:val="bottom"/>
          </w:tcPr>
          <w:p>
            <w:pPr>
              <w:spacing w:after="0"/>
              <w:rPr>
                <w:sz w:val="14"/>
                <w:szCs w:val="14"/>
                <w:color w:val="auto"/>
              </w:rPr>
            </w:pPr>
          </w:p>
        </w:tc>
      </w:tr>
      <w:tr>
        <w:trPr>
          <w:trHeight w:val="160"/>
        </w:trPr>
        <w:tc>
          <w:tcPr>
            <w:tcW w:w="8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20" w:type="dxa"/>
            <w:vAlign w:val="bottom"/>
            <w:gridSpan w:val="6"/>
          </w:tcPr>
          <w:p>
            <w:pPr>
              <w:jc w:val="center"/>
              <w:ind w:right="220"/>
              <w:spacing w:after="0"/>
              <w:rPr>
                <w:sz w:val="20"/>
                <w:szCs w:val="20"/>
                <w:color w:val="auto"/>
              </w:rPr>
            </w:pPr>
            <w:r>
              <w:rPr>
                <w:rFonts w:ascii="Arial" w:cs="Arial" w:eastAsia="Arial" w:hAnsi="Arial"/>
                <w:sz w:val="14"/>
                <w:szCs w:val="14"/>
                <w:color w:val="auto"/>
              </w:rPr>
              <w:t>(net income amounts in thousands)</w:t>
            </w:r>
          </w:p>
        </w:tc>
      </w:tr>
      <w:tr>
        <w:trPr>
          <w:trHeight w:val="157"/>
        </w:trPr>
        <w:tc>
          <w:tcPr>
            <w:tcW w:w="86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74"/>
              <w:spacing w:after="0" w:line="157" w:lineRule="exact"/>
              <w:rPr>
                <w:sz w:val="20"/>
                <w:szCs w:val="20"/>
                <w:color w:val="auto"/>
              </w:rPr>
            </w:pPr>
            <w:r>
              <w:rPr>
                <w:rFonts w:ascii="Arial" w:cs="Arial" w:eastAsia="Arial" w:hAnsi="Arial"/>
                <w:sz w:val="14"/>
                <w:szCs w:val="14"/>
                <w:color w:val="auto"/>
              </w:rPr>
              <w:t>2005</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71"/>
              <w:spacing w:after="0" w:line="157" w:lineRule="exact"/>
              <w:rPr>
                <w:sz w:val="20"/>
                <w:szCs w:val="20"/>
                <w:color w:val="auto"/>
              </w:rPr>
            </w:pPr>
            <w:r>
              <w:rPr>
                <w:rFonts w:ascii="Arial" w:cs="Arial" w:eastAsia="Arial" w:hAnsi="Arial"/>
                <w:sz w:val="14"/>
                <w:szCs w:val="14"/>
                <w:color w:val="auto"/>
              </w:rPr>
              <w:t>2004</w:t>
            </w:r>
          </w:p>
        </w:tc>
        <w:tc>
          <w:tcPr>
            <w:tcW w:w="100" w:type="dxa"/>
            <w:vAlign w:val="bottom"/>
          </w:tcPr>
          <w:p>
            <w:pPr>
              <w:spacing w:after="0"/>
              <w:rPr>
                <w:sz w:val="13"/>
                <w:szCs w:val="13"/>
                <w:color w:val="auto"/>
              </w:rPr>
            </w:pPr>
          </w:p>
        </w:tc>
      </w:tr>
      <w:tr>
        <w:trPr>
          <w:trHeight w:val="196"/>
        </w:trPr>
        <w:tc>
          <w:tcPr>
            <w:tcW w:w="868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680" w:type="dxa"/>
            <w:vAlign w:val="bottom"/>
          </w:tcPr>
          <w:p>
            <w:pPr>
              <w:ind w:left="220"/>
              <w:spacing w:after="0" w:line="202" w:lineRule="exact"/>
              <w:rPr>
                <w:sz w:val="20"/>
                <w:szCs w:val="20"/>
                <w:color w:val="auto"/>
              </w:rPr>
            </w:pPr>
            <w:r>
              <w:rPr>
                <w:rFonts w:ascii="Arial" w:cs="Arial" w:eastAsia="Arial" w:hAnsi="Arial"/>
                <w:sz w:val="18"/>
                <w:szCs w:val="18"/>
                <w:color w:val="auto"/>
              </w:rPr>
              <w:t>Allocated net income – Class A</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57,376</w:t>
            </w: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49,233</w:t>
            </w:r>
          </w:p>
        </w:tc>
      </w:tr>
      <w:tr>
        <w:trPr>
          <w:trHeight w:val="203"/>
        </w:trPr>
        <w:tc>
          <w:tcPr>
            <w:tcW w:w="86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Class A shares of common stock</w:t>
            </w: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62,926,683</w:t>
            </w: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63,950,847</w:t>
            </w:r>
          </w:p>
        </w:tc>
        <w:tc>
          <w:tcPr>
            <w:tcW w:w="100" w:type="dxa"/>
            <w:vAlign w:val="bottom"/>
            <w:shd w:val="clear" w:color="auto" w:fill="CCEEFF"/>
          </w:tcPr>
          <w:p>
            <w:pPr>
              <w:spacing w:after="0"/>
              <w:rPr>
                <w:sz w:val="17"/>
                <w:szCs w:val="17"/>
                <w:color w:val="auto"/>
              </w:rPr>
            </w:pPr>
          </w:p>
        </w:tc>
      </w:tr>
      <w:tr>
        <w:trPr>
          <w:trHeight w:val="210"/>
        </w:trPr>
        <w:tc>
          <w:tcPr>
            <w:tcW w:w="8680" w:type="dxa"/>
            <w:vAlign w:val="bottom"/>
          </w:tcPr>
          <w:p>
            <w:pPr>
              <w:ind w:left="220"/>
              <w:spacing w:after="0"/>
              <w:rPr>
                <w:sz w:val="20"/>
                <w:szCs w:val="20"/>
                <w:color w:val="auto"/>
              </w:rPr>
            </w:pPr>
            <w:r>
              <w:rPr>
                <w:rFonts w:ascii="Arial" w:cs="Arial" w:eastAsia="Arial" w:hAnsi="Arial"/>
                <w:sz w:val="18"/>
                <w:szCs w:val="18"/>
                <w:color w:val="auto"/>
              </w:rPr>
              <w:t>Class A earnings per share – basic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.91</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r>
      <w:tr>
        <w:trPr>
          <w:trHeight w:val="210"/>
        </w:trPr>
        <w:tc>
          <w:tcPr>
            <w:tcW w:w="86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86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Allocated net income – Class B</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395</w:t>
            </w:r>
          </w:p>
        </w:tc>
        <w:tc>
          <w:tcPr>
            <w:tcW w:w="4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339</w:t>
            </w:r>
          </w:p>
        </w:tc>
      </w:tr>
      <w:tr>
        <w:trPr>
          <w:trHeight w:val="210"/>
        </w:trPr>
        <w:tc>
          <w:tcPr>
            <w:tcW w:w="8680" w:type="dxa"/>
            <w:vAlign w:val="bottom"/>
          </w:tcPr>
          <w:p>
            <w:pPr>
              <w:ind w:left="220"/>
              <w:spacing w:after="0" w:line="202" w:lineRule="exact"/>
              <w:rPr>
                <w:sz w:val="20"/>
                <w:szCs w:val="20"/>
                <w:color w:val="auto"/>
              </w:rPr>
            </w:pPr>
            <w:r>
              <w:rPr>
                <w:rFonts w:ascii="Arial" w:cs="Arial" w:eastAsia="Arial" w:hAnsi="Arial"/>
                <w:sz w:val="18"/>
                <w:szCs w:val="18"/>
                <w:color w:val="auto"/>
              </w:rPr>
              <w:t>Class B shares of common stock</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2,851</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2,878</w:t>
            </w:r>
          </w:p>
        </w:tc>
        <w:tc>
          <w:tcPr>
            <w:tcW w:w="100" w:type="dxa"/>
            <w:vAlign w:val="bottom"/>
          </w:tcPr>
          <w:p>
            <w:pPr>
              <w:spacing w:after="0"/>
              <w:rPr>
                <w:sz w:val="18"/>
                <w:szCs w:val="18"/>
                <w:color w:val="auto"/>
              </w:rPr>
            </w:pPr>
          </w:p>
        </w:tc>
      </w:tr>
      <w:tr>
        <w:trPr>
          <w:trHeight w:val="203"/>
        </w:trPr>
        <w:tc>
          <w:tcPr>
            <w:tcW w:w="86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Class B earnings per share – basic</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138.84</w:t>
            </w:r>
          </w:p>
        </w:tc>
        <w:tc>
          <w:tcPr>
            <w:tcW w:w="4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117.87</w:t>
            </w:r>
          </w:p>
        </w:tc>
      </w:tr>
      <w:tr>
        <w:trPr>
          <w:trHeight w:val="412"/>
        </w:trPr>
        <w:tc>
          <w:tcPr>
            <w:tcW w:w="8680" w:type="dxa"/>
            <w:vAlign w:val="bottom"/>
          </w:tcPr>
          <w:p>
            <w:pPr>
              <w:ind w:left="220"/>
              <w:spacing w:after="0"/>
              <w:rPr>
                <w:sz w:val="20"/>
                <w:szCs w:val="20"/>
                <w:color w:val="auto"/>
              </w:rPr>
            </w:pPr>
            <w:r>
              <w:rPr>
                <w:rFonts w:ascii="Arial" w:cs="Arial" w:eastAsia="Arial" w:hAnsi="Arial"/>
                <w:sz w:val="18"/>
                <w:szCs w:val="18"/>
                <w:color w:val="auto"/>
              </w:rPr>
              <w:t>Diluted:</w:t>
            </w: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86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57,771</w:t>
            </w:r>
          </w:p>
        </w:tc>
        <w:tc>
          <w:tcPr>
            <w:tcW w:w="4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49,572</w:t>
            </w:r>
          </w:p>
        </w:tc>
      </w:tr>
      <w:tr>
        <w:trPr>
          <w:trHeight w:val="203"/>
        </w:trPr>
        <w:tc>
          <w:tcPr>
            <w:tcW w:w="8680" w:type="dxa"/>
            <w:vAlign w:val="bottom"/>
          </w:tcPr>
          <w:p>
            <w:pPr>
              <w:ind w:left="220"/>
              <w:spacing w:after="0" w:line="202" w:lineRule="exact"/>
              <w:rPr>
                <w:sz w:val="20"/>
                <w:szCs w:val="20"/>
                <w:color w:val="auto"/>
              </w:rPr>
            </w:pPr>
            <w:r>
              <w:rPr>
                <w:rFonts w:ascii="Arial" w:cs="Arial" w:eastAsia="Arial" w:hAnsi="Arial"/>
                <w:sz w:val="18"/>
                <w:szCs w:val="18"/>
                <w:color w:val="auto"/>
              </w:rPr>
              <w:t>Class A shares of common stock</w:t>
            </w:r>
          </w:p>
        </w:tc>
        <w:tc>
          <w:tcPr>
            <w:tcW w:w="120" w:type="dxa"/>
            <w:vAlign w:val="bottom"/>
          </w:tcPr>
          <w:p>
            <w:pPr>
              <w:spacing w:after="0"/>
              <w:rPr>
                <w:sz w:val="17"/>
                <w:szCs w:val="17"/>
                <w:color w:val="auto"/>
              </w:rPr>
            </w:pPr>
          </w:p>
        </w:tc>
        <w:tc>
          <w:tcPr>
            <w:tcW w:w="12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w w:val="99"/>
              </w:rPr>
              <w:t>62,926,683</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9"/>
              </w:rPr>
              <w:t>63,950,847</w:t>
            </w:r>
          </w:p>
        </w:tc>
      </w:tr>
      <w:tr>
        <w:trPr>
          <w:trHeight w:val="203"/>
        </w:trPr>
        <w:tc>
          <w:tcPr>
            <w:tcW w:w="86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Assumed conversion of Class B common stock and restricted stock awards</w:t>
            </w: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6,919,275</w:t>
            </w: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6,975,376</w:t>
            </w:r>
          </w:p>
        </w:tc>
        <w:tc>
          <w:tcPr>
            <w:tcW w:w="100" w:type="dxa"/>
            <w:vAlign w:val="bottom"/>
            <w:shd w:val="clear" w:color="auto" w:fill="CCEEFF"/>
          </w:tcPr>
          <w:p>
            <w:pPr>
              <w:spacing w:after="0"/>
              <w:rPr>
                <w:sz w:val="17"/>
                <w:szCs w:val="17"/>
                <w:color w:val="auto"/>
              </w:rPr>
            </w:pPr>
          </w:p>
        </w:tc>
      </w:tr>
      <w:tr>
        <w:trPr>
          <w:trHeight w:val="217"/>
        </w:trPr>
        <w:tc>
          <w:tcPr>
            <w:tcW w:w="8680" w:type="dxa"/>
            <w:vAlign w:val="bottom"/>
          </w:tcPr>
          <w:p>
            <w:pPr>
              <w:ind w:left="220"/>
              <w:spacing w:after="0"/>
              <w:rPr>
                <w:sz w:val="20"/>
                <w:szCs w:val="20"/>
                <w:color w:val="auto"/>
              </w:rPr>
            </w:pPr>
            <w:r>
              <w:rPr>
                <w:rFonts w:ascii="Arial" w:cs="Arial" w:eastAsia="Arial" w:hAnsi="Arial"/>
                <w:sz w:val="18"/>
                <w:szCs w:val="18"/>
                <w:color w:val="auto"/>
              </w:rPr>
              <w:t>Class A shares of common and equivalent shares</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69,845,958</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70,926,223</w:t>
            </w:r>
          </w:p>
        </w:tc>
        <w:tc>
          <w:tcPr>
            <w:tcW w:w="100" w:type="dxa"/>
            <w:vAlign w:val="bottom"/>
          </w:tcPr>
          <w:p>
            <w:pPr>
              <w:spacing w:after="0"/>
              <w:rPr>
                <w:sz w:val="18"/>
                <w:szCs w:val="18"/>
                <w:color w:val="auto"/>
              </w:rPr>
            </w:pPr>
          </w:p>
        </w:tc>
      </w:tr>
      <w:tr>
        <w:trPr>
          <w:trHeight w:val="203"/>
        </w:trPr>
        <w:tc>
          <w:tcPr>
            <w:tcW w:w="86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Earnings per share – diluted</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w:t>
            </w:r>
          </w:p>
        </w:tc>
        <w:tc>
          <w:tcPr>
            <w:tcW w:w="28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.70</w:t>
            </w:r>
          </w:p>
        </w:tc>
      </w:tr>
      <w:tr>
        <w:trPr>
          <w:trHeight w:val="20"/>
        </w:trPr>
        <w:tc>
          <w:tcPr>
            <w:tcW w:w="8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20"/>
        <w:spacing w:after="0"/>
        <w:rPr>
          <w:sz w:val="20"/>
          <w:szCs w:val="20"/>
          <w:color w:val="auto"/>
        </w:rPr>
      </w:pPr>
      <w:r>
        <w:rPr>
          <w:rFonts w:ascii="Arial" w:cs="Arial" w:eastAsia="Arial" w:hAnsi="Arial"/>
          <w:sz w:val="18"/>
          <w:szCs w:val="18"/>
          <w:color w:val="auto"/>
        </w:rPr>
        <w:t>Included in the restricted stock awards not yet vested are awards of 75,399 and 68,176 for the first quarter of 2005 and 2004, respectively, related to the long-term incentive plan for executive and senior management. Awards not yet vested related to the outside directors stock compensation plan were 1,476 and 2,174 for the first quarters of 2005 and 2004,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NOTE 4 – INVESTMENTS</w:t>
      </w:r>
    </w:p>
    <w:p>
      <w:pPr>
        <w:spacing w:after="0" w:line="17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Fixed maturities and marketable equity securities are classified as “available-for-sale.” Equity securities consist primarily of common and nonredeemable preferred stocks while fixed maturities consist of bonds, notes and redeemable preferred stock. Available-for-sale securities are stated at fair value, with the unrealized gains and losses, net of deferred tax, reflected in shareholders’ equity in accumulated other comprehensive income. When a decline in the value of an investment is considered to be other-than-temporary by management, the investment is written down to net estimated realizable value. Investment impairments are evaluated on an individual security position basis. Adjustments to the carrying value of marketable equity securities and fixed maturities that are considered impaired are recorded as realized losses in the Consolidated Statements of Operations. Adjustments to the carrying value of limited partnerships that are considered impaired are recorded as a component of equity in losses or earnings of limited partnerships in the Consolidated Statements of Operations.</w:t>
      </w:r>
    </w:p>
    <w:p>
      <w:pPr>
        <w:spacing w:after="0" w:line="181"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 Company had loaned securities, included as part of its invested assets, with a market value of $9.8 million at March 31, 2005. There were no loaned securities at December 31, 2004. Securities lending collateral is recorded by the Company as a liability. The proceeds from the collateral are invested in cash and short-term investments and are reported on the Consolidated Statements of Financial Position as cash and cash equivalents. The Company shares a portion of the interest on these short-term investments with the lending agent. The Company has incurred no losses on the loan program since the program’s inception.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NOTES TO CONSOLIDATED FINANCIAL STATEMENTS (UNAUDITED)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NOTE 4 – INVESTMENTS (Continued)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fixed maturities and equity securities: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color w:val="auto"/>
              </w:rPr>
              <w:t>Gross</w:t>
            </w:r>
          </w:p>
        </w:tc>
        <w:tc>
          <w:tcPr>
            <w:tcW w:w="120" w:type="dxa"/>
            <w:vAlign w:val="bottom"/>
          </w:tcPr>
          <w:p>
            <w:pPr>
              <w:spacing w:after="0"/>
              <w:rPr>
                <w:sz w:val="14"/>
                <w:szCs w:val="14"/>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4"/>
                <w:szCs w:val="14"/>
                <w:color w:val="auto"/>
              </w:rPr>
              <w:t>Gross</w:t>
            </w: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color w:val="auto"/>
              </w:rPr>
              <w:t>Estimated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4"/>
                <w:szCs w:val="14"/>
                <w:color w:val="auto"/>
              </w:rPr>
              <w:t>Amortized</w:t>
            </w:r>
          </w:p>
        </w:tc>
        <w:tc>
          <w:tcPr>
            <w:tcW w:w="1100" w:type="dxa"/>
            <w:vAlign w:val="bottom"/>
            <w:gridSpan w:val="3"/>
          </w:tcPr>
          <w:p>
            <w:pPr>
              <w:spacing w:after="0"/>
              <w:rPr>
                <w:sz w:val="20"/>
                <w:szCs w:val="20"/>
                <w:color w:val="auto"/>
              </w:rPr>
            </w:pPr>
            <w:r>
              <w:rPr>
                <w:rFonts w:ascii="Arial" w:cs="Arial" w:eastAsia="Arial" w:hAnsi="Arial"/>
                <w:sz w:val="14"/>
                <w:szCs w:val="14"/>
                <w:color w:val="auto"/>
              </w:rPr>
              <w:t>Unrealized</w:t>
            </w:r>
          </w:p>
        </w:tc>
        <w:tc>
          <w:tcPr>
            <w:tcW w:w="1120" w:type="dxa"/>
            <w:vAlign w:val="bottom"/>
            <w:gridSpan w:val="3"/>
          </w:tcPr>
          <w:p>
            <w:pPr>
              <w:spacing w:after="0"/>
              <w:rPr>
                <w:sz w:val="20"/>
                <w:szCs w:val="20"/>
                <w:color w:val="auto"/>
              </w:rPr>
            </w:pPr>
            <w:r>
              <w:rPr>
                <w:rFonts w:ascii="Arial" w:cs="Arial" w:eastAsia="Arial" w:hAnsi="Arial"/>
                <w:sz w:val="14"/>
                <w:szCs w:val="14"/>
                <w:color w:val="auto"/>
              </w:rPr>
              <w:t>Unrealized</w:t>
            </w:r>
          </w:p>
        </w:tc>
        <w:tc>
          <w:tcPr>
            <w:tcW w:w="10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color w:val="auto"/>
              </w:rPr>
              <w:t>Fair</w:t>
            </w:r>
          </w:p>
        </w:tc>
        <w:tc>
          <w:tcPr>
            <w:tcW w:w="0" w:type="dxa"/>
            <w:vAlign w:val="bottom"/>
          </w:tcPr>
          <w:p>
            <w:pPr>
              <w:spacing w:after="0"/>
              <w:rPr>
                <w:sz w:val="1"/>
                <w:szCs w:val="1"/>
                <w:color w:val="auto"/>
              </w:rPr>
            </w:pPr>
          </w:p>
        </w:tc>
      </w:tr>
      <w:tr>
        <w:trPr>
          <w:trHeight w:val="157"/>
        </w:trPr>
        <w:tc>
          <w:tcPr>
            <w:tcW w:w="4680" w:type="dxa"/>
            <w:vAlign w:val="bottom"/>
            <w:gridSpan w:val="2"/>
          </w:tcPr>
          <w:p>
            <w:pPr>
              <w:spacing w:after="0" w:line="157" w:lineRule="exact"/>
              <w:rPr>
                <w:sz w:val="20"/>
                <w:szCs w:val="20"/>
                <w:color w:val="auto"/>
              </w:rPr>
            </w:pPr>
            <w:r>
              <w:rPr>
                <w:rFonts w:ascii="Arial" w:cs="Arial" w:eastAsia="Arial" w:hAnsi="Arial"/>
                <w:sz w:val="14"/>
                <w:szCs w:val="14"/>
                <w:color w:val="auto"/>
              </w:rPr>
              <w:t>March 31, 2005</w:t>
            </w:r>
          </w:p>
        </w:tc>
        <w:tc>
          <w:tcPr>
            <w:tcW w:w="1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right"/>
              <w:ind w:right="740"/>
              <w:spacing w:after="0" w:line="157" w:lineRule="exact"/>
              <w:rPr>
                <w:sz w:val="20"/>
                <w:szCs w:val="20"/>
                <w:color w:val="auto"/>
              </w:rPr>
            </w:pPr>
            <w:r>
              <w:rPr>
                <w:rFonts w:ascii="Arial" w:cs="Arial" w:eastAsia="Arial" w:hAnsi="Arial"/>
                <w:sz w:val="14"/>
                <w:szCs w:val="14"/>
                <w:color w:val="auto"/>
              </w:rPr>
              <w:t>Cost</w:t>
            </w:r>
          </w:p>
        </w:tc>
        <w:tc>
          <w:tcPr>
            <w:tcW w:w="120" w:type="dxa"/>
            <w:vAlign w:val="bottom"/>
          </w:tcPr>
          <w:p>
            <w:pPr>
              <w:spacing w:after="0"/>
              <w:rPr>
                <w:sz w:val="13"/>
                <w:szCs w:val="13"/>
                <w:color w:val="auto"/>
              </w:rPr>
            </w:pPr>
          </w:p>
        </w:tc>
        <w:tc>
          <w:tcPr>
            <w:tcW w:w="98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Gains</w:t>
            </w:r>
          </w:p>
        </w:tc>
        <w:tc>
          <w:tcPr>
            <w:tcW w:w="120" w:type="dxa"/>
            <w:vAlign w:val="bottom"/>
          </w:tcPr>
          <w:p>
            <w:pPr>
              <w:spacing w:after="0"/>
              <w:rPr>
                <w:sz w:val="13"/>
                <w:szCs w:val="13"/>
                <w:color w:val="auto"/>
              </w:rPr>
            </w:pPr>
          </w:p>
        </w:tc>
        <w:tc>
          <w:tcPr>
            <w:tcW w:w="1000" w:type="dxa"/>
            <w:vAlign w:val="bottom"/>
            <w:gridSpan w:val="2"/>
          </w:tcPr>
          <w:p>
            <w:pPr>
              <w:jc w:val="right"/>
              <w:ind w:right="540"/>
              <w:spacing w:after="0" w:line="157" w:lineRule="exact"/>
              <w:rPr>
                <w:sz w:val="20"/>
                <w:szCs w:val="20"/>
                <w:color w:val="auto"/>
              </w:rPr>
            </w:pPr>
            <w:r>
              <w:rPr>
                <w:rFonts w:ascii="Arial" w:cs="Arial" w:eastAsia="Arial" w:hAnsi="Arial"/>
                <w:sz w:val="14"/>
                <w:szCs w:val="14"/>
                <w:color w:val="auto"/>
                <w:w w:val="99"/>
              </w:rPr>
              <w:t>Losses</w:t>
            </w:r>
          </w:p>
        </w:tc>
        <w:tc>
          <w:tcPr>
            <w:tcW w:w="100" w:type="dxa"/>
            <w:vAlign w:val="bottom"/>
          </w:tcPr>
          <w:p>
            <w:pPr>
              <w:spacing w:after="0"/>
              <w:rPr>
                <w:sz w:val="13"/>
                <w:szCs w:val="13"/>
                <w:color w:val="auto"/>
              </w:rPr>
            </w:pPr>
          </w:p>
        </w:tc>
        <w:tc>
          <w:tcPr>
            <w:tcW w:w="920" w:type="dxa"/>
            <w:vAlign w:val="bottom"/>
            <w:gridSpan w:val="2"/>
          </w:tcPr>
          <w:p>
            <w:pPr>
              <w:jc w:val="center"/>
              <w:ind w:right="200"/>
              <w:spacing w:after="0" w:line="157" w:lineRule="exact"/>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Fixed maturities</w:t>
            </w:r>
          </w:p>
        </w:tc>
        <w:tc>
          <w:tcPr>
            <w:tcW w:w="182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tcPr>
          <w:p>
            <w:pPr>
              <w:spacing w:after="0" w:line="202" w:lineRule="exact"/>
              <w:rPr>
                <w:sz w:val="20"/>
                <w:szCs w:val="20"/>
                <w:color w:val="auto"/>
              </w:rPr>
            </w:pPr>
            <w:r>
              <w:rPr>
                <w:rFonts w:ascii="Arial" w:cs="Arial" w:eastAsia="Arial" w:hAnsi="Arial"/>
                <w:sz w:val="18"/>
                <w:szCs w:val="18"/>
                <w:color w:val="auto"/>
              </w:rPr>
              <w:t>U.S. treasuries &amp; government agencies</w:t>
            </w:r>
          </w:p>
        </w:tc>
        <w:tc>
          <w:tcPr>
            <w:tcW w:w="226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9,979</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333</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62</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10,250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States &amp; political subdivisions</w:t>
            </w:r>
          </w:p>
        </w:tc>
        <w:tc>
          <w:tcPr>
            <w:tcW w:w="1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106,542</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1,678</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689</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107,531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tcPr>
          <w:p>
            <w:pPr>
              <w:spacing w:after="0" w:line="202" w:lineRule="exact"/>
              <w:rPr>
                <w:sz w:val="20"/>
                <w:szCs w:val="20"/>
                <w:color w:val="auto"/>
              </w:rPr>
            </w:pPr>
            <w:r>
              <w:rPr>
                <w:rFonts w:ascii="Arial" w:cs="Arial" w:eastAsia="Arial" w:hAnsi="Arial"/>
                <w:sz w:val="18"/>
                <w:szCs w:val="18"/>
                <w:color w:val="auto"/>
              </w:rPr>
              <w:t>Special revenue</w:t>
            </w:r>
          </w:p>
        </w:tc>
        <w:tc>
          <w:tcPr>
            <w:tcW w:w="1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136,066</w:t>
            </w:r>
          </w:p>
        </w:tc>
        <w:tc>
          <w:tcPr>
            <w:tcW w:w="120" w:type="dxa"/>
            <w:vAlign w:val="bottom"/>
          </w:tcPr>
          <w:p>
            <w:pPr>
              <w:spacing w:after="0"/>
              <w:rPr>
                <w:sz w:val="17"/>
                <w:szCs w:val="17"/>
                <w:color w:val="auto"/>
              </w:rPr>
            </w:pPr>
          </w:p>
        </w:tc>
        <w:tc>
          <w:tcPr>
            <w:tcW w:w="9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2,008</w:t>
            </w:r>
          </w:p>
        </w:tc>
        <w:tc>
          <w:tcPr>
            <w:tcW w:w="120" w:type="dxa"/>
            <w:vAlign w:val="bottom"/>
          </w:tcPr>
          <w:p>
            <w:pPr>
              <w:spacing w:after="0"/>
              <w:rPr>
                <w:sz w:val="17"/>
                <w:szCs w:val="17"/>
                <w:color w:val="auto"/>
              </w:rPr>
            </w:pPr>
          </w:p>
        </w:tc>
        <w:tc>
          <w:tcPr>
            <w:tcW w:w="10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900</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137,174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Public utilities</w:t>
            </w:r>
          </w:p>
        </w:tc>
        <w:tc>
          <w:tcPr>
            <w:tcW w:w="1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68,218</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3,791</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71,735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tcPr>
          <w:p>
            <w:pPr>
              <w:spacing w:after="0" w:line="202" w:lineRule="exact"/>
              <w:rPr>
                <w:sz w:val="20"/>
                <w:szCs w:val="20"/>
                <w:color w:val="auto"/>
              </w:rPr>
            </w:pPr>
            <w:r>
              <w:rPr>
                <w:rFonts w:ascii="Arial" w:cs="Arial" w:eastAsia="Arial" w:hAnsi="Arial"/>
                <w:sz w:val="18"/>
                <w:szCs w:val="18"/>
                <w:color w:val="auto"/>
              </w:rPr>
              <w:t>U.S. industrial &amp; miscellaneous</w:t>
            </w:r>
          </w:p>
        </w:tc>
        <w:tc>
          <w:tcPr>
            <w:tcW w:w="1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417,446</w:t>
            </w:r>
          </w:p>
        </w:tc>
        <w:tc>
          <w:tcPr>
            <w:tcW w:w="120" w:type="dxa"/>
            <w:vAlign w:val="bottom"/>
          </w:tcPr>
          <w:p>
            <w:pPr>
              <w:spacing w:after="0"/>
              <w:rPr>
                <w:sz w:val="17"/>
                <w:szCs w:val="17"/>
                <w:color w:val="auto"/>
              </w:rPr>
            </w:pPr>
          </w:p>
        </w:tc>
        <w:tc>
          <w:tcPr>
            <w:tcW w:w="9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9,480</w:t>
            </w:r>
          </w:p>
        </w:tc>
        <w:tc>
          <w:tcPr>
            <w:tcW w:w="120" w:type="dxa"/>
            <w:vAlign w:val="bottom"/>
          </w:tcPr>
          <w:p>
            <w:pPr>
              <w:spacing w:after="0"/>
              <w:rPr>
                <w:sz w:val="17"/>
                <w:szCs w:val="17"/>
                <w:color w:val="auto"/>
              </w:rPr>
            </w:pPr>
          </w:p>
        </w:tc>
        <w:tc>
          <w:tcPr>
            <w:tcW w:w="10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4,608</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422,318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Mortgage-backed securities</w:t>
            </w:r>
          </w:p>
        </w:tc>
        <w:tc>
          <w:tcPr>
            <w:tcW w:w="1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44,823</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409</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535</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44,697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tcPr>
          <w:p>
            <w:pPr>
              <w:spacing w:after="0" w:line="202" w:lineRule="exact"/>
              <w:rPr>
                <w:sz w:val="20"/>
                <w:szCs w:val="20"/>
                <w:color w:val="auto"/>
              </w:rPr>
            </w:pPr>
            <w:r>
              <w:rPr>
                <w:rFonts w:ascii="Arial" w:cs="Arial" w:eastAsia="Arial" w:hAnsi="Arial"/>
                <w:sz w:val="18"/>
                <w:szCs w:val="18"/>
                <w:color w:val="auto"/>
              </w:rPr>
              <w:t>Asset-backed securities</w:t>
            </w:r>
          </w:p>
        </w:tc>
        <w:tc>
          <w:tcPr>
            <w:tcW w:w="1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20,033</w:t>
            </w:r>
          </w:p>
        </w:tc>
        <w:tc>
          <w:tcPr>
            <w:tcW w:w="120" w:type="dxa"/>
            <w:vAlign w:val="bottom"/>
          </w:tcPr>
          <w:p>
            <w:pPr>
              <w:spacing w:after="0"/>
              <w:rPr>
                <w:sz w:val="17"/>
                <w:szCs w:val="17"/>
                <w:color w:val="auto"/>
              </w:rPr>
            </w:pPr>
          </w:p>
        </w:tc>
        <w:tc>
          <w:tcPr>
            <w:tcW w:w="9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60</w:t>
            </w:r>
          </w:p>
        </w:tc>
        <w:tc>
          <w:tcPr>
            <w:tcW w:w="120" w:type="dxa"/>
            <w:vAlign w:val="bottom"/>
          </w:tcPr>
          <w:p>
            <w:pPr>
              <w:spacing w:after="0"/>
              <w:rPr>
                <w:sz w:val="17"/>
                <w:szCs w:val="17"/>
                <w:color w:val="auto"/>
              </w:rPr>
            </w:pPr>
          </w:p>
        </w:tc>
        <w:tc>
          <w:tcPr>
            <w:tcW w:w="10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441</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19,652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w:t>
            </w:r>
          </w:p>
        </w:tc>
        <w:tc>
          <w:tcPr>
            <w:tcW w:w="1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125,580</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7,157</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771</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131,966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660" w:type="dxa"/>
            <w:vAlign w:val="bottom"/>
          </w:tcPr>
          <w:p>
            <w:pPr>
              <w:ind w:left="400"/>
              <w:spacing w:after="0"/>
              <w:rPr>
                <w:sz w:val="20"/>
                <w:szCs w:val="20"/>
                <w:color w:val="auto"/>
              </w:rPr>
            </w:pPr>
            <w:r>
              <w:rPr>
                <w:rFonts w:ascii="Arial" w:cs="Arial" w:eastAsia="Arial" w:hAnsi="Arial"/>
                <w:sz w:val="18"/>
                <w:szCs w:val="18"/>
                <w:color w:val="auto"/>
              </w:rPr>
              <w:t>Total bonds</w:t>
            </w:r>
          </w:p>
        </w:tc>
        <w:tc>
          <w:tcPr>
            <w:tcW w:w="1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928,687</w:t>
            </w:r>
          </w:p>
        </w:tc>
        <w:tc>
          <w:tcPr>
            <w:tcW w:w="120" w:type="dxa"/>
            <w:vAlign w:val="bottom"/>
          </w:tcPr>
          <w:p>
            <w:pPr>
              <w:spacing w:after="0"/>
              <w:rPr>
                <w:sz w:val="24"/>
                <w:szCs w:val="2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24,916</w:t>
            </w:r>
          </w:p>
        </w:tc>
        <w:tc>
          <w:tcPr>
            <w:tcW w:w="120" w:type="dxa"/>
            <w:vAlign w:val="bottom"/>
          </w:tcPr>
          <w:p>
            <w:pPr>
              <w:spacing w:after="0"/>
              <w:rPr>
                <w:sz w:val="24"/>
                <w:szCs w:val="2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8,280</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945,323</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6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Redeemable preferred stock</w:t>
            </w:r>
          </w:p>
        </w:tc>
        <w:tc>
          <w:tcPr>
            <w:tcW w:w="1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34,654</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1,737</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36,249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660" w:type="dxa"/>
            <w:vAlign w:val="bottom"/>
          </w:tcPr>
          <w:p>
            <w:pPr>
              <w:ind w:left="400"/>
              <w:spacing w:after="0"/>
              <w:rPr>
                <w:sz w:val="20"/>
                <w:szCs w:val="20"/>
                <w:color w:val="auto"/>
              </w:rPr>
            </w:pPr>
            <w:r>
              <w:rPr>
                <w:rFonts w:ascii="Arial" w:cs="Arial" w:eastAsia="Arial" w:hAnsi="Arial"/>
                <w:sz w:val="18"/>
                <w:szCs w:val="18"/>
                <w:color w:val="auto"/>
              </w:rPr>
              <w:t>Total fixed maturities</w:t>
            </w:r>
          </w:p>
        </w:tc>
        <w:tc>
          <w:tcPr>
            <w:tcW w:w="1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963,341</w:t>
            </w:r>
          </w:p>
        </w:tc>
        <w:tc>
          <w:tcPr>
            <w:tcW w:w="120" w:type="dxa"/>
            <w:vAlign w:val="bottom"/>
          </w:tcPr>
          <w:p>
            <w:pPr>
              <w:spacing w:after="0"/>
              <w:rPr>
                <w:sz w:val="24"/>
                <w:szCs w:val="2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26,653</w:t>
            </w:r>
          </w:p>
        </w:tc>
        <w:tc>
          <w:tcPr>
            <w:tcW w:w="120" w:type="dxa"/>
            <w:vAlign w:val="bottom"/>
          </w:tcPr>
          <w:p>
            <w:pPr>
              <w:spacing w:after="0"/>
              <w:rPr>
                <w:sz w:val="24"/>
                <w:szCs w:val="2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8,422</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981,572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 securities</w:t>
            </w:r>
          </w:p>
        </w:tc>
        <w:tc>
          <w:tcPr>
            <w:tcW w:w="1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tcPr>
          <w:p>
            <w:pPr>
              <w:spacing w:after="0" w:line="202" w:lineRule="exact"/>
              <w:rPr>
                <w:sz w:val="20"/>
                <w:szCs w:val="20"/>
                <w:color w:val="auto"/>
              </w:rPr>
            </w:pPr>
            <w:r>
              <w:rPr>
                <w:rFonts w:ascii="Arial" w:cs="Arial" w:eastAsia="Arial" w:hAnsi="Arial"/>
                <w:sz w:val="18"/>
                <w:szCs w:val="18"/>
                <w:color w:val="auto"/>
              </w:rPr>
              <w:t>Common stock:</w:t>
            </w:r>
          </w:p>
        </w:tc>
        <w:tc>
          <w:tcPr>
            <w:tcW w:w="1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Public utilities</w:t>
            </w:r>
          </w:p>
        </w:tc>
        <w:tc>
          <w:tcPr>
            <w:tcW w:w="1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1,100</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tcPr>
          <w:p>
            <w:pPr>
              <w:ind w:left="200"/>
              <w:spacing w:after="0" w:line="202" w:lineRule="exact"/>
              <w:rPr>
                <w:sz w:val="20"/>
                <w:szCs w:val="20"/>
                <w:color w:val="auto"/>
              </w:rPr>
            </w:pPr>
            <w:r>
              <w:rPr>
                <w:rFonts w:ascii="Arial" w:cs="Arial" w:eastAsia="Arial" w:hAnsi="Arial"/>
                <w:sz w:val="18"/>
                <w:szCs w:val="18"/>
                <w:color w:val="auto"/>
              </w:rPr>
              <w:t>U.S. banks, trusts &amp; insurance companies</w:t>
            </w:r>
          </w:p>
        </w:tc>
        <w:tc>
          <w:tcPr>
            <w:tcW w:w="1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7,453</w:t>
            </w:r>
          </w:p>
        </w:tc>
        <w:tc>
          <w:tcPr>
            <w:tcW w:w="120" w:type="dxa"/>
            <w:vAlign w:val="bottom"/>
          </w:tcPr>
          <w:p>
            <w:pPr>
              <w:spacing w:after="0"/>
              <w:rPr>
                <w:sz w:val="17"/>
                <w:szCs w:val="17"/>
                <w:color w:val="auto"/>
              </w:rPr>
            </w:pPr>
          </w:p>
        </w:tc>
        <w:tc>
          <w:tcPr>
            <w:tcW w:w="9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1,371</w:t>
            </w:r>
          </w:p>
        </w:tc>
        <w:tc>
          <w:tcPr>
            <w:tcW w:w="120" w:type="dxa"/>
            <w:vAlign w:val="bottom"/>
          </w:tcPr>
          <w:p>
            <w:pPr>
              <w:spacing w:after="0"/>
              <w:rPr>
                <w:sz w:val="17"/>
                <w:szCs w:val="17"/>
                <w:color w:val="auto"/>
              </w:rPr>
            </w:pPr>
          </w:p>
        </w:tc>
        <w:tc>
          <w:tcPr>
            <w:tcW w:w="10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438</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8,386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U.S. industrial &amp; miscellaneous</w:t>
            </w:r>
          </w:p>
        </w:tc>
        <w:tc>
          <w:tcPr>
            <w:tcW w:w="1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41,370</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8,800</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1,976</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48,194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tcPr>
          <w:p>
            <w:pPr>
              <w:ind w:left="200"/>
              <w:spacing w:after="0" w:line="202" w:lineRule="exact"/>
              <w:rPr>
                <w:sz w:val="20"/>
                <w:szCs w:val="20"/>
                <w:color w:val="auto"/>
              </w:rPr>
            </w:pPr>
            <w:r>
              <w:rPr>
                <w:rFonts w:ascii="Arial" w:cs="Arial" w:eastAsia="Arial" w:hAnsi="Arial"/>
                <w:sz w:val="18"/>
                <w:szCs w:val="18"/>
                <w:color w:val="auto"/>
              </w:rPr>
              <w:t>Foreign</w:t>
            </w:r>
          </w:p>
        </w:tc>
        <w:tc>
          <w:tcPr>
            <w:tcW w:w="1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2,887</w:t>
            </w:r>
          </w:p>
        </w:tc>
        <w:tc>
          <w:tcPr>
            <w:tcW w:w="120" w:type="dxa"/>
            <w:vAlign w:val="bottom"/>
          </w:tcPr>
          <w:p>
            <w:pPr>
              <w:spacing w:after="0"/>
              <w:rPr>
                <w:sz w:val="17"/>
                <w:szCs w:val="17"/>
                <w:color w:val="auto"/>
              </w:rPr>
            </w:pPr>
          </w:p>
        </w:tc>
        <w:tc>
          <w:tcPr>
            <w:tcW w:w="9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72</w:t>
            </w:r>
          </w:p>
        </w:tc>
        <w:tc>
          <w:tcPr>
            <w:tcW w:w="120" w:type="dxa"/>
            <w:vAlign w:val="bottom"/>
          </w:tcPr>
          <w:p>
            <w:pPr>
              <w:spacing w:after="0"/>
              <w:rPr>
                <w:sz w:val="17"/>
                <w:szCs w:val="17"/>
                <w:color w:val="auto"/>
              </w:rPr>
            </w:pPr>
          </w:p>
        </w:tc>
        <w:tc>
          <w:tcPr>
            <w:tcW w:w="10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108</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2,851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Nonredeemable preferred stock:</w:t>
            </w:r>
          </w:p>
        </w:tc>
        <w:tc>
          <w:tcPr>
            <w:tcW w:w="1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tcPr>
          <w:p>
            <w:pPr>
              <w:ind w:left="200"/>
              <w:spacing w:after="0" w:line="202" w:lineRule="exact"/>
              <w:rPr>
                <w:sz w:val="20"/>
                <w:szCs w:val="20"/>
                <w:color w:val="auto"/>
              </w:rPr>
            </w:pPr>
            <w:r>
              <w:rPr>
                <w:rFonts w:ascii="Arial" w:cs="Arial" w:eastAsia="Arial" w:hAnsi="Arial"/>
                <w:sz w:val="18"/>
                <w:szCs w:val="18"/>
                <w:color w:val="auto"/>
              </w:rPr>
              <w:t>Public utilities</w:t>
            </w:r>
          </w:p>
        </w:tc>
        <w:tc>
          <w:tcPr>
            <w:tcW w:w="1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24,645</w:t>
            </w:r>
          </w:p>
        </w:tc>
        <w:tc>
          <w:tcPr>
            <w:tcW w:w="120" w:type="dxa"/>
            <w:vAlign w:val="bottom"/>
          </w:tcPr>
          <w:p>
            <w:pPr>
              <w:spacing w:after="0"/>
              <w:rPr>
                <w:sz w:val="17"/>
                <w:szCs w:val="17"/>
                <w:color w:val="auto"/>
              </w:rPr>
            </w:pPr>
          </w:p>
        </w:tc>
        <w:tc>
          <w:tcPr>
            <w:tcW w:w="9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1,748</w:t>
            </w:r>
          </w:p>
        </w:tc>
        <w:tc>
          <w:tcPr>
            <w:tcW w:w="120" w:type="dxa"/>
            <w:vAlign w:val="bottom"/>
          </w:tcPr>
          <w:p>
            <w:pPr>
              <w:spacing w:after="0"/>
              <w:rPr>
                <w:sz w:val="17"/>
                <w:szCs w:val="17"/>
                <w:color w:val="auto"/>
              </w:rPr>
            </w:pPr>
          </w:p>
        </w:tc>
        <w:tc>
          <w:tcPr>
            <w:tcW w:w="10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208</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26,185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U.S. banks, trusts &amp; insurance companies</w:t>
            </w:r>
          </w:p>
        </w:tc>
        <w:tc>
          <w:tcPr>
            <w:tcW w:w="1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46,615</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2,359</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48,923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tcPr>
          <w:p>
            <w:pPr>
              <w:ind w:left="200"/>
              <w:spacing w:after="0" w:line="202" w:lineRule="exact"/>
              <w:rPr>
                <w:sz w:val="20"/>
                <w:szCs w:val="20"/>
                <w:color w:val="auto"/>
              </w:rPr>
            </w:pPr>
            <w:r>
              <w:rPr>
                <w:rFonts w:ascii="Arial" w:cs="Arial" w:eastAsia="Arial" w:hAnsi="Arial"/>
                <w:sz w:val="18"/>
                <w:szCs w:val="18"/>
                <w:color w:val="auto"/>
              </w:rPr>
              <w:t>U.S. industrial &amp; miscellaneous</w:t>
            </w:r>
          </w:p>
        </w:tc>
        <w:tc>
          <w:tcPr>
            <w:tcW w:w="1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56,008</w:t>
            </w:r>
          </w:p>
        </w:tc>
        <w:tc>
          <w:tcPr>
            <w:tcW w:w="120" w:type="dxa"/>
            <w:vAlign w:val="bottom"/>
          </w:tcPr>
          <w:p>
            <w:pPr>
              <w:spacing w:after="0"/>
              <w:rPr>
                <w:sz w:val="17"/>
                <w:szCs w:val="17"/>
                <w:color w:val="auto"/>
              </w:rPr>
            </w:pPr>
          </w:p>
        </w:tc>
        <w:tc>
          <w:tcPr>
            <w:tcW w:w="9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4,451</w:t>
            </w:r>
          </w:p>
        </w:tc>
        <w:tc>
          <w:tcPr>
            <w:tcW w:w="120" w:type="dxa"/>
            <w:vAlign w:val="bottom"/>
          </w:tcPr>
          <w:p>
            <w:pPr>
              <w:spacing w:after="0"/>
              <w:rPr>
                <w:sz w:val="17"/>
                <w:szCs w:val="17"/>
                <w:color w:val="auto"/>
              </w:rPr>
            </w:pPr>
          </w:p>
        </w:tc>
        <w:tc>
          <w:tcPr>
            <w:tcW w:w="10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431</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60,028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Foreign</w:t>
            </w:r>
          </w:p>
        </w:tc>
        <w:tc>
          <w:tcPr>
            <w:tcW w:w="1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12,232</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1,461</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13,654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660" w:type="dxa"/>
            <w:vAlign w:val="bottom"/>
          </w:tcPr>
          <w:p>
            <w:pPr>
              <w:ind w:left="400"/>
              <w:spacing w:after="0"/>
              <w:rPr>
                <w:sz w:val="20"/>
                <w:szCs w:val="20"/>
                <w:color w:val="auto"/>
              </w:rPr>
            </w:pPr>
            <w:r>
              <w:rPr>
                <w:rFonts w:ascii="Arial" w:cs="Arial" w:eastAsia="Arial" w:hAnsi="Arial"/>
                <w:sz w:val="18"/>
                <w:szCs w:val="18"/>
                <w:color w:val="auto"/>
              </w:rPr>
              <w:t>Total equity securities</w:t>
            </w:r>
          </w:p>
        </w:tc>
        <w:tc>
          <w:tcPr>
            <w:tcW w:w="1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192,310</w:t>
            </w:r>
          </w:p>
        </w:tc>
        <w:tc>
          <w:tcPr>
            <w:tcW w:w="120" w:type="dxa"/>
            <w:vAlign w:val="bottom"/>
          </w:tcPr>
          <w:p>
            <w:pPr>
              <w:spacing w:after="0"/>
              <w:rPr>
                <w:sz w:val="24"/>
                <w:szCs w:val="2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20,294</w:t>
            </w:r>
          </w:p>
        </w:tc>
        <w:tc>
          <w:tcPr>
            <w:tcW w:w="120" w:type="dxa"/>
            <w:vAlign w:val="bottom"/>
          </w:tcPr>
          <w:p>
            <w:pPr>
              <w:spacing w:after="0"/>
              <w:rPr>
                <w:sz w:val="24"/>
                <w:szCs w:val="2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3,274</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209,330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Total fixed maturities and equity securities</w:t>
            </w:r>
          </w:p>
        </w:tc>
        <w:tc>
          <w:tcPr>
            <w:tcW w:w="226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u w:val="single" w:color="auto"/>
                <w:color w:val="auto"/>
              </w:rPr>
              <w:t>$</w:t>
            </w:r>
          </w:p>
        </w:tc>
        <w:tc>
          <w:tcPr>
            <w:tcW w:w="12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w w:val="97"/>
              </w:rPr>
              <w:t>1,155,651</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u w:val="single" w:color="auto"/>
                <w:color w:val="auto"/>
                <w:w w:val="99"/>
              </w:rPr>
              <w:t>$</w:t>
            </w:r>
          </w:p>
        </w:tc>
        <w:tc>
          <w:tcPr>
            <w:tcW w:w="9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w w:val="98"/>
              </w:rPr>
              <w:t>46,947</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u w:val="single" w:color="auto"/>
                <w:color w:val="auto"/>
                <w:w w:val="99"/>
              </w:rPr>
              <w:t>$</w:t>
            </w:r>
          </w:p>
        </w:tc>
        <w:tc>
          <w:tcPr>
            <w:tcW w:w="10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w w:val="98"/>
              </w:rPr>
              <w:t>11,696</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9"/>
              </w:rPr>
              <w:t>1,190,902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820" w:type="dxa"/>
            <w:vAlign w:val="bottom"/>
            <w:vMerge w:val="restart"/>
          </w:tcPr>
          <w:p>
            <w:pPr>
              <w:jc w:val="right"/>
              <w:ind w:right="59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60" w:type="dxa"/>
            <w:vAlign w:val="bottom"/>
            <w:tcBorders>
              <w:bottom w:val="single" w:sz="8" w:color="808080"/>
            </w:tcBorders>
          </w:tcPr>
          <w:p>
            <w:pPr>
              <w:spacing w:after="0"/>
              <w:rPr>
                <w:sz w:val="18"/>
                <w:szCs w:val="18"/>
                <w:color w:val="auto"/>
              </w:rPr>
            </w:pPr>
          </w:p>
        </w:tc>
        <w:tc>
          <w:tcPr>
            <w:tcW w:w="182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44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c>
          <w:tcPr>
            <w:tcW w:w="44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NOTES TO CONSOLIDATED FINANCIAL STATEMENTS (UNAUDITED)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NOTE 4 – INVESTMENTS (Continued)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color w:val="auto"/>
              </w:rPr>
              <w:t>Gross</w:t>
            </w:r>
          </w:p>
        </w:tc>
        <w:tc>
          <w:tcPr>
            <w:tcW w:w="120" w:type="dxa"/>
            <w:vAlign w:val="bottom"/>
          </w:tcPr>
          <w:p>
            <w:pPr>
              <w:spacing w:after="0"/>
              <w:rPr>
                <w:sz w:val="14"/>
                <w:szCs w:val="14"/>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4"/>
                <w:szCs w:val="14"/>
                <w:color w:val="auto"/>
              </w:rPr>
              <w:t>Gross</w:t>
            </w: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color w:val="auto"/>
              </w:rPr>
              <w:t>Estimated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4"/>
                <w:szCs w:val="14"/>
                <w:color w:val="auto"/>
              </w:rPr>
              <w:t>Amortized</w:t>
            </w:r>
          </w:p>
        </w:tc>
        <w:tc>
          <w:tcPr>
            <w:tcW w:w="1100" w:type="dxa"/>
            <w:vAlign w:val="bottom"/>
            <w:gridSpan w:val="3"/>
          </w:tcPr>
          <w:p>
            <w:pPr>
              <w:spacing w:after="0"/>
              <w:rPr>
                <w:sz w:val="20"/>
                <w:szCs w:val="20"/>
                <w:color w:val="auto"/>
              </w:rPr>
            </w:pPr>
            <w:r>
              <w:rPr>
                <w:rFonts w:ascii="Arial" w:cs="Arial" w:eastAsia="Arial" w:hAnsi="Arial"/>
                <w:sz w:val="14"/>
                <w:szCs w:val="14"/>
                <w:color w:val="auto"/>
              </w:rPr>
              <w:t>Unrealized</w:t>
            </w:r>
          </w:p>
        </w:tc>
        <w:tc>
          <w:tcPr>
            <w:tcW w:w="1120" w:type="dxa"/>
            <w:vAlign w:val="bottom"/>
            <w:gridSpan w:val="3"/>
          </w:tcPr>
          <w:p>
            <w:pPr>
              <w:spacing w:after="0"/>
              <w:rPr>
                <w:sz w:val="20"/>
                <w:szCs w:val="20"/>
                <w:color w:val="auto"/>
              </w:rPr>
            </w:pPr>
            <w:r>
              <w:rPr>
                <w:rFonts w:ascii="Arial" w:cs="Arial" w:eastAsia="Arial" w:hAnsi="Arial"/>
                <w:sz w:val="14"/>
                <w:szCs w:val="14"/>
                <w:color w:val="auto"/>
              </w:rPr>
              <w:t>Unrealized</w:t>
            </w:r>
          </w:p>
        </w:tc>
        <w:tc>
          <w:tcPr>
            <w:tcW w:w="10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color w:val="auto"/>
              </w:rPr>
              <w:t>Fair</w:t>
            </w:r>
          </w:p>
        </w:tc>
        <w:tc>
          <w:tcPr>
            <w:tcW w:w="0" w:type="dxa"/>
            <w:vAlign w:val="bottom"/>
          </w:tcPr>
          <w:p>
            <w:pPr>
              <w:spacing w:after="0"/>
              <w:rPr>
                <w:sz w:val="1"/>
                <w:szCs w:val="1"/>
                <w:color w:val="auto"/>
              </w:rPr>
            </w:pPr>
          </w:p>
        </w:tc>
      </w:tr>
      <w:tr>
        <w:trPr>
          <w:trHeight w:val="157"/>
        </w:trPr>
        <w:tc>
          <w:tcPr>
            <w:tcW w:w="4680" w:type="dxa"/>
            <w:vAlign w:val="bottom"/>
            <w:gridSpan w:val="2"/>
          </w:tcPr>
          <w:p>
            <w:pPr>
              <w:spacing w:after="0" w:line="157" w:lineRule="exact"/>
              <w:rPr>
                <w:sz w:val="20"/>
                <w:szCs w:val="20"/>
                <w:color w:val="auto"/>
              </w:rPr>
            </w:pPr>
            <w:r>
              <w:rPr>
                <w:rFonts w:ascii="Arial" w:cs="Arial" w:eastAsia="Arial" w:hAnsi="Arial"/>
                <w:sz w:val="14"/>
                <w:szCs w:val="14"/>
                <w:color w:val="auto"/>
              </w:rPr>
              <w:t>December 31, 2004</w:t>
            </w:r>
          </w:p>
        </w:tc>
        <w:tc>
          <w:tcPr>
            <w:tcW w:w="1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right"/>
              <w:ind w:right="740"/>
              <w:spacing w:after="0" w:line="157" w:lineRule="exact"/>
              <w:rPr>
                <w:sz w:val="20"/>
                <w:szCs w:val="20"/>
                <w:color w:val="auto"/>
              </w:rPr>
            </w:pPr>
            <w:r>
              <w:rPr>
                <w:rFonts w:ascii="Arial" w:cs="Arial" w:eastAsia="Arial" w:hAnsi="Arial"/>
                <w:sz w:val="14"/>
                <w:szCs w:val="14"/>
                <w:color w:val="auto"/>
              </w:rPr>
              <w:t>Cost</w:t>
            </w:r>
          </w:p>
        </w:tc>
        <w:tc>
          <w:tcPr>
            <w:tcW w:w="120" w:type="dxa"/>
            <w:vAlign w:val="bottom"/>
          </w:tcPr>
          <w:p>
            <w:pPr>
              <w:spacing w:after="0"/>
              <w:rPr>
                <w:sz w:val="13"/>
                <w:szCs w:val="13"/>
                <w:color w:val="auto"/>
              </w:rPr>
            </w:pPr>
          </w:p>
        </w:tc>
        <w:tc>
          <w:tcPr>
            <w:tcW w:w="98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Gains</w:t>
            </w:r>
          </w:p>
        </w:tc>
        <w:tc>
          <w:tcPr>
            <w:tcW w:w="120" w:type="dxa"/>
            <w:vAlign w:val="bottom"/>
          </w:tcPr>
          <w:p>
            <w:pPr>
              <w:spacing w:after="0"/>
              <w:rPr>
                <w:sz w:val="13"/>
                <w:szCs w:val="13"/>
                <w:color w:val="auto"/>
              </w:rPr>
            </w:pPr>
          </w:p>
        </w:tc>
        <w:tc>
          <w:tcPr>
            <w:tcW w:w="1000" w:type="dxa"/>
            <w:vAlign w:val="bottom"/>
            <w:gridSpan w:val="2"/>
          </w:tcPr>
          <w:p>
            <w:pPr>
              <w:jc w:val="right"/>
              <w:ind w:right="540"/>
              <w:spacing w:after="0" w:line="157" w:lineRule="exact"/>
              <w:rPr>
                <w:sz w:val="20"/>
                <w:szCs w:val="20"/>
                <w:color w:val="auto"/>
              </w:rPr>
            </w:pPr>
            <w:r>
              <w:rPr>
                <w:rFonts w:ascii="Arial" w:cs="Arial" w:eastAsia="Arial" w:hAnsi="Arial"/>
                <w:sz w:val="14"/>
                <w:szCs w:val="14"/>
                <w:color w:val="auto"/>
                <w:w w:val="99"/>
              </w:rPr>
              <w:t>Losses</w:t>
            </w:r>
          </w:p>
        </w:tc>
        <w:tc>
          <w:tcPr>
            <w:tcW w:w="100" w:type="dxa"/>
            <w:vAlign w:val="bottom"/>
          </w:tcPr>
          <w:p>
            <w:pPr>
              <w:spacing w:after="0"/>
              <w:rPr>
                <w:sz w:val="13"/>
                <w:szCs w:val="13"/>
                <w:color w:val="auto"/>
              </w:rPr>
            </w:pPr>
          </w:p>
        </w:tc>
        <w:tc>
          <w:tcPr>
            <w:tcW w:w="920" w:type="dxa"/>
            <w:vAlign w:val="bottom"/>
            <w:gridSpan w:val="2"/>
          </w:tcPr>
          <w:p>
            <w:pPr>
              <w:jc w:val="center"/>
              <w:ind w:right="200"/>
              <w:spacing w:after="0" w:line="157" w:lineRule="exact"/>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Fixed Maturities</w:t>
            </w:r>
          </w:p>
        </w:tc>
        <w:tc>
          <w:tcPr>
            <w:tcW w:w="182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tcPr>
          <w:p>
            <w:pPr>
              <w:spacing w:after="0" w:line="202" w:lineRule="exact"/>
              <w:rPr>
                <w:sz w:val="20"/>
                <w:szCs w:val="20"/>
                <w:color w:val="auto"/>
              </w:rPr>
            </w:pPr>
            <w:r>
              <w:rPr>
                <w:rFonts w:ascii="Arial" w:cs="Arial" w:eastAsia="Arial" w:hAnsi="Arial"/>
                <w:sz w:val="18"/>
                <w:szCs w:val="18"/>
                <w:color w:val="auto"/>
              </w:rPr>
              <w:t>U.S. treasuries &amp; government agencies</w:t>
            </w:r>
          </w:p>
        </w:tc>
        <w:tc>
          <w:tcPr>
            <w:tcW w:w="226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11,850</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412</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69</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12,193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States &amp; political subdivisions</w:t>
            </w:r>
          </w:p>
        </w:tc>
        <w:tc>
          <w:tcPr>
            <w:tcW w:w="1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80,508</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2,515</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82,859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tcPr>
          <w:p>
            <w:pPr>
              <w:spacing w:after="0" w:line="202" w:lineRule="exact"/>
              <w:rPr>
                <w:sz w:val="20"/>
                <w:szCs w:val="20"/>
                <w:color w:val="auto"/>
              </w:rPr>
            </w:pPr>
            <w:r>
              <w:rPr>
                <w:rFonts w:ascii="Arial" w:cs="Arial" w:eastAsia="Arial" w:hAnsi="Arial"/>
                <w:sz w:val="18"/>
                <w:szCs w:val="18"/>
                <w:color w:val="auto"/>
              </w:rPr>
              <w:t>Special revenue</w:t>
            </w:r>
          </w:p>
        </w:tc>
        <w:tc>
          <w:tcPr>
            <w:tcW w:w="1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125,083</w:t>
            </w:r>
          </w:p>
        </w:tc>
        <w:tc>
          <w:tcPr>
            <w:tcW w:w="120" w:type="dxa"/>
            <w:vAlign w:val="bottom"/>
          </w:tcPr>
          <w:p>
            <w:pPr>
              <w:spacing w:after="0"/>
              <w:rPr>
                <w:sz w:val="17"/>
                <w:szCs w:val="17"/>
                <w:color w:val="auto"/>
              </w:rPr>
            </w:pPr>
          </w:p>
        </w:tc>
        <w:tc>
          <w:tcPr>
            <w:tcW w:w="9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3,407</w:t>
            </w:r>
          </w:p>
        </w:tc>
        <w:tc>
          <w:tcPr>
            <w:tcW w:w="120" w:type="dxa"/>
            <w:vAlign w:val="bottom"/>
          </w:tcPr>
          <w:p>
            <w:pPr>
              <w:spacing w:after="0"/>
              <w:rPr>
                <w:sz w:val="17"/>
                <w:szCs w:val="17"/>
                <w:color w:val="auto"/>
              </w:rPr>
            </w:pPr>
          </w:p>
        </w:tc>
        <w:tc>
          <w:tcPr>
            <w:tcW w:w="10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137</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128,353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Public utilities</w:t>
            </w:r>
          </w:p>
        </w:tc>
        <w:tc>
          <w:tcPr>
            <w:tcW w:w="1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66,927</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4,708</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71,583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tcPr>
          <w:p>
            <w:pPr>
              <w:spacing w:after="0" w:line="202" w:lineRule="exact"/>
              <w:rPr>
                <w:sz w:val="20"/>
                <w:szCs w:val="20"/>
                <w:color w:val="auto"/>
              </w:rPr>
            </w:pPr>
            <w:r>
              <w:rPr>
                <w:rFonts w:ascii="Arial" w:cs="Arial" w:eastAsia="Arial" w:hAnsi="Arial"/>
                <w:sz w:val="18"/>
                <w:szCs w:val="18"/>
                <w:color w:val="auto"/>
              </w:rPr>
              <w:t>U. S. industrial &amp; miscellaneous</w:t>
            </w:r>
          </w:p>
        </w:tc>
        <w:tc>
          <w:tcPr>
            <w:tcW w:w="1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429,793</w:t>
            </w:r>
          </w:p>
        </w:tc>
        <w:tc>
          <w:tcPr>
            <w:tcW w:w="120" w:type="dxa"/>
            <w:vAlign w:val="bottom"/>
          </w:tcPr>
          <w:p>
            <w:pPr>
              <w:spacing w:after="0"/>
              <w:rPr>
                <w:sz w:val="17"/>
                <w:szCs w:val="17"/>
                <w:color w:val="auto"/>
              </w:rPr>
            </w:pPr>
          </w:p>
        </w:tc>
        <w:tc>
          <w:tcPr>
            <w:tcW w:w="9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w w:val="98"/>
              </w:rPr>
              <w:t>14,953</w:t>
            </w:r>
          </w:p>
        </w:tc>
        <w:tc>
          <w:tcPr>
            <w:tcW w:w="120" w:type="dxa"/>
            <w:vAlign w:val="bottom"/>
          </w:tcPr>
          <w:p>
            <w:pPr>
              <w:spacing w:after="0"/>
              <w:rPr>
                <w:sz w:val="17"/>
                <w:szCs w:val="17"/>
                <w:color w:val="auto"/>
              </w:rPr>
            </w:pPr>
          </w:p>
        </w:tc>
        <w:tc>
          <w:tcPr>
            <w:tcW w:w="10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1,669</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443,077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Mortgage-backed securities</w:t>
            </w:r>
          </w:p>
        </w:tc>
        <w:tc>
          <w:tcPr>
            <w:tcW w:w="1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48,504</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772</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48,886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tcPr>
          <w:p>
            <w:pPr>
              <w:spacing w:after="0" w:line="202" w:lineRule="exact"/>
              <w:rPr>
                <w:sz w:val="20"/>
                <w:szCs w:val="20"/>
                <w:color w:val="auto"/>
              </w:rPr>
            </w:pPr>
            <w:r>
              <w:rPr>
                <w:rFonts w:ascii="Arial" w:cs="Arial" w:eastAsia="Arial" w:hAnsi="Arial"/>
                <w:sz w:val="18"/>
                <w:szCs w:val="18"/>
                <w:color w:val="auto"/>
              </w:rPr>
              <w:t>Asset-backed securities</w:t>
            </w:r>
          </w:p>
        </w:tc>
        <w:tc>
          <w:tcPr>
            <w:tcW w:w="1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21,596</w:t>
            </w:r>
          </w:p>
        </w:tc>
        <w:tc>
          <w:tcPr>
            <w:tcW w:w="120" w:type="dxa"/>
            <w:vAlign w:val="bottom"/>
          </w:tcPr>
          <w:p>
            <w:pPr>
              <w:spacing w:after="0"/>
              <w:rPr>
                <w:sz w:val="17"/>
                <w:szCs w:val="17"/>
                <w:color w:val="auto"/>
              </w:rPr>
            </w:pPr>
          </w:p>
        </w:tc>
        <w:tc>
          <w:tcPr>
            <w:tcW w:w="9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76</w:t>
            </w:r>
          </w:p>
        </w:tc>
        <w:tc>
          <w:tcPr>
            <w:tcW w:w="120" w:type="dxa"/>
            <w:vAlign w:val="bottom"/>
          </w:tcPr>
          <w:p>
            <w:pPr>
              <w:spacing w:after="0"/>
              <w:rPr>
                <w:sz w:val="17"/>
                <w:szCs w:val="17"/>
                <w:color w:val="auto"/>
              </w:rPr>
            </w:pPr>
          </w:p>
        </w:tc>
        <w:tc>
          <w:tcPr>
            <w:tcW w:w="10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286</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21,386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w:t>
            </w:r>
          </w:p>
        </w:tc>
        <w:tc>
          <w:tcPr>
            <w:tcW w:w="1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125,590</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9,628</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134,906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660" w:type="dxa"/>
            <w:vAlign w:val="bottom"/>
          </w:tcPr>
          <w:p>
            <w:pPr>
              <w:ind w:left="400"/>
              <w:spacing w:after="0"/>
              <w:rPr>
                <w:sz w:val="20"/>
                <w:szCs w:val="20"/>
                <w:color w:val="auto"/>
              </w:rPr>
            </w:pPr>
            <w:r>
              <w:rPr>
                <w:rFonts w:ascii="Arial" w:cs="Arial" w:eastAsia="Arial" w:hAnsi="Arial"/>
                <w:sz w:val="18"/>
                <w:szCs w:val="18"/>
                <w:color w:val="auto"/>
              </w:rPr>
              <w:t>Total bonds</w:t>
            </w:r>
          </w:p>
        </w:tc>
        <w:tc>
          <w:tcPr>
            <w:tcW w:w="1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909,851</w:t>
            </w:r>
          </w:p>
        </w:tc>
        <w:tc>
          <w:tcPr>
            <w:tcW w:w="120" w:type="dxa"/>
            <w:vAlign w:val="bottom"/>
          </w:tcPr>
          <w:p>
            <w:pPr>
              <w:spacing w:after="0"/>
              <w:rPr>
                <w:sz w:val="24"/>
                <w:szCs w:val="2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36,471</w:t>
            </w:r>
          </w:p>
        </w:tc>
        <w:tc>
          <w:tcPr>
            <w:tcW w:w="120" w:type="dxa"/>
            <w:vAlign w:val="bottom"/>
          </w:tcPr>
          <w:p>
            <w:pPr>
              <w:spacing w:after="0"/>
              <w:rPr>
                <w:sz w:val="24"/>
                <w:szCs w:val="2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3,079</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943,243</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6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Redeemable preferred stock</w:t>
            </w:r>
          </w:p>
        </w:tc>
        <w:tc>
          <w:tcPr>
            <w:tcW w:w="1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29,429</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1,949</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31,269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660" w:type="dxa"/>
            <w:vAlign w:val="bottom"/>
          </w:tcPr>
          <w:p>
            <w:pPr>
              <w:ind w:left="400"/>
              <w:spacing w:after="0"/>
              <w:rPr>
                <w:sz w:val="20"/>
                <w:szCs w:val="20"/>
                <w:color w:val="auto"/>
              </w:rPr>
            </w:pPr>
            <w:r>
              <w:rPr>
                <w:rFonts w:ascii="Arial" w:cs="Arial" w:eastAsia="Arial" w:hAnsi="Arial"/>
                <w:sz w:val="18"/>
                <w:szCs w:val="18"/>
                <w:color w:val="auto"/>
              </w:rPr>
              <w:t>Total fixed maturities</w:t>
            </w:r>
          </w:p>
        </w:tc>
        <w:tc>
          <w:tcPr>
            <w:tcW w:w="1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939,280</w:t>
            </w:r>
          </w:p>
        </w:tc>
        <w:tc>
          <w:tcPr>
            <w:tcW w:w="120" w:type="dxa"/>
            <w:vAlign w:val="bottom"/>
          </w:tcPr>
          <w:p>
            <w:pPr>
              <w:spacing w:after="0"/>
              <w:rPr>
                <w:sz w:val="24"/>
                <w:szCs w:val="2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38,420</w:t>
            </w:r>
          </w:p>
        </w:tc>
        <w:tc>
          <w:tcPr>
            <w:tcW w:w="120" w:type="dxa"/>
            <w:vAlign w:val="bottom"/>
          </w:tcPr>
          <w:p>
            <w:pPr>
              <w:spacing w:after="0"/>
              <w:rPr>
                <w:sz w:val="24"/>
                <w:szCs w:val="2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3,188</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974,512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 Securities</w:t>
            </w:r>
          </w:p>
        </w:tc>
        <w:tc>
          <w:tcPr>
            <w:tcW w:w="1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tcPr>
          <w:p>
            <w:pPr>
              <w:spacing w:after="0" w:line="202" w:lineRule="exact"/>
              <w:rPr>
                <w:sz w:val="20"/>
                <w:szCs w:val="20"/>
                <w:color w:val="auto"/>
              </w:rPr>
            </w:pPr>
            <w:r>
              <w:rPr>
                <w:rFonts w:ascii="Arial" w:cs="Arial" w:eastAsia="Arial" w:hAnsi="Arial"/>
                <w:sz w:val="18"/>
                <w:szCs w:val="18"/>
                <w:color w:val="auto"/>
              </w:rPr>
              <w:t>Common stock:</w:t>
            </w:r>
          </w:p>
        </w:tc>
        <w:tc>
          <w:tcPr>
            <w:tcW w:w="1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Public utilities</w:t>
            </w:r>
          </w:p>
        </w:tc>
        <w:tc>
          <w:tcPr>
            <w:tcW w:w="1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992</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tcPr>
          <w:p>
            <w:pPr>
              <w:ind w:left="200"/>
              <w:spacing w:after="0" w:line="202" w:lineRule="exact"/>
              <w:rPr>
                <w:sz w:val="20"/>
                <w:szCs w:val="20"/>
                <w:color w:val="auto"/>
              </w:rPr>
            </w:pPr>
            <w:r>
              <w:rPr>
                <w:rFonts w:ascii="Arial" w:cs="Arial" w:eastAsia="Arial" w:hAnsi="Arial"/>
                <w:sz w:val="18"/>
                <w:szCs w:val="18"/>
                <w:color w:val="auto"/>
              </w:rPr>
              <w:t>U. S. banks, trusts &amp; insurance companies</w:t>
            </w:r>
          </w:p>
        </w:tc>
        <w:tc>
          <w:tcPr>
            <w:tcW w:w="1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6,197</w:t>
            </w:r>
          </w:p>
        </w:tc>
        <w:tc>
          <w:tcPr>
            <w:tcW w:w="120" w:type="dxa"/>
            <w:vAlign w:val="bottom"/>
          </w:tcPr>
          <w:p>
            <w:pPr>
              <w:spacing w:after="0"/>
              <w:rPr>
                <w:sz w:val="17"/>
                <w:szCs w:val="17"/>
                <w:color w:val="auto"/>
              </w:rPr>
            </w:pPr>
          </w:p>
        </w:tc>
        <w:tc>
          <w:tcPr>
            <w:tcW w:w="9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2,334</w:t>
            </w:r>
          </w:p>
        </w:tc>
        <w:tc>
          <w:tcPr>
            <w:tcW w:w="120" w:type="dxa"/>
            <w:vAlign w:val="bottom"/>
          </w:tcPr>
          <w:p>
            <w:pPr>
              <w:spacing w:after="0"/>
              <w:rPr>
                <w:sz w:val="17"/>
                <w:szCs w:val="17"/>
                <w:color w:val="auto"/>
              </w:rPr>
            </w:pPr>
          </w:p>
        </w:tc>
        <w:tc>
          <w:tcPr>
            <w:tcW w:w="10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50</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8,481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U. S. industrial &amp; miscellaneous</w:t>
            </w:r>
          </w:p>
        </w:tc>
        <w:tc>
          <w:tcPr>
            <w:tcW w:w="1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34,120</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w w:val="98"/>
              </w:rPr>
              <w:t>13,136</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47,085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tcPr>
          <w:p>
            <w:pPr>
              <w:ind w:left="200"/>
              <w:spacing w:after="0" w:line="202" w:lineRule="exact"/>
              <w:rPr>
                <w:sz w:val="20"/>
                <w:szCs w:val="20"/>
                <w:color w:val="auto"/>
              </w:rPr>
            </w:pPr>
            <w:r>
              <w:rPr>
                <w:rFonts w:ascii="Arial" w:cs="Arial" w:eastAsia="Arial" w:hAnsi="Arial"/>
                <w:sz w:val="18"/>
                <w:szCs w:val="18"/>
                <w:color w:val="auto"/>
              </w:rPr>
              <w:t>Foreign</w:t>
            </w:r>
          </w:p>
        </w:tc>
        <w:tc>
          <w:tcPr>
            <w:tcW w:w="1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2,245</w:t>
            </w:r>
          </w:p>
        </w:tc>
        <w:tc>
          <w:tcPr>
            <w:tcW w:w="120" w:type="dxa"/>
            <w:vAlign w:val="bottom"/>
          </w:tcPr>
          <w:p>
            <w:pPr>
              <w:spacing w:after="0"/>
              <w:rPr>
                <w:sz w:val="17"/>
                <w:szCs w:val="17"/>
                <w:color w:val="auto"/>
              </w:rPr>
            </w:pPr>
          </w:p>
        </w:tc>
        <w:tc>
          <w:tcPr>
            <w:tcW w:w="9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57</w:t>
            </w:r>
          </w:p>
        </w:tc>
        <w:tc>
          <w:tcPr>
            <w:tcW w:w="120" w:type="dxa"/>
            <w:vAlign w:val="bottom"/>
          </w:tcPr>
          <w:p>
            <w:pPr>
              <w:spacing w:after="0"/>
              <w:rPr>
                <w:sz w:val="17"/>
                <w:szCs w:val="17"/>
                <w:color w:val="auto"/>
              </w:rPr>
            </w:pPr>
          </w:p>
        </w:tc>
        <w:tc>
          <w:tcPr>
            <w:tcW w:w="10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28</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Nonredeemable preferred stock:</w:t>
            </w:r>
          </w:p>
        </w:tc>
        <w:tc>
          <w:tcPr>
            <w:tcW w:w="1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tcPr>
          <w:p>
            <w:pPr>
              <w:ind w:left="200"/>
              <w:spacing w:after="0" w:line="202" w:lineRule="exact"/>
              <w:rPr>
                <w:sz w:val="20"/>
                <w:szCs w:val="20"/>
                <w:color w:val="auto"/>
              </w:rPr>
            </w:pPr>
            <w:r>
              <w:rPr>
                <w:rFonts w:ascii="Arial" w:cs="Arial" w:eastAsia="Arial" w:hAnsi="Arial"/>
                <w:sz w:val="18"/>
                <w:szCs w:val="18"/>
                <w:color w:val="auto"/>
              </w:rPr>
              <w:t>Public utilities</w:t>
            </w:r>
          </w:p>
        </w:tc>
        <w:tc>
          <w:tcPr>
            <w:tcW w:w="1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21,373</w:t>
            </w:r>
          </w:p>
        </w:tc>
        <w:tc>
          <w:tcPr>
            <w:tcW w:w="120" w:type="dxa"/>
            <w:vAlign w:val="bottom"/>
          </w:tcPr>
          <w:p>
            <w:pPr>
              <w:spacing w:after="0"/>
              <w:rPr>
                <w:sz w:val="17"/>
                <w:szCs w:val="17"/>
                <w:color w:val="auto"/>
              </w:rPr>
            </w:pPr>
          </w:p>
        </w:tc>
        <w:tc>
          <w:tcPr>
            <w:tcW w:w="9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1,939</w:t>
            </w:r>
          </w:p>
        </w:tc>
        <w:tc>
          <w:tcPr>
            <w:tcW w:w="120" w:type="dxa"/>
            <w:vAlign w:val="bottom"/>
          </w:tcPr>
          <w:p>
            <w:pPr>
              <w:spacing w:after="0"/>
              <w:rPr>
                <w:sz w:val="17"/>
                <w:szCs w:val="17"/>
                <w:color w:val="auto"/>
              </w:rPr>
            </w:pPr>
          </w:p>
        </w:tc>
        <w:tc>
          <w:tcPr>
            <w:tcW w:w="10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59</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23,253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U. S. banks, trusts &amp; insurance companies</w:t>
            </w:r>
          </w:p>
        </w:tc>
        <w:tc>
          <w:tcPr>
            <w:tcW w:w="1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43,605</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3,401</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47,004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tcPr>
          <w:p>
            <w:pPr>
              <w:ind w:left="200"/>
              <w:spacing w:after="0" w:line="202" w:lineRule="exact"/>
              <w:rPr>
                <w:sz w:val="20"/>
                <w:szCs w:val="20"/>
                <w:color w:val="auto"/>
              </w:rPr>
            </w:pPr>
            <w:r>
              <w:rPr>
                <w:rFonts w:ascii="Arial" w:cs="Arial" w:eastAsia="Arial" w:hAnsi="Arial"/>
                <w:sz w:val="18"/>
                <w:szCs w:val="18"/>
                <w:color w:val="auto"/>
              </w:rPr>
              <w:t>U. S. industrial &amp; miscellaneous</w:t>
            </w:r>
          </w:p>
        </w:tc>
        <w:tc>
          <w:tcPr>
            <w:tcW w:w="1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55,096</w:t>
            </w:r>
          </w:p>
        </w:tc>
        <w:tc>
          <w:tcPr>
            <w:tcW w:w="120" w:type="dxa"/>
            <w:vAlign w:val="bottom"/>
          </w:tcPr>
          <w:p>
            <w:pPr>
              <w:spacing w:after="0"/>
              <w:rPr>
                <w:sz w:val="17"/>
                <w:szCs w:val="17"/>
                <w:color w:val="auto"/>
              </w:rPr>
            </w:pPr>
          </w:p>
        </w:tc>
        <w:tc>
          <w:tcPr>
            <w:tcW w:w="9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4,667</w:t>
            </w:r>
          </w:p>
        </w:tc>
        <w:tc>
          <w:tcPr>
            <w:tcW w:w="120" w:type="dxa"/>
            <w:vAlign w:val="bottom"/>
          </w:tcPr>
          <w:p>
            <w:pPr>
              <w:spacing w:after="0"/>
              <w:rPr>
                <w:sz w:val="17"/>
                <w:szCs w:val="17"/>
                <w:color w:val="auto"/>
              </w:rPr>
            </w:pPr>
          </w:p>
        </w:tc>
        <w:tc>
          <w:tcPr>
            <w:tcW w:w="10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88</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59,675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Foreign</w:t>
            </w:r>
          </w:p>
        </w:tc>
        <w:tc>
          <w:tcPr>
            <w:tcW w:w="1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12,232</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1,730</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13,919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660" w:type="dxa"/>
            <w:vAlign w:val="bottom"/>
          </w:tcPr>
          <w:p>
            <w:pPr>
              <w:ind w:left="400"/>
              <w:spacing w:after="0"/>
              <w:rPr>
                <w:sz w:val="20"/>
                <w:szCs w:val="20"/>
                <w:color w:val="auto"/>
              </w:rPr>
            </w:pPr>
            <w:r>
              <w:rPr>
                <w:rFonts w:ascii="Arial" w:cs="Arial" w:eastAsia="Arial" w:hAnsi="Arial"/>
                <w:sz w:val="18"/>
                <w:szCs w:val="18"/>
                <w:color w:val="auto"/>
              </w:rPr>
              <w:t>Total equity securities</w:t>
            </w:r>
          </w:p>
        </w:tc>
        <w:tc>
          <w:tcPr>
            <w:tcW w:w="1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175,860</w:t>
            </w:r>
          </w:p>
        </w:tc>
        <w:tc>
          <w:tcPr>
            <w:tcW w:w="120" w:type="dxa"/>
            <w:vAlign w:val="bottom"/>
          </w:tcPr>
          <w:p>
            <w:pPr>
              <w:spacing w:after="0"/>
              <w:rPr>
                <w:sz w:val="24"/>
                <w:szCs w:val="2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27,275</w:t>
            </w:r>
          </w:p>
        </w:tc>
        <w:tc>
          <w:tcPr>
            <w:tcW w:w="120" w:type="dxa"/>
            <w:vAlign w:val="bottom"/>
          </w:tcPr>
          <w:p>
            <w:pPr>
              <w:spacing w:after="0"/>
              <w:rPr>
                <w:sz w:val="24"/>
                <w:szCs w:val="2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202,694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Total fixed maturities and equity securities</w:t>
            </w:r>
          </w:p>
        </w:tc>
        <w:tc>
          <w:tcPr>
            <w:tcW w:w="226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u w:val="single" w:color="auto"/>
                <w:color w:val="auto"/>
              </w:rPr>
              <w:t>$</w:t>
            </w:r>
          </w:p>
        </w:tc>
        <w:tc>
          <w:tcPr>
            <w:tcW w:w="12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w w:val="97"/>
              </w:rPr>
              <w:t>1,115,140</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u w:val="single" w:color="auto"/>
                <w:color w:val="auto"/>
                <w:w w:val="99"/>
              </w:rPr>
              <w:t>$</w:t>
            </w:r>
          </w:p>
        </w:tc>
        <w:tc>
          <w:tcPr>
            <w:tcW w:w="9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w w:val="98"/>
              </w:rPr>
              <w:t>65,695</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3,629</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9"/>
              </w:rPr>
              <w:t>1,177,206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820" w:type="dxa"/>
            <w:vAlign w:val="bottom"/>
            <w:vMerge w:val="restart"/>
          </w:tcPr>
          <w:p>
            <w:pPr>
              <w:jc w:val="right"/>
              <w:ind w:right="590"/>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60" w:type="dxa"/>
            <w:vAlign w:val="bottom"/>
            <w:tcBorders>
              <w:bottom w:val="single" w:sz="8" w:color="808080"/>
            </w:tcBorders>
          </w:tcPr>
          <w:p>
            <w:pPr>
              <w:spacing w:after="0"/>
              <w:rPr>
                <w:sz w:val="18"/>
                <w:szCs w:val="18"/>
                <w:color w:val="auto"/>
              </w:rPr>
            </w:pPr>
          </w:p>
        </w:tc>
        <w:tc>
          <w:tcPr>
            <w:tcW w:w="182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44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c>
          <w:tcPr>
            <w:tcW w:w="44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NOTES TO CONSOLIDATED FINANCIAL STATEMENTS (UNAUDITED)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NOTE 4 – INVESTMENTS (Continued)</w:t>
      </w:r>
    </w:p>
    <w:p>
      <w:pPr>
        <w:spacing w:after="0" w:line="171"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Fixed maturities and equity securities in a gross unrealized loss position at March 31 2005 are as follows. Data is provided by length of time securities were in a gross unrealized loss position:</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color w:val="auto"/>
              </w:rPr>
              <w:t>Less than 12 months</w:t>
            </w: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jc w:val="right"/>
              <w:ind w:right="171"/>
              <w:spacing w:after="0"/>
              <w:rPr>
                <w:sz w:val="20"/>
                <w:szCs w:val="20"/>
                <w:color w:val="auto"/>
              </w:rPr>
            </w:pPr>
            <w:r>
              <w:rPr>
                <w:rFonts w:ascii="Arial" w:cs="Arial" w:eastAsia="Arial" w:hAnsi="Arial"/>
                <w:sz w:val="14"/>
                <w:szCs w:val="14"/>
                <w:color w:val="auto"/>
              </w:rPr>
              <w:t>12 months or longer</w:t>
            </w: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Total</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color w:val="auto"/>
              </w:rPr>
              <w:t>Fair</w:t>
            </w:r>
          </w:p>
        </w:tc>
        <w:tc>
          <w:tcPr>
            <w:tcW w:w="1120" w:type="dxa"/>
            <w:vAlign w:val="bottom"/>
            <w:gridSpan w:val="3"/>
          </w:tcPr>
          <w:p>
            <w:pPr>
              <w:spacing w:after="0"/>
              <w:rPr>
                <w:sz w:val="20"/>
                <w:szCs w:val="20"/>
                <w:color w:val="auto"/>
              </w:rPr>
            </w:pPr>
            <w:r>
              <w:rPr>
                <w:rFonts w:ascii="Arial" w:cs="Arial" w:eastAsia="Arial" w:hAnsi="Arial"/>
                <w:sz w:val="14"/>
                <w:szCs w:val="14"/>
                <w:color w:val="auto"/>
              </w:rPr>
              <w:t>Unrealized</w:t>
            </w:r>
          </w:p>
        </w:tc>
        <w:tc>
          <w:tcPr>
            <w:tcW w:w="120" w:type="dxa"/>
            <w:vAlign w:val="bottom"/>
          </w:tcPr>
          <w:p>
            <w:pPr>
              <w:spacing w:after="0"/>
              <w:rPr>
                <w:sz w:val="13"/>
                <w:szCs w:val="13"/>
                <w:color w:val="auto"/>
              </w:rPr>
            </w:pPr>
          </w:p>
        </w:tc>
        <w:tc>
          <w:tcPr>
            <w:tcW w:w="780" w:type="dxa"/>
            <w:vAlign w:val="bottom"/>
            <w:gridSpan w:val="2"/>
          </w:tcPr>
          <w:p>
            <w:pPr>
              <w:jc w:val="center"/>
              <w:ind w:right="340"/>
              <w:spacing w:after="0"/>
              <w:rPr>
                <w:sz w:val="20"/>
                <w:szCs w:val="20"/>
                <w:color w:val="auto"/>
              </w:rPr>
            </w:pPr>
            <w:r>
              <w:rPr>
                <w:rFonts w:ascii="Arial" w:cs="Arial" w:eastAsia="Arial" w:hAnsi="Arial"/>
                <w:sz w:val="14"/>
                <w:szCs w:val="14"/>
                <w:color w:val="auto"/>
                <w:w w:val="99"/>
              </w:rPr>
              <w:t>Fair</w:t>
            </w:r>
          </w:p>
        </w:tc>
        <w:tc>
          <w:tcPr>
            <w:tcW w:w="1340" w:type="dxa"/>
            <w:vAlign w:val="bottom"/>
            <w:gridSpan w:val="4"/>
          </w:tcPr>
          <w:p>
            <w:pPr>
              <w:ind w:left="220"/>
              <w:spacing w:after="0"/>
              <w:rPr>
                <w:sz w:val="20"/>
                <w:szCs w:val="20"/>
                <w:color w:val="auto"/>
              </w:rPr>
            </w:pPr>
            <w:r>
              <w:rPr>
                <w:rFonts w:ascii="Arial" w:cs="Arial" w:eastAsia="Arial" w:hAnsi="Arial"/>
                <w:sz w:val="14"/>
                <w:szCs w:val="14"/>
                <w:color w:val="auto"/>
              </w:rPr>
              <w:t>Unrealized</w:t>
            </w:r>
          </w:p>
        </w:tc>
        <w:tc>
          <w:tcPr>
            <w:tcW w:w="120" w:type="dxa"/>
            <w:vAlign w:val="bottom"/>
          </w:tcPr>
          <w:p>
            <w:pPr>
              <w:spacing w:after="0"/>
              <w:rPr>
                <w:sz w:val="13"/>
                <w:szCs w:val="13"/>
                <w:color w:val="auto"/>
              </w:rPr>
            </w:pPr>
          </w:p>
        </w:tc>
        <w:tc>
          <w:tcPr>
            <w:tcW w:w="660" w:type="dxa"/>
            <w:vAlign w:val="bottom"/>
          </w:tcPr>
          <w:p>
            <w:pPr>
              <w:jc w:val="right"/>
              <w:ind w:right="172"/>
              <w:spacing w:after="0"/>
              <w:rPr>
                <w:sz w:val="20"/>
                <w:szCs w:val="20"/>
                <w:color w:val="auto"/>
              </w:rPr>
            </w:pPr>
            <w:r>
              <w:rPr>
                <w:rFonts w:ascii="Arial" w:cs="Arial" w:eastAsia="Arial" w:hAnsi="Arial"/>
                <w:sz w:val="14"/>
                <w:szCs w:val="14"/>
                <w:color w:val="auto"/>
              </w:rPr>
              <w:t>Fair</w:t>
            </w:r>
          </w:p>
        </w:tc>
        <w:tc>
          <w:tcPr>
            <w:tcW w:w="1220" w:type="dxa"/>
            <w:vAlign w:val="bottom"/>
            <w:gridSpan w:val="4"/>
          </w:tcPr>
          <w:p>
            <w:pPr>
              <w:ind w:left="440"/>
              <w:spacing w:after="0"/>
              <w:rPr>
                <w:sz w:val="20"/>
                <w:szCs w:val="20"/>
                <w:color w:val="auto"/>
              </w:rPr>
            </w:pPr>
            <w:r>
              <w:rPr>
                <w:rFonts w:ascii="Arial" w:cs="Arial" w:eastAsia="Arial" w:hAnsi="Arial"/>
                <w:sz w:val="14"/>
                <w:szCs w:val="14"/>
                <w:color w:val="auto"/>
              </w:rPr>
              <w:t>Unrealized</w:t>
            </w:r>
          </w:p>
        </w:tc>
        <w:tc>
          <w:tcPr>
            <w:tcW w:w="0" w:type="dxa"/>
            <w:vAlign w:val="bottom"/>
          </w:tcPr>
          <w:p>
            <w:pPr>
              <w:spacing w:after="0"/>
              <w:rPr>
                <w:sz w:val="1"/>
                <w:szCs w:val="1"/>
                <w:color w:val="auto"/>
              </w:rPr>
            </w:pPr>
          </w:p>
        </w:tc>
      </w:tr>
      <w:tr>
        <w:trPr>
          <w:trHeight w:val="157"/>
        </w:trPr>
        <w:tc>
          <w:tcPr>
            <w:tcW w:w="4840" w:type="dxa"/>
            <w:vAlign w:val="bottom"/>
            <w:gridSpan w:val="2"/>
          </w:tcPr>
          <w:p>
            <w:pPr>
              <w:spacing w:after="0" w:line="157" w:lineRule="exact"/>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3"/>
                <w:szCs w:val="13"/>
                <w:color w:val="auto"/>
              </w:rPr>
            </w:pPr>
          </w:p>
        </w:tc>
        <w:tc>
          <w:tcPr>
            <w:tcW w:w="1100" w:type="dxa"/>
            <w:vAlign w:val="bottom"/>
            <w:gridSpan w:val="2"/>
          </w:tcPr>
          <w:p>
            <w:pPr>
              <w:ind w:left="80"/>
              <w:spacing w:after="0" w:line="157" w:lineRule="exact"/>
              <w:rPr>
                <w:sz w:val="20"/>
                <w:szCs w:val="20"/>
                <w:color w:val="auto"/>
              </w:rPr>
            </w:pPr>
            <w:r>
              <w:rPr>
                <w:rFonts w:ascii="Arial" w:cs="Arial" w:eastAsia="Arial" w:hAnsi="Arial"/>
                <w:sz w:val="14"/>
                <w:szCs w:val="14"/>
                <w:color w:val="auto"/>
              </w:rPr>
              <w:t>Value</w:t>
            </w:r>
          </w:p>
        </w:tc>
        <w:tc>
          <w:tcPr>
            <w:tcW w:w="100" w:type="dxa"/>
            <w:vAlign w:val="bottom"/>
          </w:tcPr>
          <w:p>
            <w:pPr>
              <w:spacing w:after="0"/>
              <w:rPr>
                <w:sz w:val="13"/>
                <w:szCs w:val="13"/>
                <w:color w:val="auto"/>
              </w:rPr>
            </w:pPr>
          </w:p>
        </w:tc>
        <w:tc>
          <w:tcPr>
            <w:tcW w:w="1020" w:type="dxa"/>
            <w:vAlign w:val="bottom"/>
            <w:gridSpan w:val="2"/>
          </w:tcPr>
          <w:p>
            <w:pPr>
              <w:spacing w:after="0" w:line="157" w:lineRule="exact"/>
              <w:rPr>
                <w:sz w:val="20"/>
                <w:szCs w:val="20"/>
                <w:color w:val="auto"/>
              </w:rPr>
            </w:pPr>
            <w:r>
              <w:rPr>
                <w:rFonts w:ascii="Arial" w:cs="Arial" w:eastAsia="Arial" w:hAnsi="Arial"/>
                <w:sz w:val="14"/>
                <w:szCs w:val="14"/>
                <w:color w:val="auto"/>
              </w:rPr>
              <w:t>Losses</w:t>
            </w:r>
          </w:p>
        </w:tc>
        <w:tc>
          <w:tcPr>
            <w:tcW w:w="120" w:type="dxa"/>
            <w:vAlign w:val="bottom"/>
          </w:tcPr>
          <w:p>
            <w:pPr>
              <w:spacing w:after="0"/>
              <w:rPr>
                <w:sz w:val="13"/>
                <w:szCs w:val="13"/>
                <w:color w:val="auto"/>
              </w:rPr>
            </w:pPr>
          </w:p>
        </w:tc>
        <w:tc>
          <w:tcPr>
            <w:tcW w:w="780" w:type="dxa"/>
            <w:vAlign w:val="bottom"/>
            <w:gridSpan w:val="2"/>
          </w:tcPr>
          <w:p>
            <w:pPr>
              <w:jc w:val="center"/>
              <w:ind w:right="340"/>
              <w:spacing w:after="0" w:line="157" w:lineRule="exact"/>
              <w:rPr>
                <w:sz w:val="20"/>
                <w:szCs w:val="20"/>
                <w:color w:val="auto"/>
              </w:rPr>
            </w:pPr>
            <w:r>
              <w:rPr>
                <w:rFonts w:ascii="Arial" w:cs="Arial" w:eastAsia="Arial" w:hAnsi="Arial"/>
                <w:sz w:val="14"/>
                <w:szCs w:val="14"/>
                <w:color w:val="auto"/>
              </w:rPr>
              <w:t>Value</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Losses</w:t>
            </w:r>
          </w:p>
        </w:tc>
        <w:tc>
          <w:tcPr>
            <w:tcW w:w="120" w:type="dxa"/>
            <w:vAlign w:val="bottom"/>
          </w:tcPr>
          <w:p>
            <w:pPr>
              <w:spacing w:after="0"/>
              <w:rPr>
                <w:sz w:val="13"/>
                <w:szCs w:val="13"/>
                <w:color w:val="auto"/>
              </w:rPr>
            </w:pPr>
          </w:p>
        </w:tc>
        <w:tc>
          <w:tcPr>
            <w:tcW w:w="660" w:type="dxa"/>
            <w:vAlign w:val="bottom"/>
          </w:tcPr>
          <w:p>
            <w:pPr>
              <w:jc w:val="right"/>
              <w:ind w:right="132"/>
              <w:spacing w:after="0" w:line="157" w:lineRule="exact"/>
              <w:rPr>
                <w:sz w:val="20"/>
                <w:szCs w:val="20"/>
                <w:color w:val="auto"/>
              </w:rPr>
            </w:pPr>
            <w:r>
              <w:rPr>
                <w:rFonts w:ascii="Arial" w:cs="Arial" w:eastAsia="Arial" w:hAnsi="Arial"/>
                <w:sz w:val="14"/>
                <w:szCs w:val="14"/>
                <w:color w:val="auto"/>
              </w:rPr>
              <w:t>Value</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spacing w:after="0" w:line="157" w:lineRule="exact"/>
              <w:rPr>
                <w:sz w:val="20"/>
                <w:szCs w:val="20"/>
                <w:color w:val="auto"/>
              </w:rPr>
            </w:pPr>
            <w:r>
              <w:rPr>
                <w:rFonts w:ascii="Arial" w:cs="Arial" w:eastAsia="Arial" w:hAnsi="Arial"/>
                <w:sz w:val="14"/>
                <w:szCs w:val="14"/>
                <w:color w:val="auto"/>
              </w:rPr>
              <w:t>Losses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Fixed maturities</w:t>
            </w: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tcPr>
          <w:p>
            <w:pPr>
              <w:spacing w:after="0" w:line="202" w:lineRule="exact"/>
              <w:rPr>
                <w:sz w:val="20"/>
                <w:szCs w:val="20"/>
                <w:color w:val="auto"/>
              </w:rPr>
            </w:pPr>
            <w:r>
              <w:rPr>
                <w:rFonts w:ascii="Arial" w:cs="Arial" w:eastAsia="Arial" w:hAnsi="Arial"/>
                <w:sz w:val="18"/>
                <w:szCs w:val="18"/>
                <w:color w:val="auto"/>
              </w:rPr>
              <w:t>U.S. treasuries and government agencies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3,767</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49</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262</w:t>
            </w:r>
          </w:p>
        </w:tc>
        <w:tc>
          <w:tcPr>
            <w:tcW w:w="320" w:type="dxa"/>
            <w:vAlign w:val="bottom"/>
            <w:gridSpan w:val="2"/>
          </w:tcPr>
          <w:p>
            <w:pPr>
              <w:ind w:left="22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13</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4,029</w:t>
            </w:r>
          </w:p>
        </w:tc>
        <w:tc>
          <w:tcPr>
            <w:tcW w:w="540" w:type="dxa"/>
            <w:vAlign w:val="bottom"/>
            <w:gridSpan w:val="2"/>
          </w:tcPr>
          <w:p>
            <w:pPr>
              <w:ind w:left="440"/>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States and Political Subdivisions</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46,406</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483</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5,034</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206</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51,440</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tcPr>
          <w:p>
            <w:pPr>
              <w:spacing w:after="0" w:line="202" w:lineRule="exact"/>
              <w:rPr>
                <w:sz w:val="20"/>
                <w:szCs w:val="20"/>
                <w:color w:val="auto"/>
              </w:rPr>
            </w:pPr>
            <w:r>
              <w:rPr>
                <w:rFonts w:ascii="Arial" w:cs="Arial" w:eastAsia="Arial" w:hAnsi="Arial"/>
                <w:sz w:val="18"/>
                <w:szCs w:val="18"/>
                <w:color w:val="auto"/>
              </w:rPr>
              <w:t>Special Revenue</w:t>
            </w:r>
          </w:p>
        </w:tc>
        <w:tc>
          <w:tcPr>
            <w:tcW w:w="120" w:type="dxa"/>
            <w:vAlign w:val="bottom"/>
          </w:tcPr>
          <w:p>
            <w:pPr>
              <w:spacing w:after="0"/>
              <w:rPr>
                <w:sz w:val="17"/>
                <w:szCs w:val="17"/>
                <w:color w:val="auto"/>
              </w:rPr>
            </w:pPr>
          </w:p>
        </w:tc>
        <w:tc>
          <w:tcPr>
            <w:tcW w:w="11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55,298</w:t>
            </w:r>
          </w:p>
        </w:tc>
        <w:tc>
          <w:tcPr>
            <w:tcW w:w="1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757</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4,233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144</w:t>
            </w: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59,531</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Public Utilities</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19,443</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274</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19,443</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tcPr>
          <w:p>
            <w:pPr>
              <w:spacing w:after="0" w:line="202" w:lineRule="exact"/>
              <w:rPr>
                <w:sz w:val="20"/>
                <w:szCs w:val="20"/>
                <w:color w:val="auto"/>
              </w:rPr>
            </w:pPr>
            <w:r>
              <w:rPr>
                <w:rFonts w:ascii="Arial" w:cs="Arial" w:eastAsia="Arial" w:hAnsi="Arial"/>
                <w:sz w:val="18"/>
                <w:szCs w:val="18"/>
                <w:color w:val="auto"/>
              </w:rPr>
              <w:t>U.S. Industrial &amp; miscellaneous</w:t>
            </w:r>
          </w:p>
        </w:tc>
        <w:tc>
          <w:tcPr>
            <w:tcW w:w="120" w:type="dxa"/>
            <w:vAlign w:val="bottom"/>
          </w:tcPr>
          <w:p>
            <w:pPr>
              <w:spacing w:after="0"/>
              <w:rPr>
                <w:sz w:val="17"/>
                <w:szCs w:val="17"/>
                <w:color w:val="auto"/>
              </w:rPr>
            </w:pPr>
          </w:p>
        </w:tc>
        <w:tc>
          <w:tcPr>
            <w:tcW w:w="11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w w:val="98"/>
              </w:rPr>
              <w:t>157,698</w:t>
            </w:r>
          </w:p>
        </w:tc>
        <w:tc>
          <w:tcPr>
            <w:tcW w:w="100" w:type="dxa"/>
            <w:vAlign w:val="bottom"/>
          </w:tcPr>
          <w:p>
            <w:pPr>
              <w:spacing w:after="0"/>
              <w:rPr>
                <w:sz w:val="17"/>
                <w:szCs w:val="17"/>
                <w:color w:val="auto"/>
              </w:rPr>
            </w:pPr>
          </w:p>
        </w:tc>
        <w:tc>
          <w:tcPr>
            <w:tcW w:w="10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3,093</w:t>
            </w:r>
          </w:p>
        </w:tc>
        <w:tc>
          <w:tcPr>
            <w:tcW w:w="120" w:type="dxa"/>
            <w:vAlign w:val="bottom"/>
          </w:tcPr>
          <w:p>
            <w:pPr>
              <w:spacing w:after="0"/>
              <w:rPr>
                <w:sz w:val="17"/>
                <w:szCs w:val="17"/>
                <w:color w:val="auto"/>
              </w:rPr>
            </w:pPr>
          </w:p>
        </w:tc>
        <w:tc>
          <w:tcPr>
            <w:tcW w:w="7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w w:val="98"/>
              </w:rPr>
              <w:t>44,091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1,514</w:t>
            </w: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201,789</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4,607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Mortgage backed securities</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13,072</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170</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w w:val="98"/>
              </w:rPr>
              <w:t>12,123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365</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25,195</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tcPr>
          <w:p>
            <w:pPr>
              <w:spacing w:after="0" w:line="202" w:lineRule="exact"/>
              <w:rPr>
                <w:sz w:val="20"/>
                <w:szCs w:val="20"/>
                <w:color w:val="auto"/>
              </w:rPr>
            </w:pPr>
            <w:r>
              <w:rPr>
                <w:rFonts w:ascii="Arial" w:cs="Arial" w:eastAsia="Arial" w:hAnsi="Arial"/>
                <w:sz w:val="18"/>
                <w:szCs w:val="18"/>
                <w:color w:val="auto"/>
              </w:rPr>
              <w:t>Asset backed securities</w:t>
            </w:r>
          </w:p>
        </w:tc>
        <w:tc>
          <w:tcPr>
            <w:tcW w:w="120" w:type="dxa"/>
            <w:vAlign w:val="bottom"/>
          </w:tcPr>
          <w:p>
            <w:pPr>
              <w:spacing w:after="0"/>
              <w:rPr>
                <w:sz w:val="17"/>
                <w:szCs w:val="17"/>
                <w:color w:val="auto"/>
              </w:rPr>
            </w:pPr>
          </w:p>
        </w:tc>
        <w:tc>
          <w:tcPr>
            <w:tcW w:w="11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0</w:t>
            </w:r>
          </w:p>
        </w:tc>
        <w:tc>
          <w:tcPr>
            <w:tcW w:w="100" w:type="dxa"/>
            <w:vAlign w:val="bottom"/>
          </w:tcPr>
          <w:p>
            <w:pPr>
              <w:spacing w:after="0"/>
              <w:rPr>
                <w:sz w:val="17"/>
                <w:szCs w:val="17"/>
                <w:color w:val="auto"/>
              </w:rPr>
            </w:pPr>
          </w:p>
        </w:tc>
        <w:tc>
          <w:tcPr>
            <w:tcW w:w="10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0</w:t>
            </w:r>
          </w:p>
        </w:tc>
        <w:tc>
          <w:tcPr>
            <w:tcW w:w="120" w:type="dxa"/>
            <w:vAlign w:val="bottom"/>
          </w:tcPr>
          <w:p>
            <w:pPr>
              <w:spacing w:after="0"/>
              <w:rPr>
                <w:sz w:val="17"/>
                <w:szCs w:val="17"/>
                <w:color w:val="auto"/>
              </w:rPr>
            </w:pPr>
          </w:p>
        </w:tc>
        <w:tc>
          <w:tcPr>
            <w:tcW w:w="7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w w:val="98"/>
              </w:rPr>
              <w:t>17,055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442</w:t>
            </w: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17,055</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w:t>
            </w: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35,076</w:t>
            </w:r>
          </w:p>
        </w:tc>
        <w:tc>
          <w:tcPr>
            <w:tcW w:w="4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637</w:t>
            </w:r>
          </w:p>
        </w:tc>
        <w:tc>
          <w:tcPr>
            <w:tcW w:w="4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4,864</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133</w:t>
            </w:r>
          </w:p>
        </w:tc>
        <w:tc>
          <w:tcPr>
            <w:tcW w:w="4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39,940</w:t>
            </w:r>
          </w:p>
        </w:tc>
        <w:tc>
          <w:tcPr>
            <w:tcW w:w="4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770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Total bonds</w:t>
            </w:r>
          </w:p>
        </w:tc>
        <w:tc>
          <w:tcPr>
            <w:tcW w:w="120" w:type="dxa"/>
            <w:vAlign w:val="bottom"/>
          </w:tcPr>
          <w:p>
            <w:pPr>
              <w:spacing w:after="0"/>
              <w:rPr>
                <w:sz w:val="24"/>
                <w:szCs w:val="24"/>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330,760</w:t>
            </w:r>
          </w:p>
        </w:tc>
        <w:tc>
          <w:tcPr>
            <w:tcW w:w="100" w:type="dxa"/>
            <w:vAlign w:val="bottom"/>
          </w:tcPr>
          <w:p>
            <w:pPr>
              <w:spacing w:after="0"/>
              <w:rPr>
                <w:sz w:val="24"/>
                <w:szCs w:val="2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5,463</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87,662</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2,817</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418,422</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8,280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Redeemable preferred stock</w:t>
            </w: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3,018</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142</w:t>
            </w:r>
          </w:p>
        </w:tc>
        <w:tc>
          <w:tcPr>
            <w:tcW w:w="4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3,018</w:t>
            </w:r>
          </w:p>
        </w:tc>
        <w:tc>
          <w:tcPr>
            <w:tcW w:w="4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Total fixed maturities</w:t>
            </w: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330,760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5,463</w:t>
            </w: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90,680</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2,959</w:t>
            </w: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421,440</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8,422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 securities</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tcPr>
          <w:p>
            <w:pPr>
              <w:spacing w:after="0" w:line="202" w:lineRule="exact"/>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17"/>
                <w:szCs w:val="17"/>
                <w:color w:val="auto"/>
              </w:rPr>
            </w:pPr>
          </w:p>
        </w:tc>
        <w:tc>
          <w:tcPr>
            <w:tcW w:w="11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25,631</w:t>
            </w:r>
          </w:p>
        </w:tc>
        <w:tc>
          <w:tcPr>
            <w:tcW w:w="100" w:type="dxa"/>
            <w:vAlign w:val="bottom"/>
          </w:tcPr>
          <w:p>
            <w:pPr>
              <w:spacing w:after="0"/>
              <w:rPr>
                <w:sz w:val="17"/>
                <w:szCs w:val="17"/>
                <w:color w:val="auto"/>
              </w:rPr>
            </w:pPr>
          </w:p>
        </w:tc>
        <w:tc>
          <w:tcPr>
            <w:tcW w:w="10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2,545</w:t>
            </w:r>
          </w:p>
        </w:tc>
        <w:tc>
          <w:tcPr>
            <w:tcW w:w="120" w:type="dxa"/>
            <w:vAlign w:val="bottom"/>
          </w:tcPr>
          <w:p>
            <w:pPr>
              <w:spacing w:after="0"/>
              <w:rPr>
                <w:sz w:val="17"/>
                <w:szCs w:val="17"/>
                <w:color w:val="auto"/>
              </w:rPr>
            </w:pPr>
          </w:p>
        </w:tc>
        <w:tc>
          <w:tcPr>
            <w:tcW w:w="7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0</w:t>
            </w: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25,631</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2,545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 redeemable preferred stock</w:t>
            </w: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27,177</w:t>
            </w:r>
          </w:p>
        </w:tc>
        <w:tc>
          <w:tcPr>
            <w:tcW w:w="4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690</w:t>
            </w:r>
          </w:p>
        </w:tc>
        <w:tc>
          <w:tcPr>
            <w:tcW w:w="4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1,357</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w:t>
            </w:r>
          </w:p>
        </w:tc>
        <w:tc>
          <w:tcPr>
            <w:tcW w:w="4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28,534</w:t>
            </w:r>
          </w:p>
        </w:tc>
        <w:tc>
          <w:tcPr>
            <w:tcW w:w="4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729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Total equity securities</w:t>
            </w:r>
          </w:p>
        </w:tc>
        <w:tc>
          <w:tcPr>
            <w:tcW w:w="120" w:type="dxa"/>
            <w:vAlign w:val="bottom"/>
          </w:tcPr>
          <w:p>
            <w:pPr>
              <w:spacing w:after="0"/>
              <w:rPr>
                <w:sz w:val="24"/>
                <w:szCs w:val="24"/>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52,808</w:t>
            </w:r>
          </w:p>
        </w:tc>
        <w:tc>
          <w:tcPr>
            <w:tcW w:w="100" w:type="dxa"/>
            <w:vAlign w:val="bottom"/>
          </w:tcPr>
          <w:p>
            <w:pPr>
              <w:spacing w:after="0"/>
              <w:rPr>
                <w:sz w:val="24"/>
                <w:szCs w:val="2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3,235</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1,357</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54,165</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3,274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fixed maturities and equity securities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11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w w:val="98"/>
              </w:rPr>
              <w:t>383,568</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8,698</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w w:val="98"/>
              </w:rPr>
              <w:t>92,037</w:t>
            </w:r>
          </w:p>
        </w:tc>
        <w:tc>
          <w:tcPr>
            <w:tcW w:w="32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2,998</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475,605</w:t>
            </w:r>
          </w:p>
        </w:tc>
        <w:tc>
          <w:tcPr>
            <w:tcW w:w="54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u w:val="single" w:color="auto"/>
                <w:color w:val="auto"/>
                <w:w w:val="79"/>
              </w:rPr>
              <w:t>$</w:t>
            </w: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11,696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No investments in an unrealized loss position at March 31, 2005, had experienced a decline in market value that was considered by management to be significant and other-than-temporary, based on Company policy. There were no market conditions, industry characteristics or fundamental operating results of a specific issuer that suggested other-than-temporary impairment of any of these investments held at March 31, 2005.</w:t>
      </w:r>
    </w:p>
    <w:p>
      <w:pPr>
        <w:spacing w:after="0" w:line="161" w:lineRule="exact"/>
        <w:rPr>
          <w:sz w:val="20"/>
          <w:szCs w:val="20"/>
          <w:color w:val="auto"/>
        </w:rPr>
      </w:pPr>
    </w:p>
    <w:p>
      <w:pPr>
        <w:ind w:right="400"/>
        <w:spacing w:after="0"/>
        <w:rPr>
          <w:sz w:val="20"/>
          <w:szCs w:val="20"/>
          <w:color w:val="auto"/>
        </w:rPr>
      </w:pPr>
      <w:r>
        <w:rPr>
          <w:rFonts w:ascii="Arial" w:cs="Arial" w:eastAsia="Arial" w:hAnsi="Arial"/>
          <w:sz w:val="18"/>
          <w:szCs w:val="18"/>
          <w:color w:val="auto"/>
        </w:rPr>
        <w:t>The components of net realized gains on investments as reported in the Consolidated Statements of Operations are included below. There were impairment charges of $1.4 million on fixed maturities and $.1 million on equity securities in the first quarter of 2005. There were no impairment charges on fixed maturities or equity securities in the first quarter of 2004.</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060" w:type="dxa"/>
            <w:vAlign w:val="bottom"/>
            <w:gridSpan w:val="7"/>
          </w:tcPr>
          <w:p>
            <w:pPr>
              <w:spacing w:after="0"/>
              <w:rPr>
                <w:sz w:val="20"/>
                <w:szCs w:val="20"/>
                <w:color w:val="auto"/>
              </w:rPr>
            </w:pPr>
            <w:r>
              <w:rPr>
                <w:rFonts w:ascii="Arial" w:cs="Arial" w:eastAsia="Arial" w:hAnsi="Arial"/>
                <w:sz w:val="14"/>
                <w:szCs w:val="14"/>
                <w:color w:val="auto"/>
              </w:rPr>
              <w:t>Three Months Ended March 31</w:t>
            </w:r>
          </w:p>
        </w:tc>
        <w:tc>
          <w:tcPr>
            <w:tcW w:w="0" w:type="dxa"/>
            <w:vAlign w:val="bottom"/>
          </w:tcPr>
          <w:p>
            <w:pPr>
              <w:spacing w:after="0"/>
              <w:rPr>
                <w:sz w:val="1"/>
                <w:szCs w:val="1"/>
                <w:color w:val="auto"/>
              </w:rPr>
            </w:pPr>
          </w:p>
        </w:tc>
      </w:tr>
      <w:tr>
        <w:trPr>
          <w:trHeight w:val="157"/>
        </w:trPr>
        <w:tc>
          <w:tcPr>
            <w:tcW w:w="4360" w:type="dxa"/>
            <w:vAlign w:val="bottom"/>
          </w:tcPr>
          <w:p>
            <w:pPr>
              <w:ind w:left="200"/>
              <w:spacing w:after="0" w:line="157" w:lineRule="exact"/>
              <w:rPr>
                <w:sz w:val="20"/>
                <w:szCs w:val="20"/>
                <w:color w:val="auto"/>
              </w:rPr>
            </w:pPr>
            <w:r>
              <w:rPr>
                <w:rFonts w:ascii="Arial" w:cs="Arial" w:eastAsia="Arial" w:hAnsi="Arial"/>
                <w:sz w:val="14"/>
                <w:szCs w:val="14"/>
                <w:color w:val="auto"/>
              </w:rPr>
              <w:t>(in thousands)</w:t>
            </w:r>
          </w:p>
        </w:tc>
        <w:tc>
          <w:tcPr>
            <w:tcW w:w="50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2"/>
              <w:spacing w:after="0" w:line="157" w:lineRule="exact"/>
              <w:rPr>
                <w:sz w:val="20"/>
                <w:szCs w:val="20"/>
                <w:color w:val="auto"/>
              </w:rPr>
            </w:pPr>
            <w:r>
              <w:rPr>
                <w:rFonts w:ascii="Arial" w:cs="Arial" w:eastAsia="Arial" w:hAnsi="Arial"/>
                <w:sz w:val="14"/>
                <w:szCs w:val="14"/>
                <w:color w:val="auto"/>
              </w:rPr>
              <w:t>2005</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2"/>
              <w:spacing w:after="0" w:line="157" w:lineRule="exact"/>
              <w:rPr>
                <w:sz w:val="20"/>
                <w:szCs w:val="20"/>
                <w:color w:val="auto"/>
              </w:rPr>
            </w:pPr>
            <w:r>
              <w:rPr>
                <w:rFonts w:ascii="Arial" w:cs="Arial" w:eastAsia="Arial" w:hAnsi="Arial"/>
                <w:sz w:val="14"/>
                <w:szCs w:val="14"/>
                <w:color w:val="auto"/>
              </w:rPr>
              <w:t>2004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36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Fixed maturities:</w:t>
            </w:r>
          </w:p>
        </w:tc>
        <w:tc>
          <w:tcPr>
            <w:tcW w:w="5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Pr>
          <w:p>
            <w:pPr>
              <w:ind w:left="220"/>
              <w:spacing w:after="0" w:line="202" w:lineRule="exact"/>
              <w:rPr>
                <w:sz w:val="20"/>
                <w:szCs w:val="20"/>
                <w:color w:val="auto"/>
              </w:rPr>
            </w:pPr>
            <w:r>
              <w:rPr>
                <w:rFonts w:ascii="Arial" w:cs="Arial" w:eastAsia="Arial" w:hAnsi="Arial"/>
                <w:sz w:val="18"/>
                <w:szCs w:val="18"/>
                <w:color w:val="auto"/>
              </w:rPr>
              <w:t>Gross realized gains</w:t>
            </w:r>
          </w:p>
        </w:tc>
        <w:tc>
          <w:tcPr>
            <w:tcW w:w="5160" w:type="dxa"/>
            <w:vAlign w:val="bottom"/>
            <w:gridSpan w:val="2"/>
          </w:tcPr>
          <w:p>
            <w:pPr>
              <w:ind w:left="500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1,090</w:t>
            </w:r>
          </w:p>
        </w:tc>
        <w:tc>
          <w:tcPr>
            <w:tcW w:w="38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2,438</w:t>
            </w: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Gross realized losses</w:t>
            </w:r>
          </w:p>
        </w:tc>
        <w:tc>
          <w:tcPr>
            <w:tcW w:w="5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2,104)</w:t>
            </w:r>
          </w:p>
        </w:tc>
        <w:tc>
          <w:tcPr>
            <w:tcW w:w="38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tcPr>
          <w:p>
            <w:pPr>
              <w:ind w:left="420"/>
              <w:spacing w:after="0"/>
              <w:rPr>
                <w:sz w:val="20"/>
                <w:szCs w:val="20"/>
                <w:color w:val="auto"/>
              </w:rPr>
            </w:pPr>
            <w:r>
              <w:rPr>
                <w:rFonts w:ascii="Arial" w:cs="Arial" w:eastAsia="Arial" w:hAnsi="Arial"/>
                <w:sz w:val="18"/>
                <w:szCs w:val="18"/>
                <w:color w:val="auto"/>
              </w:rPr>
              <w:t>Net realized (losses) gains</w:t>
            </w:r>
          </w:p>
        </w:tc>
        <w:tc>
          <w:tcPr>
            <w:tcW w:w="50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1,014)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2,415</w:t>
            </w:r>
          </w:p>
        </w:tc>
        <w:tc>
          <w:tcPr>
            <w:tcW w:w="0" w:type="dxa"/>
            <w:vAlign w:val="bottom"/>
          </w:tcPr>
          <w:p>
            <w:pPr>
              <w:spacing w:after="0"/>
              <w:rPr>
                <w:sz w:val="1"/>
                <w:szCs w:val="1"/>
                <w:color w:val="auto"/>
              </w:rPr>
            </w:pPr>
          </w:p>
        </w:tc>
      </w:tr>
      <w:tr>
        <w:trPr>
          <w:trHeight w:val="210"/>
        </w:trPr>
        <w:tc>
          <w:tcPr>
            <w:tcW w:w="436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Equity securities:</w:t>
            </w:r>
          </w:p>
        </w:tc>
        <w:tc>
          <w:tcPr>
            <w:tcW w:w="5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Pr>
          <w:p>
            <w:pPr>
              <w:ind w:left="220"/>
              <w:spacing w:after="0" w:line="202" w:lineRule="exact"/>
              <w:rPr>
                <w:sz w:val="20"/>
                <w:szCs w:val="20"/>
                <w:color w:val="auto"/>
              </w:rPr>
            </w:pPr>
            <w:r>
              <w:rPr>
                <w:rFonts w:ascii="Arial" w:cs="Arial" w:eastAsia="Arial" w:hAnsi="Arial"/>
                <w:sz w:val="18"/>
                <w:szCs w:val="18"/>
                <w:color w:val="auto"/>
              </w:rPr>
              <w:t>Gross realized gains</w:t>
            </w:r>
          </w:p>
        </w:tc>
        <w:tc>
          <w:tcPr>
            <w:tcW w:w="5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7,129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Gross realized losses</w:t>
            </w:r>
          </w:p>
        </w:tc>
        <w:tc>
          <w:tcPr>
            <w:tcW w:w="5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618)</w:t>
            </w:r>
          </w:p>
        </w:tc>
        <w:tc>
          <w:tcPr>
            <w:tcW w:w="38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0"/>
        </w:trPr>
        <w:tc>
          <w:tcPr>
            <w:tcW w:w="4360" w:type="dxa"/>
            <w:vAlign w:val="bottom"/>
          </w:tcPr>
          <w:p>
            <w:pPr>
              <w:ind w:left="420"/>
              <w:spacing w:after="0"/>
              <w:rPr>
                <w:sz w:val="20"/>
                <w:szCs w:val="20"/>
                <w:color w:val="auto"/>
              </w:rPr>
            </w:pPr>
            <w:r>
              <w:rPr>
                <w:rFonts w:ascii="Arial" w:cs="Arial" w:eastAsia="Arial" w:hAnsi="Arial"/>
                <w:sz w:val="18"/>
                <w:szCs w:val="18"/>
                <w:color w:val="auto"/>
              </w:rPr>
              <w:t>Net realized gains</w:t>
            </w:r>
          </w:p>
        </w:tc>
        <w:tc>
          <w:tcPr>
            <w:tcW w:w="50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Net realized gains on investments</w:t>
            </w:r>
          </w:p>
        </w:tc>
        <w:tc>
          <w:tcPr>
            <w:tcW w:w="5160" w:type="dxa"/>
            <w:vAlign w:val="bottom"/>
            <w:gridSpan w:val="2"/>
            <w:shd w:val="clear" w:color="auto" w:fill="CCEEFF"/>
          </w:tcPr>
          <w:p>
            <w:pPr>
              <w:ind w:left="500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5,497</w:t>
            </w:r>
          </w:p>
        </w:tc>
        <w:tc>
          <w:tcPr>
            <w:tcW w:w="38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2,853</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5000" w:type="dxa"/>
            <w:vAlign w:val="bottom"/>
            <w:vMerge w:val="restart"/>
          </w:tcPr>
          <w:p>
            <w:pPr>
              <w:jc w:val="right"/>
              <w:ind w:right="3450"/>
              <w:spacing w:after="0"/>
              <w:rPr>
                <w:sz w:val="20"/>
                <w:szCs w:val="20"/>
                <w:color w:val="auto"/>
              </w:rPr>
            </w:pPr>
            <w:r>
              <w:rPr>
                <w:rFonts w:ascii="Arial" w:cs="Arial" w:eastAsia="Arial" w:hAnsi="Arial"/>
                <w:sz w:val="18"/>
                <w:szCs w:val="18"/>
                <w:color w:val="auto"/>
              </w:rPr>
              <w:t>12</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360" w:type="dxa"/>
            <w:vAlign w:val="bottom"/>
          </w:tcPr>
          <w:p>
            <w:pPr>
              <w:spacing w:after="0"/>
              <w:rPr>
                <w:sz w:val="24"/>
                <w:szCs w:val="24"/>
                <w:color w:val="auto"/>
              </w:rPr>
            </w:pPr>
          </w:p>
        </w:tc>
        <w:tc>
          <w:tcPr>
            <w:tcW w:w="50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360" w:type="dxa"/>
            <w:vAlign w:val="bottom"/>
            <w:tcBorders>
              <w:bottom w:val="single" w:sz="8" w:color="808080"/>
            </w:tcBorders>
          </w:tcPr>
          <w:p>
            <w:pPr>
              <w:spacing w:after="0"/>
              <w:rPr>
                <w:sz w:val="18"/>
                <w:szCs w:val="18"/>
                <w:color w:val="auto"/>
              </w:rPr>
            </w:pPr>
          </w:p>
        </w:tc>
        <w:tc>
          <w:tcPr>
            <w:tcW w:w="50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NOTES TO CONSOLIDATED FINANCIAL STATEMENTS (UNAUDITED)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NOTE 4 – INVESTMENTS (Continued)</w:t>
      </w:r>
    </w:p>
    <w:p>
      <w:pPr>
        <w:spacing w:after="0" w:line="171"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Limited partnerships include U.S. and foreign private equity, real estate and mezzanine debt investments. The private equity limited partnerships invest in small- to medium-sized companies. Limited partnerships are recorded using the equity method. Unrealized gains and losses on limited partnerships are reflected in shareholders’ equity in accumulated other comprehensive income, net of deferred taxes. The Company has not guaranteed any of the partnership liabilities.</w:t>
      </w:r>
    </w:p>
    <w:p>
      <w:pPr>
        <w:spacing w:after="0" w:line="161" w:lineRule="exact"/>
        <w:rPr>
          <w:sz w:val="20"/>
          <w:szCs w:val="20"/>
          <w:color w:val="auto"/>
        </w:rPr>
      </w:pPr>
    </w:p>
    <w:p>
      <w:pPr>
        <w:ind w:right="360"/>
        <w:spacing w:after="0"/>
        <w:rPr>
          <w:sz w:val="20"/>
          <w:szCs w:val="20"/>
          <w:color w:val="auto"/>
        </w:rPr>
      </w:pPr>
      <w:r>
        <w:rPr>
          <w:rFonts w:ascii="Arial" w:cs="Arial" w:eastAsia="Arial" w:hAnsi="Arial"/>
          <w:sz w:val="18"/>
          <w:szCs w:val="18"/>
          <w:color w:val="auto"/>
        </w:rPr>
        <w:t>There were impairment charges of $.6 million and $.1 million on private equity limited partnerships in the first quarters of 2005 and 2004, respectively. The components of equity in earnings of limited partnerships as reported in the Consolidated Statements of Operations are as follows: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320" w:type="dxa"/>
            <w:vAlign w:val="bottom"/>
          </w:tcPr>
          <w:p>
            <w:pPr>
              <w:spacing w:after="0"/>
              <w:rPr>
                <w:sz w:val="14"/>
                <w:szCs w:val="14"/>
                <w:color w:val="auto"/>
              </w:rPr>
            </w:pPr>
          </w:p>
        </w:tc>
        <w:tc>
          <w:tcPr>
            <w:tcW w:w="2100" w:type="dxa"/>
            <w:vAlign w:val="bottom"/>
            <w:gridSpan w:val="6"/>
          </w:tcPr>
          <w:p>
            <w:pPr>
              <w:spacing w:after="0"/>
              <w:rPr>
                <w:sz w:val="20"/>
                <w:szCs w:val="20"/>
                <w:color w:val="auto"/>
              </w:rPr>
            </w:pPr>
            <w:r>
              <w:rPr>
                <w:rFonts w:ascii="Arial" w:cs="Arial" w:eastAsia="Arial" w:hAnsi="Arial"/>
                <w:sz w:val="14"/>
                <w:szCs w:val="14"/>
                <w:color w:val="auto"/>
              </w:rPr>
              <w:t>Three Months Ended March 31</w:t>
            </w:r>
          </w:p>
        </w:tc>
      </w:tr>
      <w:tr>
        <w:trPr>
          <w:trHeight w:val="157"/>
        </w:trPr>
        <w:tc>
          <w:tcPr>
            <w:tcW w:w="9320" w:type="dxa"/>
            <w:vAlign w:val="bottom"/>
          </w:tcPr>
          <w:p>
            <w:pPr>
              <w:ind w:left="200"/>
              <w:spacing w:after="0" w:line="157" w:lineRule="exact"/>
              <w:rPr>
                <w:sz w:val="20"/>
                <w:szCs w:val="20"/>
                <w:color w:val="auto"/>
              </w:rPr>
            </w:pPr>
            <w:r>
              <w:rPr>
                <w:rFonts w:ascii="Arial" w:cs="Arial" w:eastAsia="Arial" w:hAnsi="Arial"/>
                <w:sz w:val="14"/>
                <w:szCs w:val="14"/>
                <w:color w:val="auto"/>
              </w:rPr>
              <w:t>(in thousands)</w:t>
            </w: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4"/>
              <w:spacing w:after="0" w:line="157" w:lineRule="exact"/>
              <w:rPr>
                <w:sz w:val="20"/>
                <w:szCs w:val="20"/>
                <w:color w:val="auto"/>
              </w:rPr>
            </w:pPr>
            <w:r>
              <w:rPr>
                <w:rFonts w:ascii="Arial" w:cs="Arial" w:eastAsia="Arial" w:hAnsi="Arial"/>
                <w:sz w:val="14"/>
                <w:szCs w:val="14"/>
                <w:color w:val="auto"/>
              </w:rPr>
              <w:t>2005</w:t>
            </w:r>
          </w:p>
        </w:tc>
        <w:tc>
          <w:tcPr>
            <w:tcW w:w="4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ind w:left="20"/>
              <w:spacing w:after="0" w:line="157" w:lineRule="exact"/>
              <w:rPr>
                <w:sz w:val="20"/>
                <w:szCs w:val="20"/>
                <w:color w:val="auto"/>
              </w:rPr>
            </w:pPr>
            <w:r>
              <w:rPr>
                <w:rFonts w:ascii="Arial" w:cs="Arial" w:eastAsia="Arial" w:hAnsi="Arial"/>
                <w:sz w:val="14"/>
                <w:szCs w:val="14"/>
                <w:color w:val="auto"/>
              </w:rPr>
              <w:t>2004</w:t>
            </w:r>
          </w:p>
        </w:tc>
        <w:tc>
          <w:tcPr>
            <w:tcW w:w="100" w:type="dxa"/>
            <w:vAlign w:val="bottom"/>
          </w:tcPr>
          <w:p>
            <w:pPr>
              <w:spacing w:after="0"/>
              <w:rPr>
                <w:sz w:val="13"/>
                <w:szCs w:val="13"/>
                <w:color w:val="auto"/>
              </w:rPr>
            </w:pPr>
          </w:p>
        </w:tc>
      </w:tr>
      <w:tr>
        <w:trPr>
          <w:trHeight w:val="196"/>
        </w:trPr>
        <w:tc>
          <w:tcPr>
            <w:tcW w:w="932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Private equity</w:t>
            </w:r>
          </w:p>
        </w:tc>
        <w:tc>
          <w:tcPr>
            <w:tcW w:w="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991</w:t>
            </w: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80"/>
              <w:spacing w:after="0" w:line="196" w:lineRule="exact"/>
              <w:rPr>
                <w:sz w:val="20"/>
                <w:szCs w:val="20"/>
                <w:color w:val="auto"/>
              </w:rPr>
            </w:pPr>
            <w:r>
              <w:rPr>
                <w:rFonts w:ascii="Arial" w:cs="Arial" w:eastAsia="Arial" w:hAnsi="Arial"/>
                <w:sz w:val="18"/>
                <w:szCs w:val="18"/>
                <w:color w:val="auto"/>
              </w:rPr>
              <w:t>126)</w:t>
            </w:r>
          </w:p>
        </w:tc>
      </w:tr>
      <w:tr>
        <w:trPr>
          <w:trHeight w:val="203"/>
        </w:trPr>
        <w:tc>
          <w:tcPr>
            <w:tcW w:w="9320" w:type="dxa"/>
            <w:vAlign w:val="bottom"/>
          </w:tcPr>
          <w:p>
            <w:pPr>
              <w:ind w:left="220"/>
              <w:spacing w:after="0" w:line="202" w:lineRule="exact"/>
              <w:rPr>
                <w:sz w:val="20"/>
                <w:szCs w:val="20"/>
                <w:color w:val="auto"/>
              </w:rPr>
            </w:pPr>
            <w:r>
              <w:rPr>
                <w:rFonts w:ascii="Arial" w:cs="Arial" w:eastAsia="Arial" w:hAnsi="Arial"/>
                <w:sz w:val="18"/>
                <w:szCs w:val="18"/>
                <w:color w:val="auto"/>
              </w:rPr>
              <w:t>Real estate</w:t>
            </w: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978</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299</w:t>
            </w:r>
          </w:p>
        </w:tc>
      </w:tr>
      <w:tr>
        <w:trPr>
          <w:trHeight w:val="203"/>
        </w:trPr>
        <w:tc>
          <w:tcPr>
            <w:tcW w:w="93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Mezzanine debt</w:t>
            </w:r>
          </w:p>
        </w:tc>
        <w:tc>
          <w:tcPr>
            <w:tcW w:w="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142</w:t>
            </w:r>
          </w:p>
        </w:tc>
        <w:tc>
          <w:tcPr>
            <w:tcW w:w="4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ind w:left="280"/>
              <w:spacing w:after="0" w:line="202" w:lineRule="exact"/>
              <w:rPr>
                <w:sz w:val="20"/>
                <w:szCs w:val="20"/>
                <w:color w:val="auto"/>
              </w:rPr>
            </w:pPr>
            <w:r>
              <w:rPr>
                <w:rFonts w:ascii="Arial" w:cs="Arial" w:eastAsia="Arial" w:hAnsi="Arial"/>
                <w:sz w:val="18"/>
                <w:szCs w:val="18"/>
                <w:color w:val="auto"/>
                <w:w w:val="93"/>
              </w:rPr>
              <w:t>245</w:t>
            </w:r>
          </w:p>
        </w:tc>
        <w:tc>
          <w:tcPr>
            <w:tcW w:w="100" w:type="dxa"/>
            <w:vAlign w:val="bottom"/>
            <w:shd w:val="clear" w:color="auto" w:fill="CCEEFF"/>
          </w:tcPr>
          <w:p>
            <w:pPr>
              <w:spacing w:after="0"/>
              <w:rPr>
                <w:sz w:val="17"/>
                <w:szCs w:val="17"/>
                <w:color w:val="auto"/>
              </w:rPr>
            </w:pPr>
          </w:p>
        </w:tc>
      </w:tr>
      <w:tr>
        <w:trPr>
          <w:trHeight w:val="412"/>
        </w:trPr>
        <w:tc>
          <w:tcPr>
            <w:tcW w:w="9320" w:type="dxa"/>
            <w:vAlign w:val="bottom"/>
          </w:tcPr>
          <w:p>
            <w:pPr>
              <w:ind w:left="420"/>
              <w:spacing w:after="0"/>
              <w:rPr>
                <w:sz w:val="20"/>
                <w:szCs w:val="20"/>
                <w:color w:val="auto"/>
              </w:rPr>
            </w:pPr>
            <w:r>
              <w:rPr>
                <w:rFonts w:ascii="Arial" w:cs="Arial" w:eastAsia="Arial" w:hAnsi="Arial"/>
                <w:sz w:val="18"/>
                <w:szCs w:val="18"/>
                <w:color w:val="auto"/>
              </w:rPr>
              <w:t>Total equity in earnings of limited partnerships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2,111</w:t>
            </w:r>
          </w:p>
        </w:tc>
        <w:tc>
          <w:tcPr>
            <w:tcW w:w="48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418</w:t>
            </w:r>
          </w:p>
        </w:tc>
      </w:tr>
      <w:tr>
        <w:trPr>
          <w:trHeight w:val="20"/>
        </w:trPr>
        <w:tc>
          <w:tcPr>
            <w:tcW w:w="9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NOTE 5 – SUMMARIZED FINANCIAL STATEMENT INFORMATION OF AFFILIATE</w:t>
      </w:r>
    </w:p>
    <w:p>
      <w:pPr>
        <w:spacing w:after="0" w:line="171" w:lineRule="exact"/>
        <w:rPr>
          <w:sz w:val="20"/>
          <w:szCs w:val="20"/>
          <w:color w:val="auto"/>
        </w:rPr>
      </w:pPr>
    </w:p>
    <w:p>
      <w:pPr>
        <w:jc w:val="both"/>
        <w:ind w:right="40"/>
        <w:spacing w:after="0" w:line="246" w:lineRule="auto"/>
        <w:rPr>
          <w:sz w:val="20"/>
          <w:szCs w:val="20"/>
          <w:color w:val="auto"/>
        </w:rPr>
      </w:pPr>
      <w:r>
        <w:rPr>
          <w:rFonts w:ascii="Arial" w:cs="Arial" w:eastAsia="Arial" w:hAnsi="Arial"/>
          <w:sz w:val="18"/>
          <w:szCs w:val="18"/>
          <w:color w:val="auto"/>
        </w:rPr>
        <w:t>The Company owns 21.6% of Erie Family Life Insurance Company’s (EFL) outstanding common shares and accounts for this investment using the equity method of accounting. EFL is a Pennsylvania-domiciled life insurance company operating in 10 states and the District of Columbia.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unaudited condensed financial statement information for EFL on a GAAP basis: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60" w:type="dxa"/>
            <w:vAlign w:val="bottom"/>
            <w:gridSpan w:val="6"/>
          </w:tcPr>
          <w:p>
            <w:pPr>
              <w:spacing w:after="0"/>
              <w:rPr>
                <w:sz w:val="20"/>
                <w:szCs w:val="20"/>
                <w:color w:val="auto"/>
              </w:rPr>
            </w:pPr>
            <w:r>
              <w:rPr>
                <w:rFonts w:ascii="Arial" w:cs="Arial" w:eastAsia="Arial" w:hAnsi="Arial"/>
                <w:sz w:val="14"/>
                <w:szCs w:val="14"/>
                <w:color w:val="auto"/>
              </w:rPr>
              <w:t>Three Months Ended March 31</w:t>
            </w:r>
          </w:p>
        </w:tc>
      </w:tr>
      <w:tr>
        <w:trPr>
          <w:trHeight w:val="157"/>
        </w:trPr>
        <w:tc>
          <w:tcPr>
            <w:tcW w:w="4520" w:type="dxa"/>
            <w:vAlign w:val="bottom"/>
            <w:gridSpan w:val="2"/>
          </w:tcPr>
          <w:p>
            <w:pPr>
              <w:spacing w:after="0" w:line="157" w:lineRule="exact"/>
              <w:rPr>
                <w:sz w:val="20"/>
                <w:szCs w:val="20"/>
                <w:color w:val="auto"/>
              </w:rPr>
            </w:pPr>
            <w:r>
              <w:rPr>
                <w:rFonts w:ascii="Arial" w:cs="Arial" w:eastAsia="Arial" w:hAnsi="Arial"/>
                <w:sz w:val="14"/>
                <w:szCs w:val="14"/>
                <w:color w:val="auto"/>
              </w:rPr>
              <w:t>(in thousands)</w:t>
            </w:r>
          </w:p>
        </w:tc>
        <w:tc>
          <w:tcPr>
            <w:tcW w:w="4840" w:type="dxa"/>
            <w:vAlign w:val="bottom"/>
            <w:gridSpan w:val="2"/>
          </w:tcPr>
          <w:p>
            <w:pPr>
              <w:spacing w:after="0"/>
              <w:rPr>
                <w:sz w:val="13"/>
                <w:szCs w:val="13"/>
                <w:color w:val="auto"/>
              </w:rPr>
            </w:pPr>
          </w:p>
        </w:tc>
        <w:tc>
          <w:tcPr>
            <w:tcW w:w="6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2005</w:t>
            </w:r>
          </w:p>
        </w:tc>
        <w:tc>
          <w:tcPr>
            <w:tcW w:w="14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Borders>
              <w:bottom w:val="single" w:sz="8" w:color="auto"/>
            </w:tcBorders>
          </w:tcPr>
          <w:p>
            <w:pPr>
              <w:jc w:val="right"/>
              <w:ind w:right="134"/>
              <w:spacing w:after="0" w:line="157" w:lineRule="exact"/>
              <w:rPr>
                <w:sz w:val="20"/>
                <w:szCs w:val="20"/>
                <w:color w:val="auto"/>
              </w:rPr>
            </w:pPr>
            <w:r>
              <w:rPr>
                <w:rFonts w:ascii="Arial" w:cs="Arial" w:eastAsia="Arial" w:hAnsi="Arial"/>
                <w:sz w:val="14"/>
                <w:szCs w:val="14"/>
                <w:color w:val="auto"/>
              </w:rPr>
              <w:t>2004</w:t>
            </w:r>
          </w:p>
        </w:tc>
        <w:tc>
          <w:tcPr>
            <w:tcW w:w="100" w:type="dxa"/>
            <w:vAlign w:val="bottom"/>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4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5880" w:type="dxa"/>
            <w:vAlign w:val="bottom"/>
            <w:gridSpan w:val="5"/>
            <w:shd w:val="clear" w:color="auto" w:fill="CCEEFF"/>
          </w:tcPr>
          <w:p>
            <w:pPr>
              <w:jc w:val="right"/>
              <w:ind w:right="300"/>
              <w:spacing w:after="0" w:line="196" w:lineRule="exact"/>
              <w:rPr>
                <w:sz w:val="20"/>
                <w:szCs w:val="20"/>
                <w:color w:val="auto"/>
              </w:rPr>
            </w:pPr>
            <w:r>
              <w:rPr>
                <w:rFonts w:ascii="Arial" w:cs="Arial" w:eastAsia="Arial" w:hAnsi="Arial"/>
                <w:sz w:val="18"/>
                <w:szCs w:val="18"/>
                <w:color w:val="auto"/>
              </w:rPr>
              <w:t>$ 34,142</w:t>
            </w:r>
          </w:p>
        </w:tc>
        <w:tc>
          <w:tcPr>
            <w:tcW w:w="1020" w:type="dxa"/>
            <w:vAlign w:val="bottom"/>
            <w:gridSpan w:val="3"/>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$ 36,772</w:t>
            </w:r>
          </w:p>
        </w:tc>
      </w:tr>
      <w:tr>
        <w:trPr>
          <w:trHeight w:val="210"/>
        </w:trPr>
        <w:tc>
          <w:tcPr>
            <w:tcW w:w="20" w:type="dxa"/>
            <w:vAlign w:val="bottom"/>
          </w:tcPr>
          <w:p>
            <w:pPr>
              <w:spacing w:after="0"/>
              <w:rPr>
                <w:sz w:val="18"/>
                <w:szCs w:val="18"/>
                <w:color w:val="auto"/>
              </w:rPr>
            </w:pPr>
          </w:p>
        </w:tc>
        <w:tc>
          <w:tcPr>
            <w:tcW w:w="4500" w:type="dxa"/>
            <w:vAlign w:val="bottom"/>
          </w:tcPr>
          <w:p>
            <w:pPr>
              <w:spacing w:after="0" w:line="202" w:lineRule="exact"/>
              <w:rPr>
                <w:sz w:val="20"/>
                <w:szCs w:val="20"/>
                <w:color w:val="auto"/>
              </w:rPr>
            </w:pPr>
            <w:r>
              <w:rPr>
                <w:rFonts w:ascii="Arial" w:cs="Arial" w:eastAsia="Arial" w:hAnsi="Arial"/>
                <w:sz w:val="18"/>
                <w:szCs w:val="18"/>
                <w:color w:val="auto"/>
              </w:rPr>
              <w:t>Benefits and expenses</w:t>
            </w:r>
          </w:p>
        </w:tc>
        <w:tc>
          <w:tcPr>
            <w:tcW w:w="4840" w:type="dxa"/>
            <w:vAlign w:val="bottom"/>
            <w:gridSpan w:val="2"/>
          </w:tcPr>
          <w:p>
            <w:pPr>
              <w:spacing w:after="0"/>
              <w:rPr>
                <w:sz w:val="18"/>
                <w:szCs w:val="18"/>
                <w:color w:val="auto"/>
              </w:rPr>
            </w:pPr>
          </w:p>
        </w:tc>
        <w:tc>
          <w:tcPr>
            <w:tcW w:w="74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28,682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26,316</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before income taxes</w:t>
            </w:r>
          </w:p>
        </w:tc>
        <w:tc>
          <w:tcPr>
            <w:tcW w:w="5880" w:type="dxa"/>
            <w:vAlign w:val="bottom"/>
            <w:gridSpan w:val="5"/>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5,460</w:t>
            </w:r>
          </w:p>
        </w:tc>
        <w:tc>
          <w:tcPr>
            <w:tcW w:w="102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10,456</w:t>
            </w:r>
          </w:p>
        </w:tc>
      </w:tr>
      <w:tr>
        <w:trPr>
          <w:trHeight w:val="210"/>
        </w:trPr>
        <w:tc>
          <w:tcPr>
            <w:tcW w:w="20" w:type="dxa"/>
            <w:vAlign w:val="bottom"/>
          </w:tcPr>
          <w:p>
            <w:pPr>
              <w:spacing w:after="0"/>
              <w:rPr>
                <w:sz w:val="18"/>
                <w:szCs w:val="18"/>
                <w:color w:val="auto"/>
              </w:rPr>
            </w:pPr>
          </w:p>
        </w:tc>
        <w:tc>
          <w:tcPr>
            <w:tcW w:w="4500" w:type="dxa"/>
            <w:vAlign w:val="bottom"/>
          </w:tcPr>
          <w:p>
            <w:pPr>
              <w:spacing w:after="0" w:line="202" w:lineRule="exact"/>
              <w:rPr>
                <w:sz w:val="20"/>
                <w:szCs w:val="20"/>
                <w:color w:val="auto"/>
              </w:rPr>
            </w:pPr>
            <w:r>
              <w:rPr>
                <w:rFonts w:ascii="Arial" w:cs="Arial" w:eastAsia="Arial" w:hAnsi="Arial"/>
                <w:sz w:val="18"/>
                <w:szCs w:val="18"/>
                <w:color w:val="auto"/>
              </w:rPr>
              <w:t>Income taxes</w:t>
            </w:r>
          </w:p>
        </w:tc>
        <w:tc>
          <w:tcPr>
            <w:tcW w:w="4840" w:type="dxa"/>
            <w:vAlign w:val="bottom"/>
            <w:gridSpan w:val="2"/>
          </w:tcPr>
          <w:p>
            <w:pPr>
              <w:spacing w:after="0"/>
              <w:rPr>
                <w:sz w:val="18"/>
                <w:szCs w:val="18"/>
                <w:color w:val="auto"/>
              </w:rPr>
            </w:pPr>
          </w:p>
        </w:tc>
        <w:tc>
          <w:tcPr>
            <w:tcW w:w="74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1,911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3,940</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4840" w:type="dxa"/>
            <w:vAlign w:val="bottom"/>
            <w:gridSpan w:val="2"/>
            <w:shd w:val="clear" w:color="auto" w:fill="CCEEFF"/>
          </w:tcPr>
          <w:p>
            <w:pPr>
              <w:spacing w:after="0"/>
              <w:rPr>
                <w:sz w:val="17"/>
                <w:szCs w:val="17"/>
                <w:color w:val="auto"/>
              </w:rPr>
            </w:pPr>
          </w:p>
        </w:tc>
        <w:tc>
          <w:tcPr>
            <w:tcW w:w="74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3,549</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6,516</w:t>
            </w:r>
          </w:p>
        </w:tc>
        <w:tc>
          <w:tcPr>
            <w:tcW w:w="100" w:type="dxa"/>
            <w:vAlign w:val="bottom"/>
            <w:shd w:val="clear" w:color="auto" w:fill="CCEEFF"/>
          </w:tcPr>
          <w:p>
            <w:pPr>
              <w:spacing w:after="0"/>
              <w:rPr>
                <w:sz w:val="17"/>
                <w:szCs w:val="17"/>
                <w:color w:val="auto"/>
              </w:rPr>
            </w:pPr>
          </w:p>
        </w:tc>
      </w:tr>
      <w:tr>
        <w:trPr>
          <w:trHeight w:val="20"/>
        </w:trPr>
        <w:tc>
          <w:tcPr>
            <w:tcW w:w="4520" w:type="dxa"/>
            <w:vAlign w:val="bottom"/>
            <w:gridSpan w:val="2"/>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520" w:type="dxa"/>
            <w:vAlign w:val="bottom"/>
            <w:gridSpan w:val="2"/>
          </w:tcPr>
          <w:p>
            <w:pPr>
              <w:spacing w:after="0" w:line="196" w:lineRule="exact"/>
              <w:rPr>
                <w:sz w:val="20"/>
                <w:szCs w:val="20"/>
                <w:color w:val="auto"/>
              </w:rPr>
            </w:pPr>
            <w:r>
              <w:rPr>
                <w:rFonts w:ascii="Arial" w:cs="Arial" w:eastAsia="Arial" w:hAnsi="Arial"/>
                <w:sz w:val="18"/>
                <w:szCs w:val="18"/>
                <w:color w:val="auto"/>
              </w:rPr>
              <w:t>Comprehensive (loss) income</w:t>
            </w:r>
          </w:p>
        </w:tc>
        <w:tc>
          <w:tcPr>
            <w:tcW w:w="5880" w:type="dxa"/>
            <w:vAlign w:val="bottom"/>
            <w:gridSpan w:val="5"/>
          </w:tcPr>
          <w:p>
            <w:pPr>
              <w:jc w:val="right"/>
              <w:ind w:right="240"/>
              <w:spacing w:after="0" w:line="196" w:lineRule="exact"/>
              <w:rPr>
                <w:sz w:val="20"/>
                <w:szCs w:val="20"/>
                <w:color w:val="auto"/>
              </w:rPr>
            </w:pPr>
            <w:r>
              <w:rPr>
                <w:rFonts w:ascii="Arial" w:cs="Arial" w:eastAsia="Arial" w:hAnsi="Arial"/>
                <w:sz w:val="18"/>
                <w:szCs w:val="18"/>
                <w:color w:val="auto"/>
              </w:rPr>
              <w:t>($ 10,486)</w:t>
            </w:r>
          </w:p>
        </w:tc>
        <w:tc>
          <w:tcPr>
            <w:tcW w:w="1020" w:type="dxa"/>
            <w:vAlign w:val="bottom"/>
            <w:gridSpan w:val="3"/>
          </w:tcPr>
          <w:p>
            <w:pPr>
              <w:jc w:val="right"/>
              <w:ind w:right="100"/>
              <w:spacing w:after="0" w:line="196" w:lineRule="exact"/>
              <w:rPr>
                <w:sz w:val="20"/>
                <w:szCs w:val="20"/>
                <w:color w:val="auto"/>
              </w:rPr>
            </w:pPr>
            <w:r>
              <w:rPr>
                <w:rFonts w:ascii="Arial" w:cs="Arial" w:eastAsia="Arial" w:hAnsi="Arial"/>
                <w:sz w:val="18"/>
                <w:szCs w:val="18"/>
                <w:color w:val="auto"/>
              </w:rPr>
              <w:t>$ 21,482</w:t>
            </w: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Dividends paid to shareholders</w:t>
            </w:r>
          </w:p>
        </w:tc>
        <w:tc>
          <w:tcPr>
            <w:tcW w:w="4840" w:type="dxa"/>
            <w:vAlign w:val="bottom"/>
            <w:gridSpan w:val="2"/>
            <w:shd w:val="clear" w:color="auto" w:fill="CCEEFF"/>
          </w:tcPr>
          <w:p>
            <w:pPr>
              <w:spacing w:after="0"/>
              <w:rPr>
                <w:sz w:val="17"/>
                <w:szCs w:val="17"/>
                <w:color w:val="auto"/>
              </w:rPr>
            </w:pPr>
          </w:p>
        </w:tc>
        <w:tc>
          <w:tcPr>
            <w:tcW w:w="74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2,079</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1,985</w:t>
            </w:r>
          </w:p>
        </w:tc>
        <w:tc>
          <w:tcPr>
            <w:tcW w:w="10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As of</w:t>
            </w: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0"/>
        </w:trPr>
        <w:tc>
          <w:tcPr>
            <w:tcW w:w="2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1360" w:type="dxa"/>
            <w:vAlign w:val="bottom"/>
            <w:gridSpan w:val="4"/>
          </w:tcPr>
          <w:p>
            <w:pPr>
              <w:jc w:val="center"/>
              <w:ind w:right="440"/>
              <w:spacing w:after="0"/>
              <w:rPr>
                <w:sz w:val="20"/>
                <w:szCs w:val="20"/>
                <w:color w:val="auto"/>
              </w:rPr>
            </w:pPr>
            <w:r>
              <w:rPr>
                <w:rFonts w:ascii="Arial" w:cs="Arial" w:eastAsia="Arial" w:hAnsi="Arial"/>
                <w:sz w:val="14"/>
                <w:szCs w:val="14"/>
                <w:color w:val="auto"/>
              </w:rPr>
              <w:t>March 31</w:t>
            </w:r>
          </w:p>
        </w:tc>
        <w:tc>
          <w:tcPr>
            <w:tcW w:w="1020" w:type="dxa"/>
            <w:vAlign w:val="bottom"/>
            <w:gridSpan w:val="3"/>
          </w:tcPr>
          <w:p>
            <w:pPr>
              <w:ind w:left="20"/>
              <w:spacing w:after="0"/>
              <w:rPr>
                <w:sz w:val="20"/>
                <w:szCs w:val="20"/>
                <w:color w:val="auto"/>
              </w:rPr>
            </w:pPr>
            <w:r>
              <w:rPr>
                <w:rFonts w:ascii="Arial" w:cs="Arial" w:eastAsia="Arial" w:hAnsi="Arial"/>
                <w:sz w:val="14"/>
                <w:szCs w:val="14"/>
                <w:color w:val="auto"/>
              </w:rPr>
              <w:t>December 31</w:t>
            </w:r>
          </w:p>
        </w:tc>
      </w:tr>
      <w:tr>
        <w:trPr>
          <w:trHeight w:val="157"/>
        </w:trPr>
        <w:tc>
          <w:tcPr>
            <w:tcW w:w="4520" w:type="dxa"/>
            <w:vAlign w:val="bottom"/>
            <w:gridSpan w:val="2"/>
          </w:tcPr>
          <w:p>
            <w:pPr>
              <w:spacing w:after="0" w:line="157" w:lineRule="exact"/>
              <w:rPr>
                <w:sz w:val="20"/>
                <w:szCs w:val="20"/>
                <w:color w:val="auto"/>
              </w:rPr>
            </w:pPr>
            <w:r>
              <w:rPr>
                <w:rFonts w:ascii="Arial" w:cs="Arial" w:eastAsia="Arial" w:hAnsi="Arial"/>
                <w:sz w:val="14"/>
                <w:szCs w:val="14"/>
                <w:color w:val="auto"/>
              </w:rPr>
              <w:t>(in thousands)</w:t>
            </w:r>
          </w:p>
        </w:tc>
        <w:tc>
          <w:tcPr>
            <w:tcW w:w="4520" w:type="dxa"/>
            <w:vAlign w:val="bottom"/>
          </w:tcPr>
          <w:p>
            <w:pPr>
              <w:spacing w:after="0"/>
              <w:rPr>
                <w:sz w:val="13"/>
                <w:szCs w:val="13"/>
                <w:color w:val="auto"/>
              </w:rPr>
            </w:pPr>
          </w:p>
        </w:tc>
        <w:tc>
          <w:tcPr>
            <w:tcW w:w="920" w:type="dxa"/>
            <w:vAlign w:val="bottom"/>
            <w:tcBorders>
              <w:bottom w:val="single" w:sz="8" w:color="auto"/>
            </w:tcBorders>
            <w:gridSpan w:val="2"/>
          </w:tcPr>
          <w:p>
            <w:pPr>
              <w:jc w:val="right"/>
              <w:ind w:right="216"/>
              <w:spacing w:after="0" w:line="157" w:lineRule="exact"/>
              <w:rPr>
                <w:sz w:val="20"/>
                <w:szCs w:val="20"/>
                <w:color w:val="auto"/>
              </w:rPr>
            </w:pPr>
            <w:r>
              <w:rPr>
                <w:rFonts w:ascii="Arial" w:cs="Arial" w:eastAsia="Arial" w:hAnsi="Arial"/>
                <w:sz w:val="14"/>
                <w:szCs w:val="14"/>
                <w:color w:val="auto"/>
              </w:rPr>
              <w:t>2005</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Borders>
              <w:bottom w:val="single" w:sz="8" w:color="auto"/>
            </w:tcBorders>
            <w:gridSpan w:val="2"/>
          </w:tcPr>
          <w:p>
            <w:pPr>
              <w:jc w:val="right"/>
              <w:ind w:right="214"/>
              <w:spacing w:after="0" w:line="157" w:lineRule="exact"/>
              <w:rPr>
                <w:sz w:val="20"/>
                <w:szCs w:val="20"/>
                <w:color w:val="auto"/>
              </w:rPr>
            </w:pPr>
            <w:r>
              <w:rPr>
                <w:rFonts w:ascii="Arial" w:cs="Arial" w:eastAsia="Arial" w:hAnsi="Arial"/>
                <w:sz w:val="14"/>
                <w:szCs w:val="14"/>
                <w:color w:val="auto"/>
              </w:rPr>
              <w:t>2004</w:t>
            </w:r>
          </w:p>
        </w:tc>
        <w:tc>
          <w:tcPr>
            <w:tcW w:w="100" w:type="dxa"/>
            <w:vAlign w:val="bottom"/>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4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5580" w:type="dxa"/>
            <w:vAlign w:val="bottom"/>
            <w:gridSpan w:val="4"/>
            <w:shd w:val="clear" w:color="auto" w:fill="CCEEFF"/>
          </w:tcPr>
          <w:p>
            <w:pPr>
              <w:jc w:val="right"/>
              <w:ind w:right="68"/>
              <w:spacing w:after="0" w:line="196" w:lineRule="exact"/>
              <w:rPr>
                <w:sz w:val="20"/>
                <w:szCs w:val="20"/>
                <w:color w:val="auto"/>
              </w:rPr>
            </w:pPr>
            <w:r>
              <w:rPr>
                <w:rFonts w:ascii="Arial" w:cs="Arial" w:eastAsia="Arial" w:hAnsi="Arial"/>
                <w:sz w:val="18"/>
                <w:szCs w:val="18"/>
                <w:color w:val="auto"/>
              </w:rPr>
              <w:t>$1,458,942</w:t>
            </w:r>
          </w:p>
        </w:tc>
        <w:tc>
          <w:tcPr>
            <w:tcW w:w="30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w w:val="99"/>
              </w:rPr>
              <w:t>$1,466,579</w:t>
            </w:r>
          </w:p>
        </w:tc>
      </w:tr>
      <w:tr>
        <w:trPr>
          <w:trHeight w:val="203"/>
        </w:trPr>
        <w:tc>
          <w:tcPr>
            <w:tcW w:w="20" w:type="dxa"/>
            <w:vAlign w:val="bottom"/>
          </w:tcPr>
          <w:p>
            <w:pPr>
              <w:spacing w:after="0"/>
              <w:rPr>
                <w:sz w:val="17"/>
                <w:szCs w:val="17"/>
                <w:color w:val="auto"/>
              </w:rPr>
            </w:pPr>
          </w:p>
        </w:tc>
        <w:tc>
          <w:tcPr>
            <w:tcW w:w="450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5580" w:type="dxa"/>
            <w:vAlign w:val="bottom"/>
            <w:gridSpan w:val="4"/>
          </w:tcPr>
          <w:p>
            <w:pPr>
              <w:jc w:val="right"/>
              <w:ind w:right="68"/>
              <w:spacing w:after="0" w:line="202" w:lineRule="exact"/>
              <w:rPr>
                <w:sz w:val="20"/>
                <w:szCs w:val="20"/>
                <w:color w:val="auto"/>
              </w:rPr>
            </w:pPr>
            <w:r>
              <w:rPr>
                <w:rFonts w:ascii="Arial" w:cs="Arial" w:eastAsia="Arial" w:hAnsi="Arial"/>
                <w:sz w:val="18"/>
                <w:szCs w:val="18"/>
                <w:color w:val="auto"/>
              </w:rPr>
              <w:t>1,665,006</w:t>
            </w:r>
          </w:p>
        </w:tc>
        <w:tc>
          <w:tcPr>
            <w:tcW w:w="300" w:type="dxa"/>
            <w:vAlign w:val="bottom"/>
          </w:tcPr>
          <w:p>
            <w:pPr>
              <w:spacing w:after="0"/>
              <w:rPr>
                <w:sz w:val="17"/>
                <w:szCs w:val="17"/>
                <w:color w:val="auto"/>
              </w:rPr>
            </w:pPr>
          </w:p>
        </w:tc>
        <w:tc>
          <w:tcPr>
            <w:tcW w:w="10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1,661,440</w:t>
            </w:r>
          </w:p>
        </w:tc>
      </w:tr>
      <w:tr>
        <w:trPr>
          <w:trHeight w:val="203"/>
        </w:trPr>
        <w:tc>
          <w:tcPr>
            <w:tcW w:w="20" w:type="dxa"/>
            <w:vAlign w:val="bottom"/>
          </w:tcPr>
          <w:p>
            <w:pPr>
              <w:spacing w:after="0"/>
              <w:rPr>
                <w:sz w:val="17"/>
                <w:szCs w:val="17"/>
                <w:color w:val="auto"/>
              </w:rPr>
            </w:pPr>
          </w:p>
        </w:tc>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Liabilities</w:t>
            </w:r>
          </w:p>
        </w:tc>
        <w:tc>
          <w:tcPr>
            <w:tcW w:w="5580" w:type="dxa"/>
            <w:vAlign w:val="bottom"/>
            <w:gridSpan w:val="4"/>
            <w:shd w:val="clear" w:color="auto" w:fill="CCEEFF"/>
          </w:tcPr>
          <w:p>
            <w:pPr>
              <w:jc w:val="right"/>
              <w:ind w:right="68"/>
              <w:spacing w:after="0" w:line="202" w:lineRule="exact"/>
              <w:rPr>
                <w:sz w:val="20"/>
                <w:szCs w:val="20"/>
                <w:color w:val="auto"/>
              </w:rPr>
            </w:pPr>
            <w:r>
              <w:rPr>
                <w:rFonts w:ascii="Arial" w:cs="Arial" w:eastAsia="Arial" w:hAnsi="Arial"/>
                <w:sz w:val="18"/>
                <w:szCs w:val="18"/>
                <w:color w:val="auto"/>
              </w:rPr>
              <w:t>1,406,043</w:t>
            </w:r>
          </w:p>
        </w:tc>
        <w:tc>
          <w:tcPr>
            <w:tcW w:w="30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1,389,912</w:t>
            </w:r>
          </w:p>
        </w:tc>
      </w:tr>
      <w:tr>
        <w:trPr>
          <w:trHeight w:val="203"/>
        </w:trPr>
        <w:tc>
          <w:tcPr>
            <w:tcW w:w="20" w:type="dxa"/>
            <w:vAlign w:val="bottom"/>
          </w:tcPr>
          <w:p>
            <w:pPr>
              <w:spacing w:after="0"/>
              <w:rPr>
                <w:sz w:val="17"/>
                <w:szCs w:val="17"/>
                <w:color w:val="auto"/>
              </w:rPr>
            </w:pPr>
          </w:p>
        </w:tc>
        <w:tc>
          <w:tcPr>
            <w:tcW w:w="4500" w:type="dxa"/>
            <w:vAlign w:val="bottom"/>
          </w:tcPr>
          <w:p>
            <w:pPr>
              <w:spacing w:after="0" w:line="202" w:lineRule="exact"/>
              <w:rPr>
                <w:sz w:val="20"/>
                <w:szCs w:val="20"/>
                <w:color w:val="auto"/>
              </w:rPr>
            </w:pPr>
            <w:r>
              <w:rPr>
                <w:rFonts w:ascii="Arial" w:cs="Arial" w:eastAsia="Arial" w:hAnsi="Arial"/>
                <w:sz w:val="18"/>
                <w:szCs w:val="18"/>
                <w:color w:val="auto"/>
              </w:rPr>
              <w:t>Accumulated other comprehensive income</w:t>
            </w:r>
          </w:p>
        </w:tc>
        <w:tc>
          <w:tcPr>
            <w:tcW w:w="5580" w:type="dxa"/>
            <w:vAlign w:val="bottom"/>
            <w:gridSpan w:val="4"/>
          </w:tcPr>
          <w:p>
            <w:pPr>
              <w:jc w:val="right"/>
              <w:ind w:right="68"/>
              <w:spacing w:after="0" w:line="202" w:lineRule="exact"/>
              <w:rPr>
                <w:sz w:val="20"/>
                <w:szCs w:val="20"/>
                <w:color w:val="auto"/>
              </w:rPr>
            </w:pPr>
            <w:r>
              <w:rPr>
                <w:rFonts w:ascii="Arial" w:cs="Arial" w:eastAsia="Arial" w:hAnsi="Arial"/>
                <w:sz w:val="18"/>
                <w:szCs w:val="18"/>
                <w:color w:val="auto"/>
              </w:rPr>
              <w:t>25,217</w:t>
            </w:r>
          </w:p>
        </w:tc>
        <w:tc>
          <w:tcPr>
            <w:tcW w:w="300" w:type="dxa"/>
            <w:vAlign w:val="bottom"/>
          </w:tcPr>
          <w:p>
            <w:pPr>
              <w:spacing w:after="0"/>
              <w:rPr>
                <w:sz w:val="17"/>
                <w:szCs w:val="17"/>
                <w:color w:val="auto"/>
              </w:rPr>
            </w:pPr>
          </w:p>
        </w:tc>
        <w:tc>
          <w:tcPr>
            <w:tcW w:w="10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39,252</w:t>
            </w:r>
          </w:p>
        </w:tc>
      </w:tr>
      <w:tr>
        <w:trPr>
          <w:trHeight w:val="203"/>
        </w:trPr>
        <w:tc>
          <w:tcPr>
            <w:tcW w:w="20" w:type="dxa"/>
            <w:vAlign w:val="bottom"/>
          </w:tcPr>
          <w:p>
            <w:pPr>
              <w:spacing w:after="0"/>
              <w:rPr>
                <w:sz w:val="17"/>
                <w:szCs w:val="17"/>
                <w:color w:val="auto"/>
              </w:rPr>
            </w:pPr>
          </w:p>
        </w:tc>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shareholders’ equity</w:t>
            </w:r>
          </w:p>
        </w:tc>
        <w:tc>
          <w:tcPr>
            <w:tcW w:w="5580" w:type="dxa"/>
            <w:vAlign w:val="bottom"/>
            <w:gridSpan w:val="4"/>
            <w:shd w:val="clear" w:color="auto" w:fill="CCEEFF"/>
          </w:tcPr>
          <w:p>
            <w:pPr>
              <w:jc w:val="right"/>
              <w:ind w:right="68"/>
              <w:spacing w:after="0" w:line="202" w:lineRule="exact"/>
              <w:rPr>
                <w:sz w:val="20"/>
                <w:szCs w:val="20"/>
                <w:color w:val="auto"/>
              </w:rPr>
            </w:pPr>
            <w:r>
              <w:rPr>
                <w:rFonts w:ascii="Arial" w:cs="Arial" w:eastAsia="Arial" w:hAnsi="Arial"/>
                <w:sz w:val="18"/>
                <w:szCs w:val="18"/>
                <w:color w:val="auto"/>
              </w:rPr>
              <w:t>258,963</w:t>
            </w:r>
          </w:p>
        </w:tc>
        <w:tc>
          <w:tcPr>
            <w:tcW w:w="30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271,528</w:t>
            </w:r>
          </w:p>
        </w:tc>
      </w:tr>
      <w:tr>
        <w:trPr>
          <w:trHeight w:val="392"/>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520" w:type="dxa"/>
            <w:vAlign w:val="bottom"/>
          </w:tcPr>
          <w:p>
            <w:pPr>
              <w:jc w:val="right"/>
              <w:ind w:right="3130"/>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3"/>
        </w:trPr>
        <w:tc>
          <w:tcPr>
            <w:tcW w:w="20" w:type="dxa"/>
            <w:vAlign w:val="bottom"/>
          </w:tcPr>
          <w:p>
            <w:pPr>
              <w:spacing w:after="0"/>
              <w:rPr>
                <w:sz w:val="18"/>
                <w:szCs w:val="18"/>
                <w:color w:val="auto"/>
              </w:rPr>
            </w:pPr>
          </w:p>
        </w:tc>
        <w:tc>
          <w:tcPr>
            <w:tcW w:w="4500" w:type="dxa"/>
            <w:vAlign w:val="bottom"/>
            <w:tcBorders>
              <w:bottom w:val="single" w:sz="8" w:color="808080"/>
            </w:tcBorders>
          </w:tcPr>
          <w:p>
            <w:pPr>
              <w:spacing w:after="0"/>
              <w:rPr>
                <w:sz w:val="18"/>
                <w:szCs w:val="18"/>
                <w:color w:val="auto"/>
              </w:rPr>
            </w:pPr>
          </w:p>
        </w:tc>
        <w:tc>
          <w:tcPr>
            <w:tcW w:w="452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60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74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NOTES TO CONSOLIDATED FINANCIAL STATEMENTS (UNAUDITED)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NOTE 6 – RETIREMENT BENEFIT PLANS</w:t>
      </w:r>
    </w:p>
    <w:p>
      <w:pPr>
        <w:spacing w:after="0" w:line="171"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The Company’s pension plans consist of: (1) a noncontributory-defined benefit pension plan covering substantially all employees of the Company, (2) an unfunded supplemental employee retirement plan for its executive management and division officers and (3) an unfunded pension plan (discontinued as of April 1997) for certain of its outside directors. All liabilities for the plans described in this note are presented in total for all employees of the Erie Insurance Group, before allocations to related entities.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Components of Net Periodic Benefit Cost</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center"/>
              <w:ind w:right="73"/>
              <w:spacing w:after="0"/>
              <w:rPr>
                <w:sz w:val="20"/>
                <w:szCs w:val="20"/>
                <w:color w:val="auto"/>
              </w:rPr>
            </w:pPr>
            <w:r>
              <w:rPr>
                <w:rFonts w:ascii="Arial" w:cs="Arial" w:eastAsia="Arial" w:hAnsi="Arial"/>
                <w:sz w:val="14"/>
                <w:szCs w:val="14"/>
                <w:color w:val="auto"/>
              </w:rPr>
              <w:t>Pension Benefits</w:t>
            </w: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jc w:val="center"/>
              <w:ind w:right="53"/>
              <w:spacing w:after="0"/>
              <w:rPr>
                <w:sz w:val="20"/>
                <w:szCs w:val="20"/>
                <w:color w:val="auto"/>
              </w:rPr>
            </w:pPr>
            <w:r>
              <w:rPr>
                <w:rFonts w:ascii="Arial" w:cs="Arial" w:eastAsia="Arial" w:hAnsi="Arial"/>
                <w:sz w:val="14"/>
                <w:szCs w:val="14"/>
                <w:color w:val="auto"/>
              </w:rPr>
              <w:t>Postretirement Benefits</w:t>
            </w:r>
          </w:p>
        </w:tc>
        <w:tc>
          <w:tcPr>
            <w:tcW w:w="100" w:type="dxa"/>
            <w:vAlign w:val="bottom"/>
          </w:tcPr>
          <w:p>
            <w:pPr>
              <w:spacing w:after="0"/>
              <w:rPr>
                <w:sz w:val="14"/>
                <w:szCs w:val="14"/>
                <w:color w:val="auto"/>
              </w:rPr>
            </w:pPr>
          </w:p>
        </w:tc>
      </w:tr>
      <w:tr>
        <w:trPr>
          <w:trHeight w:val="160"/>
        </w:trPr>
        <w:tc>
          <w:tcPr>
            <w:tcW w:w="7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60" w:type="dxa"/>
            <w:vAlign w:val="bottom"/>
            <w:gridSpan w:val="5"/>
          </w:tcPr>
          <w:p>
            <w:pPr>
              <w:jc w:val="center"/>
              <w:ind w:right="600"/>
              <w:spacing w:after="0"/>
              <w:rPr>
                <w:sz w:val="20"/>
                <w:szCs w:val="20"/>
                <w:color w:val="auto"/>
              </w:rPr>
            </w:pPr>
            <w:r>
              <w:rPr>
                <w:rFonts w:ascii="Arial" w:cs="Arial" w:eastAsia="Arial" w:hAnsi="Arial"/>
                <w:sz w:val="14"/>
                <w:szCs w:val="14"/>
                <w:color w:val="auto"/>
              </w:rPr>
              <w:t>Three months ended</w:t>
            </w:r>
          </w:p>
        </w:tc>
        <w:tc>
          <w:tcPr>
            <w:tcW w:w="120" w:type="dxa"/>
            <w:vAlign w:val="bottom"/>
          </w:tcPr>
          <w:p>
            <w:pPr>
              <w:spacing w:after="0"/>
              <w:rPr>
                <w:sz w:val="13"/>
                <w:szCs w:val="13"/>
                <w:color w:val="auto"/>
              </w:rPr>
            </w:pPr>
          </w:p>
        </w:tc>
        <w:tc>
          <w:tcPr>
            <w:tcW w:w="1780" w:type="dxa"/>
            <w:vAlign w:val="bottom"/>
            <w:gridSpan w:val="6"/>
          </w:tcPr>
          <w:p>
            <w:pPr>
              <w:jc w:val="center"/>
              <w:ind w:right="240"/>
              <w:spacing w:after="0"/>
              <w:rPr>
                <w:sz w:val="20"/>
                <w:szCs w:val="20"/>
                <w:color w:val="auto"/>
              </w:rPr>
            </w:pPr>
            <w:r>
              <w:rPr>
                <w:rFonts w:ascii="Arial" w:cs="Arial" w:eastAsia="Arial" w:hAnsi="Arial"/>
                <w:sz w:val="14"/>
                <w:szCs w:val="14"/>
                <w:color w:val="auto"/>
              </w:rPr>
              <w:t>Three months ended</w:t>
            </w:r>
          </w:p>
        </w:tc>
      </w:tr>
      <w:tr>
        <w:trPr>
          <w:trHeight w:val="162"/>
        </w:trPr>
        <w:tc>
          <w:tcPr>
            <w:tcW w:w="7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3"/>
          </w:tcPr>
          <w:p>
            <w:pPr>
              <w:jc w:val="center"/>
              <w:ind w:left="297"/>
              <w:spacing w:after="0"/>
              <w:rPr>
                <w:sz w:val="20"/>
                <w:szCs w:val="20"/>
                <w:color w:val="auto"/>
              </w:rPr>
            </w:pPr>
            <w:r>
              <w:rPr>
                <w:rFonts w:ascii="Arial" w:cs="Arial" w:eastAsia="Arial" w:hAnsi="Arial"/>
                <w:sz w:val="14"/>
                <w:szCs w:val="14"/>
                <w:color w:val="auto"/>
              </w:rPr>
              <w:t>March 31</w:t>
            </w: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4"/>
          </w:tcPr>
          <w:p>
            <w:pPr>
              <w:jc w:val="center"/>
              <w:ind w:left="337"/>
              <w:spacing w:after="0"/>
              <w:rPr>
                <w:sz w:val="20"/>
                <w:szCs w:val="20"/>
                <w:color w:val="auto"/>
              </w:rPr>
            </w:pPr>
            <w:r>
              <w:rPr>
                <w:rFonts w:ascii="Arial" w:cs="Arial" w:eastAsia="Arial" w:hAnsi="Arial"/>
                <w:sz w:val="14"/>
                <w:szCs w:val="14"/>
                <w:color w:val="auto"/>
              </w:rPr>
              <w:t>March 31</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7220" w:type="dxa"/>
            <w:vAlign w:val="bottom"/>
          </w:tcPr>
          <w:p>
            <w:pPr>
              <w:spacing w:after="0" w:line="157" w:lineRule="exact"/>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97"/>
              <w:spacing w:after="0" w:line="157" w:lineRule="exact"/>
              <w:rPr>
                <w:sz w:val="20"/>
                <w:szCs w:val="20"/>
                <w:color w:val="auto"/>
              </w:rPr>
            </w:pPr>
            <w:r>
              <w:rPr>
                <w:rFonts w:ascii="Arial" w:cs="Arial" w:eastAsia="Arial" w:hAnsi="Arial"/>
                <w:sz w:val="14"/>
                <w:szCs w:val="14"/>
                <w:color w:val="auto"/>
              </w:rPr>
              <w:t>2005</w:t>
            </w:r>
          </w:p>
        </w:tc>
        <w:tc>
          <w:tcPr>
            <w:tcW w:w="4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93"/>
              <w:spacing w:after="0" w:line="157" w:lineRule="exact"/>
              <w:rPr>
                <w:sz w:val="20"/>
                <w:szCs w:val="20"/>
                <w:color w:val="auto"/>
              </w:rPr>
            </w:pPr>
            <w:r>
              <w:rPr>
                <w:rFonts w:ascii="Arial" w:cs="Arial" w:eastAsia="Arial" w:hAnsi="Arial"/>
                <w:sz w:val="14"/>
                <w:szCs w:val="14"/>
                <w:color w:val="auto"/>
              </w:rPr>
              <w:t>2004</w:t>
            </w:r>
          </w:p>
        </w:tc>
        <w:tc>
          <w:tcPr>
            <w:tcW w:w="4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97"/>
              <w:spacing w:after="0" w:line="157" w:lineRule="exact"/>
              <w:rPr>
                <w:sz w:val="20"/>
                <w:szCs w:val="20"/>
                <w:color w:val="auto"/>
              </w:rPr>
            </w:pPr>
            <w:r>
              <w:rPr>
                <w:rFonts w:ascii="Arial" w:cs="Arial" w:eastAsia="Arial" w:hAnsi="Arial"/>
                <w:sz w:val="14"/>
                <w:szCs w:val="14"/>
                <w:color w:val="auto"/>
              </w:rPr>
              <w:t>2005</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93"/>
              <w:spacing w:after="0" w:line="157" w:lineRule="exact"/>
              <w:rPr>
                <w:sz w:val="20"/>
                <w:szCs w:val="20"/>
                <w:color w:val="auto"/>
              </w:rPr>
            </w:pPr>
            <w:r>
              <w:rPr>
                <w:rFonts w:ascii="Arial" w:cs="Arial" w:eastAsia="Arial" w:hAnsi="Arial"/>
                <w:sz w:val="14"/>
                <w:szCs w:val="14"/>
                <w:color w:val="auto"/>
              </w:rPr>
              <w:t>2004</w:t>
            </w:r>
          </w:p>
        </w:tc>
        <w:tc>
          <w:tcPr>
            <w:tcW w:w="100" w:type="dxa"/>
            <w:vAlign w:val="bottom"/>
          </w:tcPr>
          <w:p>
            <w:pPr>
              <w:spacing w:after="0"/>
              <w:rPr>
                <w:sz w:val="13"/>
                <w:szCs w:val="13"/>
                <w:color w:val="auto"/>
              </w:rPr>
            </w:pPr>
          </w:p>
        </w:tc>
      </w:tr>
      <w:tr>
        <w:trPr>
          <w:trHeight w:val="196"/>
        </w:trPr>
        <w:tc>
          <w:tcPr>
            <w:tcW w:w="7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Service cost</w:t>
            </w:r>
          </w:p>
        </w:tc>
        <w:tc>
          <w:tcPr>
            <w:tcW w:w="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3,641</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line="196" w:lineRule="exact"/>
              <w:rPr>
                <w:sz w:val="20"/>
                <w:szCs w:val="20"/>
                <w:color w:val="auto"/>
              </w:rPr>
            </w:pPr>
            <w:r>
              <w:rPr>
                <w:rFonts w:ascii="Arial" w:cs="Arial" w:eastAsia="Arial" w:hAnsi="Arial"/>
                <w:sz w:val="18"/>
                <w:szCs w:val="18"/>
                <w:color w:val="auto"/>
              </w:rPr>
              <w:t>3,309</w:t>
            </w: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315</w:t>
            </w:r>
          </w:p>
        </w:tc>
        <w:tc>
          <w:tcPr>
            <w:tcW w:w="340" w:type="dxa"/>
            <w:vAlign w:val="bottom"/>
            <w:gridSpan w:val="2"/>
            <w:shd w:val="clear" w:color="auto" w:fill="CCEEFF"/>
          </w:tcPr>
          <w:p>
            <w:pPr>
              <w:ind w:left="200"/>
              <w:spacing w:after="0" w:line="196"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242</w:t>
            </w:r>
          </w:p>
        </w:tc>
      </w:tr>
      <w:tr>
        <w:trPr>
          <w:trHeight w:val="203"/>
        </w:trPr>
        <w:tc>
          <w:tcPr>
            <w:tcW w:w="7220" w:type="dxa"/>
            <w:vAlign w:val="bottom"/>
          </w:tcPr>
          <w:p>
            <w:pPr>
              <w:spacing w:after="0" w:line="202" w:lineRule="exact"/>
              <w:rPr>
                <w:sz w:val="20"/>
                <w:szCs w:val="20"/>
                <w:color w:val="auto"/>
              </w:rPr>
            </w:pPr>
            <w:r>
              <w:rPr>
                <w:rFonts w:ascii="Arial" w:cs="Arial" w:eastAsia="Arial" w:hAnsi="Arial"/>
                <w:sz w:val="18"/>
                <w:szCs w:val="18"/>
                <w:color w:val="auto"/>
              </w:rPr>
              <w:t>Interest cost</w:t>
            </w:r>
          </w:p>
        </w:tc>
        <w:tc>
          <w:tcPr>
            <w:tcW w:w="1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3,644</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3,237</w:t>
            </w:r>
          </w:p>
        </w:tc>
        <w:tc>
          <w:tcPr>
            <w:tcW w:w="120" w:type="dxa"/>
            <w:vAlign w:val="bottom"/>
          </w:tcPr>
          <w:p>
            <w:pPr>
              <w:spacing w:after="0"/>
              <w:rPr>
                <w:sz w:val="17"/>
                <w:szCs w:val="17"/>
                <w:color w:val="auto"/>
              </w:rPr>
            </w:pPr>
          </w:p>
        </w:tc>
        <w:tc>
          <w:tcPr>
            <w:tcW w:w="8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242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177</w:t>
            </w:r>
          </w:p>
        </w:tc>
      </w:tr>
      <w:tr>
        <w:trPr>
          <w:trHeight w:val="203"/>
        </w:trPr>
        <w:tc>
          <w:tcPr>
            <w:tcW w:w="7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return on plan assets</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4,346)</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4,248)</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w:t>
            </w:r>
          </w:p>
        </w:tc>
      </w:tr>
      <w:tr>
        <w:trPr>
          <w:trHeight w:val="203"/>
        </w:trPr>
        <w:tc>
          <w:tcPr>
            <w:tcW w:w="7220" w:type="dxa"/>
            <w:vAlign w:val="bottom"/>
          </w:tcPr>
          <w:p>
            <w:pPr>
              <w:spacing w:after="0" w:line="202" w:lineRule="exact"/>
              <w:rPr>
                <w:sz w:val="20"/>
                <w:szCs w:val="20"/>
                <w:color w:val="auto"/>
              </w:rPr>
            </w:pPr>
            <w:r>
              <w:rPr>
                <w:rFonts w:ascii="Arial" w:cs="Arial" w:eastAsia="Arial" w:hAnsi="Arial"/>
                <w:sz w:val="18"/>
                <w:szCs w:val="18"/>
                <w:color w:val="auto"/>
              </w:rPr>
              <w:t>Amortization of prior service cost</w:t>
            </w:r>
          </w:p>
        </w:tc>
        <w:tc>
          <w:tcPr>
            <w:tcW w:w="1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175</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225</w:t>
            </w:r>
          </w:p>
        </w:tc>
        <w:tc>
          <w:tcPr>
            <w:tcW w:w="44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27)</w:t>
            </w:r>
          </w:p>
        </w:tc>
        <w:tc>
          <w:tcPr>
            <w:tcW w:w="3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13)</w:t>
            </w:r>
          </w:p>
        </w:tc>
      </w:tr>
      <w:tr>
        <w:trPr>
          <w:trHeight w:val="203"/>
        </w:trPr>
        <w:tc>
          <w:tcPr>
            <w:tcW w:w="7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Amortization of net loss</w:t>
            </w:r>
          </w:p>
        </w:tc>
        <w:tc>
          <w:tcPr>
            <w:tcW w:w="1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904</w:t>
            </w:r>
          </w:p>
        </w:tc>
        <w:tc>
          <w:tcPr>
            <w:tcW w:w="4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801</w:t>
            </w:r>
          </w:p>
        </w:tc>
        <w:tc>
          <w:tcPr>
            <w:tcW w:w="4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81</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7"/>
                <w:szCs w:val="17"/>
                <w:color w:val="auto"/>
              </w:rPr>
            </w:pPr>
          </w:p>
        </w:tc>
      </w:tr>
      <w:tr>
        <w:trPr>
          <w:trHeight w:val="210"/>
        </w:trPr>
        <w:tc>
          <w:tcPr>
            <w:tcW w:w="722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4,018</w:t>
            </w:r>
          </w:p>
        </w:tc>
        <w:tc>
          <w:tcPr>
            <w:tcW w:w="4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3,324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611</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444</w:t>
            </w:r>
          </w:p>
        </w:tc>
      </w:tr>
      <w:tr>
        <w:trPr>
          <w:trHeight w:val="20"/>
        </w:trPr>
        <w:tc>
          <w:tcPr>
            <w:tcW w:w="7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A portion of the net periodic benefit cost is borne by the Erie Insurance Exchange (Exchange) and Erie Family Life Insurance Company (EFL). The Company was reimbursed approximately 54% and 53% from the Exchange and EFL during the first three months of 2005 and 2004,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NOTE 7 – NOTES RECEIVABLE FROM ERIE FAMILY LIFE INSURANCE COMPANY</w:t>
      </w:r>
    </w:p>
    <w:p>
      <w:pPr>
        <w:spacing w:after="0" w:line="185"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 Company is due $40 million from EFL in the form of two surplus notes. The notes may be repaid only out of unassigned surplus of EFL and repayment is subject to prior approval by the Pennsylvania Insurance Commissioner. The first note, in the amount of $15 million, bears an annual interest rate of 6.45% and will be payable on demand on or after December 31, 2005. It is probable that the Company will allow EFL to repay this note through issuance of a new note with a later maturity date. Interest is scheduled to be paid semi-annually. EFL accrued interest of $.2 million in the first quarters of 2005 and 2004 which is payable to the Company.</w:t>
      </w:r>
    </w:p>
    <w:p>
      <w:pPr>
        <w:spacing w:after="0" w:line="162" w:lineRule="exact"/>
        <w:rPr>
          <w:sz w:val="20"/>
          <w:szCs w:val="20"/>
          <w:color w:val="auto"/>
        </w:rPr>
      </w:pPr>
    </w:p>
    <w:p>
      <w:pPr>
        <w:jc w:val="both"/>
        <w:ind w:right="40"/>
        <w:spacing w:after="0"/>
        <w:rPr>
          <w:sz w:val="20"/>
          <w:szCs w:val="20"/>
          <w:color w:val="auto"/>
        </w:rPr>
      </w:pPr>
      <w:r>
        <w:rPr>
          <w:rFonts w:ascii="Arial" w:cs="Arial" w:eastAsia="Arial" w:hAnsi="Arial"/>
          <w:sz w:val="18"/>
          <w:szCs w:val="18"/>
          <w:color w:val="auto"/>
        </w:rPr>
        <w:t>The second note, in the amount of $25 million, bears an annual interest rate of 6.70%. This note was issued to further strengthen the surplus of EFL and to support its continued sales growth. The note will be payable on demand on or after December 31, 2018. Interest is scheduled to be paid semi-annually. EFL accrued interest of $.4 million payable to the Company.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NOTE 8 – STATUTORY INFORMATION</w:t>
      </w:r>
    </w:p>
    <w:p>
      <w:pPr>
        <w:spacing w:after="0" w:line="185"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Cash and securities with carrying values of $3.6 million and $3.4 million were deposited by the Company’s property and casualty insurance subsidiaries with regulatory authorities under statutory requirements at both March 31, 2005 and December 31, 2004, respectively.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NOTES TO CONSOLIDATED FINANCIAL STATEMENTS (UNAUDITED)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NOTE 9 – SUPPLEMENTARY DATA ON CASH FLOWS</w:t>
      </w:r>
    </w:p>
    <w:p>
      <w:pPr>
        <w:spacing w:after="0" w:line="171"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A reconciliation of net income to net cash provided by operating activities as presented in the Consolidated Statements of Cash Flows is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360" w:type="dxa"/>
            <w:vAlign w:val="bottom"/>
          </w:tcPr>
          <w:p>
            <w:pPr>
              <w:spacing w:after="0"/>
              <w:rPr>
                <w:sz w:val="14"/>
                <w:szCs w:val="14"/>
                <w:color w:val="auto"/>
              </w:rPr>
            </w:pPr>
          </w:p>
        </w:tc>
        <w:tc>
          <w:tcPr>
            <w:tcW w:w="2060" w:type="dxa"/>
            <w:vAlign w:val="bottom"/>
            <w:gridSpan w:val="8"/>
          </w:tcPr>
          <w:p>
            <w:pPr>
              <w:spacing w:after="0"/>
              <w:rPr>
                <w:sz w:val="20"/>
                <w:szCs w:val="20"/>
                <w:color w:val="auto"/>
              </w:rPr>
            </w:pPr>
            <w:r>
              <w:rPr>
                <w:rFonts w:ascii="Arial" w:cs="Arial" w:eastAsia="Arial" w:hAnsi="Arial"/>
                <w:sz w:val="14"/>
                <w:szCs w:val="14"/>
                <w:color w:val="auto"/>
              </w:rPr>
              <w:t>Three Months Ended March 31</w:t>
            </w:r>
          </w:p>
        </w:tc>
      </w:tr>
      <w:tr>
        <w:trPr>
          <w:trHeight w:val="157"/>
        </w:trPr>
        <w:tc>
          <w:tcPr>
            <w:tcW w:w="93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13"/>
              <w:spacing w:after="0" w:line="157" w:lineRule="exact"/>
              <w:rPr>
                <w:sz w:val="20"/>
                <w:szCs w:val="20"/>
                <w:color w:val="auto"/>
              </w:rPr>
            </w:pPr>
            <w:r>
              <w:rPr>
                <w:rFonts w:ascii="Arial" w:cs="Arial" w:eastAsia="Arial" w:hAnsi="Arial"/>
                <w:sz w:val="14"/>
                <w:szCs w:val="14"/>
                <w:color w:val="auto"/>
              </w:rPr>
              <w:t>2005</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31"/>
              <w:spacing w:after="0" w:line="157" w:lineRule="exact"/>
              <w:rPr>
                <w:sz w:val="20"/>
                <w:szCs w:val="20"/>
                <w:color w:val="auto"/>
              </w:rPr>
            </w:pPr>
            <w:r>
              <w:rPr>
                <w:rFonts w:ascii="Arial" w:cs="Arial" w:eastAsia="Arial" w:hAnsi="Arial"/>
                <w:sz w:val="14"/>
                <w:szCs w:val="14"/>
                <w:color w:val="auto"/>
              </w:rPr>
              <w:t>2004</w:t>
            </w:r>
          </w:p>
        </w:tc>
        <w:tc>
          <w:tcPr>
            <w:tcW w:w="100" w:type="dxa"/>
            <w:vAlign w:val="bottom"/>
          </w:tcPr>
          <w:p>
            <w:pPr>
              <w:spacing w:after="0"/>
              <w:rPr>
                <w:sz w:val="13"/>
                <w:szCs w:val="13"/>
                <w:color w:val="auto"/>
              </w:rPr>
            </w:pPr>
          </w:p>
        </w:tc>
      </w:tr>
      <w:tr>
        <w:trPr>
          <w:trHeight w:val="156"/>
        </w:trPr>
        <w:tc>
          <w:tcPr>
            <w:tcW w:w="9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gridSpan w:val="7"/>
          </w:tcPr>
          <w:p>
            <w:pPr>
              <w:jc w:val="right"/>
              <w:ind w:right="380"/>
              <w:spacing w:after="0" w:line="155" w:lineRule="exact"/>
              <w:rPr>
                <w:sz w:val="20"/>
                <w:szCs w:val="20"/>
                <w:color w:val="auto"/>
              </w:rPr>
            </w:pPr>
            <w:r>
              <w:rPr>
                <w:rFonts w:ascii="Arial" w:cs="Arial" w:eastAsia="Arial" w:hAnsi="Arial"/>
                <w:sz w:val="14"/>
                <w:szCs w:val="14"/>
                <w:color w:val="auto"/>
              </w:rPr>
              <w:t>(Dollars in thousands)</w:t>
            </w:r>
          </w:p>
        </w:tc>
      </w:tr>
      <w:tr>
        <w:trPr>
          <w:trHeight w:val="203"/>
        </w:trPr>
        <w:tc>
          <w:tcPr>
            <w:tcW w:w="93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405"/>
        </w:trPr>
        <w:tc>
          <w:tcPr>
            <w:tcW w:w="9360" w:type="dxa"/>
            <w:vAlign w:val="bottom"/>
          </w:tcPr>
          <w:p>
            <w:pPr>
              <w:ind w:left="220"/>
              <w:spacing w:after="0"/>
              <w:rPr>
                <w:sz w:val="20"/>
                <w:szCs w:val="20"/>
                <w:color w:val="auto"/>
              </w:rPr>
            </w:pPr>
            <w:r>
              <w:rPr>
                <w:rFonts w:ascii="Arial" w:cs="Arial" w:eastAsia="Arial" w:hAnsi="Arial"/>
                <w:sz w:val="18"/>
                <w:szCs w:val="18"/>
                <w:b w:val="1"/>
                <w:bCs w:val="1"/>
                <w:color w:val="auto"/>
              </w:rPr>
              <w:t>Net income</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$ 57,771</w:t>
            </w:r>
          </w:p>
        </w:tc>
        <w:tc>
          <w:tcPr>
            <w:tcW w:w="240" w:type="dxa"/>
            <w:vAlign w:val="bottom"/>
          </w:tcPr>
          <w:p>
            <w:pPr>
              <w:spacing w:after="0"/>
              <w:rPr>
                <w:sz w:val="24"/>
                <w:szCs w:val="24"/>
                <w:color w:val="auto"/>
              </w:rPr>
            </w:pPr>
          </w:p>
        </w:tc>
        <w:tc>
          <w:tcPr>
            <w:tcW w:w="106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$ 49,572</w:t>
            </w:r>
          </w:p>
        </w:tc>
      </w:tr>
      <w:tr>
        <w:trPr>
          <w:trHeight w:val="203"/>
        </w:trPr>
        <w:tc>
          <w:tcPr>
            <w:tcW w:w="93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9360" w:type="dxa"/>
            <w:vAlign w:val="bottom"/>
          </w:tcPr>
          <w:p>
            <w:pPr>
              <w:ind w:left="620"/>
              <w:spacing w:after="0" w:line="202" w:lineRule="exact"/>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9,316</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9,318</w:t>
            </w:r>
          </w:p>
        </w:tc>
      </w:tr>
      <w:tr>
        <w:trPr>
          <w:trHeight w:val="203"/>
        </w:trPr>
        <w:tc>
          <w:tcPr>
            <w:tcW w:w="9360" w:type="dxa"/>
            <w:vAlign w:val="bottom"/>
            <w:shd w:val="clear" w:color="auto" w:fill="CCEEFF"/>
          </w:tcPr>
          <w:p>
            <w:pPr>
              <w:ind w:left="620"/>
              <w:spacing w:after="0" w:line="202" w:lineRule="exact"/>
              <w:rPr>
                <w:sz w:val="20"/>
                <w:szCs w:val="20"/>
                <w:color w:val="auto"/>
              </w:rPr>
            </w:pPr>
            <w:r>
              <w:rPr>
                <w:rFonts w:ascii="Arial" w:cs="Arial" w:eastAsia="Arial" w:hAnsi="Arial"/>
                <w:sz w:val="18"/>
                <w:szCs w:val="18"/>
                <w:color w:val="auto"/>
              </w:rPr>
              <w:t>Deferred income tax (benefit) expense</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273)</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1,831</w:t>
            </w:r>
          </w:p>
        </w:tc>
      </w:tr>
      <w:tr>
        <w:trPr>
          <w:trHeight w:val="203"/>
        </w:trPr>
        <w:tc>
          <w:tcPr>
            <w:tcW w:w="9360" w:type="dxa"/>
            <w:vAlign w:val="bottom"/>
          </w:tcPr>
          <w:p>
            <w:pPr>
              <w:ind w:left="620"/>
              <w:spacing w:after="0" w:line="202" w:lineRule="exact"/>
              <w:rPr>
                <w:sz w:val="20"/>
                <w:szCs w:val="20"/>
                <w:color w:val="auto"/>
              </w:rPr>
            </w:pPr>
            <w:r>
              <w:rPr>
                <w:rFonts w:ascii="Arial" w:cs="Arial" w:eastAsia="Arial" w:hAnsi="Arial"/>
                <w:sz w:val="18"/>
                <w:szCs w:val="18"/>
                <w:color w:val="auto"/>
              </w:rPr>
              <w:t>Equity in earnings of limited partnerships</w:t>
            </w:r>
          </w:p>
        </w:tc>
        <w:tc>
          <w:tcPr>
            <w:tcW w:w="1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2,111)</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418)</w:t>
            </w:r>
          </w:p>
        </w:tc>
      </w:tr>
      <w:tr>
        <w:trPr>
          <w:trHeight w:val="203"/>
        </w:trPr>
        <w:tc>
          <w:tcPr>
            <w:tcW w:w="9360" w:type="dxa"/>
            <w:vAlign w:val="bottom"/>
            <w:shd w:val="clear" w:color="auto" w:fill="CCEEFF"/>
          </w:tcPr>
          <w:p>
            <w:pPr>
              <w:ind w:left="620"/>
              <w:spacing w:after="0" w:line="202" w:lineRule="exact"/>
              <w:rPr>
                <w:sz w:val="20"/>
                <w:szCs w:val="20"/>
                <w:color w:val="auto"/>
              </w:rPr>
            </w:pPr>
            <w:r>
              <w:rPr>
                <w:rFonts w:ascii="Arial" w:cs="Arial" w:eastAsia="Arial" w:hAnsi="Arial"/>
                <w:sz w:val="18"/>
                <w:szCs w:val="18"/>
                <w:color w:val="auto"/>
              </w:rPr>
              <w:t>Net realized gains on investments</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5,497)</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2,853)</w:t>
            </w:r>
          </w:p>
        </w:tc>
      </w:tr>
      <w:tr>
        <w:trPr>
          <w:trHeight w:val="203"/>
        </w:trPr>
        <w:tc>
          <w:tcPr>
            <w:tcW w:w="9360" w:type="dxa"/>
            <w:vAlign w:val="bottom"/>
          </w:tcPr>
          <w:p>
            <w:pPr>
              <w:ind w:left="620"/>
              <w:spacing w:after="0" w:line="202" w:lineRule="exact"/>
              <w:rPr>
                <w:sz w:val="20"/>
                <w:szCs w:val="20"/>
                <w:color w:val="auto"/>
              </w:rPr>
            </w:pPr>
            <w:r>
              <w:rPr>
                <w:rFonts w:ascii="Arial" w:cs="Arial" w:eastAsia="Arial" w:hAnsi="Arial"/>
                <w:sz w:val="18"/>
                <w:szCs w:val="18"/>
                <w:color w:val="auto"/>
              </w:rPr>
              <w:t>Net amortization of bond premium</w:t>
            </w: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540</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356</w:t>
            </w:r>
          </w:p>
        </w:tc>
      </w:tr>
      <w:tr>
        <w:trPr>
          <w:trHeight w:val="203"/>
        </w:trPr>
        <w:tc>
          <w:tcPr>
            <w:tcW w:w="9360" w:type="dxa"/>
            <w:vAlign w:val="bottom"/>
            <w:shd w:val="clear" w:color="auto" w:fill="CCEEFF"/>
          </w:tcPr>
          <w:p>
            <w:pPr>
              <w:ind w:left="620"/>
              <w:spacing w:after="0" w:line="202" w:lineRule="exact"/>
              <w:rPr>
                <w:sz w:val="20"/>
                <w:szCs w:val="20"/>
                <w:color w:val="auto"/>
              </w:rPr>
            </w:pPr>
            <w:r>
              <w:rPr>
                <w:rFonts w:ascii="Arial" w:cs="Arial" w:eastAsia="Arial" w:hAnsi="Arial"/>
                <w:sz w:val="18"/>
                <w:szCs w:val="18"/>
                <w:color w:val="auto"/>
              </w:rPr>
              <w:t>Undistributed earnings of Erie Family Life Insurance Company</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318)</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984)</w:t>
            </w:r>
          </w:p>
        </w:tc>
      </w:tr>
      <w:tr>
        <w:trPr>
          <w:trHeight w:val="203"/>
        </w:trPr>
        <w:tc>
          <w:tcPr>
            <w:tcW w:w="9360" w:type="dxa"/>
            <w:vAlign w:val="bottom"/>
          </w:tcPr>
          <w:p>
            <w:pPr>
              <w:ind w:left="620"/>
              <w:spacing w:after="0" w:line="202" w:lineRule="exact"/>
              <w:rPr>
                <w:sz w:val="20"/>
                <w:szCs w:val="20"/>
                <w:color w:val="auto"/>
              </w:rPr>
            </w:pPr>
            <w:r>
              <w:rPr>
                <w:rFonts w:ascii="Arial" w:cs="Arial" w:eastAsia="Arial" w:hAnsi="Arial"/>
                <w:sz w:val="18"/>
                <w:szCs w:val="18"/>
                <w:color w:val="auto"/>
              </w:rPr>
              <w:t>Deferred compensation</w:t>
            </w:r>
          </w:p>
        </w:tc>
        <w:tc>
          <w:tcPr>
            <w:tcW w:w="1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323)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111</w:t>
            </w:r>
          </w:p>
        </w:tc>
      </w:tr>
      <w:tr>
        <w:trPr>
          <w:trHeight w:val="203"/>
        </w:trPr>
        <w:tc>
          <w:tcPr>
            <w:tcW w:w="93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Decrease (increase) in receivables and reinsurance recoverable from the Exchange</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24,234</w:t>
            </w:r>
          </w:p>
        </w:tc>
        <w:tc>
          <w:tcPr>
            <w:tcW w:w="2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34,790)</w:t>
            </w:r>
          </w:p>
        </w:tc>
      </w:tr>
      <w:tr>
        <w:trPr>
          <w:trHeight w:val="203"/>
        </w:trPr>
        <w:tc>
          <w:tcPr>
            <w:tcW w:w="9360" w:type="dxa"/>
            <w:vAlign w:val="bottom"/>
          </w:tcPr>
          <w:p>
            <w:pPr>
              <w:ind w:left="220"/>
              <w:spacing w:after="0" w:line="202" w:lineRule="exact"/>
              <w:rPr>
                <w:sz w:val="20"/>
                <w:szCs w:val="20"/>
                <w:color w:val="auto"/>
              </w:rPr>
            </w:pPr>
            <w:r>
              <w:rPr>
                <w:rFonts w:ascii="Arial" w:cs="Arial" w:eastAsia="Arial" w:hAnsi="Arial"/>
                <w:sz w:val="18"/>
                <w:szCs w:val="18"/>
                <w:color w:val="auto"/>
              </w:rPr>
              <w:t>Increase in prepaid expenses and other assets</w:t>
            </w:r>
          </w:p>
        </w:tc>
        <w:tc>
          <w:tcPr>
            <w:tcW w:w="1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14,598)</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20,171)</w:t>
            </w:r>
          </w:p>
        </w:tc>
      </w:tr>
      <w:tr>
        <w:trPr>
          <w:trHeight w:val="203"/>
        </w:trPr>
        <w:tc>
          <w:tcPr>
            <w:tcW w:w="93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Increase in accounts payable and accrued expenses</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2,575</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16,401</w:t>
            </w:r>
          </w:p>
        </w:tc>
      </w:tr>
      <w:tr>
        <w:trPr>
          <w:trHeight w:val="203"/>
        </w:trPr>
        <w:tc>
          <w:tcPr>
            <w:tcW w:w="9360" w:type="dxa"/>
            <w:vAlign w:val="bottom"/>
          </w:tcPr>
          <w:p>
            <w:pPr>
              <w:ind w:left="220"/>
              <w:spacing w:after="0" w:line="202" w:lineRule="exact"/>
              <w:rPr>
                <w:sz w:val="20"/>
                <w:szCs w:val="20"/>
                <w:color w:val="auto"/>
              </w:rPr>
            </w:pPr>
            <w:r>
              <w:rPr>
                <w:rFonts w:ascii="Arial" w:cs="Arial" w:eastAsia="Arial" w:hAnsi="Arial"/>
                <w:sz w:val="18"/>
                <w:szCs w:val="18"/>
                <w:color w:val="auto"/>
              </w:rPr>
              <w:t>(Decrease) increase in loss reserves</w:t>
            </w:r>
          </w:p>
        </w:tc>
        <w:tc>
          <w:tcPr>
            <w:tcW w:w="1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448)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22,166</w:t>
            </w:r>
          </w:p>
        </w:tc>
      </w:tr>
      <w:tr>
        <w:trPr>
          <w:trHeight w:val="203"/>
        </w:trPr>
        <w:tc>
          <w:tcPr>
            <w:tcW w:w="93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(Decrease) increase in unearned premiums</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8,399)</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4,052</w:t>
            </w:r>
          </w:p>
        </w:tc>
      </w:tr>
      <w:tr>
        <w:trPr>
          <w:trHeight w:val="210"/>
        </w:trPr>
        <w:tc>
          <w:tcPr>
            <w:tcW w:w="9360" w:type="dxa"/>
            <w:vAlign w:val="bottom"/>
          </w:tcPr>
          <w:p>
            <w:pPr>
              <w:ind w:left="620"/>
              <w:spacing w:after="0"/>
              <w:rPr>
                <w:sz w:val="20"/>
                <w:szCs w:val="20"/>
                <w:color w:val="auto"/>
              </w:rPr>
            </w:pPr>
            <w:r>
              <w:rPr>
                <w:rFonts w:ascii="Arial" w:cs="Arial" w:eastAsia="Arial" w:hAnsi="Arial"/>
                <w:sz w:val="18"/>
                <w:szCs w:val="18"/>
                <w:b w:val="1"/>
                <w:bCs w:val="1"/>
                <w:color w:val="auto"/>
              </w:rPr>
              <w:t>Net cash provided by operating activities</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$ 62,469</w:t>
            </w:r>
          </w:p>
        </w:tc>
        <w:tc>
          <w:tcPr>
            <w:tcW w:w="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$ 44,591</w:t>
            </w:r>
          </w:p>
        </w:tc>
        <w:tc>
          <w:tcPr>
            <w:tcW w:w="100" w:type="dxa"/>
            <w:vAlign w:val="bottom"/>
          </w:tcPr>
          <w:p>
            <w:pPr>
              <w:spacing w:after="0"/>
              <w:rPr>
                <w:sz w:val="18"/>
                <w:szCs w:val="18"/>
                <w:color w:val="auto"/>
              </w:rPr>
            </w:pPr>
          </w:p>
        </w:tc>
      </w:tr>
      <w:tr>
        <w:trPr>
          <w:trHeight w:val="20"/>
        </w:trPr>
        <w:tc>
          <w:tcPr>
            <w:tcW w:w="9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10 – COMMITMENTS AND CONTINGENCIES</w:t>
      </w:r>
    </w:p>
    <w:p>
      <w:pPr>
        <w:spacing w:after="0" w:line="171"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 Company has contractual commitments to invest up to $129.1 million additional funds in limited partnership investments at March 31, 2005. These commitments will be funded as required by the partnerships’ agreements through 2012. At March 31, 2005, the total commitment to fund limited partnerships that invest in private equity securities is $61.3 million, real estate activities is $51.2 million and fixed income securities is $16.6 million. The Company expects to have sufficient cash flows from operations and positive flows from existing limited partnership investments to meet these partnership commitments.</w:t>
      </w:r>
    </w:p>
    <w:p>
      <w:pPr>
        <w:spacing w:after="0" w:line="162" w:lineRule="exact"/>
        <w:rPr>
          <w:sz w:val="20"/>
          <w:szCs w:val="20"/>
          <w:color w:val="auto"/>
        </w:rPr>
      </w:pPr>
    </w:p>
    <w:p>
      <w:pPr>
        <w:ind w:right="560"/>
        <w:spacing w:after="0" w:line="246" w:lineRule="auto"/>
        <w:rPr>
          <w:sz w:val="20"/>
          <w:szCs w:val="20"/>
          <w:color w:val="auto"/>
        </w:rPr>
      </w:pPr>
      <w:r>
        <w:rPr>
          <w:rFonts w:ascii="Arial" w:cs="Arial" w:eastAsia="Arial" w:hAnsi="Arial"/>
          <w:sz w:val="18"/>
          <w:szCs w:val="18"/>
          <w:color w:val="auto"/>
        </w:rPr>
        <w:t>The Company is involved in litigation arising in the ordinary course of business. In the opinion of management, the effects, if any, of such litigation are not expected to be material to the Company’s consolidated financial condition, results of operations or cash flows.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NOTES TO CONSOLIDATED FINANCIAL STATEMENTS (UNAUDITED)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NOTE 11 – VARIABLE INTEREST ENTITY</w:t>
      </w:r>
    </w:p>
    <w:p>
      <w:pPr>
        <w:spacing w:after="0" w:line="171"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The Erie Insurance Exchange (Exchange) is a reciprocal insurance company domiciled in Pennsylvania for which the Company serves as attorney-in-fact. The Company has a significant interest in the financial condition of the Exchange because net management fee revenues are based on the direct written premiums of the Exchange and the other members of the Property and Casualty Group.</w:t>
      </w:r>
    </w:p>
    <w:p>
      <w:pPr>
        <w:spacing w:after="0" w:line="162"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The selected financial data below is derived from the Exchange’s financial statements prepared in accordance with Statutory Accounting Principals (SAP) required by the National Association of Insurance Commissioners (NAIC) Accounting Practices and Procedures Manual, as modified to include prescribed or permitted practices of the Commonwealth of Pennsylvania. In the opinion of management, all adjustments consisting only of normal recurring accruals, considered necessary for a fair presentation, have been included. The condensed financial data set forth below represents the Exchange’s share of underwriting results after accounting for intercompany pool transactions.</w:t>
      </w:r>
    </w:p>
    <w:p>
      <w:pPr>
        <w:spacing w:after="0" w:line="176"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Selected financial data of the Exchange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Statutory Statements of Operations (Unaudited)</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240" w:type="dxa"/>
            <w:vAlign w:val="bottom"/>
          </w:tcPr>
          <w:p>
            <w:pPr>
              <w:spacing w:after="0"/>
              <w:rPr>
                <w:sz w:val="14"/>
                <w:szCs w:val="14"/>
                <w:color w:val="auto"/>
              </w:rPr>
            </w:pPr>
          </w:p>
        </w:tc>
        <w:tc>
          <w:tcPr>
            <w:tcW w:w="2160" w:type="dxa"/>
            <w:vAlign w:val="bottom"/>
            <w:gridSpan w:val="6"/>
          </w:tcPr>
          <w:p>
            <w:pPr>
              <w:jc w:val="right"/>
              <w:ind w:right="140"/>
              <w:spacing w:after="0"/>
              <w:rPr>
                <w:sz w:val="20"/>
                <w:szCs w:val="20"/>
                <w:color w:val="auto"/>
              </w:rPr>
            </w:pPr>
            <w:r>
              <w:rPr>
                <w:rFonts w:ascii="Arial" w:cs="Arial" w:eastAsia="Arial" w:hAnsi="Arial"/>
                <w:sz w:val="14"/>
                <w:szCs w:val="14"/>
                <w:color w:val="auto"/>
              </w:rPr>
              <w:t>Three Months Ended March 31</w:t>
            </w:r>
          </w:p>
        </w:tc>
        <w:tc>
          <w:tcPr>
            <w:tcW w:w="0" w:type="dxa"/>
            <w:vAlign w:val="bottom"/>
          </w:tcPr>
          <w:p>
            <w:pPr>
              <w:spacing w:after="0"/>
              <w:rPr>
                <w:sz w:val="1"/>
                <w:szCs w:val="1"/>
                <w:color w:val="auto"/>
              </w:rPr>
            </w:pPr>
          </w:p>
        </w:tc>
      </w:tr>
      <w:tr>
        <w:trPr>
          <w:trHeight w:val="157"/>
        </w:trPr>
        <w:tc>
          <w:tcPr>
            <w:tcW w:w="9260" w:type="dxa"/>
            <w:vAlign w:val="bottom"/>
            <w:gridSpan w:val="2"/>
          </w:tcPr>
          <w:p>
            <w:pPr>
              <w:spacing w:after="0" w:line="157" w:lineRule="exact"/>
              <w:rPr>
                <w:sz w:val="20"/>
                <w:szCs w:val="20"/>
                <w:color w:val="auto"/>
              </w:rPr>
            </w:pPr>
            <w:r>
              <w:rPr>
                <w:rFonts w:ascii="Arial" w:cs="Arial" w:eastAsia="Arial" w:hAnsi="Arial"/>
                <w:sz w:val="14"/>
                <w:szCs w:val="14"/>
                <w:color w:val="auto"/>
              </w:rPr>
              <w:t>(in thousands)</w:t>
            </w:r>
          </w:p>
        </w:tc>
        <w:tc>
          <w:tcPr>
            <w:tcW w:w="780" w:type="dxa"/>
            <w:vAlign w:val="bottom"/>
            <w:tcBorders>
              <w:bottom w:val="single" w:sz="8" w:color="auto"/>
            </w:tcBorders>
          </w:tcPr>
          <w:p>
            <w:pPr>
              <w:jc w:val="right"/>
              <w:ind w:right="133"/>
              <w:spacing w:after="0" w:line="157" w:lineRule="exact"/>
              <w:rPr>
                <w:sz w:val="20"/>
                <w:szCs w:val="20"/>
                <w:color w:val="auto"/>
              </w:rPr>
            </w:pPr>
            <w:r>
              <w:rPr>
                <w:rFonts w:ascii="Arial" w:cs="Arial" w:eastAsia="Arial" w:hAnsi="Arial"/>
                <w:sz w:val="14"/>
                <w:szCs w:val="14"/>
                <w:color w:val="auto"/>
              </w:rPr>
              <w:t>2005</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51"/>
              <w:spacing w:after="0" w:line="157" w:lineRule="exact"/>
              <w:rPr>
                <w:sz w:val="20"/>
                <w:szCs w:val="20"/>
                <w:color w:val="auto"/>
              </w:rPr>
            </w:pPr>
            <w:r>
              <w:rPr>
                <w:rFonts w:ascii="Arial" w:cs="Arial" w:eastAsia="Arial" w:hAnsi="Arial"/>
                <w:sz w:val="14"/>
                <w:szCs w:val="14"/>
                <w:color w:val="auto"/>
              </w:rPr>
              <w:t>2004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Premiums earned</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$ 932,794</w:t>
            </w:r>
          </w:p>
        </w:tc>
        <w:tc>
          <w:tcPr>
            <w:tcW w:w="240" w:type="dxa"/>
            <w:vAlign w:val="bottom"/>
            <w:shd w:val="clear" w:color="auto" w:fill="CCEEFF"/>
          </w:tcPr>
          <w:p>
            <w:pPr>
              <w:spacing w:after="0"/>
              <w:rPr>
                <w:sz w:val="17"/>
                <w:szCs w:val="17"/>
                <w:color w:val="auto"/>
              </w:rPr>
            </w:pPr>
          </w:p>
        </w:tc>
        <w:tc>
          <w:tcPr>
            <w:tcW w:w="1140" w:type="dxa"/>
            <w:vAlign w:val="bottom"/>
            <w:gridSpan w:val="4"/>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$ 890,243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40" w:type="dxa"/>
            <w:vAlign w:val="bottom"/>
          </w:tcPr>
          <w:p>
            <w:pPr>
              <w:spacing w:after="0" w:line="202" w:lineRule="exact"/>
              <w:rPr>
                <w:sz w:val="20"/>
                <w:szCs w:val="20"/>
                <w:color w:val="auto"/>
              </w:rPr>
            </w:pPr>
            <w:r>
              <w:rPr>
                <w:rFonts w:ascii="Arial" w:cs="Arial" w:eastAsia="Arial" w:hAnsi="Arial"/>
                <w:sz w:val="18"/>
                <w:szCs w:val="18"/>
                <w:color w:val="auto"/>
              </w:rPr>
              <w:t>Losses and loss adjustment expenses</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553,994</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656,772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Insurance underwriting and other expenses*</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242,721</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239,324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40" w:type="dxa"/>
            <w:vAlign w:val="bottom"/>
          </w:tcPr>
          <w:p>
            <w:pPr>
              <w:spacing w:after="0" w:line="202" w:lineRule="exact"/>
              <w:rPr>
                <w:sz w:val="20"/>
                <w:szCs w:val="20"/>
                <w:color w:val="auto"/>
              </w:rPr>
            </w:pPr>
            <w:r>
              <w:rPr>
                <w:rFonts w:ascii="Arial" w:cs="Arial" w:eastAsia="Arial" w:hAnsi="Arial"/>
                <w:sz w:val="18"/>
                <w:szCs w:val="18"/>
                <w:color w:val="auto"/>
              </w:rPr>
              <w:t>Dividends to policyholders</w:t>
            </w:r>
          </w:p>
        </w:tc>
        <w:tc>
          <w:tcPr>
            <w:tcW w:w="10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7,368</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expense</w:t>
            </w:r>
          </w:p>
        </w:tc>
        <w:tc>
          <w:tcPr>
            <w:tcW w:w="10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3,538</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2,901</w:t>
            </w:r>
          </w:p>
        </w:tc>
        <w:tc>
          <w:tcPr>
            <w:tcW w:w="0" w:type="dxa"/>
            <w:vAlign w:val="bottom"/>
          </w:tcPr>
          <w:p>
            <w:pPr>
              <w:spacing w:after="0"/>
              <w:rPr>
                <w:sz w:val="1"/>
                <w:szCs w:val="1"/>
                <w:color w:val="auto"/>
              </w:rPr>
            </w:pPr>
          </w:p>
        </w:tc>
      </w:tr>
      <w:tr>
        <w:trPr>
          <w:trHeight w:val="20"/>
        </w:trPr>
        <w:tc>
          <w:tcPr>
            <w:tcW w:w="9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underwriting gain (loss)</w:t>
            </w: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60" w:type="dxa"/>
            <w:vAlign w:val="bottom"/>
            <w:gridSpan w:val="2"/>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125,173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11,501)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2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investment income</w:t>
            </w:r>
          </w:p>
        </w:tc>
        <w:tc>
          <w:tcPr>
            <w:tcW w:w="10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79,635</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62,729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40" w:type="dxa"/>
            <w:vAlign w:val="bottom"/>
          </w:tcPr>
          <w:p>
            <w:pPr>
              <w:spacing w:after="0" w:line="202" w:lineRule="exact"/>
              <w:rPr>
                <w:sz w:val="20"/>
                <w:szCs w:val="20"/>
                <w:color w:val="auto"/>
              </w:rPr>
            </w:pPr>
            <w:r>
              <w:rPr>
                <w:rFonts w:ascii="Arial" w:cs="Arial" w:eastAsia="Arial" w:hAnsi="Arial"/>
                <w:sz w:val="18"/>
                <w:szCs w:val="18"/>
                <w:color w:val="auto"/>
              </w:rPr>
              <w:t>Net realized gains</w:t>
            </w:r>
          </w:p>
        </w:tc>
        <w:tc>
          <w:tcPr>
            <w:tcW w:w="10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76,599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17,156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7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156,234</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79,885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9260" w:type="dxa"/>
            <w:vAlign w:val="bottom"/>
            <w:gridSpan w:val="2"/>
          </w:tcPr>
          <w:p>
            <w:pPr>
              <w:spacing w:after="0"/>
              <w:rPr>
                <w:sz w:val="20"/>
                <w:szCs w:val="20"/>
                <w:color w:val="auto"/>
              </w:rPr>
            </w:pPr>
            <w:r>
              <w:rPr>
                <w:rFonts w:ascii="Arial" w:cs="Arial" w:eastAsia="Arial" w:hAnsi="Arial"/>
                <w:sz w:val="18"/>
                <w:szCs w:val="18"/>
                <w:color w:val="auto"/>
              </w:rPr>
              <w:t>Net income before federal income tax</w:t>
            </w:r>
          </w:p>
        </w:tc>
        <w:tc>
          <w:tcPr>
            <w:tcW w:w="780" w:type="dxa"/>
            <w:vAlign w:val="bottom"/>
          </w:tcPr>
          <w:p>
            <w:pPr>
              <w:jc w:val="right"/>
              <w:spacing w:after="0"/>
              <w:rPr>
                <w:sz w:val="20"/>
                <w:szCs w:val="20"/>
                <w:color w:val="auto"/>
              </w:rPr>
            </w:pPr>
            <w:r>
              <w:rPr>
                <w:rFonts w:ascii="Arial" w:cs="Arial" w:eastAsia="Arial" w:hAnsi="Arial"/>
                <w:sz w:val="18"/>
                <w:szCs w:val="18"/>
                <w:color w:val="auto"/>
              </w:rPr>
              <w:t>281,407</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68,384</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9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Federal income tax expense</w:t>
            </w:r>
          </w:p>
        </w:tc>
        <w:tc>
          <w:tcPr>
            <w:tcW w:w="10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88,198</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18,020</w:t>
            </w:r>
          </w:p>
        </w:tc>
        <w:tc>
          <w:tcPr>
            <w:tcW w:w="0" w:type="dxa"/>
            <w:vAlign w:val="bottom"/>
          </w:tcPr>
          <w:p>
            <w:pPr>
              <w:spacing w:after="0"/>
              <w:rPr>
                <w:sz w:val="1"/>
                <w:szCs w:val="1"/>
                <w:color w:val="auto"/>
              </w:rPr>
            </w:pPr>
          </w:p>
        </w:tc>
      </w:tr>
      <w:tr>
        <w:trPr>
          <w:trHeight w:val="412"/>
        </w:trPr>
        <w:tc>
          <w:tcPr>
            <w:tcW w:w="926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$ 193,209</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50,364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3208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12" w:lineRule="exact"/>
        <w:rPr>
          <w:sz w:val="20"/>
          <w:szCs w:val="20"/>
          <w:color w:val="auto"/>
        </w:rPr>
      </w:pPr>
    </w:p>
    <w:p>
      <w:pPr>
        <w:ind w:left="5620" w:right="3860" w:hanging="5612"/>
        <w:spacing w:after="0" w:line="486" w:lineRule="auto"/>
        <w:tabs>
          <w:tab w:leader="none" w:pos="473"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Includes management fees and service fees paid or accrued as payable to the Company. </w:t>
      </w: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7" w:name="page18"/>
    <w:bookmarkEnd w:id="17"/>
    <w:p>
      <w:pPr>
        <w:ind w:right="5600"/>
        <w:spacing w:after="0" w:line="452" w:lineRule="auto"/>
        <w:rPr>
          <w:sz w:val="20"/>
          <w:szCs w:val="20"/>
          <w:color w:val="auto"/>
        </w:rPr>
      </w:pPr>
      <w:r>
        <w:rPr>
          <w:rFonts w:ascii="Arial" w:cs="Arial" w:eastAsia="Arial" w:hAnsi="Arial"/>
          <w:sz w:val="18"/>
          <w:szCs w:val="18"/>
          <w:color w:val="auto"/>
        </w:rPr>
        <w:t xml:space="preserve">NOTES TO CONSOLIDATED FINANCIAL STATEMENTS (UNAUDITED) NOTE 11 – VARIABLE INTEREST ENTITY (Continued) </w:t>
      </w:r>
      <w:r>
        <w:rPr>
          <w:rFonts w:ascii="Arial" w:cs="Arial" w:eastAsia="Arial" w:hAnsi="Arial"/>
          <w:sz w:val="18"/>
          <w:szCs w:val="18"/>
          <w:b w:val="1"/>
          <w:bCs w:val="1"/>
          <w:color w:val="auto"/>
        </w:rPr>
        <w:t>Condensed Statutory Statements of Financial Position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gridSpan w:val="3"/>
          </w:tcPr>
          <w:p>
            <w:pPr>
              <w:ind w:left="40"/>
              <w:spacing w:after="0"/>
              <w:rPr>
                <w:sz w:val="20"/>
                <w:szCs w:val="20"/>
                <w:color w:val="auto"/>
              </w:rPr>
            </w:pPr>
            <w:r>
              <w:rPr>
                <w:rFonts w:ascii="Arial" w:cs="Arial" w:eastAsia="Arial" w:hAnsi="Arial"/>
                <w:sz w:val="14"/>
                <w:szCs w:val="14"/>
                <w:color w:val="auto"/>
              </w:rPr>
              <w:t>As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2"/>
          </w:tcPr>
          <w:p>
            <w:pPr>
              <w:jc w:val="center"/>
              <w:ind w:right="40"/>
              <w:spacing w:after="0"/>
              <w:rPr>
                <w:sz w:val="20"/>
                <w:szCs w:val="20"/>
                <w:color w:val="auto"/>
              </w:rPr>
            </w:pPr>
            <w:r>
              <w:rPr>
                <w:rFonts w:ascii="Arial" w:cs="Arial" w:eastAsia="Arial" w:hAnsi="Arial"/>
                <w:sz w:val="14"/>
                <w:szCs w:val="14"/>
                <w:color w:val="auto"/>
              </w:rPr>
              <w:t>March 31</w:t>
            </w:r>
          </w:p>
        </w:tc>
        <w:tc>
          <w:tcPr>
            <w:tcW w:w="42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57"/>
        </w:trPr>
        <w:tc>
          <w:tcPr>
            <w:tcW w:w="9040" w:type="dxa"/>
            <w:vAlign w:val="bottom"/>
            <w:gridSpan w:val="2"/>
          </w:tcPr>
          <w:p>
            <w:pPr>
              <w:spacing w:after="0" w:line="157" w:lineRule="exact"/>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3"/>
                <w:szCs w:val="13"/>
                <w:color w:val="auto"/>
              </w:rPr>
            </w:pPr>
          </w:p>
        </w:tc>
        <w:tc>
          <w:tcPr>
            <w:tcW w:w="90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2005</w:t>
            </w: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Borders>
              <w:bottom w:val="single" w:sz="8" w:color="auto"/>
            </w:tcBorders>
          </w:tcPr>
          <w:p>
            <w:pPr>
              <w:jc w:val="right"/>
              <w:ind w:right="216"/>
              <w:spacing w:after="0" w:line="157" w:lineRule="exact"/>
              <w:rPr>
                <w:sz w:val="20"/>
                <w:szCs w:val="20"/>
                <w:color w:val="auto"/>
              </w:rPr>
            </w:pPr>
            <w:r>
              <w:rPr>
                <w:rFonts w:ascii="Arial" w:cs="Arial" w:eastAsia="Arial" w:hAnsi="Arial"/>
                <w:sz w:val="14"/>
                <w:szCs w:val="14"/>
                <w:color w:val="auto"/>
              </w:rPr>
              <w:t>2004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2"/>
          </w:tcPr>
          <w:p>
            <w:pPr>
              <w:jc w:val="center"/>
              <w:ind w:right="40"/>
              <w:spacing w:after="0" w:line="155" w:lineRule="exact"/>
              <w:rPr>
                <w:sz w:val="20"/>
                <w:szCs w:val="20"/>
                <w:color w:val="auto"/>
              </w:rPr>
            </w:pPr>
            <w:r>
              <w:rPr>
                <w:rFonts w:ascii="Arial" w:cs="Arial" w:eastAsia="Arial" w:hAnsi="Arial"/>
                <w:sz w:val="14"/>
                <w:szCs w:val="14"/>
                <w:color w:val="auto"/>
              </w:rPr>
              <w:t>(Unaudited)</w:t>
            </w: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20" w:type="dxa"/>
            <w:vAlign w:val="bottom"/>
          </w:tcPr>
          <w:p>
            <w:pPr>
              <w:spacing w:after="0" w:line="202" w:lineRule="exact"/>
              <w:rPr>
                <w:sz w:val="20"/>
                <w:szCs w:val="20"/>
                <w:color w:val="auto"/>
              </w:rPr>
            </w:pPr>
            <w:r>
              <w:rPr>
                <w:rFonts w:ascii="Arial" w:cs="Arial" w:eastAsia="Arial" w:hAnsi="Arial"/>
                <w:sz w:val="18"/>
                <w:szCs w:val="18"/>
                <w:color w:val="auto"/>
              </w:rPr>
              <w:t>Equity securities:</w:t>
            </w: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Common stock</w:t>
            </w:r>
          </w:p>
        </w:tc>
        <w:tc>
          <w:tcPr>
            <w:tcW w:w="94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9"/>
              </w:rPr>
              <w:t>$1,389,822</w:t>
            </w:r>
          </w:p>
        </w:tc>
        <w:tc>
          <w:tcPr>
            <w:tcW w:w="144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$1,508,664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20" w:type="dxa"/>
            <w:vAlign w:val="bottom"/>
          </w:tcPr>
          <w:p>
            <w:pPr>
              <w:ind w:left="200"/>
              <w:spacing w:after="0" w:line="202" w:lineRule="exact"/>
              <w:rPr>
                <w:sz w:val="20"/>
                <w:szCs w:val="20"/>
                <w:color w:val="auto"/>
              </w:rPr>
            </w:pPr>
            <w:r>
              <w:rPr>
                <w:rFonts w:ascii="Arial" w:cs="Arial" w:eastAsia="Arial" w:hAnsi="Arial"/>
                <w:sz w:val="18"/>
                <w:szCs w:val="18"/>
                <w:color w:val="auto"/>
              </w:rPr>
              <w:t>Preferred stock</w:t>
            </w:r>
          </w:p>
        </w:tc>
        <w:tc>
          <w:tcPr>
            <w:tcW w:w="94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609,858</w:t>
            </w:r>
          </w:p>
        </w:tc>
        <w:tc>
          <w:tcPr>
            <w:tcW w:w="14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550,090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Fixed maturities</w:t>
            </w:r>
          </w:p>
        </w:tc>
        <w:tc>
          <w:tcPr>
            <w:tcW w:w="94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4,499,701</w:t>
            </w:r>
          </w:p>
        </w:tc>
        <w:tc>
          <w:tcPr>
            <w:tcW w:w="144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4,399,458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20" w:type="dxa"/>
            <w:vAlign w:val="bottom"/>
          </w:tcPr>
          <w:p>
            <w:pPr>
              <w:spacing w:after="0" w:line="202" w:lineRule="exact"/>
              <w:rPr>
                <w:sz w:val="20"/>
                <w:szCs w:val="20"/>
                <w:color w:val="auto"/>
              </w:rPr>
            </w:pPr>
            <w:r>
              <w:rPr>
                <w:rFonts w:ascii="Arial" w:cs="Arial" w:eastAsia="Arial" w:hAnsi="Arial"/>
                <w:sz w:val="18"/>
                <w:szCs w:val="18"/>
                <w:color w:val="auto"/>
              </w:rPr>
              <w:t>Limited partnerships</w:t>
            </w:r>
          </w:p>
        </w:tc>
        <w:tc>
          <w:tcPr>
            <w:tcW w:w="94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563,598</w:t>
            </w:r>
          </w:p>
        </w:tc>
        <w:tc>
          <w:tcPr>
            <w:tcW w:w="14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567,089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Real estate mortgage loans</w:t>
            </w:r>
          </w:p>
        </w:tc>
        <w:tc>
          <w:tcPr>
            <w:tcW w:w="94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10,779</w:t>
            </w:r>
          </w:p>
        </w:tc>
        <w:tc>
          <w:tcPr>
            <w:tcW w:w="144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10,859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20" w:type="dxa"/>
            <w:vAlign w:val="bottom"/>
          </w:tcPr>
          <w:p>
            <w:pPr>
              <w:spacing w:after="0" w:line="202" w:lineRule="exact"/>
              <w:rPr>
                <w:sz w:val="20"/>
                <w:szCs w:val="20"/>
                <w:color w:val="auto"/>
              </w:rPr>
            </w:pPr>
            <w:r>
              <w:rPr>
                <w:rFonts w:ascii="Arial" w:cs="Arial" w:eastAsia="Arial" w:hAnsi="Arial"/>
                <w:sz w:val="18"/>
                <w:szCs w:val="18"/>
                <w:color w:val="auto"/>
              </w:rPr>
              <w:t>Properties occupied by the Exchange</w:t>
            </w:r>
          </w:p>
        </w:tc>
        <w:tc>
          <w:tcPr>
            <w:tcW w:w="94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35,933</w:t>
            </w:r>
          </w:p>
        </w:tc>
        <w:tc>
          <w:tcPr>
            <w:tcW w:w="14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36,305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94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161,957</w:t>
            </w:r>
          </w:p>
        </w:tc>
        <w:tc>
          <w:tcPr>
            <w:tcW w:w="144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125,933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tcPr>
          <w:p>
            <w:pPr>
              <w:spacing w:after="0" w:line="202" w:lineRule="exact"/>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58,082</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invested assets</w:t>
            </w:r>
          </w:p>
        </w:tc>
        <w:tc>
          <w:tcPr>
            <w:tcW w:w="94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7,329,730</w:t>
            </w:r>
          </w:p>
        </w:tc>
        <w:tc>
          <w:tcPr>
            <w:tcW w:w="144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7,199,447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20" w:type="dxa"/>
            <w:vAlign w:val="bottom"/>
          </w:tcPr>
          <w:p>
            <w:pPr>
              <w:spacing w:after="0" w:line="202" w:lineRule="exact"/>
              <w:rPr>
                <w:sz w:val="20"/>
                <w:szCs w:val="20"/>
                <w:color w:val="auto"/>
              </w:rPr>
            </w:pPr>
            <w:r>
              <w:rPr>
                <w:rFonts w:ascii="Arial" w:cs="Arial" w:eastAsia="Arial" w:hAnsi="Arial"/>
                <w:sz w:val="18"/>
                <w:szCs w:val="18"/>
                <w:color w:val="auto"/>
              </w:rPr>
              <w:t>Premium receivable</w:t>
            </w:r>
          </w:p>
        </w:tc>
        <w:tc>
          <w:tcPr>
            <w:tcW w:w="94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1,016,037</w:t>
            </w:r>
          </w:p>
        </w:tc>
        <w:tc>
          <w:tcPr>
            <w:tcW w:w="14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1,002,818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assets</w:t>
            </w:r>
          </w:p>
        </w:tc>
        <w:tc>
          <w:tcPr>
            <w:tcW w:w="94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67,855</w:t>
            </w:r>
          </w:p>
        </w:tc>
        <w:tc>
          <w:tcPr>
            <w:tcW w:w="144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67,497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tcPr>
          <w:p>
            <w:pPr>
              <w:ind w:left="200"/>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7"/>
              </w:rPr>
              <w:t>$</w:t>
            </w:r>
            <w:r>
              <w:rPr>
                <w:rFonts w:ascii="Arial" w:cs="Arial" w:eastAsia="Arial" w:hAnsi="Arial"/>
                <w:sz w:val="18"/>
                <w:szCs w:val="18"/>
                <w:b w:val="1"/>
                <w:bCs w:val="1"/>
                <w:color w:val="auto"/>
                <w:w w:val="97"/>
              </w:rPr>
              <w:t>8,413,622</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9"/>
              </w:rPr>
              <w:t>$</w:t>
            </w:r>
            <w:r>
              <w:rPr>
                <w:rFonts w:ascii="Arial" w:cs="Arial" w:eastAsia="Arial" w:hAnsi="Arial"/>
                <w:sz w:val="18"/>
                <w:szCs w:val="18"/>
                <w:b w:val="1"/>
                <w:bCs w:val="1"/>
                <w:color w:val="auto"/>
                <w:w w:val="99"/>
              </w:rPr>
              <w:t>8,269,762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9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20" w:type="dxa"/>
            <w:vAlign w:val="bottom"/>
          </w:tcPr>
          <w:p>
            <w:pPr>
              <w:spacing w:after="0" w:line="202" w:lineRule="exact"/>
              <w:rPr>
                <w:sz w:val="20"/>
                <w:szCs w:val="20"/>
                <w:color w:val="auto"/>
              </w:rPr>
            </w:pPr>
            <w:r>
              <w:rPr>
                <w:rFonts w:ascii="Arial" w:cs="Arial" w:eastAsia="Arial" w:hAnsi="Arial"/>
                <w:sz w:val="18"/>
                <w:szCs w:val="18"/>
                <w:color w:val="auto"/>
              </w:rPr>
              <w:t>Loss and LAE reserves</w:t>
            </w:r>
          </w:p>
        </w:tc>
        <w:tc>
          <w:tcPr>
            <w:tcW w:w="94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w w:val="99"/>
              </w:rPr>
              <w:t>$3,422,294</w:t>
            </w:r>
          </w:p>
        </w:tc>
        <w:tc>
          <w:tcPr>
            <w:tcW w:w="14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$3,436,246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Unearned premium reserves</w:t>
            </w:r>
          </w:p>
        </w:tc>
        <w:tc>
          <w:tcPr>
            <w:tcW w:w="94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1,527,461</w:t>
            </w:r>
          </w:p>
        </w:tc>
        <w:tc>
          <w:tcPr>
            <w:tcW w:w="144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1,536,890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20" w:type="dxa"/>
            <w:vAlign w:val="bottom"/>
          </w:tcPr>
          <w:p>
            <w:pPr>
              <w:spacing w:after="0" w:line="202" w:lineRule="exact"/>
              <w:rPr>
                <w:sz w:val="20"/>
                <w:szCs w:val="20"/>
                <w:color w:val="auto"/>
              </w:rPr>
            </w:pPr>
            <w:r>
              <w:rPr>
                <w:rFonts w:ascii="Arial" w:cs="Arial" w:eastAsia="Arial" w:hAnsi="Arial"/>
                <w:sz w:val="18"/>
                <w:szCs w:val="18"/>
                <w:color w:val="auto"/>
              </w:rPr>
              <w:t>Accrued liabilities</w:t>
            </w:r>
          </w:p>
        </w:tc>
        <w:tc>
          <w:tcPr>
            <w:tcW w:w="94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503,667</w:t>
            </w:r>
          </w:p>
        </w:tc>
        <w:tc>
          <w:tcPr>
            <w:tcW w:w="14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400,375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income taxes</w:t>
            </w:r>
          </w:p>
        </w:tc>
        <w:tc>
          <w:tcPr>
            <w:tcW w:w="94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50,801</w:t>
            </w:r>
          </w:p>
        </w:tc>
        <w:tc>
          <w:tcPr>
            <w:tcW w:w="144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92,193</w:t>
            </w:r>
          </w:p>
        </w:tc>
        <w:tc>
          <w:tcPr>
            <w:tcW w:w="0" w:type="dxa"/>
            <w:vAlign w:val="bottom"/>
          </w:tcPr>
          <w:p>
            <w:pPr>
              <w:spacing w:after="0"/>
              <w:rPr>
                <w:sz w:val="1"/>
                <w:szCs w:val="1"/>
                <w:color w:val="auto"/>
              </w:rPr>
            </w:pPr>
          </w:p>
        </w:tc>
      </w:tr>
      <w:tr>
        <w:trPr>
          <w:trHeight w:val="217"/>
        </w:trPr>
        <w:tc>
          <w:tcPr>
            <w:tcW w:w="904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5,504,223</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5,465,704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policyholders’ surplus</w:t>
            </w:r>
          </w:p>
        </w:tc>
        <w:tc>
          <w:tcPr>
            <w:tcW w:w="94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2,909,399</w:t>
            </w:r>
          </w:p>
        </w:tc>
        <w:tc>
          <w:tcPr>
            <w:tcW w:w="144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2,804,058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tcPr>
          <w:p>
            <w:pPr>
              <w:ind w:left="200"/>
              <w:spacing w:after="0"/>
              <w:rPr>
                <w:sz w:val="20"/>
                <w:szCs w:val="20"/>
                <w:color w:val="auto"/>
              </w:rPr>
            </w:pPr>
            <w:r>
              <w:rPr>
                <w:rFonts w:ascii="Arial" w:cs="Arial" w:eastAsia="Arial" w:hAnsi="Arial"/>
                <w:sz w:val="18"/>
                <w:szCs w:val="18"/>
                <w:b w:val="1"/>
                <w:bCs w:val="1"/>
                <w:color w:val="auto"/>
              </w:rPr>
              <w:t>Total liabilities and policyholders’ surplus</w:t>
            </w:r>
          </w:p>
        </w:tc>
        <w:tc>
          <w:tcPr>
            <w:tcW w:w="20" w:type="dxa"/>
            <w:vAlign w:val="bottom"/>
            <w:tcBorders>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7"/>
              </w:rPr>
              <w:t>$</w:t>
            </w:r>
            <w:r>
              <w:rPr>
                <w:rFonts w:ascii="Arial" w:cs="Arial" w:eastAsia="Arial" w:hAnsi="Arial"/>
                <w:sz w:val="18"/>
                <w:szCs w:val="18"/>
                <w:b w:val="1"/>
                <w:bCs w:val="1"/>
                <w:color w:val="auto"/>
                <w:w w:val="97"/>
              </w:rPr>
              <w:t>8,413,622</w:t>
            </w:r>
          </w:p>
        </w:tc>
        <w:tc>
          <w:tcPr>
            <w:tcW w:w="2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9"/>
              </w:rPr>
              <w:t>$</w:t>
            </w:r>
            <w:r>
              <w:rPr>
                <w:rFonts w:ascii="Arial" w:cs="Arial" w:eastAsia="Arial" w:hAnsi="Arial"/>
                <w:sz w:val="18"/>
                <w:szCs w:val="18"/>
                <w:b w:val="1"/>
                <w:bCs w:val="1"/>
                <w:color w:val="auto"/>
                <w:w w:val="99"/>
              </w:rPr>
              <w:t>8,269,762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The Exchange’s Policyholders’ surplus increased 3.8% during 2005 primarily as a result of improved underwriting results and realized gains from investments.</w:t>
      </w:r>
    </w:p>
    <w:p>
      <w:pPr>
        <w:spacing w:after="0" w:line="156" w:lineRule="exact"/>
        <w:rPr>
          <w:sz w:val="20"/>
          <w:szCs w:val="20"/>
          <w:color w:val="auto"/>
        </w:rPr>
      </w:pPr>
    </w:p>
    <w:p>
      <w:pPr>
        <w:ind w:right="60"/>
        <w:spacing w:after="0"/>
        <w:rPr>
          <w:sz w:val="20"/>
          <w:szCs w:val="20"/>
          <w:color w:val="auto"/>
        </w:rPr>
      </w:pPr>
      <w:r>
        <w:rPr>
          <w:rFonts w:ascii="Arial" w:cs="Arial" w:eastAsia="Arial" w:hAnsi="Arial"/>
          <w:sz w:val="18"/>
          <w:szCs w:val="18"/>
          <w:color w:val="auto"/>
        </w:rPr>
        <w:t>Common equity securities represent a significant portion of the Exchange’s investment portfolio and surplus and are exposed to price risk, volatility of the capital markets and general economic conditions. Common stock investments made up approximately 47.8% of the Exchange’s statutory surplus at March 31, 2005 and 53.8% at December 31, 2004.</w:t>
      </w:r>
    </w:p>
    <w:p>
      <w:pPr>
        <w:spacing w:after="0" w:line="162"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The Exchange had realized and unrealized capital losses on its common stock portfolio of $48.4 million in the first quarter of 2005 and capital gains of $ 8.9 million in the first quarter of 2004. Net proceeds from the sale of common stock investments were $197.7 million in the first quarter of 2005, which included $83.6 million in realized capital gains compared to proceeds of $31.7 million in the first quarter of 2004, which included $3.2 million in realized capital gains. The weighted average current price to trailing 12-months earnings ratio of the Exchange’s common stock portfolio was 19.37 and 27.51 at March 31, 2005 and 2004, respectively. The Standard &amp; Poors composite price to trailing 12-months earnings ratio was 18.32 and 24.55 at March 31, 2005 and 2004,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Other assets include securities lending of $57.8 million at March 31, 2005 compared to $1.4 million at December 31, 2004.</w:t>
      </w:r>
    </w:p>
    <w:p>
      <w:pPr>
        <w:spacing w:after="0" w:line="17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NOTES TO CONSOLIDATED FINANCIAL STATEMENTS (UNAUDITED)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NOTE 11 – VARIABLE INTEREST ENTITY (Continued)</w:t>
      </w:r>
    </w:p>
    <w:p>
      <w:pPr>
        <w:spacing w:after="0" w:line="171"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If the surplus of the Exchange were to decline significantly from its current level, the Property and Casualty Group could find it more difficult to retain its existing business and attract new business. A decline in the business of the Property and Casualty Group would have an adverse effect on the amount of the management fees the Company receives and the underwriting results of the Property and Casualty Group in which the Company has a 5.5% participation. In addition, a decline in the surplus of the Exchange from its current level would make it more likely that the management fee rate received by the Company would be reduced.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Statutory Statements of Cash Flows (Unaudited)</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160" w:type="dxa"/>
            <w:vAlign w:val="bottom"/>
            <w:gridSpan w:val="7"/>
          </w:tcPr>
          <w:p>
            <w:pPr>
              <w:jc w:val="right"/>
              <w:ind w:right="140"/>
              <w:spacing w:after="0"/>
              <w:rPr>
                <w:sz w:val="20"/>
                <w:szCs w:val="20"/>
                <w:color w:val="auto"/>
              </w:rPr>
            </w:pPr>
            <w:r>
              <w:rPr>
                <w:rFonts w:ascii="Arial" w:cs="Arial" w:eastAsia="Arial" w:hAnsi="Arial"/>
                <w:sz w:val="14"/>
                <w:szCs w:val="14"/>
                <w:color w:val="auto"/>
              </w:rPr>
              <w:t>Three Months Ended March 31</w:t>
            </w:r>
          </w:p>
        </w:tc>
        <w:tc>
          <w:tcPr>
            <w:tcW w:w="0" w:type="dxa"/>
            <w:vAlign w:val="bottom"/>
          </w:tcPr>
          <w:p>
            <w:pPr>
              <w:spacing w:after="0"/>
              <w:rPr>
                <w:sz w:val="1"/>
                <w:szCs w:val="1"/>
                <w:color w:val="auto"/>
              </w:rPr>
            </w:pPr>
          </w:p>
        </w:tc>
      </w:tr>
      <w:tr>
        <w:trPr>
          <w:trHeight w:val="157"/>
        </w:trPr>
        <w:tc>
          <w:tcPr>
            <w:tcW w:w="4960" w:type="dxa"/>
            <w:vAlign w:val="bottom"/>
            <w:gridSpan w:val="2"/>
          </w:tcPr>
          <w:p>
            <w:pPr>
              <w:spacing w:after="0" w:line="157" w:lineRule="exact"/>
              <w:rPr>
                <w:sz w:val="20"/>
                <w:szCs w:val="20"/>
                <w:color w:val="auto"/>
              </w:rPr>
            </w:pPr>
            <w:r>
              <w:rPr>
                <w:rFonts w:ascii="Arial" w:cs="Arial" w:eastAsia="Arial" w:hAnsi="Arial"/>
                <w:sz w:val="14"/>
                <w:szCs w:val="14"/>
                <w:color w:val="auto"/>
              </w:rPr>
              <w:t>(in thousands)</w:t>
            </w:r>
          </w:p>
        </w:tc>
        <w:tc>
          <w:tcPr>
            <w:tcW w:w="43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31"/>
              <w:spacing w:after="0" w:line="157" w:lineRule="exact"/>
              <w:rPr>
                <w:sz w:val="20"/>
                <w:szCs w:val="20"/>
                <w:color w:val="auto"/>
              </w:rPr>
            </w:pPr>
            <w:r>
              <w:rPr>
                <w:rFonts w:ascii="Arial" w:cs="Arial" w:eastAsia="Arial" w:hAnsi="Arial"/>
                <w:sz w:val="14"/>
                <w:szCs w:val="14"/>
                <w:color w:val="auto"/>
              </w:rPr>
              <w:t>2005</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52"/>
              <w:spacing w:after="0" w:line="157" w:lineRule="exact"/>
              <w:rPr>
                <w:sz w:val="20"/>
                <w:szCs w:val="20"/>
                <w:color w:val="auto"/>
              </w:rPr>
            </w:pPr>
            <w:r>
              <w:rPr>
                <w:rFonts w:ascii="Arial" w:cs="Arial" w:eastAsia="Arial" w:hAnsi="Arial"/>
                <w:sz w:val="14"/>
                <w:szCs w:val="14"/>
                <w:color w:val="auto"/>
              </w:rPr>
              <w:t>2004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4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spacing w:after="0" w:line="202" w:lineRule="exact"/>
              <w:rPr>
                <w:sz w:val="20"/>
                <w:szCs w:val="20"/>
                <w:color w:val="auto"/>
              </w:rPr>
            </w:pPr>
            <w:r>
              <w:rPr>
                <w:rFonts w:ascii="Arial" w:cs="Arial" w:eastAsia="Arial" w:hAnsi="Arial"/>
                <w:sz w:val="18"/>
                <w:szCs w:val="18"/>
                <w:color w:val="auto"/>
              </w:rPr>
              <w:t>Premiums collected net of reinsurance</w:t>
            </w:r>
          </w:p>
        </w:tc>
        <w:tc>
          <w:tcPr>
            <w:tcW w:w="4420" w:type="dxa"/>
            <w:vAlign w:val="bottom"/>
            <w:gridSpan w:val="2"/>
          </w:tcPr>
          <w:p>
            <w:pPr>
              <w:ind w:left="4300"/>
              <w:spacing w:after="0" w:line="202" w:lineRule="exact"/>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914,075</w:t>
            </w:r>
          </w:p>
        </w:tc>
        <w:tc>
          <w:tcPr>
            <w:tcW w:w="280" w:type="dxa"/>
            <w:vAlign w:val="bottom"/>
          </w:tcPr>
          <w:p>
            <w:pPr>
              <w:spacing w:after="0"/>
              <w:rPr>
                <w:sz w:val="17"/>
                <w:szCs w:val="17"/>
                <w:color w:val="auto"/>
              </w:rPr>
            </w:pPr>
          </w:p>
        </w:tc>
        <w:tc>
          <w:tcPr>
            <w:tcW w:w="320" w:type="dxa"/>
            <w:vAlign w:val="bottom"/>
            <w:gridSpan w:val="2"/>
          </w:tcPr>
          <w:p>
            <w:pPr>
              <w:ind w:left="200"/>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887,990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investment income received</w:t>
            </w:r>
          </w:p>
        </w:tc>
        <w:tc>
          <w:tcPr>
            <w:tcW w:w="4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80,612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62,109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spacing w:after="0" w:line="202" w:lineRule="exact"/>
              <w:rPr>
                <w:sz w:val="20"/>
                <w:szCs w:val="20"/>
                <w:color w:val="auto"/>
              </w:rPr>
            </w:pPr>
            <w:r>
              <w:rPr>
                <w:rFonts w:ascii="Arial" w:cs="Arial" w:eastAsia="Arial" w:hAnsi="Arial"/>
                <w:sz w:val="18"/>
                <w:szCs w:val="18"/>
                <w:color w:val="auto"/>
              </w:rPr>
              <w:t>Miscellaneous expense</w:t>
            </w:r>
          </w:p>
        </w:tc>
        <w:tc>
          <w:tcPr>
            <w:tcW w:w="4420" w:type="dxa"/>
            <w:vAlign w:val="bottom"/>
            <w:gridSpan w:val="2"/>
          </w:tcPr>
          <w:p>
            <w:pPr>
              <w:ind w:left="430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3,538)</w:t>
            </w:r>
          </w:p>
        </w:tc>
        <w:tc>
          <w:tcPr>
            <w:tcW w:w="3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2,901)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Losses and loss adjustment expenses paid</w:t>
            </w:r>
          </w:p>
        </w:tc>
        <w:tc>
          <w:tcPr>
            <w:tcW w:w="5360" w:type="dxa"/>
            <w:vAlign w:val="bottom"/>
            <w:gridSpan w:val="4"/>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( 490,296)</w:t>
            </w:r>
          </w:p>
        </w:tc>
        <w:tc>
          <w:tcPr>
            <w:tcW w:w="1100" w:type="dxa"/>
            <w:vAlign w:val="bottom"/>
            <w:gridSpan w:val="4"/>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( 531,654)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spacing w:after="0" w:line="202" w:lineRule="exact"/>
              <w:rPr>
                <w:sz w:val="20"/>
                <w:szCs w:val="20"/>
                <w:color w:val="auto"/>
              </w:rPr>
            </w:pPr>
            <w:r>
              <w:rPr>
                <w:rFonts w:ascii="Arial" w:cs="Arial" w:eastAsia="Arial" w:hAnsi="Arial"/>
                <w:sz w:val="18"/>
                <w:szCs w:val="18"/>
                <w:color w:val="auto"/>
              </w:rPr>
              <w:t>Management fee and expenses paid</w:t>
            </w:r>
          </w:p>
        </w:tc>
        <w:tc>
          <w:tcPr>
            <w:tcW w:w="5360" w:type="dxa"/>
            <w:vAlign w:val="bottom"/>
            <w:gridSpan w:val="4"/>
          </w:tcPr>
          <w:p>
            <w:pPr>
              <w:jc w:val="right"/>
              <w:ind w:right="220"/>
              <w:spacing w:after="0" w:line="202" w:lineRule="exact"/>
              <w:rPr>
                <w:sz w:val="20"/>
                <w:szCs w:val="20"/>
                <w:color w:val="auto"/>
              </w:rPr>
            </w:pPr>
            <w:r>
              <w:rPr>
                <w:rFonts w:ascii="Arial" w:cs="Arial" w:eastAsia="Arial" w:hAnsi="Arial"/>
                <w:sz w:val="18"/>
                <w:szCs w:val="18"/>
                <w:color w:val="auto"/>
              </w:rPr>
              <w:t>( 346,634)</w:t>
            </w:r>
          </w:p>
        </w:tc>
        <w:tc>
          <w:tcPr>
            <w:tcW w:w="110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( 341,582)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Dividends to policyholders</w:t>
            </w:r>
          </w:p>
        </w:tc>
        <w:tc>
          <w:tcPr>
            <w:tcW w:w="4420" w:type="dxa"/>
            <w:vAlign w:val="bottom"/>
            <w:gridSpan w:val="2"/>
            <w:shd w:val="clear" w:color="auto" w:fill="CCEEFF"/>
          </w:tcPr>
          <w:p>
            <w:pPr>
              <w:ind w:left="430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6,189)</w:t>
            </w:r>
          </w:p>
        </w:tc>
        <w:tc>
          <w:tcPr>
            <w:tcW w:w="3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4,379)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spacing w:after="0" w:line="202" w:lineRule="exact"/>
              <w:rPr>
                <w:sz w:val="20"/>
                <w:szCs w:val="20"/>
                <w:color w:val="auto"/>
              </w:rPr>
            </w:pPr>
            <w:r>
              <w:rPr>
                <w:rFonts w:ascii="Arial" w:cs="Arial" w:eastAsia="Arial" w:hAnsi="Arial"/>
                <w:sz w:val="18"/>
                <w:szCs w:val="18"/>
                <w:color w:val="auto"/>
              </w:rPr>
              <w:t>Income taxes paid</w:t>
            </w:r>
          </w:p>
        </w:tc>
        <w:tc>
          <w:tcPr>
            <w:tcW w:w="4420" w:type="dxa"/>
            <w:vAlign w:val="bottom"/>
            <w:gridSpan w:val="2"/>
          </w:tcPr>
          <w:p>
            <w:pPr>
              <w:ind w:left="430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32,013)</w:t>
            </w:r>
          </w:p>
        </w:tc>
        <w:tc>
          <w:tcPr>
            <w:tcW w:w="110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( 153,001)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cash provided by (used in) operating activities</w:t>
            </w:r>
          </w:p>
        </w:tc>
        <w:tc>
          <w:tcPr>
            <w:tcW w:w="4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8"/>
              </w:rPr>
              <w:t>116,017</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83,418)</w:t>
            </w:r>
          </w:p>
        </w:tc>
        <w:tc>
          <w:tcPr>
            <w:tcW w:w="0" w:type="dxa"/>
            <w:vAlign w:val="bottom"/>
          </w:tcPr>
          <w:p>
            <w:pPr>
              <w:spacing w:after="0"/>
              <w:rPr>
                <w:sz w:val="1"/>
                <w:szCs w:val="1"/>
                <w:color w:val="auto"/>
              </w:rPr>
            </w:pPr>
          </w:p>
        </w:tc>
      </w:tr>
      <w:tr>
        <w:trPr>
          <w:trHeight w:val="412"/>
        </w:trPr>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investment sales and maturities</w:t>
            </w:r>
          </w:p>
        </w:tc>
        <w:tc>
          <w:tcPr>
            <w:tcW w:w="4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712,868</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496,985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spacing w:after="0" w:line="202" w:lineRule="exact"/>
              <w:rPr>
                <w:sz w:val="20"/>
                <w:szCs w:val="20"/>
                <w:color w:val="auto"/>
              </w:rPr>
            </w:pPr>
            <w:r>
              <w:rPr>
                <w:rFonts w:ascii="Arial" w:cs="Arial" w:eastAsia="Arial" w:hAnsi="Arial"/>
                <w:sz w:val="18"/>
                <w:szCs w:val="18"/>
                <w:color w:val="auto"/>
              </w:rPr>
              <w:t>Purchases of investments</w:t>
            </w:r>
          </w:p>
        </w:tc>
        <w:tc>
          <w:tcPr>
            <w:tcW w:w="5360" w:type="dxa"/>
            <w:vAlign w:val="bottom"/>
            <w:gridSpan w:val="4"/>
          </w:tcPr>
          <w:p>
            <w:pPr>
              <w:jc w:val="right"/>
              <w:ind w:right="220"/>
              <w:spacing w:after="0" w:line="202" w:lineRule="exact"/>
              <w:rPr>
                <w:sz w:val="20"/>
                <w:szCs w:val="20"/>
                <w:color w:val="auto"/>
              </w:rPr>
            </w:pPr>
            <w:r>
              <w:rPr>
                <w:rFonts w:ascii="Arial" w:cs="Arial" w:eastAsia="Arial" w:hAnsi="Arial"/>
                <w:sz w:val="18"/>
                <w:szCs w:val="18"/>
                <w:color w:val="auto"/>
              </w:rPr>
              <w:t>( 818,492)</w:t>
            </w:r>
          </w:p>
        </w:tc>
        <w:tc>
          <w:tcPr>
            <w:tcW w:w="110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( 722,628)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cash used in investing activities</w:t>
            </w:r>
          </w:p>
        </w:tc>
        <w:tc>
          <w:tcPr>
            <w:tcW w:w="5360" w:type="dxa"/>
            <w:vAlign w:val="bottom"/>
            <w:gridSpan w:val="4"/>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( 105,624)</w:t>
            </w:r>
          </w:p>
        </w:tc>
        <w:tc>
          <w:tcPr>
            <w:tcW w:w="1100" w:type="dxa"/>
            <w:vAlign w:val="bottom"/>
            <w:gridSpan w:val="4"/>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( 225,643)</w:t>
            </w:r>
          </w:p>
        </w:tc>
        <w:tc>
          <w:tcPr>
            <w:tcW w:w="0" w:type="dxa"/>
            <w:vAlign w:val="bottom"/>
          </w:tcPr>
          <w:p>
            <w:pPr>
              <w:spacing w:after="0"/>
              <w:rPr>
                <w:sz w:val="1"/>
                <w:szCs w:val="1"/>
                <w:color w:val="auto"/>
              </w:rPr>
            </w:pPr>
          </w:p>
        </w:tc>
      </w:tr>
      <w:tr>
        <w:trPr>
          <w:trHeight w:val="20"/>
        </w:trPr>
        <w:tc>
          <w:tcPr>
            <w:tcW w:w="4960" w:type="dxa"/>
            <w:vAlign w:val="bottom"/>
            <w:gridSpan w:val="2"/>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4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25,631</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59,855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increase (decrease) in cash and cash equivalents</w:t>
            </w:r>
          </w:p>
        </w:tc>
        <w:tc>
          <w:tcPr>
            <w:tcW w:w="4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36,024</w:t>
            </w:r>
          </w:p>
        </w:tc>
        <w:tc>
          <w:tcPr>
            <w:tcW w:w="1100" w:type="dxa"/>
            <w:vAlign w:val="bottom"/>
            <w:gridSpan w:val="4"/>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( 249,206)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Pr>
          <w:p>
            <w:pPr>
              <w:spacing w:after="0" w:line="202" w:lineRule="exact"/>
              <w:rPr>
                <w:sz w:val="20"/>
                <w:szCs w:val="20"/>
                <w:color w:val="auto"/>
              </w:rPr>
            </w:pPr>
            <w:r>
              <w:rPr>
                <w:rFonts w:ascii="Arial" w:cs="Arial" w:eastAsia="Arial" w:hAnsi="Arial"/>
                <w:sz w:val="18"/>
                <w:szCs w:val="18"/>
                <w:color w:val="auto"/>
              </w:rPr>
              <w:t>Cash and cash equivalents at beginning of year</w:t>
            </w:r>
          </w:p>
        </w:tc>
        <w:tc>
          <w:tcPr>
            <w:tcW w:w="4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8"/>
              </w:rPr>
              <w:t>125,933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612,971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and cash equivalents at end of year</w:t>
            </w:r>
          </w:p>
        </w:tc>
        <w:tc>
          <w:tcPr>
            <w:tcW w:w="4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8"/>
              </w:rPr>
              <w:t>161,957</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363,765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300" w:type="dxa"/>
            <w:vAlign w:val="bottom"/>
            <w:vMerge w:val="restart"/>
          </w:tcPr>
          <w:p>
            <w:pPr>
              <w:ind w:left="660"/>
              <w:spacing w:after="0"/>
              <w:rPr>
                <w:sz w:val="20"/>
                <w:szCs w:val="20"/>
                <w:color w:val="auto"/>
              </w:rPr>
            </w:pPr>
            <w:r>
              <w:rPr>
                <w:rFonts w:ascii="Arial" w:cs="Arial" w:eastAsia="Arial" w:hAnsi="Arial"/>
                <w:sz w:val="18"/>
                <w:szCs w:val="18"/>
                <w:color w:val="auto"/>
              </w:rPr>
              <w:t>18</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43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40" w:type="dxa"/>
            <w:vAlign w:val="bottom"/>
            <w:tcBorders>
              <w:bottom w:val="single" w:sz="8" w:color="808080"/>
            </w:tcBorders>
          </w:tcPr>
          <w:p>
            <w:pPr>
              <w:spacing w:after="0"/>
              <w:rPr>
                <w:sz w:val="18"/>
                <w:szCs w:val="18"/>
                <w:color w:val="auto"/>
              </w:rPr>
            </w:pPr>
          </w:p>
        </w:tc>
        <w:tc>
          <w:tcPr>
            <w:tcW w:w="430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NOTES TO CONSOLIDATED FINANCIAL STATEMENTS (UNAUDITED)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NOTE 12 – SEGMENT INFORMATION</w:t>
      </w:r>
    </w:p>
    <w:p>
      <w:pPr>
        <w:spacing w:after="0" w:line="171" w:lineRule="exact"/>
        <w:rPr>
          <w:sz w:val="20"/>
          <w:szCs w:val="20"/>
          <w:color w:val="auto"/>
        </w:rPr>
      </w:pPr>
    </w:p>
    <w:p>
      <w:pPr>
        <w:ind w:right="340"/>
        <w:spacing w:after="0" w:line="236" w:lineRule="auto"/>
        <w:rPr>
          <w:sz w:val="20"/>
          <w:szCs w:val="20"/>
          <w:color w:val="auto"/>
        </w:rPr>
      </w:pPr>
      <w:r>
        <w:rPr>
          <w:rFonts w:ascii="Arial" w:cs="Arial" w:eastAsia="Arial" w:hAnsi="Arial"/>
          <w:sz w:val="18"/>
          <w:szCs w:val="18"/>
          <w:color w:val="auto"/>
        </w:rPr>
        <w:t>The Company operates its business as three reportable segments - management operations, insurance underwriting operations and investment operations. Accounting policies for segments are the same as those described in the summary of significant accounting policies Note 3 of the Company’s Annual Report on Form 10-K for the year ended December 31, 2004 as filed with the Securities and Exchange Commission on February 24, 2005, with the exception of the management fee revenues received from the property/casualty insurance subsidiaries. These revenues are not eliminated in the segment detail that follows as management bases its decisions on the segment presentation. Assets are not allocated to the segments and are reviewed in total by management for purposes of decision making. The Company receives management fees from the Exchange, which accounted for 73% of total management fee revenue; however, no single customer or agent provides 10% or more of revenues for the Property and Casualty Group. The Property and Casualty Group includes the Exchange and its property and casualty insurance subsidiary, Flagship City Insurance Company, and the Company’s three property and casualty insurance subsidiaries, EIC, EINY and EIPC.</w:t>
      </w:r>
    </w:p>
    <w:p>
      <w:pPr>
        <w:spacing w:after="0" w:line="166"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Company’s principal operations consist of serving as attorney-in-fact for the Exchange, which constitute its management operations. The Company operates in this capacity solely for the Exchange. The Company’s insurance underwriting operations arise through direct business of its property/casualty insurance subsidiaries and by virtue of the pooling agreement between its subsidiaries and the Exchange, which includes assumed reinsurance from non-affiliated domestic and foreign sources. (The Exchange exited the voluntary assumed reinsurance business effective December 31, 2003.) Insurance underwriting operations reflect the results of reinsurance ceded under an excess-of-loss agreement with the Exchange.</w:t>
      </w:r>
    </w:p>
    <w:p>
      <w:pPr>
        <w:spacing w:after="0" w:line="17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Insurance underwriting operations consist of personal and commercial lines of business sold exclusively by independent agents. Commercial lines are predominately marketed to small and medium-sized businesses. The performance of the personal and commercial lines is evaluated based upon the underwriting results as determined under statutory accounting practices (SAP) for the total pooled business of the Property and Casualty Group.</w:t>
      </w:r>
    </w:p>
    <w:p>
      <w:pPr>
        <w:spacing w:after="0" w:line="161"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Company management evaluates profitability of its management operations segment principally on the gross margin from management operations, while profitability of the insurance underwriting operations segment is evaluated principally based on the combined ratio. Investment operations performance is evaluated by Company management based on appreciation of assets, rate of return and overall return. These items are analyzed in the Management’s Discussion and Analysis that follows.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NOTES TO CONSOLIDATED FINANCIAL STATEMENTS (UNAUDITED)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NOTE 12 – SEGMENT INFORMATION (Continued)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Summarized financial information for the Company’s operating segments is presented below:</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560" w:type="dxa"/>
            <w:vAlign w:val="bottom"/>
            <w:gridSpan w:val="3"/>
          </w:tcPr>
          <w:p>
            <w:pPr>
              <w:jc w:val="right"/>
              <w:ind w:right="220"/>
              <w:spacing w:after="0"/>
              <w:rPr>
                <w:sz w:val="20"/>
                <w:szCs w:val="20"/>
                <w:color w:val="auto"/>
              </w:rPr>
            </w:pPr>
            <w:r>
              <w:rPr>
                <w:rFonts w:ascii="Arial" w:cs="Arial" w:eastAsia="Arial" w:hAnsi="Arial"/>
                <w:sz w:val="14"/>
                <w:szCs w:val="14"/>
                <w:color w:val="auto"/>
              </w:rPr>
              <w:t>Three Months Ended</w:t>
            </w:r>
          </w:p>
        </w:tc>
        <w:tc>
          <w:tcPr>
            <w:tcW w:w="1620" w:type="dxa"/>
            <w:vAlign w:val="bottom"/>
            <w:gridSpan w:val="4"/>
          </w:tcPr>
          <w:p>
            <w:pPr>
              <w:ind w:left="18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57"/>
        </w:trPr>
        <w:tc>
          <w:tcPr>
            <w:tcW w:w="5100" w:type="dxa"/>
            <w:vAlign w:val="bottom"/>
            <w:gridSpan w:val="2"/>
          </w:tcPr>
          <w:p>
            <w:pPr>
              <w:spacing w:after="0" w:line="157" w:lineRule="exact"/>
              <w:rPr>
                <w:sz w:val="20"/>
                <w:szCs w:val="20"/>
                <w:color w:val="auto"/>
              </w:rPr>
            </w:pPr>
            <w:r>
              <w:rPr>
                <w:rFonts w:ascii="Arial" w:cs="Arial" w:eastAsia="Arial" w:hAnsi="Arial"/>
                <w:sz w:val="14"/>
                <w:szCs w:val="14"/>
                <w:color w:val="auto"/>
              </w:rPr>
              <w:t>(in thousands)</w:t>
            </w:r>
          </w:p>
        </w:tc>
        <w:tc>
          <w:tcPr>
            <w:tcW w:w="3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right"/>
              <w:ind w:right="400"/>
              <w:spacing w:after="0" w:line="157" w:lineRule="exact"/>
              <w:rPr>
                <w:sz w:val="20"/>
                <w:szCs w:val="20"/>
                <w:color w:val="auto"/>
              </w:rPr>
            </w:pPr>
            <w:r>
              <w:rPr>
                <w:rFonts w:ascii="Arial" w:cs="Arial" w:eastAsia="Arial" w:hAnsi="Arial"/>
                <w:sz w:val="14"/>
                <w:szCs w:val="14"/>
                <w:color w:val="auto"/>
              </w:rPr>
              <w:t>March 31, 2005</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right"/>
              <w:ind w:right="280"/>
              <w:spacing w:after="0" w:line="157" w:lineRule="exact"/>
              <w:rPr>
                <w:sz w:val="20"/>
                <w:szCs w:val="20"/>
                <w:color w:val="auto"/>
              </w:rPr>
            </w:pPr>
            <w:r>
              <w:rPr>
                <w:rFonts w:ascii="Arial" w:cs="Arial" w:eastAsia="Arial" w:hAnsi="Arial"/>
                <w:sz w:val="14"/>
                <w:szCs w:val="14"/>
                <w:color w:val="auto"/>
              </w:rPr>
              <w:t>March 31, 2004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Management Operations</w:t>
            </w:r>
          </w:p>
        </w:tc>
        <w:tc>
          <w:tcPr>
            <w:tcW w:w="31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tcPr>
          <w:p>
            <w:pPr>
              <w:spacing w:after="0" w:line="202" w:lineRule="exact"/>
              <w:rPr>
                <w:sz w:val="20"/>
                <w:szCs w:val="20"/>
                <w:color w:val="auto"/>
              </w:rPr>
            </w:pPr>
            <w:r>
              <w:rPr>
                <w:rFonts w:ascii="Arial" w:cs="Arial" w:eastAsia="Arial" w:hAnsi="Arial"/>
                <w:sz w:val="18"/>
                <w:szCs w:val="18"/>
                <w:i w:val="1"/>
                <w:iCs w:val="1"/>
                <w:color w:val="auto"/>
              </w:rPr>
              <w:t>Operating revenue</w:t>
            </w:r>
          </w:p>
        </w:tc>
        <w:tc>
          <w:tcPr>
            <w:tcW w:w="3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Management fee revenue</w:t>
            </w:r>
          </w:p>
        </w:tc>
        <w:tc>
          <w:tcPr>
            <w:tcW w:w="3260" w:type="dxa"/>
            <w:vAlign w:val="bottom"/>
            <w:gridSpan w:val="2"/>
            <w:shd w:val="clear" w:color="auto" w:fill="CCEEFF"/>
          </w:tcPr>
          <w:p>
            <w:pPr>
              <w:ind w:left="3140"/>
              <w:spacing w:after="0" w:line="202" w:lineRule="exact"/>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230,409</w:t>
            </w:r>
          </w:p>
        </w:tc>
        <w:tc>
          <w:tcPr>
            <w:tcW w:w="34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221,867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tcPr>
          <w:p>
            <w:pPr>
              <w:ind w:left="200"/>
              <w:spacing w:after="0" w:line="202" w:lineRule="exact"/>
              <w:rPr>
                <w:sz w:val="20"/>
                <w:szCs w:val="20"/>
                <w:color w:val="auto"/>
              </w:rPr>
            </w:pPr>
            <w:r>
              <w:rPr>
                <w:rFonts w:ascii="Arial" w:cs="Arial" w:eastAsia="Arial" w:hAnsi="Arial"/>
                <w:sz w:val="18"/>
                <w:szCs w:val="18"/>
                <w:color w:val="auto"/>
              </w:rPr>
              <w:t>Service agreement revenue</w:t>
            </w:r>
          </w:p>
        </w:tc>
        <w:tc>
          <w:tcPr>
            <w:tcW w:w="3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4,787</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5,598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Total operating revenue</w:t>
            </w:r>
          </w:p>
        </w:tc>
        <w:tc>
          <w:tcPr>
            <w:tcW w:w="3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235,196</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227,465</w:t>
            </w:r>
          </w:p>
        </w:tc>
        <w:tc>
          <w:tcPr>
            <w:tcW w:w="0" w:type="dxa"/>
            <w:vAlign w:val="bottom"/>
          </w:tcPr>
          <w:p>
            <w:pPr>
              <w:spacing w:after="0"/>
              <w:rPr>
                <w:sz w:val="1"/>
                <w:szCs w:val="1"/>
                <w:color w:val="auto"/>
              </w:rPr>
            </w:pPr>
          </w:p>
        </w:tc>
      </w:tr>
      <w:tr>
        <w:trPr>
          <w:trHeight w:val="405"/>
        </w:trPr>
        <w:tc>
          <w:tcPr>
            <w:tcW w:w="5100" w:type="dxa"/>
            <w:vAlign w:val="bottom"/>
            <w:gridSpan w:val="2"/>
          </w:tcPr>
          <w:p>
            <w:pPr>
              <w:spacing w:after="0"/>
              <w:rPr>
                <w:sz w:val="20"/>
                <w:szCs w:val="20"/>
                <w:color w:val="auto"/>
              </w:rPr>
            </w:pPr>
            <w:r>
              <w:rPr>
                <w:rFonts w:ascii="Arial" w:cs="Arial" w:eastAsia="Arial" w:hAnsi="Arial"/>
                <w:sz w:val="18"/>
                <w:szCs w:val="18"/>
                <w:color w:val="auto"/>
              </w:rPr>
              <w:t>Cost of management operations</w:t>
            </w:r>
          </w:p>
        </w:tc>
        <w:tc>
          <w:tcPr>
            <w:tcW w:w="3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177,714</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171,239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before income taxes</w:t>
            </w:r>
          </w:p>
        </w:tc>
        <w:tc>
          <w:tcPr>
            <w:tcW w:w="3260" w:type="dxa"/>
            <w:vAlign w:val="bottom"/>
            <w:gridSpan w:val="2"/>
            <w:shd w:val="clear" w:color="auto" w:fill="CCEEFF"/>
          </w:tcPr>
          <w:p>
            <w:pPr>
              <w:ind w:left="3140"/>
              <w:spacing w:after="0" w:line="202" w:lineRule="exact"/>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57,482</w:t>
            </w:r>
          </w:p>
        </w:tc>
        <w:tc>
          <w:tcPr>
            <w:tcW w:w="34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56,226</w:t>
            </w:r>
          </w:p>
        </w:tc>
        <w:tc>
          <w:tcPr>
            <w:tcW w:w="0" w:type="dxa"/>
            <w:vAlign w:val="bottom"/>
          </w:tcPr>
          <w:p>
            <w:pPr>
              <w:spacing w:after="0"/>
              <w:rPr>
                <w:sz w:val="1"/>
                <w:szCs w:val="1"/>
                <w:color w:val="auto"/>
              </w:rPr>
            </w:pPr>
          </w:p>
        </w:tc>
      </w:tr>
      <w:tr>
        <w:trPr>
          <w:trHeight w:val="20"/>
        </w:trPr>
        <w:tc>
          <w:tcPr>
            <w:tcW w:w="5100" w:type="dxa"/>
            <w:vAlign w:val="bottom"/>
            <w:gridSpan w:val="2"/>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00" w:type="dxa"/>
            <w:vAlign w:val="bottom"/>
            <w:gridSpan w:val="2"/>
          </w:tcPr>
          <w:p>
            <w:pPr>
              <w:spacing w:after="0" w:line="196" w:lineRule="exact"/>
              <w:rPr>
                <w:sz w:val="20"/>
                <w:szCs w:val="20"/>
                <w:color w:val="auto"/>
              </w:rPr>
            </w:pPr>
            <w:r>
              <w:rPr>
                <w:rFonts w:ascii="Arial" w:cs="Arial" w:eastAsia="Arial" w:hAnsi="Arial"/>
                <w:sz w:val="18"/>
                <w:szCs w:val="18"/>
                <w:color w:val="auto"/>
              </w:rPr>
              <w:t>Net income from management operations</w:t>
            </w:r>
          </w:p>
        </w:tc>
        <w:tc>
          <w:tcPr>
            <w:tcW w:w="3260" w:type="dxa"/>
            <w:vAlign w:val="bottom"/>
            <w:gridSpan w:val="2"/>
          </w:tcPr>
          <w:p>
            <w:pPr>
              <w:ind w:left="3140"/>
              <w:spacing w:after="0" w:line="196" w:lineRule="exact"/>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38,232</w:t>
            </w:r>
          </w:p>
        </w:tc>
        <w:tc>
          <w:tcPr>
            <w:tcW w:w="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37,326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0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Insurance Underwriting Operations</w:t>
            </w:r>
          </w:p>
        </w:tc>
        <w:tc>
          <w:tcPr>
            <w:tcW w:w="3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tcPr>
          <w:p>
            <w:pPr>
              <w:spacing w:after="0" w:line="202" w:lineRule="exact"/>
              <w:rPr>
                <w:sz w:val="20"/>
                <w:szCs w:val="20"/>
                <w:color w:val="auto"/>
              </w:rPr>
            </w:pPr>
            <w:r>
              <w:rPr>
                <w:rFonts w:ascii="Arial" w:cs="Arial" w:eastAsia="Arial" w:hAnsi="Arial"/>
                <w:sz w:val="18"/>
                <w:szCs w:val="18"/>
                <w:i w:val="1"/>
                <w:iCs w:val="1"/>
                <w:color w:val="auto"/>
              </w:rPr>
              <w:t>Operating revenue</w:t>
            </w:r>
          </w:p>
        </w:tc>
        <w:tc>
          <w:tcPr>
            <w:tcW w:w="3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Premiums earned:</w:t>
            </w:r>
          </w:p>
        </w:tc>
        <w:tc>
          <w:tcPr>
            <w:tcW w:w="3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tcPr>
          <w:p>
            <w:pPr>
              <w:ind w:left="400"/>
              <w:spacing w:after="0" w:line="202" w:lineRule="exact"/>
              <w:rPr>
                <w:sz w:val="20"/>
                <w:szCs w:val="20"/>
                <w:color w:val="auto"/>
              </w:rPr>
            </w:pPr>
            <w:r>
              <w:rPr>
                <w:rFonts w:ascii="Arial" w:cs="Arial" w:eastAsia="Arial" w:hAnsi="Arial"/>
                <w:sz w:val="18"/>
                <w:szCs w:val="18"/>
                <w:color w:val="auto"/>
              </w:rPr>
              <w:t>Personal lines</w:t>
            </w:r>
          </w:p>
        </w:tc>
        <w:tc>
          <w:tcPr>
            <w:tcW w:w="3260" w:type="dxa"/>
            <w:vAlign w:val="bottom"/>
            <w:gridSpan w:val="2"/>
          </w:tcPr>
          <w:p>
            <w:pPr>
              <w:ind w:left="3140"/>
              <w:spacing w:after="0" w:line="202" w:lineRule="exact"/>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38,214</w:t>
            </w:r>
          </w:p>
        </w:tc>
        <w:tc>
          <w:tcPr>
            <w:tcW w:w="3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35,438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Commercial lines</w:t>
            </w:r>
          </w:p>
        </w:tc>
        <w:tc>
          <w:tcPr>
            <w:tcW w:w="3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16,557</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15,300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tcPr>
          <w:p>
            <w:pPr>
              <w:ind w:left="400"/>
              <w:spacing w:after="0" w:line="202" w:lineRule="exact"/>
              <w:rPr>
                <w:sz w:val="20"/>
                <w:szCs w:val="20"/>
                <w:color w:val="auto"/>
              </w:rPr>
            </w:pPr>
            <w:r>
              <w:rPr>
                <w:rFonts w:ascii="Arial" w:cs="Arial" w:eastAsia="Arial" w:hAnsi="Arial"/>
                <w:sz w:val="18"/>
                <w:szCs w:val="18"/>
                <w:color w:val="auto"/>
              </w:rPr>
              <w:t>Reinsurance – nonaffiliates</w:t>
            </w:r>
          </w:p>
        </w:tc>
        <w:tc>
          <w:tcPr>
            <w:tcW w:w="3260" w:type="dxa"/>
            <w:vAlign w:val="bottom"/>
            <w:gridSpan w:val="2"/>
          </w:tcPr>
          <w:p>
            <w:pPr>
              <w:ind w:left="3140"/>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279)</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Reinsurance – affiliates</w:t>
            </w:r>
          </w:p>
        </w:tc>
        <w:tc>
          <w:tcPr>
            <w:tcW w:w="3260" w:type="dxa"/>
            <w:vAlign w:val="bottom"/>
            <w:gridSpan w:val="2"/>
            <w:shd w:val="clear" w:color="auto" w:fill="CCEEFF"/>
          </w:tcPr>
          <w:p>
            <w:pPr>
              <w:ind w:left="3140"/>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844)</w:t>
            </w:r>
          </w:p>
        </w:tc>
        <w:tc>
          <w:tcPr>
            <w:tcW w:w="34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Pr>
          <w:p>
            <w:pPr>
              <w:ind w:left="600"/>
              <w:spacing w:after="0"/>
              <w:rPr>
                <w:sz w:val="20"/>
                <w:szCs w:val="20"/>
                <w:color w:val="auto"/>
              </w:rPr>
            </w:pPr>
            <w:r>
              <w:rPr>
                <w:rFonts w:ascii="Arial" w:cs="Arial" w:eastAsia="Arial" w:hAnsi="Arial"/>
                <w:sz w:val="18"/>
                <w:szCs w:val="18"/>
                <w:color w:val="auto"/>
              </w:rPr>
              <w:t>Total premiums earned</w:t>
            </w: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53,648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50,649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Operating expenses</w:t>
            </w:r>
          </w:p>
        </w:tc>
        <w:tc>
          <w:tcPr>
            <w:tcW w:w="3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tcPr>
          <w:p>
            <w:pPr>
              <w:ind w:left="200"/>
              <w:spacing w:after="0" w:line="202" w:lineRule="exact"/>
              <w:rPr>
                <w:sz w:val="20"/>
                <w:szCs w:val="20"/>
                <w:color w:val="auto"/>
              </w:rPr>
            </w:pPr>
            <w:r>
              <w:rPr>
                <w:rFonts w:ascii="Arial" w:cs="Arial" w:eastAsia="Arial" w:hAnsi="Arial"/>
                <w:sz w:val="18"/>
                <w:szCs w:val="18"/>
                <w:color w:val="auto"/>
              </w:rPr>
              <w:t>Losses and expenses:</w:t>
            </w:r>
          </w:p>
        </w:tc>
        <w:tc>
          <w:tcPr>
            <w:tcW w:w="3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Personal lines</w:t>
            </w:r>
          </w:p>
        </w:tc>
        <w:tc>
          <w:tcPr>
            <w:tcW w:w="3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33,541</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35,710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tcPr>
          <w:p>
            <w:pPr>
              <w:ind w:left="400"/>
              <w:spacing w:after="0" w:line="202" w:lineRule="exact"/>
              <w:rPr>
                <w:sz w:val="20"/>
                <w:szCs w:val="20"/>
                <w:color w:val="auto"/>
              </w:rPr>
            </w:pPr>
            <w:r>
              <w:rPr>
                <w:rFonts w:ascii="Arial" w:cs="Arial" w:eastAsia="Arial" w:hAnsi="Arial"/>
                <w:sz w:val="18"/>
                <w:szCs w:val="18"/>
                <w:color w:val="auto"/>
              </w:rPr>
              <w:t>Commercial lines</w:t>
            </w:r>
          </w:p>
        </w:tc>
        <w:tc>
          <w:tcPr>
            <w:tcW w:w="3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12,966</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14,864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Reinsurance – nonaffiliates</w:t>
            </w:r>
          </w:p>
        </w:tc>
        <w:tc>
          <w:tcPr>
            <w:tcW w:w="3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572</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tcPr>
          <w:p>
            <w:pPr>
              <w:ind w:left="400"/>
              <w:spacing w:after="0" w:line="202" w:lineRule="exact"/>
              <w:rPr>
                <w:sz w:val="20"/>
                <w:szCs w:val="20"/>
                <w:color w:val="auto"/>
              </w:rPr>
            </w:pPr>
            <w:r>
              <w:rPr>
                <w:rFonts w:ascii="Arial" w:cs="Arial" w:eastAsia="Arial" w:hAnsi="Arial"/>
                <w:sz w:val="18"/>
                <w:szCs w:val="18"/>
                <w:color w:val="auto"/>
              </w:rPr>
              <w:t>Reinsurance – affiliates</w:t>
            </w:r>
          </w:p>
        </w:tc>
        <w:tc>
          <w:tcPr>
            <w:tcW w:w="3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340</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Total losses and expenses</w:t>
            </w:r>
          </w:p>
        </w:tc>
        <w:tc>
          <w:tcPr>
            <w:tcW w:w="3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47,419</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52,140</w:t>
            </w:r>
          </w:p>
        </w:tc>
        <w:tc>
          <w:tcPr>
            <w:tcW w:w="0" w:type="dxa"/>
            <w:vAlign w:val="bottom"/>
          </w:tcPr>
          <w:p>
            <w:pPr>
              <w:spacing w:after="0"/>
              <w:rPr>
                <w:sz w:val="1"/>
                <w:szCs w:val="1"/>
                <w:color w:val="auto"/>
              </w:rPr>
            </w:pPr>
          </w:p>
        </w:tc>
      </w:tr>
      <w:tr>
        <w:trPr>
          <w:trHeight w:val="20"/>
        </w:trPr>
        <w:tc>
          <w:tcPr>
            <w:tcW w:w="5100" w:type="dxa"/>
            <w:vAlign w:val="bottom"/>
            <w:gridSpan w:val="2"/>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0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3260" w:type="dxa"/>
            <w:vAlign w:val="bottom"/>
            <w:gridSpan w:val="2"/>
          </w:tcPr>
          <w:p>
            <w:pPr>
              <w:ind w:left="314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6,229</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w w:val="87"/>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1,491)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(loss) from insurance underwriting operations</w:t>
            </w:r>
          </w:p>
        </w:tc>
        <w:tc>
          <w:tcPr>
            <w:tcW w:w="3260" w:type="dxa"/>
            <w:vAlign w:val="bottom"/>
            <w:gridSpan w:val="2"/>
            <w:shd w:val="clear" w:color="auto" w:fill="CCEEFF"/>
          </w:tcPr>
          <w:p>
            <w:pPr>
              <w:ind w:left="3140"/>
              <w:spacing w:after="0" w:line="196" w:lineRule="exact"/>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4,143</w:t>
            </w:r>
          </w:p>
        </w:tc>
        <w:tc>
          <w:tcPr>
            <w:tcW w:w="340" w:type="dxa"/>
            <w:vAlign w:val="bottom"/>
            <w:gridSpan w:val="2"/>
            <w:shd w:val="clear" w:color="auto" w:fill="CCEEFF"/>
          </w:tcPr>
          <w:p>
            <w:pPr>
              <w:ind w:left="180"/>
              <w:spacing w:after="0" w:line="196" w:lineRule="exact"/>
              <w:rPr>
                <w:sz w:val="20"/>
                <w:szCs w:val="20"/>
                <w:color w:val="auto"/>
              </w:rPr>
            </w:pPr>
            <w:r>
              <w:rPr>
                <w:rFonts w:ascii="Arial" w:cs="Arial" w:eastAsia="Arial" w:hAnsi="Arial"/>
                <w:sz w:val="18"/>
                <w:szCs w:val="18"/>
                <w:color w:val="auto"/>
                <w:w w:val="87"/>
              </w:rPr>
              <w:t>($</w:t>
            </w:r>
          </w:p>
        </w:tc>
        <w:tc>
          <w:tcPr>
            <w:tcW w:w="128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Investment Operations</w:t>
            </w:r>
          </w:p>
        </w:tc>
        <w:tc>
          <w:tcPr>
            <w:tcW w:w="3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100" w:type="dxa"/>
            <w:vAlign w:val="bottom"/>
            <w:gridSpan w:val="2"/>
            <w:vMerge w:val="continue"/>
          </w:tcPr>
          <w:p>
            <w:pPr>
              <w:spacing w:after="0"/>
              <w:rPr>
                <w:sz w:val="24"/>
                <w:szCs w:val="24"/>
                <w:color w:val="auto"/>
              </w:rPr>
            </w:pPr>
          </w:p>
        </w:tc>
        <w:tc>
          <w:tcPr>
            <w:tcW w:w="3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Investment income, net of expenses</w:t>
            </w:r>
          </w:p>
        </w:tc>
        <w:tc>
          <w:tcPr>
            <w:tcW w:w="3260" w:type="dxa"/>
            <w:vAlign w:val="bottom"/>
            <w:gridSpan w:val="2"/>
            <w:shd w:val="clear" w:color="auto" w:fill="CCEEFF"/>
          </w:tcPr>
          <w:p>
            <w:pPr>
              <w:ind w:left="3140"/>
              <w:spacing w:after="0" w:line="202" w:lineRule="exact"/>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14,468</w:t>
            </w:r>
          </w:p>
        </w:tc>
        <w:tc>
          <w:tcPr>
            <w:tcW w:w="34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14,686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tcPr>
          <w:p>
            <w:pPr>
              <w:spacing w:after="0" w:line="202" w:lineRule="exact"/>
              <w:rPr>
                <w:sz w:val="20"/>
                <w:szCs w:val="20"/>
                <w:color w:val="auto"/>
              </w:rPr>
            </w:pPr>
            <w:r>
              <w:rPr>
                <w:rFonts w:ascii="Arial" w:cs="Arial" w:eastAsia="Arial" w:hAnsi="Arial"/>
                <w:sz w:val="18"/>
                <w:szCs w:val="18"/>
                <w:color w:val="auto"/>
              </w:rPr>
              <w:t>Net realized gains on investments</w:t>
            </w:r>
          </w:p>
        </w:tc>
        <w:tc>
          <w:tcPr>
            <w:tcW w:w="3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5,497</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2,853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 in earnings of limited partnerships</w:t>
            </w:r>
          </w:p>
        </w:tc>
        <w:tc>
          <w:tcPr>
            <w:tcW w:w="3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2,111</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0"/>
        </w:trPr>
        <w:tc>
          <w:tcPr>
            <w:tcW w:w="5100" w:type="dxa"/>
            <w:vAlign w:val="bottom"/>
            <w:gridSpan w:val="2"/>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00" w:type="dxa"/>
            <w:vAlign w:val="bottom"/>
            <w:gridSpan w:val="2"/>
          </w:tcPr>
          <w:p>
            <w:pPr>
              <w:spacing w:after="0"/>
              <w:rPr>
                <w:sz w:val="20"/>
                <w:szCs w:val="20"/>
                <w:color w:val="auto"/>
              </w:rPr>
            </w:pPr>
            <w:r>
              <w:rPr>
                <w:rFonts w:ascii="Arial" w:cs="Arial" w:eastAsia="Arial" w:hAnsi="Arial"/>
                <w:sz w:val="18"/>
                <w:szCs w:val="18"/>
                <w:color w:val="auto"/>
              </w:rPr>
              <w:t>Total investment income-unaffiliated</w:t>
            </w:r>
          </w:p>
        </w:tc>
        <w:tc>
          <w:tcPr>
            <w:tcW w:w="3260" w:type="dxa"/>
            <w:vAlign w:val="bottom"/>
            <w:gridSpan w:val="2"/>
          </w:tcPr>
          <w:p>
            <w:pPr>
              <w:ind w:left="314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22,076</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17,957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from investment operations</w:t>
            </w:r>
          </w:p>
        </w:tc>
        <w:tc>
          <w:tcPr>
            <w:tcW w:w="3260" w:type="dxa"/>
            <w:vAlign w:val="bottom"/>
            <w:gridSpan w:val="2"/>
            <w:shd w:val="clear" w:color="auto" w:fill="CCEEFF"/>
          </w:tcPr>
          <w:p>
            <w:pPr>
              <w:ind w:left="3140"/>
              <w:spacing w:after="0" w:line="196" w:lineRule="exact"/>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14,682</w:t>
            </w:r>
          </w:p>
        </w:tc>
        <w:tc>
          <w:tcPr>
            <w:tcW w:w="340" w:type="dxa"/>
            <w:vAlign w:val="bottom"/>
            <w:gridSpan w:val="2"/>
            <w:shd w:val="clear" w:color="auto" w:fill="CCEEFF"/>
          </w:tcPr>
          <w:p>
            <w:pPr>
              <w:ind w:left="180"/>
              <w:spacing w:after="0" w:line="196"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11,921</w:t>
            </w:r>
          </w:p>
        </w:tc>
        <w:tc>
          <w:tcPr>
            <w:tcW w:w="0" w:type="dxa"/>
            <w:vAlign w:val="bottom"/>
          </w:tcPr>
          <w:p>
            <w:pPr>
              <w:spacing w:after="0"/>
              <w:rPr>
                <w:sz w:val="1"/>
                <w:szCs w:val="1"/>
                <w:color w:val="auto"/>
              </w:rPr>
            </w:pPr>
          </w:p>
        </w:tc>
      </w:tr>
      <w:tr>
        <w:trPr>
          <w:trHeight w:val="20"/>
        </w:trPr>
        <w:tc>
          <w:tcPr>
            <w:tcW w:w="5100" w:type="dxa"/>
            <w:vAlign w:val="bottom"/>
            <w:gridSpan w:val="2"/>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00" w:type="dxa"/>
            <w:vAlign w:val="bottom"/>
            <w:gridSpan w:val="2"/>
          </w:tcPr>
          <w:p>
            <w:pPr>
              <w:spacing w:after="0" w:line="196" w:lineRule="exact"/>
              <w:rPr>
                <w:sz w:val="20"/>
                <w:szCs w:val="20"/>
                <w:color w:val="auto"/>
              </w:rPr>
            </w:pPr>
            <w:r>
              <w:rPr>
                <w:rFonts w:ascii="Arial" w:cs="Arial" w:eastAsia="Arial" w:hAnsi="Arial"/>
                <w:sz w:val="18"/>
                <w:szCs w:val="18"/>
                <w:color w:val="auto"/>
              </w:rPr>
              <w:t>Equity in earnings of EFL, net of tax</w:t>
            </w:r>
          </w:p>
        </w:tc>
        <w:tc>
          <w:tcPr>
            <w:tcW w:w="3260" w:type="dxa"/>
            <w:vAlign w:val="bottom"/>
            <w:gridSpan w:val="2"/>
          </w:tcPr>
          <w:p>
            <w:pPr>
              <w:ind w:left="3140"/>
              <w:spacing w:after="0" w:line="196" w:lineRule="exact"/>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714</w:t>
            </w:r>
          </w:p>
        </w:tc>
        <w:tc>
          <w:tcPr>
            <w:tcW w:w="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1,315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140" w:type="dxa"/>
            <w:vAlign w:val="bottom"/>
            <w:vMerge w:val="restart"/>
          </w:tcPr>
          <w:p>
            <w:pPr>
              <w:ind w:left="520"/>
              <w:spacing w:after="0"/>
              <w:rPr>
                <w:sz w:val="20"/>
                <w:szCs w:val="20"/>
                <w:color w:val="auto"/>
              </w:rPr>
            </w:pPr>
            <w:r>
              <w:rPr>
                <w:rFonts w:ascii="Arial" w:cs="Arial" w:eastAsia="Arial" w:hAnsi="Arial"/>
                <w:sz w:val="18"/>
                <w:szCs w:val="18"/>
                <w:color w:val="auto"/>
              </w:rPr>
              <w:t>20</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31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80" w:type="dxa"/>
            <w:vAlign w:val="bottom"/>
            <w:tcBorders>
              <w:bottom w:val="single" w:sz="8" w:color="808080"/>
            </w:tcBorders>
          </w:tcPr>
          <w:p>
            <w:pPr>
              <w:spacing w:after="0"/>
              <w:rPr>
                <w:sz w:val="18"/>
                <w:szCs w:val="18"/>
                <w:color w:val="auto"/>
              </w:rPr>
            </w:pPr>
          </w:p>
        </w:tc>
        <w:tc>
          <w:tcPr>
            <w:tcW w:w="314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20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1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NOTES TO CONSOLIDATED FINANCIAL STATEMENTS (UNAUDITED)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NOTE 12 – SEGMENT INFORMATION (Continued)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of reportable segment revenues and operating expenses to the Consolidated Statements of Operations:</w:t>
      </w:r>
    </w:p>
    <w:p>
      <w:pPr>
        <w:spacing w:after="0" w:line="379"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20" w:type="dxa"/>
            <w:vAlign w:val="bottom"/>
            <w:gridSpan w:val="7"/>
          </w:tcPr>
          <w:p>
            <w:pPr>
              <w:jc w:val="right"/>
              <w:ind w:right="120"/>
              <w:spacing w:after="0"/>
              <w:rPr>
                <w:sz w:val="20"/>
                <w:szCs w:val="20"/>
                <w:color w:val="auto"/>
              </w:rPr>
            </w:pPr>
            <w:r>
              <w:rPr>
                <w:rFonts w:ascii="Arial" w:cs="Arial" w:eastAsia="Arial" w:hAnsi="Arial"/>
                <w:sz w:val="14"/>
                <w:szCs w:val="14"/>
                <w:color w:val="auto"/>
              </w:rPr>
              <w:t>Three months ended March 31</w:t>
            </w:r>
          </w:p>
        </w:tc>
        <w:tc>
          <w:tcPr>
            <w:tcW w:w="0" w:type="dxa"/>
            <w:vAlign w:val="bottom"/>
          </w:tcPr>
          <w:p>
            <w:pPr>
              <w:spacing w:after="0"/>
              <w:rPr>
                <w:sz w:val="1"/>
                <w:szCs w:val="1"/>
                <w:color w:val="auto"/>
              </w:rPr>
            </w:pPr>
          </w:p>
        </w:tc>
      </w:tr>
      <w:tr>
        <w:trPr>
          <w:trHeight w:val="157"/>
        </w:trPr>
        <w:tc>
          <w:tcPr>
            <w:tcW w:w="7000" w:type="dxa"/>
            <w:vAlign w:val="bottom"/>
            <w:gridSpan w:val="2"/>
          </w:tcPr>
          <w:p>
            <w:pPr>
              <w:spacing w:after="0" w:line="157" w:lineRule="exact"/>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56"/>
              <w:spacing w:after="0" w:line="157" w:lineRule="exact"/>
              <w:rPr>
                <w:sz w:val="20"/>
                <w:szCs w:val="20"/>
                <w:color w:val="auto"/>
              </w:rPr>
            </w:pPr>
            <w:r>
              <w:rPr>
                <w:rFonts w:ascii="Arial" w:cs="Arial" w:eastAsia="Arial" w:hAnsi="Arial"/>
                <w:sz w:val="14"/>
                <w:szCs w:val="14"/>
                <w:color w:val="auto"/>
              </w:rPr>
              <w:t>2005</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56"/>
              <w:spacing w:after="0" w:line="157" w:lineRule="exact"/>
              <w:rPr>
                <w:sz w:val="20"/>
                <w:szCs w:val="20"/>
                <w:color w:val="auto"/>
              </w:rPr>
            </w:pPr>
            <w:r>
              <w:rPr>
                <w:rFonts w:ascii="Arial" w:cs="Arial" w:eastAsia="Arial" w:hAnsi="Arial"/>
                <w:sz w:val="14"/>
                <w:szCs w:val="14"/>
                <w:color w:val="auto"/>
              </w:rPr>
              <w:t>2004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Segment revenues</w:t>
            </w:r>
          </w:p>
        </w:tc>
        <w:tc>
          <w:tcPr>
            <w:tcW w:w="80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$ 288,843</w:t>
            </w:r>
          </w:p>
        </w:tc>
        <w:tc>
          <w:tcPr>
            <w:tcW w:w="26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$ 278,115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tcPr>
          <w:p>
            <w:pPr>
              <w:spacing w:after="0" w:line="202" w:lineRule="exact"/>
              <w:rPr>
                <w:sz w:val="20"/>
                <w:szCs w:val="20"/>
                <w:color w:val="auto"/>
              </w:rPr>
            </w:pPr>
            <w:r>
              <w:rPr>
                <w:rFonts w:ascii="Arial" w:cs="Arial" w:eastAsia="Arial" w:hAnsi="Arial"/>
                <w:sz w:val="18"/>
                <w:szCs w:val="18"/>
                <w:color w:val="auto"/>
              </w:rPr>
              <w:t>Elimination of intersegment management fee revenue</w:t>
            </w:r>
          </w:p>
        </w:tc>
        <w:tc>
          <w:tcPr>
            <w:tcW w:w="160" w:type="dxa"/>
            <w:vAlign w:val="bottom"/>
            <w:gridSpan w:val="2"/>
          </w:tcPr>
          <w:p>
            <w:pPr>
              <w:jc w:val="right"/>
              <w:ind w:right="28"/>
              <w:spacing w:after="0"/>
              <w:rPr>
                <w:sz w:val="20"/>
                <w:szCs w:val="20"/>
                <w:color w:val="auto"/>
              </w:rPr>
            </w:pPr>
            <w:r>
              <w:rPr>
                <w:rFonts w:ascii="Arial" w:cs="Arial" w:eastAsia="Arial" w:hAnsi="Arial"/>
                <w:sz w:val="16"/>
                <w:szCs w:val="16"/>
                <w:color w:val="auto"/>
                <w:w w:val="74"/>
              </w:rPr>
              <w:t>(</w:t>
            </w:r>
          </w:p>
        </w:tc>
        <w:tc>
          <w:tcPr>
            <w:tcW w:w="9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12,672)</w:t>
            </w:r>
          </w:p>
        </w:tc>
        <w:tc>
          <w:tcPr>
            <w:tcW w:w="3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12,204)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operating revenue</w:t>
            </w:r>
          </w:p>
        </w:tc>
        <w:tc>
          <w:tcPr>
            <w:tcW w:w="8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$ 276,171</w:t>
            </w:r>
          </w:p>
        </w:tc>
        <w:tc>
          <w:tcPr>
            <w:tcW w:w="26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$ 265,911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000" w:type="dxa"/>
            <w:vAlign w:val="bottom"/>
            <w:gridSpan w:val="2"/>
          </w:tcPr>
          <w:p>
            <w:pPr>
              <w:spacing w:after="0"/>
              <w:rPr>
                <w:sz w:val="20"/>
                <w:szCs w:val="20"/>
                <w:color w:val="auto"/>
              </w:rPr>
            </w:pPr>
            <w:r>
              <w:rPr>
                <w:rFonts w:ascii="Arial" w:cs="Arial" w:eastAsia="Arial" w:hAnsi="Arial"/>
                <w:sz w:val="18"/>
                <w:szCs w:val="18"/>
                <w:color w:val="auto"/>
              </w:rPr>
              <w:t>Segment operating expenses</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w w:val="94"/>
              </w:rPr>
              <w:t>$ 225,133</w:t>
            </w:r>
          </w:p>
        </w:tc>
        <w:tc>
          <w:tcPr>
            <w:tcW w:w="26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$ 223,380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Elimination of intersegment management fee revenue</w:t>
            </w:r>
          </w:p>
        </w:tc>
        <w:tc>
          <w:tcPr>
            <w:tcW w:w="16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w w:val="74"/>
              </w:rPr>
              <w:t>(</w:t>
            </w:r>
          </w:p>
        </w:tc>
        <w:tc>
          <w:tcPr>
            <w:tcW w:w="9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12,672)</w:t>
            </w:r>
          </w:p>
        </w:tc>
        <w:tc>
          <w:tcPr>
            <w:tcW w:w="3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12,204)</w:t>
            </w:r>
          </w:p>
        </w:tc>
        <w:tc>
          <w:tcPr>
            <w:tcW w:w="0" w:type="dxa"/>
            <w:vAlign w:val="bottom"/>
          </w:tcPr>
          <w:p>
            <w:pPr>
              <w:spacing w:after="0"/>
              <w:rPr>
                <w:sz w:val="1"/>
                <w:szCs w:val="1"/>
                <w:color w:val="auto"/>
              </w:rPr>
            </w:pPr>
          </w:p>
        </w:tc>
      </w:tr>
      <w:tr>
        <w:trPr>
          <w:trHeight w:val="20"/>
        </w:trPr>
        <w:tc>
          <w:tcPr>
            <w:tcW w:w="7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w w:val="94"/>
              </w:rPr>
              <w:t>$ 212,461</w:t>
            </w:r>
          </w:p>
        </w:tc>
        <w:tc>
          <w:tcPr>
            <w:tcW w:w="26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$ 211,176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80"/>
        <w:spacing w:after="0" w:line="246" w:lineRule="auto"/>
        <w:rPr>
          <w:sz w:val="20"/>
          <w:szCs w:val="20"/>
          <w:color w:val="auto"/>
        </w:rPr>
      </w:pPr>
      <w:r>
        <w:rPr>
          <w:rFonts w:ascii="Arial" w:cs="Arial" w:eastAsia="Arial" w:hAnsi="Arial"/>
          <w:sz w:val="18"/>
          <w:szCs w:val="18"/>
          <w:color w:val="auto"/>
        </w:rPr>
        <w:t>The intersegment revenues and expenses that are eliminated in the Consolidated Statements of Operations relate to the Company’s property/casualty insurance subsidiaries 5.5% share of the intersegment management fees paid to the Company.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management fee revenue by line of business before elimination of the intersegment management fee revenue.</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gridSpan w:val="4"/>
          </w:tcPr>
          <w:p>
            <w:pPr>
              <w:jc w:val="right"/>
              <w:ind w:right="500"/>
              <w:spacing w:after="0"/>
              <w:rPr>
                <w:sz w:val="20"/>
                <w:szCs w:val="20"/>
                <w:color w:val="auto"/>
              </w:rPr>
            </w:pPr>
            <w:r>
              <w:rPr>
                <w:rFonts w:ascii="Arial" w:cs="Arial" w:eastAsia="Arial" w:hAnsi="Arial"/>
                <w:sz w:val="14"/>
                <w:szCs w:val="14"/>
                <w:color w:val="auto"/>
              </w:rPr>
              <w:t>Three Months Ended</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00" w:type="dxa"/>
            <w:vAlign w:val="bottom"/>
            <w:gridSpan w:val="4"/>
          </w:tcPr>
          <w:p>
            <w:pPr>
              <w:jc w:val="right"/>
              <w:ind w:right="880"/>
              <w:spacing w:after="0" w:line="157" w:lineRule="exact"/>
              <w:rPr>
                <w:sz w:val="20"/>
                <w:szCs w:val="20"/>
                <w:color w:val="auto"/>
              </w:rPr>
            </w:pPr>
            <w:r>
              <w:rPr>
                <w:rFonts w:ascii="Arial" w:cs="Arial" w:eastAsia="Arial" w:hAnsi="Arial"/>
                <w:sz w:val="14"/>
                <w:szCs w:val="14"/>
                <w:color w:val="auto"/>
              </w:rPr>
              <w:t>March 31</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jc w:val="right"/>
              <w:ind w:right="172"/>
              <w:spacing w:after="0" w:line="157"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60" w:type="dxa"/>
            <w:vAlign w:val="bottom"/>
            <w:gridSpan w:val="2"/>
          </w:tcPr>
          <w:p>
            <w:pPr>
              <w:spacing w:after="0" w:line="155" w:lineRule="exact"/>
              <w:rPr>
                <w:sz w:val="20"/>
                <w:szCs w:val="20"/>
                <w:color w:val="auto"/>
              </w:rPr>
            </w:pPr>
            <w:r>
              <w:rPr>
                <w:rFonts w:ascii="Arial" w:cs="Arial" w:eastAsia="Arial" w:hAnsi="Arial"/>
                <w:sz w:val="14"/>
                <w:szCs w:val="14"/>
                <w:color w:val="auto"/>
              </w:rPr>
              <w:t>(dollars in thousands)</w:t>
            </w:r>
          </w:p>
        </w:tc>
        <w:tc>
          <w:tcPr>
            <w:tcW w:w="27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35"/>
              <w:spacing w:after="0" w:line="155" w:lineRule="exact"/>
              <w:rPr>
                <w:sz w:val="20"/>
                <w:szCs w:val="20"/>
                <w:color w:val="auto"/>
              </w:rPr>
            </w:pPr>
            <w:r>
              <w:rPr>
                <w:rFonts w:ascii="Arial" w:cs="Arial" w:eastAsia="Arial" w:hAnsi="Arial"/>
                <w:sz w:val="14"/>
                <w:szCs w:val="14"/>
                <w:color w:val="auto"/>
              </w:rPr>
              <w:t>2005</w:t>
            </w:r>
          </w:p>
        </w:tc>
        <w:tc>
          <w:tcPr>
            <w:tcW w:w="500" w:type="dxa"/>
            <w:vAlign w:val="bottom"/>
            <w:tcBorders>
              <w:top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32"/>
              <w:spacing w:after="0" w:line="155" w:lineRule="exact"/>
              <w:rPr>
                <w:sz w:val="20"/>
                <w:szCs w:val="20"/>
                <w:color w:val="auto"/>
              </w:rPr>
            </w:pPr>
            <w:r>
              <w:rPr>
                <w:rFonts w:ascii="Arial" w:cs="Arial" w:eastAsia="Arial" w:hAnsi="Arial"/>
                <w:sz w:val="14"/>
                <w:szCs w:val="14"/>
                <w:color w:val="auto"/>
              </w:rPr>
              <w:t>2004</w:t>
            </w:r>
          </w:p>
        </w:tc>
        <w:tc>
          <w:tcPr>
            <w:tcW w:w="1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3"/>
          </w:tcPr>
          <w:p>
            <w:pPr>
              <w:jc w:val="right"/>
              <w:ind w:right="360"/>
              <w:spacing w:after="0" w:line="155" w:lineRule="exact"/>
              <w:rPr>
                <w:sz w:val="20"/>
                <w:szCs w:val="20"/>
                <w:color w:val="auto"/>
              </w:rPr>
            </w:pPr>
            <w:r>
              <w:rPr>
                <w:rFonts w:ascii="Arial" w:cs="Arial" w:eastAsia="Arial" w:hAnsi="Arial"/>
                <w:sz w:val="14"/>
                <w:szCs w:val="14"/>
                <w:color w:val="auto"/>
              </w:rPr>
              <w:t>Change</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Private passenger auto</w:t>
            </w:r>
          </w:p>
        </w:tc>
        <w:tc>
          <w:tcPr>
            <w:tcW w:w="3980" w:type="dxa"/>
            <w:vAlign w:val="bottom"/>
            <w:gridSpan w:val="4"/>
            <w:shd w:val="clear" w:color="auto" w:fill="CCEEFF"/>
          </w:tcPr>
          <w:p>
            <w:pPr>
              <w:jc w:val="right"/>
              <w:ind w:right="500"/>
              <w:spacing w:after="0" w:line="196" w:lineRule="exact"/>
              <w:rPr>
                <w:sz w:val="20"/>
                <w:szCs w:val="20"/>
                <w:color w:val="auto"/>
              </w:rPr>
            </w:pPr>
            <w:r>
              <w:rPr>
                <w:rFonts w:ascii="Arial" w:cs="Arial" w:eastAsia="Arial" w:hAnsi="Arial"/>
                <w:sz w:val="18"/>
                <w:szCs w:val="18"/>
                <w:color w:val="auto"/>
              </w:rPr>
              <w:t>$112,858</w:t>
            </w:r>
          </w:p>
        </w:tc>
        <w:tc>
          <w:tcPr>
            <w:tcW w:w="9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w w:val="98"/>
              </w:rPr>
              <w:t>$113,010</w:t>
            </w:r>
          </w:p>
        </w:tc>
        <w:tc>
          <w:tcPr>
            <w:tcW w:w="500" w:type="dxa"/>
            <w:vAlign w:val="bottom"/>
            <w:gridSpan w:val="2"/>
            <w:shd w:val="clear" w:color="auto" w:fill="CCEEFF"/>
          </w:tcPr>
          <w:p>
            <w:pPr>
              <w:jc w:val="right"/>
              <w:ind w:right="48"/>
              <w:spacing w:after="0" w:line="196"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tcPr>
          <w:p>
            <w:pPr>
              <w:spacing w:after="0" w:line="202" w:lineRule="exact"/>
              <w:rPr>
                <w:sz w:val="20"/>
                <w:szCs w:val="20"/>
                <w:color w:val="auto"/>
              </w:rPr>
            </w:pPr>
            <w:r>
              <w:rPr>
                <w:rFonts w:ascii="Arial" w:cs="Arial" w:eastAsia="Arial" w:hAnsi="Arial"/>
                <w:sz w:val="18"/>
                <w:szCs w:val="18"/>
                <w:color w:val="auto"/>
              </w:rPr>
              <w:t>Commercial auto</w:t>
            </w:r>
          </w:p>
        </w:tc>
        <w:tc>
          <w:tcPr>
            <w:tcW w:w="2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20,510</w:t>
            </w:r>
          </w:p>
        </w:tc>
        <w:tc>
          <w:tcPr>
            <w:tcW w:w="9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19,962</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Homeowner</w:t>
            </w:r>
          </w:p>
        </w:tc>
        <w:tc>
          <w:tcPr>
            <w:tcW w:w="2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36,097</w:t>
            </w:r>
          </w:p>
        </w:tc>
        <w:tc>
          <w:tcPr>
            <w:tcW w:w="9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34,337</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tcPr>
          <w:p>
            <w:pPr>
              <w:spacing w:after="0" w:line="202" w:lineRule="exact"/>
              <w:rPr>
                <w:sz w:val="20"/>
                <w:szCs w:val="20"/>
                <w:color w:val="auto"/>
              </w:rPr>
            </w:pPr>
            <w:r>
              <w:rPr>
                <w:rFonts w:ascii="Arial" w:cs="Arial" w:eastAsia="Arial" w:hAnsi="Arial"/>
                <w:sz w:val="18"/>
                <w:szCs w:val="18"/>
                <w:color w:val="auto"/>
              </w:rPr>
              <w:t>Commercial multi-peril</w:t>
            </w:r>
          </w:p>
        </w:tc>
        <w:tc>
          <w:tcPr>
            <w:tcW w:w="2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27,624</w:t>
            </w:r>
          </w:p>
        </w:tc>
        <w:tc>
          <w:tcPr>
            <w:tcW w:w="9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26,554</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Workers’ compensation</w:t>
            </w:r>
          </w:p>
        </w:tc>
        <w:tc>
          <w:tcPr>
            <w:tcW w:w="2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23,994</w:t>
            </w:r>
          </w:p>
        </w:tc>
        <w:tc>
          <w:tcPr>
            <w:tcW w:w="9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22,586</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tcPr>
          <w:p>
            <w:pPr>
              <w:spacing w:after="0" w:line="202" w:lineRule="exact"/>
              <w:rPr>
                <w:sz w:val="20"/>
                <w:szCs w:val="20"/>
                <w:color w:val="auto"/>
              </w:rPr>
            </w:pPr>
            <w:r>
              <w:rPr>
                <w:rFonts w:ascii="Arial" w:cs="Arial" w:eastAsia="Arial" w:hAnsi="Arial"/>
                <w:sz w:val="18"/>
                <w:szCs w:val="18"/>
                <w:color w:val="auto"/>
              </w:rPr>
              <w:t>All other lines of business</w:t>
            </w:r>
          </w:p>
        </w:tc>
        <w:tc>
          <w:tcPr>
            <w:tcW w:w="2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9,726</w:t>
            </w:r>
          </w:p>
        </w:tc>
        <w:tc>
          <w:tcPr>
            <w:tcW w:w="9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9,318</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2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230,809</w:t>
            </w:r>
          </w:p>
        </w:tc>
        <w:tc>
          <w:tcPr>
            <w:tcW w:w="9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225,767</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5260" w:type="dxa"/>
            <w:vAlign w:val="bottom"/>
            <w:gridSpan w:val="2"/>
          </w:tcPr>
          <w:p>
            <w:pPr>
              <w:spacing w:after="0"/>
              <w:rPr>
                <w:sz w:val="20"/>
                <w:szCs w:val="20"/>
                <w:color w:val="auto"/>
              </w:rPr>
            </w:pPr>
            <w:r>
              <w:rPr>
                <w:rFonts w:ascii="Arial" w:cs="Arial" w:eastAsia="Arial" w:hAnsi="Arial"/>
                <w:sz w:val="18"/>
                <w:szCs w:val="18"/>
                <w:color w:val="auto"/>
              </w:rPr>
              <w:t>Allowance for management fee returned on cancelled policies</w:t>
            </w:r>
          </w:p>
        </w:tc>
        <w:tc>
          <w:tcPr>
            <w:tcW w:w="2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400)</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   3,900)</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Management fee net of allowance</w:t>
            </w:r>
          </w:p>
        </w:tc>
        <w:tc>
          <w:tcPr>
            <w:tcW w:w="3980" w:type="dxa"/>
            <w:vAlign w:val="bottom"/>
            <w:gridSpan w:val="4"/>
            <w:shd w:val="clear" w:color="auto" w:fill="CCEEFF"/>
          </w:tcPr>
          <w:p>
            <w:pPr>
              <w:jc w:val="right"/>
              <w:ind w:right="50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230,409</w:t>
            </w:r>
          </w:p>
        </w:tc>
        <w:tc>
          <w:tcPr>
            <w:tcW w:w="9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221,867</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60" w:type="dxa"/>
            <w:vAlign w:val="bottom"/>
            <w:gridSpan w:val="2"/>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260" w:type="dxa"/>
            <w:vAlign w:val="bottom"/>
            <w:gridSpan w:val="2"/>
          </w:tcPr>
          <w:p>
            <w:pPr>
              <w:spacing w:after="0"/>
              <w:rPr>
                <w:sz w:val="20"/>
                <w:szCs w:val="20"/>
                <w:color w:val="auto"/>
              </w:rPr>
            </w:pPr>
            <w:r>
              <w:rPr>
                <w:rFonts w:ascii="Arial" w:cs="Arial" w:eastAsia="Arial" w:hAnsi="Arial"/>
                <w:sz w:val="18"/>
                <w:szCs w:val="18"/>
                <w:color w:val="auto"/>
              </w:rPr>
              <w:t>Management fee rate</w:t>
            </w:r>
          </w:p>
        </w:tc>
        <w:tc>
          <w:tcPr>
            <w:tcW w:w="2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23.75%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23.5%</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720" w:type="dxa"/>
            <w:vAlign w:val="bottom"/>
            <w:vMerge w:val="restart"/>
          </w:tcPr>
          <w:p>
            <w:pPr>
              <w:jc w:val="right"/>
              <w:ind w:right="2070"/>
              <w:spacing w:after="0"/>
              <w:rPr>
                <w:sz w:val="20"/>
                <w:szCs w:val="20"/>
                <w:color w:val="auto"/>
              </w:rPr>
            </w:pPr>
            <w:r>
              <w:rPr>
                <w:rFonts w:ascii="Arial" w:cs="Arial" w:eastAsia="Arial" w:hAnsi="Arial"/>
                <w:sz w:val="18"/>
                <w:szCs w:val="18"/>
                <w:color w:val="auto"/>
              </w:rPr>
              <w:t>21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40" w:type="dxa"/>
            <w:vAlign w:val="bottom"/>
            <w:tcBorders>
              <w:bottom w:val="single" w:sz="8" w:color="808080"/>
            </w:tcBorders>
          </w:tcPr>
          <w:p>
            <w:pPr>
              <w:spacing w:after="0"/>
              <w:rPr>
                <w:sz w:val="18"/>
                <w:szCs w:val="18"/>
                <w:color w:val="auto"/>
              </w:rPr>
            </w:pPr>
          </w:p>
        </w:tc>
        <w:tc>
          <w:tcPr>
            <w:tcW w:w="272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500" w:type="dxa"/>
            <w:vAlign w:val="bottom"/>
            <w:tcBorders>
              <w:bottom w:val="single" w:sz="8" w:color="808080"/>
            </w:tcBorders>
          </w:tcPr>
          <w:p>
            <w:pPr>
              <w:spacing w:after="0"/>
              <w:rPr>
                <w:sz w:val="18"/>
                <w:szCs w:val="18"/>
                <w:color w:val="auto"/>
              </w:rPr>
            </w:pPr>
          </w:p>
        </w:tc>
        <w:tc>
          <w:tcPr>
            <w:tcW w:w="7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NOTES TO CONSOLIDATED FINANCIAL STATEMENTS (UNAUDITED)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NOTE 12 – SEGMENT INFORMATION (Continued)</w:t>
      </w:r>
    </w:p>
    <w:p>
      <w:pPr>
        <w:spacing w:after="0" w:line="171"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The growth rate of policies in force and policy retention trends (the percentage of policyholders eligible for renewals who have renewed their policies measured on a twelve-month rolling basis) directly impact the Company’s management operations and property and casualty insurance operating segments. Below is a summary of each by line of business for the Property and Casualty Group’s insurance business.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Growth rates of policies in force for Property and Casualty Group insurance operations</w:t>
      </w:r>
      <w:r>
        <w:rPr>
          <w:rFonts w:ascii="Arial" w:cs="Arial" w:eastAsia="Arial" w:hAnsi="Arial"/>
          <w:sz w:val="18"/>
          <w:szCs w:val="18"/>
          <w:color w:val="auto"/>
        </w:rPr>
        <w:t>:</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Private</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4"/>
          </w:tcPr>
          <w:p>
            <w:pPr>
              <w:jc w:val="center"/>
              <w:ind w:left="34"/>
              <w:spacing w:after="0"/>
              <w:rPr>
                <w:sz w:val="20"/>
                <w:szCs w:val="20"/>
                <w:color w:val="auto"/>
              </w:rPr>
            </w:pPr>
            <w:r>
              <w:rPr>
                <w:rFonts w:ascii="Arial" w:cs="Arial" w:eastAsia="Arial" w:hAnsi="Arial"/>
                <w:sz w:val="14"/>
                <w:szCs w:val="14"/>
                <w:color w:val="auto"/>
              </w:rPr>
              <w:t>12-mth.</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gridSpan w:val="4"/>
          </w:tcPr>
          <w:p>
            <w:pPr>
              <w:jc w:val="center"/>
              <w:ind w:right="380"/>
              <w:spacing w:after="0"/>
              <w:rPr>
                <w:sz w:val="20"/>
                <w:szCs w:val="20"/>
                <w:color w:val="auto"/>
              </w:rPr>
            </w:pPr>
            <w:r>
              <w:rPr>
                <w:rFonts w:ascii="Arial" w:cs="Arial" w:eastAsia="Arial" w:hAnsi="Arial"/>
                <w:sz w:val="14"/>
                <w:szCs w:val="14"/>
                <w:color w:val="auto"/>
              </w:rPr>
              <w:t>12-mth.</w:t>
            </w:r>
          </w:p>
        </w:tc>
        <w:tc>
          <w:tcPr>
            <w:tcW w:w="180" w:type="dxa"/>
            <w:vAlign w:val="bottom"/>
          </w:tcPr>
          <w:p>
            <w:pPr>
              <w:spacing w:after="0"/>
              <w:rPr>
                <w:sz w:val="14"/>
                <w:szCs w:val="14"/>
                <w:color w:val="auto"/>
              </w:rPr>
            </w:pPr>
          </w:p>
        </w:tc>
        <w:tc>
          <w:tcPr>
            <w:tcW w:w="1040" w:type="dxa"/>
            <w:vAlign w:val="bottom"/>
            <w:gridSpan w:val="4"/>
          </w:tcPr>
          <w:p>
            <w:pPr>
              <w:jc w:val="center"/>
              <w:ind w:right="500"/>
              <w:spacing w:after="0"/>
              <w:rPr>
                <w:sz w:val="20"/>
                <w:szCs w:val="20"/>
                <w:color w:val="auto"/>
              </w:rPr>
            </w:pPr>
            <w:r>
              <w:rPr>
                <w:rFonts w:ascii="Arial" w:cs="Arial" w:eastAsia="Arial" w:hAnsi="Arial"/>
                <w:sz w:val="14"/>
                <w:szCs w:val="14"/>
                <w:color w:val="auto"/>
              </w:rPr>
              <w:t>All other</w:t>
            </w:r>
          </w:p>
        </w:tc>
        <w:tc>
          <w:tcPr>
            <w:tcW w:w="880" w:type="dxa"/>
            <w:vAlign w:val="bottom"/>
            <w:gridSpan w:val="5"/>
          </w:tcPr>
          <w:p>
            <w:pPr>
              <w:jc w:val="center"/>
              <w:ind w:right="328"/>
              <w:spacing w:after="0"/>
              <w:rPr>
                <w:sz w:val="20"/>
                <w:szCs w:val="20"/>
                <w:color w:val="auto"/>
              </w:rPr>
            </w:pPr>
            <w:r>
              <w:rPr>
                <w:rFonts w:ascii="Arial" w:cs="Arial" w:eastAsia="Arial" w:hAnsi="Arial"/>
                <w:sz w:val="14"/>
                <w:szCs w:val="14"/>
                <w:color w:val="auto"/>
              </w:rPr>
              <w:t>12-mth.</w:t>
            </w:r>
          </w:p>
        </w:tc>
        <w:tc>
          <w:tcPr>
            <w:tcW w:w="240" w:type="dxa"/>
            <w:vAlign w:val="bottom"/>
          </w:tcPr>
          <w:p>
            <w:pPr>
              <w:spacing w:after="0"/>
              <w:rPr>
                <w:sz w:val="14"/>
                <w:szCs w:val="14"/>
                <w:color w:val="auto"/>
              </w:rPr>
            </w:pPr>
          </w:p>
        </w:tc>
        <w:tc>
          <w:tcPr>
            <w:tcW w:w="820" w:type="dxa"/>
            <w:vAlign w:val="bottom"/>
            <w:gridSpan w:val="4"/>
          </w:tcPr>
          <w:p>
            <w:pPr>
              <w:jc w:val="right"/>
              <w:ind w:right="460"/>
              <w:spacing w:after="0"/>
              <w:rPr>
                <w:sz w:val="20"/>
                <w:szCs w:val="20"/>
                <w:color w:val="auto"/>
              </w:rPr>
            </w:pPr>
            <w:r>
              <w:rPr>
                <w:rFonts w:ascii="Arial" w:cs="Arial" w:eastAsia="Arial" w:hAnsi="Arial"/>
                <w:sz w:val="14"/>
                <w:szCs w:val="14"/>
                <w:color w:val="auto"/>
              </w:rPr>
              <w:t>Total</w:t>
            </w:r>
          </w:p>
        </w:tc>
        <w:tc>
          <w:tcPr>
            <w:tcW w:w="180" w:type="dxa"/>
            <w:vAlign w:val="bottom"/>
          </w:tcPr>
          <w:p>
            <w:pPr>
              <w:spacing w:after="0"/>
              <w:rPr>
                <w:sz w:val="14"/>
                <w:szCs w:val="14"/>
                <w:color w:val="auto"/>
              </w:rPr>
            </w:pPr>
          </w:p>
        </w:tc>
        <w:tc>
          <w:tcPr>
            <w:tcW w:w="720" w:type="dxa"/>
            <w:vAlign w:val="bottom"/>
            <w:gridSpan w:val="3"/>
          </w:tcPr>
          <w:p>
            <w:pPr>
              <w:jc w:val="center"/>
              <w:ind w:right="220"/>
              <w:spacing w:after="0"/>
              <w:rPr>
                <w:sz w:val="20"/>
                <w:szCs w:val="20"/>
                <w:color w:val="auto"/>
              </w:rPr>
            </w:pPr>
            <w:r>
              <w:rPr>
                <w:rFonts w:ascii="Arial" w:cs="Arial" w:eastAsia="Arial" w:hAnsi="Arial"/>
                <w:sz w:val="14"/>
                <w:szCs w:val="14"/>
                <w:color w:val="auto"/>
              </w:rPr>
              <w:t>12-mth.</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ind w:left="120"/>
              <w:spacing w:after="0"/>
              <w:rPr>
                <w:sz w:val="20"/>
                <w:szCs w:val="20"/>
                <w:color w:val="auto"/>
              </w:rPr>
            </w:pPr>
            <w:r>
              <w:rPr>
                <w:rFonts w:ascii="Arial" w:cs="Arial" w:eastAsia="Arial" w:hAnsi="Arial"/>
                <w:sz w:val="14"/>
                <w:szCs w:val="14"/>
                <w:color w:val="auto"/>
              </w:rPr>
              <w:t>passenger</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gridSpan w:val="3"/>
          </w:tcPr>
          <w:p>
            <w:pPr>
              <w:jc w:val="center"/>
              <w:ind w:right="160"/>
              <w:spacing w:after="0"/>
              <w:rPr>
                <w:sz w:val="20"/>
                <w:szCs w:val="20"/>
                <w:color w:val="auto"/>
              </w:rPr>
            </w:pPr>
            <w:r>
              <w:rPr>
                <w:rFonts w:ascii="Arial" w:cs="Arial" w:eastAsia="Arial" w:hAnsi="Arial"/>
                <w:sz w:val="14"/>
                <w:szCs w:val="14"/>
                <w:color w:val="auto"/>
              </w:rPr>
              <w:t>growth</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gridSpan w:val="4"/>
          </w:tcPr>
          <w:p>
            <w:pPr>
              <w:jc w:val="center"/>
              <w:ind w:right="400"/>
              <w:spacing w:after="0"/>
              <w:rPr>
                <w:sz w:val="20"/>
                <w:szCs w:val="20"/>
                <w:color w:val="auto"/>
              </w:rPr>
            </w:pPr>
            <w:r>
              <w:rPr>
                <w:rFonts w:ascii="Arial" w:cs="Arial" w:eastAsia="Arial" w:hAnsi="Arial"/>
                <w:sz w:val="14"/>
                <w:szCs w:val="14"/>
                <w:color w:val="auto"/>
                <w:w w:val="99"/>
              </w:rPr>
              <w:t>growth</w:t>
            </w:r>
          </w:p>
        </w:tc>
        <w:tc>
          <w:tcPr>
            <w:tcW w:w="1220" w:type="dxa"/>
            <w:vAlign w:val="bottom"/>
            <w:gridSpan w:val="5"/>
          </w:tcPr>
          <w:p>
            <w:pPr>
              <w:jc w:val="center"/>
              <w:ind w:right="320"/>
              <w:spacing w:after="0"/>
              <w:rPr>
                <w:sz w:val="20"/>
                <w:szCs w:val="20"/>
                <w:color w:val="auto"/>
              </w:rPr>
            </w:pPr>
            <w:r>
              <w:rPr>
                <w:rFonts w:ascii="Arial" w:cs="Arial" w:eastAsia="Arial" w:hAnsi="Arial"/>
                <w:sz w:val="14"/>
                <w:szCs w:val="14"/>
                <w:color w:val="auto"/>
              </w:rPr>
              <w:t>personal lines</w:t>
            </w:r>
          </w:p>
        </w:tc>
        <w:tc>
          <w:tcPr>
            <w:tcW w:w="880" w:type="dxa"/>
            <w:vAlign w:val="bottom"/>
            <w:gridSpan w:val="5"/>
          </w:tcPr>
          <w:p>
            <w:pPr>
              <w:jc w:val="center"/>
              <w:ind w:right="348"/>
              <w:spacing w:after="0"/>
              <w:rPr>
                <w:sz w:val="20"/>
                <w:szCs w:val="20"/>
                <w:color w:val="auto"/>
              </w:rPr>
            </w:pPr>
            <w:r>
              <w:rPr>
                <w:rFonts w:ascii="Arial" w:cs="Arial" w:eastAsia="Arial" w:hAnsi="Arial"/>
                <w:sz w:val="14"/>
                <w:szCs w:val="14"/>
                <w:color w:val="auto"/>
                <w:w w:val="99"/>
              </w:rPr>
              <w:t>growth</w:t>
            </w:r>
          </w:p>
        </w:tc>
        <w:tc>
          <w:tcPr>
            <w:tcW w:w="1060" w:type="dxa"/>
            <w:vAlign w:val="bottom"/>
            <w:gridSpan w:val="5"/>
          </w:tcPr>
          <w:p>
            <w:pPr>
              <w:jc w:val="right"/>
              <w:ind w:right="320"/>
              <w:spacing w:after="0"/>
              <w:rPr>
                <w:sz w:val="20"/>
                <w:szCs w:val="20"/>
                <w:color w:val="auto"/>
              </w:rPr>
            </w:pPr>
            <w:r>
              <w:rPr>
                <w:rFonts w:ascii="Arial" w:cs="Arial" w:eastAsia="Arial" w:hAnsi="Arial"/>
                <w:sz w:val="14"/>
                <w:szCs w:val="14"/>
                <w:color w:val="auto"/>
              </w:rPr>
              <w:t>Personal</w:t>
            </w:r>
          </w:p>
        </w:tc>
        <w:tc>
          <w:tcPr>
            <w:tcW w:w="180" w:type="dxa"/>
            <w:vAlign w:val="bottom"/>
          </w:tcPr>
          <w:p>
            <w:pPr>
              <w:spacing w:after="0"/>
              <w:rPr>
                <w:sz w:val="14"/>
                <w:szCs w:val="14"/>
                <w:color w:val="auto"/>
              </w:rPr>
            </w:pPr>
          </w:p>
        </w:tc>
        <w:tc>
          <w:tcPr>
            <w:tcW w:w="720" w:type="dxa"/>
            <w:vAlign w:val="bottom"/>
            <w:gridSpan w:val="3"/>
          </w:tcPr>
          <w:p>
            <w:pPr>
              <w:jc w:val="center"/>
              <w:ind w:right="220"/>
              <w:spacing w:after="0"/>
              <w:rPr>
                <w:sz w:val="20"/>
                <w:szCs w:val="20"/>
                <w:color w:val="auto"/>
              </w:rPr>
            </w:pPr>
            <w:r>
              <w:rPr>
                <w:rFonts w:ascii="Arial" w:cs="Arial" w:eastAsia="Arial" w:hAnsi="Arial"/>
                <w:sz w:val="14"/>
                <w:szCs w:val="14"/>
                <w:color w:val="auto"/>
                <w:w w:val="99"/>
              </w:rPr>
              <w:t>growth</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680" w:type="dxa"/>
            <w:vAlign w:val="bottom"/>
            <w:tcBorders>
              <w:bottom w:val="single" w:sz="8" w:color="auto"/>
            </w:tcBorders>
          </w:tcPr>
          <w:p>
            <w:pPr>
              <w:jc w:val="center"/>
              <w:ind w:right="753"/>
              <w:spacing w:after="0" w:line="157" w:lineRule="exact"/>
              <w:rPr>
                <w:sz w:val="20"/>
                <w:szCs w:val="20"/>
                <w:color w:val="auto"/>
              </w:rPr>
            </w:pPr>
            <w:r>
              <w:rPr>
                <w:rFonts w:ascii="Arial" w:cs="Arial" w:eastAsia="Arial" w:hAnsi="Arial"/>
                <w:sz w:val="14"/>
                <w:szCs w:val="14"/>
                <w:color w:val="auto"/>
              </w:rPr>
              <w:t>Date</w:t>
            </w: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Borders>
              <w:bottom w:val="single" w:sz="8" w:color="auto"/>
            </w:tcBorders>
            <w:gridSpan w:val="2"/>
          </w:tcPr>
          <w:p>
            <w:pPr>
              <w:jc w:val="right"/>
              <w:ind w:right="200"/>
              <w:spacing w:after="0" w:line="157" w:lineRule="exact"/>
              <w:rPr>
                <w:sz w:val="20"/>
                <w:szCs w:val="20"/>
                <w:color w:val="auto"/>
              </w:rPr>
            </w:pPr>
            <w:r>
              <w:rPr>
                <w:rFonts w:ascii="Arial" w:cs="Arial" w:eastAsia="Arial" w:hAnsi="Arial"/>
                <w:sz w:val="14"/>
                <w:szCs w:val="14"/>
                <w:color w:val="auto"/>
              </w:rPr>
              <w:t>auto</w:t>
            </w:r>
          </w:p>
        </w:tc>
        <w:tc>
          <w:tcPr>
            <w:tcW w:w="1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Borders>
              <w:bottom w:val="single" w:sz="8" w:color="auto"/>
            </w:tcBorders>
            <w:gridSpan w:val="2"/>
          </w:tcPr>
          <w:p>
            <w:pPr>
              <w:jc w:val="center"/>
              <w:spacing w:after="0" w:line="157" w:lineRule="exact"/>
              <w:rPr>
                <w:sz w:val="20"/>
                <w:szCs w:val="20"/>
                <w:color w:val="auto"/>
              </w:rPr>
            </w:pPr>
            <w:r>
              <w:rPr>
                <w:rFonts w:ascii="Arial" w:cs="Arial" w:eastAsia="Arial" w:hAnsi="Arial"/>
                <w:sz w:val="14"/>
                <w:szCs w:val="14"/>
                <w:color w:val="auto"/>
                <w:w w:val="99"/>
              </w:rPr>
              <w:t>rate</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Borders>
              <w:bottom w:val="single" w:sz="8" w:color="auto"/>
            </w:tcBorders>
            <w:gridSpan w:val="3"/>
          </w:tcPr>
          <w:p>
            <w:pPr>
              <w:ind w:left="40"/>
              <w:spacing w:after="0" w:line="157" w:lineRule="exact"/>
              <w:rPr>
                <w:sz w:val="20"/>
                <w:szCs w:val="20"/>
                <w:color w:val="auto"/>
              </w:rPr>
            </w:pPr>
            <w:r>
              <w:rPr>
                <w:rFonts w:ascii="Arial" w:cs="Arial" w:eastAsia="Arial" w:hAnsi="Arial"/>
                <w:sz w:val="14"/>
                <w:szCs w:val="14"/>
                <w:color w:val="auto"/>
              </w:rPr>
              <w:t>Homeowners</w:t>
            </w:r>
          </w:p>
        </w:tc>
        <w:tc>
          <w:tcPr>
            <w:tcW w:w="340" w:type="dxa"/>
            <w:vAlign w:val="bottom"/>
          </w:tcPr>
          <w:p>
            <w:pPr>
              <w:spacing w:after="0"/>
              <w:rPr>
                <w:sz w:val="13"/>
                <w:szCs w:val="13"/>
                <w:color w:val="auto"/>
              </w:rPr>
            </w:pPr>
          </w:p>
        </w:tc>
        <w:tc>
          <w:tcPr>
            <w:tcW w:w="480" w:type="dxa"/>
            <w:vAlign w:val="bottom"/>
            <w:tcBorders>
              <w:bottom w:val="single" w:sz="8" w:color="auto"/>
            </w:tcBorders>
            <w:gridSpan w:val="2"/>
          </w:tcPr>
          <w:p>
            <w:pPr>
              <w:jc w:val="center"/>
              <w:spacing w:after="0" w:line="157" w:lineRule="exact"/>
              <w:rPr>
                <w:sz w:val="20"/>
                <w:szCs w:val="20"/>
                <w:color w:val="auto"/>
              </w:rPr>
            </w:pPr>
            <w:r>
              <w:rPr>
                <w:rFonts w:ascii="Arial" w:cs="Arial" w:eastAsia="Arial" w:hAnsi="Arial"/>
                <w:sz w:val="14"/>
                <w:szCs w:val="14"/>
                <w:color w:val="auto"/>
              </w:rPr>
              <w:t>rate</w:t>
            </w:r>
          </w:p>
        </w:tc>
        <w:tc>
          <w:tcPr>
            <w:tcW w:w="380" w:type="dxa"/>
            <w:vAlign w:val="bottom"/>
            <w:gridSpan w:val="2"/>
          </w:tcPr>
          <w:p>
            <w:pPr>
              <w:spacing w:after="0"/>
              <w:rPr>
                <w:sz w:val="13"/>
                <w:szCs w:val="13"/>
                <w:color w:val="auto"/>
              </w:rPr>
            </w:pPr>
          </w:p>
        </w:tc>
        <w:tc>
          <w:tcPr>
            <w:tcW w:w="880" w:type="dxa"/>
            <w:vAlign w:val="bottom"/>
            <w:tcBorders>
              <w:bottom w:val="single" w:sz="8" w:color="auto"/>
            </w:tcBorders>
            <w:gridSpan w:val="3"/>
          </w:tcPr>
          <w:p>
            <w:pPr>
              <w:jc w:val="center"/>
              <w:spacing w:after="0" w:line="157" w:lineRule="exact"/>
              <w:rPr>
                <w:sz w:val="20"/>
                <w:szCs w:val="20"/>
                <w:color w:val="auto"/>
              </w:rPr>
            </w:pPr>
            <w:r>
              <w:rPr>
                <w:rFonts w:ascii="Arial" w:cs="Arial" w:eastAsia="Arial" w:hAnsi="Arial"/>
                <w:sz w:val="14"/>
                <w:szCs w:val="14"/>
                <w:color w:val="auto"/>
              </w:rPr>
              <w:t>of business</w:t>
            </w:r>
          </w:p>
        </w:tc>
        <w:tc>
          <w:tcPr>
            <w:tcW w:w="340" w:type="dxa"/>
            <w:vAlign w:val="bottom"/>
            <w:gridSpan w:val="2"/>
          </w:tcPr>
          <w:p>
            <w:pPr>
              <w:spacing w:after="0"/>
              <w:rPr>
                <w:sz w:val="13"/>
                <w:szCs w:val="13"/>
                <w:color w:val="auto"/>
              </w:rPr>
            </w:pPr>
          </w:p>
        </w:tc>
        <w:tc>
          <w:tcPr>
            <w:tcW w:w="480" w:type="dxa"/>
            <w:vAlign w:val="bottom"/>
            <w:tcBorders>
              <w:bottom w:val="single" w:sz="8" w:color="auto"/>
            </w:tcBorders>
            <w:gridSpan w:val="2"/>
          </w:tcPr>
          <w:p>
            <w:pPr>
              <w:jc w:val="center"/>
              <w:spacing w:after="0" w:line="157" w:lineRule="exact"/>
              <w:rPr>
                <w:sz w:val="20"/>
                <w:szCs w:val="20"/>
                <w:color w:val="auto"/>
              </w:rPr>
            </w:pPr>
            <w:r>
              <w:rPr>
                <w:rFonts w:ascii="Arial" w:cs="Arial" w:eastAsia="Arial" w:hAnsi="Arial"/>
                <w:sz w:val="14"/>
                <w:szCs w:val="14"/>
                <w:color w:val="auto"/>
              </w:rPr>
              <w:t>rate</w:t>
            </w:r>
          </w:p>
        </w:tc>
        <w:tc>
          <w:tcPr>
            <w:tcW w:w="400" w:type="dxa"/>
            <w:vAlign w:val="bottom"/>
            <w:gridSpan w:val="3"/>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right"/>
              <w:ind w:right="280"/>
              <w:spacing w:after="0" w:line="157" w:lineRule="exact"/>
              <w:rPr>
                <w:sz w:val="20"/>
                <w:szCs w:val="20"/>
                <w:color w:val="auto"/>
              </w:rPr>
            </w:pPr>
            <w:r>
              <w:rPr>
                <w:rFonts w:ascii="Arial" w:cs="Arial" w:eastAsia="Arial" w:hAnsi="Arial"/>
                <w:sz w:val="14"/>
                <w:szCs w:val="14"/>
                <w:color w:val="auto"/>
              </w:rPr>
              <w:t>Lines</w:t>
            </w:r>
          </w:p>
        </w:tc>
        <w:tc>
          <w:tcPr>
            <w:tcW w:w="16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center"/>
              <w:ind w:right="68"/>
              <w:spacing w:after="0" w:line="157" w:lineRule="exact"/>
              <w:rPr>
                <w:sz w:val="20"/>
                <w:szCs w:val="20"/>
                <w:color w:val="auto"/>
              </w:rPr>
            </w:pPr>
            <w:r>
              <w:rPr>
                <w:rFonts w:ascii="Arial" w:cs="Arial" w:eastAsia="Arial" w:hAnsi="Arial"/>
                <w:sz w:val="14"/>
                <w:szCs w:val="14"/>
                <w:color w:val="auto"/>
              </w:rPr>
              <w:t>rate</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80" w:type="dxa"/>
            <w:vAlign w:val="bottom"/>
            <w:shd w:val="clear" w:color="auto" w:fill="CCEEFF"/>
          </w:tcPr>
          <w:p>
            <w:pPr>
              <w:jc w:val="center"/>
              <w:ind w:right="713"/>
              <w:spacing w:after="0" w:line="196" w:lineRule="exact"/>
              <w:rPr>
                <w:sz w:val="20"/>
                <w:szCs w:val="20"/>
                <w:color w:val="auto"/>
              </w:rPr>
            </w:pPr>
            <w:r>
              <w:rPr>
                <w:rFonts w:ascii="Arial" w:cs="Arial" w:eastAsia="Arial" w:hAnsi="Arial"/>
                <w:sz w:val="18"/>
                <w:szCs w:val="18"/>
                <w:color w:val="auto"/>
                <w:w w:val="97"/>
              </w:rPr>
              <w:t>12/31/2003</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6"/>
            <w:shd w:val="clear" w:color="auto" w:fill="CCEEFF"/>
          </w:tcPr>
          <w:p>
            <w:pPr>
              <w:ind w:left="340"/>
              <w:spacing w:after="0" w:line="196" w:lineRule="exact"/>
              <w:rPr>
                <w:sz w:val="20"/>
                <w:szCs w:val="20"/>
                <w:color w:val="auto"/>
              </w:rPr>
            </w:pPr>
            <w:r>
              <w:rPr>
                <w:rFonts w:ascii="Arial" w:cs="Arial" w:eastAsia="Arial" w:hAnsi="Arial"/>
                <w:sz w:val="18"/>
                <w:szCs w:val="18"/>
                <w:color w:val="auto"/>
              </w:rPr>
              <w:t>1,672,621</w:t>
            </w:r>
          </w:p>
        </w:tc>
        <w:tc>
          <w:tcPr>
            <w:tcW w:w="920" w:type="dxa"/>
            <w:vAlign w:val="bottom"/>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7"/>
                <w:szCs w:val="17"/>
                <w:color w:val="auto"/>
              </w:rPr>
            </w:pPr>
          </w:p>
        </w:tc>
        <w:tc>
          <w:tcPr>
            <w:tcW w:w="1440" w:type="dxa"/>
            <w:vAlign w:val="bottom"/>
            <w:gridSpan w:val="5"/>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1,327,842</w:t>
            </w:r>
          </w:p>
        </w:tc>
        <w:tc>
          <w:tcPr>
            <w:tcW w:w="800" w:type="dxa"/>
            <w:vAlign w:val="bottom"/>
            <w:gridSpan w:val="3"/>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7.9%</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272,547</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4"/>
            <w:shd w:val="clear" w:color="auto" w:fill="CCEEFF"/>
          </w:tcPr>
          <w:p>
            <w:pPr>
              <w:ind w:left="220"/>
              <w:spacing w:after="0" w:line="196" w:lineRule="exact"/>
              <w:rPr>
                <w:sz w:val="20"/>
                <w:szCs w:val="20"/>
                <w:color w:val="auto"/>
              </w:rPr>
            </w:pPr>
            <w:r>
              <w:rPr>
                <w:rFonts w:ascii="Arial" w:cs="Arial" w:eastAsia="Arial" w:hAnsi="Arial"/>
                <w:sz w:val="18"/>
                <w:szCs w:val="18"/>
                <w:color w:val="auto"/>
              </w:rPr>
              <w:t>9.2%</w:t>
            </w:r>
          </w:p>
        </w:tc>
        <w:tc>
          <w:tcPr>
            <w:tcW w:w="160" w:type="dxa"/>
            <w:vAlign w:val="bottom"/>
            <w:shd w:val="clear" w:color="auto" w:fill="CCEEFF"/>
          </w:tcPr>
          <w:p>
            <w:pPr>
              <w:spacing w:after="0"/>
              <w:rPr>
                <w:sz w:val="17"/>
                <w:szCs w:val="17"/>
                <w:color w:val="auto"/>
              </w:rPr>
            </w:pPr>
          </w:p>
        </w:tc>
        <w:tc>
          <w:tcPr>
            <w:tcW w:w="980" w:type="dxa"/>
            <w:vAlign w:val="bottom"/>
            <w:gridSpan w:val="4"/>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3,273,010</w:t>
            </w:r>
          </w:p>
        </w:tc>
        <w:tc>
          <w:tcPr>
            <w:tcW w:w="80" w:type="dxa"/>
            <w:vAlign w:val="bottom"/>
            <w:shd w:val="clear" w:color="auto" w:fill="CCEEFF"/>
          </w:tcPr>
          <w:p>
            <w:pPr>
              <w:spacing w:after="0"/>
              <w:rPr>
                <w:sz w:val="17"/>
                <w:szCs w:val="17"/>
                <w:color w:val="auto"/>
              </w:rPr>
            </w:pPr>
          </w:p>
        </w:tc>
        <w:tc>
          <w:tcPr>
            <w:tcW w:w="900" w:type="dxa"/>
            <w:vAlign w:val="bottom"/>
            <w:gridSpan w:val="4"/>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80" w:type="dxa"/>
            <w:vAlign w:val="bottom"/>
          </w:tcPr>
          <w:p>
            <w:pPr>
              <w:jc w:val="center"/>
              <w:ind w:right="713"/>
              <w:spacing w:after="0" w:line="202" w:lineRule="exact"/>
              <w:rPr>
                <w:sz w:val="20"/>
                <w:szCs w:val="20"/>
                <w:color w:val="auto"/>
              </w:rPr>
            </w:pPr>
            <w:r>
              <w:rPr>
                <w:rFonts w:ascii="Arial" w:cs="Arial" w:eastAsia="Arial" w:hAnsi="Arial"/>
                <w:sz w:val="18"/>
                <w:szCs w:val="18"/>
                <w:color w:val="auto"/>
                <w:w w:val="97"/>
              </w:rPr>
              <w:t>03/31/2004</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6"/>
          </w:tcPr>
          <w:p>
            <w:pPr>
              <w:ind w:left="340"/>
              <w:spacing w:after="0" w:line="202" w:lineRule="exact"/>
              <w:rPr>
                <w:sz w:val="20"/>
                <w:szCs w:val="20"/>
                <w:color w:val="auto"/>
              </w:rPr>
            </w:pPr>
            <w:r>
              <w:rPr>
                <w:rFonts w:ascii="Arial" w:cs="Arial" w:eastAsia="Arial" w:hAnsi="Arial"/>
                <w:sz w:val="18"/>
                <w:szCs w:val="18"/>
                <w:color w:val="auto"/>
              </w:rPr>
              <w:t>1,678,496</w:t>
            </w:r>
          </w:p>
        </w:tc>
        <w:tc>
          <w:tcPr>
            <w:tcW w:w="92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3.4%</w:t>
            </w:r>
          </w:p>
        </w:tc>
        <w:tc>
          <w:tcPr>
            <w:tcW w:w="100" w:type="dxa"/>
            <w:vAlign w:val="bottom"/>
          </w:tcPr>
          <w:p>
            <w:pPr>
              <w:spacing w:after="0"/>
              <w:rPr>
                <w:sz w:val="17"/>
                <w:szCs w:val="17"/>
                <w:color w:val="auto"/>
              </w:rPr>
            </w:pPr>
          </w:p>
        </w:tc>
        <w:tc>
          <w:tcPr>
            <w:tcW w:w="1440" w:type="dxa"/>
            <w:vAlign w:val="bottom"/>
            <w:gridSpan w:val="5"/>
          </w:tcPr>
          <w:p>
            <w:pPr>
              <w:jc w:val="right"/>
              <w:ind w:right="340"/>
              <w:spacing w:after="0" w:line="202" w:lineRule="exact"/>
              <w:rPr>
                <w:sz w:val="20"/>
                <w:szCs w:val="20"/>
                <w:color w:val="auto"/>
              </w:rPr>
            </w:pPr>
            <w:r>
              <w:rPr>
                <w:rFonts w:ascii="Arial" w:cs="Arial" w:eastAsia="Arial" w:hAnsi="Arial"/>
                <w:sz w:val="18"/>
                <w:szCs w:val="18"/>
                <w:color w:val="auto"/>
              </w:rPr>
              <w:t>1,335,763</w:t>
            </w:r>
          </w:p>
        </w:tc>
        <w:tc>
          <w:tcPr>
            <w:tcW w:w="80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5.8%</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275,970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4"/>
          </w:tcPr>
          <w:p>
            <w:pPr>
              <w:ind w:left="220"/>
              <w:spacing w:after="0" w:line="202" w:lineRule="exact"/>
              <w:rPr>
                <w:sz w:val="20"/>
                <w:szCs w:val="20"/>
                <w:color w:val="auto"/>
              </w:rPr>
            </w:pPr>
            <w:r>
              <w:rPr>
                <w:rFonts w:ascii="Arial" w:cs="Arial" w:eastAsia="Arial" w:hAnsi="Arial"/>
                <w:sz w:val="18"/>
                <w:szCs w:val="18"/>
                <w:color w:val="auto"/>
              </w:rPr>
              <w:t>7.2%</w:t>
            </w:r>
          </w:p>
        </w:tc>
        <w:tc>
          <w:tcPr>
            <w:tcW w:w="160" w:type="dxa"/>
            <w:vAlign w:val="bottom"/>
          </w:tcPr>
          <w:p>
            <w:pPr>
              <w:spacing w:after="0"/>
              <w:rPr>
                <w:sz w:val="17"/>
                <w:szCs w:val="17"/>
                <w:color w:val="auto"/>
              </w:rPr>
            </w:pPr>
          </w:p>
        </w:tc>
        <w:tc>
          <w:tcPr>
            <w:tcW w:w="980" w:type="dxa"/>
            <w:vAlign w:val="bottom"/>
            <w:gridSpan w:val="4"/>
          </w:tcPr>
          <w:p>
            <w:pPr>
              <w:jc w:val="right"/>
              <w:ind w:right="80"/>
              <w:spacing w:after="0" w:line="202" w:lineRule="exact"/>
              <w:rPr>
                <w:sz w:val="20"/>
                <w:szCs w:val="20"/>
                <w:color w:val="auto"/>
              </w:rPr>
            </w:pPr>
            <w:r>
              <w:rPr>
                <w:rFonts w:ascii="Arial" w:cs="Arial" w:eastAsia="Arial" w:hAnsi="Arial"/>
                <w:sz w:val="18"/>
                <w:szCs w:val="18"/>
                <w:color w:val="auto"/>
              </w:rPr>
              <w:t>3,290,229</w:t>
            </w:r>
          </w:p>
        </w:tc>
        <w:tc>
          <w:tcPr>
            <w:tcW w:w="80" w:type="dxa"/>
            <w:vAlign w:val="bottom"/>
          </w:tcPr>
          <w:p>
            <w:pPr>
              <w:spacing w:after="0"/>
              <w:rPr>
                <w:sz w:val="17"/>
                <w:szCs w:val="17"/>
                <w:color w:val="auto"/>
              </w:rPr>
            </w:pPr>
          </w:p>
        </w:tc>
        <w:tc>
          <w:tcPr>
            <w:tcW w:w="90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80" w:type="dxa"/>
            <w:vAlign w:val="bottom"/>
            <w:shd w:val="clear" w:color="auto" w:fill="CCEEFF"/>
          </w:tcPr>
          <w:p>
            <w:pPr>
              <w:jc w:val="center"/>
              <w:ind w:right="713"/>
              <w:spacing w:after="0" w:line="202" w:lineRule="exact"/>
              <w:rPr>
                <w:sz w:val="20"/>
                <w:szCs w:val="20"/>
                <w:color w:val="auto"/>
              </w:rPr>
            </w:pPr>
            <w:r>
              <w:rPr>
                <w:rFonts w:ascii="Arial" w:cs="Arial" w:eastAsia="Arial" w:hAnsi="Arial"/>
                <w:sz w:val="18"/>
                <w:szCs w:val="18"/>
                <w:color w:val="auto"/>
                <w:w w:val="97"/>
              </w:rPr>
              <w:t>06/30/2004</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6"/>
            <w:shd w:val="clear" w:color="auto" w:fill="CCEEFF"/>
          </w:tcPr>
          <w:p>
            <w:pPr>
              <w:ind w:left="340"/>
              <w:spacing w:after="0" w:line="202" w:lineRule="exact"/>
              <w:rPr>
                <w:sz w:val="20"/>
                <w:szCs w:val="20"/>
                <w:color w:val="auto"/>
              </w:rPr>
            </w:pPr>
            <w:r>
              <w:rPr>
                <w:rFonts w:ascii="Arial" w:cs="Arial" w:eastAsia="Arial" w:hAnsi="Arial"/>
                <w:sz w:val="18"/>
                <w:szCs w:val="18"/>
                <w:color w:val="auto"/>
              </w:rPr>
              <w:t>1,686,524</w:t>
            </w:r>
          </w:p>
        </w:tc>
        <w:tc>
          <w:tcPr>
            <w:tcW w:w="9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7"/>
                <w:szCs w:val="17"/>
                <w:color w:val="auto"/>
              </w:rPr>
            </w:pPr>
          </w:p>
        </w:tc>
        <w:tc>
          <w:tcPr>
            <w:tcW w:w="1440" w:type="dxa"/>
            <w:vAlign w:val="bottom"/>
            <w:gridSpan w:val="5"/>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1,347,409</w:t>
            </w:r>
          </w:p>
        </w:tc>
        <w:tc>
          <w:tcPr>
            <w:tcW w:w="80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4.2%</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278,547</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4"/>
            <w:shd w:val="clear" w:color="auto" w:fill="CCEEFF"/>
          </w:tcPr>
          <w:p>
            <w:pPr>
              <w:ind w:left="220"/>
              <w:spacing w:after="0" w:line="202" w:lineRule="exact"/>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17"/>
                <w:szCs w:val="17"/>
                <w:color w:val="auto"/>
              </w:rPr>
            </w:pPr>
          </w:p>
        </w:tc>
        <w:tc>
          <w:tcPr>
            <w:tcW w:w="980" w:type="dxa"/>
            <w:vAlign w:val="bottom"/>
            <w:gridSpan w:val="4"/>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3,312,480</w:t>
            </w:r>
          </w:p>
        </w:tc>
        <w:tc>
          <w:tcPr>
            <w:tcW w:w="80" w:type="dxa"/>
            <w:vAlign w:val="bottom"/>
            <w:shd w:val="clear" w:color="auto" w:fill="CCEEFF"/>
          </w:tcPr>
          <w:p>
            <w:pPr>
              <w:spacing w:after="0"/>
              <w:rPr>
                <w:sz w:val="17"/>
                <w:szCs w:val="17"/>
                <w:color w:val="auto"/>
              </w:rPr>
            </w:pPr>
          </w:p>
        </w:tc>
        <w:tc>
          <w:tcPr>
            <w:tcW w:w="90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80" w:type="dxa"/>
            <w:vAlign w:val="bottom"/>
          </w:tcPr>
          <w:p>
            <w:pPr>
              <w:jc w:val="center"/>
              <w:ind w:right="713"/>
              <w:spacing w:after="0" w:line="202" w:lineRule="exact"/>
              <w:rPr>
                <w:sz w:val="20"/>
                <w:szCs w:val="20"/>
                <w:color w:val="auto"/>
              </w:rPr>
            </w:pPr>
            <w:r>
              <w:rPr>
                <w:rFonts w:ascii="Arial" w:cs="Arial" w:eastAsia="Arial" w:hAnsi="Arial"/>
                <w:sz w:val="18"/>
                <w:szCs w:val="18"/>
                <w:color w:val="auto"/>
                <w:w w:val="97"/>
              </w:rPr>
              <w:t>09/30/2004</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6"/>
          </w:tcPr>
          <w:p>
            <w:pPr>
              <w:ind w:left="340"/>
              <w:spacing w:after="0" w:line="202" w:lineRule="exact"/>
              <w:rPr>
                <w:sz w:val="20"/>
                <w:szCs w:val="20"/>
                <w:color w:val="auto"/>
              </w:rPr>
            </w:pPr>
            <w:r>
              <w:rPr>
                <w:rFonts w:ascii="Arial" w:cs="Arial" w:eastAsia="Arial" w:hAnsi="Arial"/>
                <w:sz w:val="18"/>
                <w:szCs w:val="18"/>
                <w:color w:val="auto"/>
              </w:rPr>
              <w:t>1,682,561</w:t>
            </w:r>
          </w:p>
        </w:tc>
        <w:tc>
          <w:tcPr>
            <w:tcW w:w="92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1.0%</w:t>
            </w:r>
          </w:p>
        </w:tc>
        <w:tc>
          <w:tcPr>
            <w:tcW w:w="100" w:type="dxa"/>
            <w:vAlign w:val="bottom"/>
          </w:tcPr>
          <w:p>
            <w:pPr>
              <w:spacing w:after="0"/>
              <w:rPr>
                <w:sz w:val="17"/>
                <w:szCs w:val="17"/>
                <w:color w:val="auto"/>
              </w:rPr>
            </w:pPr>
          </w:p>
        </w:tc>
        <w:tc>
          <w:tcPr>
            <w:tcW w:w="1440" w:type="dxa"/>
            <w:vAlign w:val="bottom"/>
            <w:gridSpan w:val="5"/>
          </w:tcPr>
          <w:p>
            <w:pPr>
              <w:jc w:val="right"/>
              <w:ind w:right="340"/>
              <w:spacing w:after="0" w:line="202" w:lineRule="exact"/>
              <w:rPr>
                <w:sz w:val="20"/>
                <w:szCs w:val="20"/>
                <w:color w:val="auto"/>
              </w:rPr>
            </w:pPr>
            <w:r>
              <w:rPr>
                <w:rFonts w:ascii="Arial" w:cs="Arial" w:eastAsia="Arial" w:hAnsi="Arial"/>
                <w:sz w:val="18"/>
                <w:szCs w:val="18"/>
                <w:color w:val="auto"/>
              </w:rPr>
              <w:t>1,350,899</w:t>
            </w:r>
          </w:p>
        </w:tc>
        <w:tc>
          <w:tcPr>
            <w:tcW w:w="80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2.6%</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278,707</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4"/>
          </w:tcPr>
          <w:p>
            <w:pPr>
              <w:ind w:left="220"/>
              <w:spacing w:after="0" w:line="202" w:lineRule="exact"/>
              <w:rPr>
                <w:sz w:val="20"/>
                <w:szCs w:val="20"/>
                <w:color w:val="auto"/>
              </w:rPr>
            </w:pPr>
            <w:r>
              <w:rPr>
                <w:rFonts w:ascii="Arial" w:cs="Arial" w:eastAsia="Arial" w:hAnsi="Arial"/>
                <w:sz w:val="18"/>
                <w:szCs w:val="18"/>
                <w:color w:val="auto"/>
              </w:rPr>
              <w:t>3.4%</w:t>
            </w:r>
          </w:p>
        </w:tc>
        <w:tc>
          <w:tcPr>
            <w:tcW w:w="160" w:type="dxa"/>
            <w:vAlign w:val="bottom"/>
          </w:tcPr>
          <w:p>
            <w:pPr>
              <w:spacing w:after="0"/>
              <w:rPr>
                <w:sz w:val="17"/>
                <w:szCs w:val="17"/>
                <w:color w:val="auto"/>
              </w:rPr>
            </w:pPr>
          </w:p>
        </w:tc>
        <w:tc>
          <w:tcPr>
            <w:tcW w:w="980" w:type="dxa"/>
            <w:vAlign w:val="bottom"/>
            <w:gridSpan w:val="4"/>
          </w:tcPr>
          <w:p>
            <w:pPr>
              <w:jc w:val="right"/>
              <w:ind w:right="80"/>
              <w:spacing w:after="0" w:line="202" w:lineRule="exact"/>
              <w:rPr>
                <w:sz w:val="20"/>
                <w:szCs w:val="20"/>
                <w:color w:val="auto"/>
              </w:rPr>
            </w:pPr>
            <w:r>
              <w:rPr>
                <w:rFonts w:ascii="Arial" w:cs="Arial" w:eastAsia="Arial" w:hAnsi="Arial"/>
                <w:sz w:val="18"/>
                <w:szCs w:val="18"/>
                <w:color w:val="auto"/>
              </w:rPr>
              <w:t>3,312,167</w:t>
            </w:r>
          </w:p>
        </w:tc>
        <w:tc>
          <w:tcPr>
            <w:tcW w:w="80" w:type="dxa"/>
            <w:vAlign w:val="bottom"/>
          </w:tcPr>
          <w:p>
            <w:pPr>
              <w:spacing w:after="0"/>
              <w:rPr>
                <w:sz w:val="17"/>
                <w:szCs w:val="17"/>
                <w:color w:val="auto"/>
              </w:rPr>
            </w:pPr>
          </w:p>
        </w:tc>
        <w:tc>
          <w:tcPr>
            <w:tcW w:w="90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80" w:type="dxa"/>
            <w:vAlign w:val="bottom"/>
            <w:shd w:val="clear" w:color="auto" w:fill="CCEEFF"/>
          </w:tcPr>
          <w:p>
            <w:pPr>
              <w:jc w:val="center"/>
              <w:ind w:right="713"/>
              <w:spacing w:after="0" w:line="202" w:lineRule="exact"/>
              <w:rPr>
                <w:sz w:val="20"/>
                <w:szCs w:val="20"/>
                <w:color w:val="auto"/>
              </w:rPr>
            </w:pPr>
            <w:r>
              <w:rPr>
                <w:rFonts w:ascii="Arial" w:cs="Arial" w:eastAsia="Arial" w:hAnsi="Arial"/>
                <w:sz w:val="18"/>
                <w:szCs w:val="18"/>
                <w:color w:val="auto"/>
                <w:w w:val="97"/>
              </w:rPr>
              <w:t>12/31/2004</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6"/>
            <w:shd w:val="clear" w:color="auto" w:fill="CCEEFF"/>
          </w:tcPr>
          <w:p>
            <w:pPr>
              <w:ind w:left="340"/>
              <w:spacing w:after="0" w:line="202" w:lineRule="exact"/>
              <w:rPr>
                <w:sz w:val="20"/>
                <w:szCs w:val="20"/>
                <w:color w:val="auto"/>
              </w:rPr>
            </w:pPr>
            <w:r>
              <w:rPr>
                <w:rFonts w:ascii="Arial" w:cs="Arial" w:eastAsia="Arial" w:hAnsi="Arial"/>
                <w:sz w:val="18"/>
                <w:szCs w:val="18"/>
                <w:color w:val="auto"/>
              </w:rPr>
              <w:t>1,670,804</w:t>
            </w:r>
          </w:p>
        </w:tc>
        <w:tc>
          <w:tcPr>
            <w:tcW w:w="102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(0.1)%</w:t>
            </w:r>
          </w:p>
        </w:tc>
        <w:tc>
          <w:tcPr>
            <w:tcW w:w="1440" w:type="dxa"/>
            <w:vAlign w:val="bottom"/>
            <w:gridSpan w:val="5"/>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1,347,671</w:t>
            </w:r>
          </w:p>
        </w:tc>
        <w:tc>
          <w:tcPr>
            <w:tcW w:w="80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278,974</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4"/>
            <w:shd w:val="clear" w:color="auto" w:fill="CCEEFF"/>
          </w:tcPr>
          <w:p>
            <w:pPr>
              <w:ind w:left="220"/>
              <w:spacing w:after="0" w:line="202" w:lineRule="exact"/>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7"/>
                <w:szCs w:val="17"/>
                <w:color w:val="auto"/>
              </w:rPr>
            </w:pPr>
          </w:p>
        </w:tc>
        <w:tc>
          <w:tcPr>
            <w:tcW w:w="980" w:type="dxa"/>
            <w:vAlign w:val="bottom"/>
            <w:gridSpan w:val="4"/>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3,297,449</w:t>
            </w:r>
          </w:p>
        </w:tc>
        <w:tc>
          <w:tcPr>
            <w:tcW w:w="80" w:type="dxa"/>
            <w:vAlign w:val="bottom"/>
            <w:shd w:val="clear" w:color="auto" w:fill="CCEEFF"/>
          </w:tcPr>
          <w:p>
            <w:pPr>
              <w:spacing w:after="0"/>
              <w:rPr>
                <w:sz w:val="17"/>
                <w:szCs w:val="17"/>
                <w:color w:val="auto"/>
              </w:rPr>
            </w:pPr>
          </w:p>
        </w:tc>
        <w:tc>
          <w:tcPr>
            <w:tcW w:w="90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680" w:type="dxa"/>
            <w:vAlign w:val="bottom"/>
          </w:tcPr>
          <w:p>
            <w:pPr>
              <w:jc w:val="center"/>
              <w:ind w:right="713"/>
              <w:spacing w:after="0"/>
              <w:rPr>
                <w:sz w:val="20"/>
                <w:szCs w:val="20"/>
                <w:color w:val="auto"/>
              </w:rPr>
            </w:pPr>
            <w:r>
              <w:rPr>
                <w:rFonts w:ascii="Arial" w:cs="Arial" w:eastAsia="Arial" w:hAnsi="Arial"/>
                <w:sz w:val="18"/>
                <w:szCs w:val="18"/>
                <w:color w:val="auto"/>
                <w:w w:val="97"/>
              </w:rPr>
              <w:t>03/31/2005</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6"/>
          </w:tcPr>
          <w:p>
            <w:pPr>
              <w:ind w:left="340"/>
              <w:spacing w:after="0"/>
              <w:rPr>
                <w:sz w:val="20"/>
                <w:szCs w:val="20"/>
                <w:color w:val="auto"/>
              </w:rPr>
            </w:pPr>
            <w:r>
              <w:rPr>
                <w:rFonts w:ascii="Arial" w:cs="Arial" w:eastAsia="Arial" w:hAnsi="Arial"/>
                <w:sz w:val="18"/>
                <w:szCs w:val="18"/>
                <w:color w:val="auto"/>
              </w:rPr>
              <w:t>1,661,955</w:t>
            </w:r>
          </w:p>
        </w:tc>
        <w:tc>
          <w:tcPr>
            <w:tcW w:w="1020" w:type="dxa"/>
            <w:vAlign w:val="bottom"/>
            <w:gridSpan w:val="5"/>
          </w:tcPr>
          <w:p>
            <w:pPr>
              <w:jc w:val="right"/>
              <w:spacing w:after="0"/>
              <w:rPr>
                <w:sz w:val="20"/>
                <w:szCs w:val="20"/>
                <w:color w:val="auto"/>
              </w:rPr>
            </w:pPr>
            <w:r>
              <w:rPr>
                <w:rFonts w:ascii="Arial" w:cs="Arial" w:eastAsia="Arial" w:hAnsi="Arial"/>
                <w:sz w:val="18"/>
                <w:szCs w:val="18"/>
                <w:color w:val="auto"/>
              </w:rPr>
              <w:t>(1.0)%</w:t>
            </w:r>
          </w:p>
        </w:tc>
        <w:tc>
          <w:tcPr>
            <w:tcW w:w="1440" w:type="dxa"/>
            <w:vAlign w:val="bottom"/>
            <w:gridSpan w:val="5"/>
          </w:tcPr>
          <w:p>
            <w:pPr>
              <w:jc w:val="right"/>
              <w:ind w:right="340"/>
              <w:spacing w:after="0"/>
              <w:rPr>
                <w:sz w:val="20"/>
                <w:szCs w:val="20"/>
                <w:color w:val="auto"/>
              </w:rPr>
            </w:pPr>
            <w:r>
              <w:rPr>
                <w:rFonts w:ascii="Arial" w:cs="Arial" w:eastAsia="Arial" w:hAnsi="Arial"/>
                <w:sz w:val="18"/>
                <w:szCs w:val="18"/>
                <w:color w:val="auto"/>
              </w:rPr>
              <w:t>1,343,803</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0.6%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279,927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4"/>
          </w:tcPr>
          <w:p>
            <w:pPr>
              <w:ind w:left="22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980" w:type="dxa"/>
            <w:vAlign w:val="bottom"/>
            <w:gridSpan w:val="4"/>
          </w:tcPr>
          <w:p>
            <w:pPr>
              <w:jc w:val="right"/>
              <w:ind w:right="80"/>
              <w:spacing w:after="0"/>
              <w:rPr>
                <w:sz w:val="20"/>
                <w:szCs w:val="20"/>
                <w:color w:val="auto"/>
              </w:rPr>
            </w:pPr>
            <w:r>
              <w:rPr>
                <w:rFonts w:ascii="Arial" w:cs="Arial" w:eastAsia="Arial" w:hAnsi="Arial"/>
                <w:sz w:val="18"/>
                <w:szCs w:val="18"/>
                <w:color w:val="auto"/>
              </w:rPr>
              <w:t>3,285,685</w:t>
            </w:r>
          </w:p>
        </w:tc>
        <w:tc>
          <w:tcPr>
            <w:tcW w:w="8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4"/>
          </w:tcPr>
          <w:p>
            <w:pPr>
              <w:jc w:val="center"/>
              <w:ind w:right="240"/>
              <w:spacing w:after="0"/>
              <w:rPr>
                <w:sz w:val="20"/>
                <w:szCs w:val="20"/>
                <w:color w:val="auto"/>
              </w:rPr>
            </w:pPr>
            <w:r>
              <w:rPr>
                <w:rFonts w:ascii="Arial" w:cs="Arial" w:eastAsia="Arial" w:hAnsi="Arial"/>
                <w:sz w:val="14"/>
                <w:szCs w:val="14"/>
                <w:color w:val="auto"/>
              </w:rPr>
              <w:t>12-mth.</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4"/>
          </w:tcPr>
          <w:p>
            <w:pPr>
              <w:jc w:val="center"/>
              <w:ind w:right="380"/>
              <w:spacing w:after="0"/>
              <w:rPr>
                <w:sz w:val="20"/>
                <w:szCs w:val="20"/>
                <w:color w:val="auto"/>
              </w:rPr>
            </w:pPr>
            <w:r>
              <w:rPr>
                <w:rFonts w:ascii="Arial" w:cs="Arial" w:eastAsia="Arial" w:hAnsi="Arial"/>
                <w:sz w:val="14"/>
                <w:szCs w:val="14"/>
                <w:color w:val="auto"/>
              </w:rPr>
              <w:t>12-mth.</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gridSpan w:val="4"/>
          </w:tcPr>
          <w:p>
            <w:pPr>
              <w:jc w:val="center"/>
              <w:ind w:left="174"/>
              <w:spacing w:after="0"/>
              <w:rPr>
                <w:sz w:val="20"/>
                <w:szCs w:val="20"/>
                <w:color w:val="auto"/>
              </w:rPr>
            </w:pPr>
            <w:r>
              <w:rPr>
                <w:rFonts w:ascii="Arial" w:cs="Arial" w:eastAsia="Arial" w:hAnsi="Arial"/>
                <w:sz w:val="14"/>
                <w:szCs w:val="14"/>
                <w:color w:val="auto"/>
              </w:rPr>
              <w:t>12-mth.</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4"/>
                <w:szCs w:val="14"/>
                <w:color w:val="auto"/>
              </w:rPr>
              <w:t>All other</w:t>
            </w:r>
          </w:p>
        </w:tc>
        <w:tc>
          <w:tcPr>
            <w:tcW w:w="880" w:type="dxa"/>
            <w:vAlign w:val="bottom"/>
            <w:gridSpan w:val="5"/>
          </w:tcPr>
          <w:p>
            <w:pPr>
              <w:ind w:left="240"/>
              <w:spacing w:after="0"/>
              <w:rPr>
                <w:sz w:val="20"/>
                <w:szCs w:val="20"/>
                <w:color w:val="auto"/>
              </w:rPr>
            </w:pPr>
            <w:r>
              <w:rPr>
                <w:rFonts w:ascii="Arial" w:cs="Arial" w:eastAsia="Arial" w:hAnsi="Arial"/>
                <w:sz w:val="14"/>
                <w:szCs w:val="14"/>
                <w:color w:val="auto"/>
              </w:rPr>
              <w:t>12-mth.</w:t>
            </w:r>
          </w:p>
        </w:tc>
        <w:tc>
          <w:tcPr>
            <w:tcW w:w="240" w:type="dxa"/>
            <w:vAlign w:val="bottom"/>
          </w:tcPr>
          <w:p>
            <w:pPr>
              <w:spacing w:after="0"/>
              <w:rPr>
                <w:sz w:val="24"/>
                <w:szCs w:val="24"/>
                <w:color w:val="auto"/>
              </w:rPr>
            </w:pPr>
          </w:p>
        </w:tc>
        <w:tc>
          <w:tcPr>
            <w:tcW w:w="820" w:type="dxa"/>
            <w:vAlign w:val="bottom"/>
            <w:gridSpan w:val="4"/>
          </w:tcPr>
          <w:p>
            <w:pPr>
              <w:jc w:val="center"/>
              <w:ind w:right="80"/>
              <w:spacing w:after="0"/>
              <w:rPr>
                <w:sz w:val="20"/>
                <w:szCs w:val="20"/>
                <w:color w:val="auto"/>
              </w:rPr>
            </w:pPr>
            <w:r>
              <w:rPr>
                <w:rFonts w:ascii="Arial" w:cs="Arial" w:eastAsia="Arial" w:hAnsi="Arial"/>
                <w:sz w:val="14"/>
                <w:szCs w:val="14"/>
                <w:color w:val="auto"/>
                <w:w w:val="96"/>
              </w:rPr>
              <w:t>Total</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color w:val="auto"/>
              </w:rPr>
              <w:t>12-mth.</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color w:val="auto"/>
              </w:rPr>
              <w:t>CML*</w:t>
            </w:r>
          </w:p>
        </w:tc>
        <w:tc>
          <w:tcPr>
            <w:tcW w:w="140" w:type="dxa"/>
            <w:vAlign w:val="bottom"/>
          </w:tcPr>
          <w:p>
            <w:pPr>
              <w:spacing w:after="0"/>
              <w:rPr>
                <w:sz w:val="14"/>
                <w:szCs w:val="14"/>
                <w:color w:val="auto"/>
              </w:rPr>
            </w:pPr>
          </w:p>
        </w:tc>
        <w:tc>
          <w:tcPr>
            <w:tcW w:w="880" w:type="dxa"/>
            <w:vAlign w:val="bottom"/>
            <w:gridSpan w:val="3"/>
          </w:tcPr>
          <w:p>
            <w:pPr>
              <w:jc w:val="center"/>
              <w:ind w:right="380"/>
              <w:spacing w:after="0"/>
              <w:rPr>
                <w:sz w:val="20"/>
                <w:szCs w:val="20"/>
                <w:color w:val="auto"/>
              </w:rPr>
            </w:pPr>
            <w:r>
              <w:rPr>
                <w:rFonts w:ascii="Arial" w:cs="Arial" w:eastAsia="Arial" w:hAnsi="Arial"/>
                <w:sz w:val="14"/>
                <w:szCs w:val="14"/>
                <w:color w:val="auto"/>
                <w:w w:val="99"/>
              </w:rPr>
              <w:t>growth</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4"/>
          </w:tcPr>
          <w:p>
            <w:pPr>
              <w:jc w:val="right"/>
              <w:ind w:right="520"/>
              <w:spacing w:after="0"/>
              <w:rPr>
                <w:sz w:val="20"/>
                <w:szCs w:val="20"/>
                <w:color w:val="auto"/>
              </w:rPr>
            </w:pPr>
            <w:r>
              <w:rPr>
                <w:rFonts w:ascii="Arial" w:cs="Arial" w:eastAsia="Arial" w:hAnsi="Arial"/>
                <w:sz w:val="14"/>
                <w:szCs w:val="14"/>
                <w:color w:val="auto"/>
              </w:rPr>
              <w:t>CML*</w:t>
            </w:r>
          </w:p>
        </w:tc>
        <w:tc>
          <w:tcPr>
            <w:tcW w:w="880" w:type="dxa"/>
            <w:vAlign w:val="bottom"/>
            <w:gridSpan w:val="4"/>
          </w:tcPr>
          <w:p>
            <w:pPr>
              <w:jc w:val="center"/>
              <w:ind w:right="380"/>
              <w:spacing w:after="0"/>
              <w:rPr>
                <w:sz w:val="20"/>
                <w:szCs w:val="20"/>
                <w:color w:val="auto"/>
              </w:rPr>
            </w:pPr>
            <w:r>
              <w:rPr>
                <w:rFonts w:ascii="Arial" w:cs="Arial" w:eastAsia="Arial" w:hAnsi="Arial"/>
                <w:sz w:val="14"/>
                <w:szCs w:val="14"/>
                <w:color w:val="auto"/>
                <w:w w:val="99"/>
              </w:rPr>
              <w:t>growth</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Workers’</w:t>
            </w:r>
          </w:p>
        </w:tc>
        <w:tc>
          <w:tcPr>
            <w:tcW w:w="320" w:type="dxa"/>
            <w:vAlign w:val="bottom"/>
          </w:tcPr>
          <w:p>
            <w:pPr>
              <w:spacing w:after="0"/>
              <w:rPr>
                <w:sz w:val="14"/>
                <w:szCs w:val="14"/>
                <w:color w:val="auto"/>
              </w:rPr>
            </w:pPr>
          </w:p>
        </w:tc>
        <w:tc>
          <w:tcPr>
            <w:tcW w:w="540" w:type="dxa"/>
            <w:vAlign w:val="bottom"/>
            <w:gridSpan w:val="3"/>
          </w:tcPr>
          <w:p>
            <w:pPr>
              <w:jc w:val="center"/>
              <w:ind w:right="60"/>
              <w:spacing w:after="0"/>
              <w:rPr>
                <w:sz w:val="20"/>
                <w:szCs w:val="20"/>
                <w:color w:val="auto"/>
              </w:rPr>
            </w:pPr>
            <w:r>
              <w:rPr>
                <w:rFonts w:ascii="Arial" w:cs="Arial" w:eastAsia="Arial" w:hAnsi="Arial"/>
                <w:sz w:val="14"/>
                <w:szCs w:val="14"/>
                <w:color w:val="auto"/>
              </w:rPr>
              <w:t>growth</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4"/>
                <w:szCs w:val="14"/>
                <w:color w:val="auto"/>
              </w:rPr>
              <w:t>CML* lines</w:t>
            </w:r>
          </w:p>
        </w:tc>
        <w:tc>
          <w:tcPr>
            <w:tcW w:w="240" w:type="dxa"/>
            <w:vAlign w:val="bottom"/>
          </w:tcPr>
          <w:p>
            <w:pPr>
              <w:spacing w:after="0"/>
              <w:rPr>
                <w:sz w:val="14"/>
                <w:szCs w:val="14"/>
                <w:color w:val="auto"/>
              </w:rPr>
            </w:pPr>
          </w:p>
        </w:tc>
        <w:tc>
          <w:tcPr>
            <w:tcW w:w="640" w:type="dxa"/>
            <w:vAlign w:val="bottom"/>
            <w:gridSpan w:val="4"/>
          </w:tcPr>
          <w:p>
            <w:pPr>
              <w:jc w:val="center"/>
              <w:ind w:right="88"/>
              <w:spacing w:after="0"/>
              <w:rPr>
                <w:sz w:val="20"/>
                <w:szCs w:val="20"/>
                <w:color w:val="auto"/>
              </w:rPr>
            </w:pPr>
            <w:r>
              <w:rPr>
                <w:rFonts w:ascii="Arial" w:cs="Arial" w:eastAsia="Arial" w:hAnsi="Arial"/>
                <w:sz w:val="14"/>
                <w:szCs w:val="14"/>
                <w:color w:val="auto"/>
              </w:rPr>
              <w:t>growth</w:t>
            </w:r>
          </w:p>
        </w:tc>
        <w:tc>
          <w:tcPr>
            <w:tcW w:w="240" w:type="dxa"/>
            <w:vAlign w:val="bottom"/>
          </w:tcPr>
          <w:p>
            <w:pPr>
              <w:spacing w:after="0"/>
              <w:rPr>
                <w:sz w:val="14"/>
                <w:szCs w:val="14"/>
                <w:color w:val="auto"/>
              </w:rPr>
            </w:pPr>
          </w:p>
        </w:tc>
        <w:tc>
          <w:tcPr>
            <w:tcW w:w="820" w:type="dxa"/>
            <w:vAlign w:val="bottom"/>
            <w:gridSpan w:val="4"/>
          </w:tcPr>
          <w:p>
            <w:pPr>
              <w:jc w:val="center"/>
              <w:ind w:right="100"/>
              <w:spacing w:after="0"/>
              <w:rPr>
                <w:sz w:val="20"/>
                <w:szCs w:val="20"/>
                <w:color w:val="auto"/>
              </w:rPr>
            </w:pPr>
            <w:r>
              <w:rPr>
                <w:rFonts w:ascii="Arial" w:cs="Arial" w:eastAsia="Arial" w:hAnsi="Arial"/>
                <w:sz w:val="14"/>
                <w:szCs w:val="14"/>
                <w:color w:val="auto"/>
              </w:rPr>
              <w:t>CML*</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color w:val="auto"/>
              </w:rPr>
              <w:t>growth</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680" w:type="dxa"/>
            <w:vAlign w:val="bottom"/>
          </w:tcPr>
          <w:p>
            <w:pPr>
              <w:ind w:left="220"/>
              <w:spacing w:after="0" w:line="157" w:lineRule="exact"/>
              <w:rPr>
                <w:sz w:val="20"/>
                <w:szCs w:val="20"/>
                <w:color w:val="auto"/>
              </w:rPr>
            </w:pPr>
            <w:r>
              <w:rPr>
                <w:rFonts w:ascii="Arial" w:cs="Arial" w:eastAsia="Arial" w:hAnsi="Arial"/>
                <w:sz w:val="14"/>
                <w:szCs w:val="14"/>
                <w:color w:val="auto"/>
              </w:rPr>
              <w:t>Date</w:t>
            </w:r>
          </w:p>
        </w:tc>
        <w:tc>
          <w:tcPr>
            <w:tcW w:w="220" w:type="dxa"/>
            <w:vAlign w:val="bottom"/>
          </w:tcPr>
          <w:p>
            <w:pPr>
              <w:spacing w:after="0"/>
              <w:rPr>
                <w:sz w:val="13"/>
                <w:szCs w:val="13"/>
                <w:color w:val="auto"/>
              </w:rPr>
            </w:pPr>
          </w:p>
        </w:tc>
        <w:tc>
          <w:tcPr>
            <w:tcW w:w="760" w:type="dxa"/>
            <w:vAlign w:val="bottom"/>
          </w:tcPr>
          <w:p>
            <w:pPr>
              <w:jc w:val="center"/>
              <w:spacing w:after="0" w:line="157" w:lineRule="exact"/>
              <w:rPr>
                <w:sz w:val="20"/>
                <w:szCs w:val="20"/>
                <w:color w:val="auto"/>
              </w:rPr>
            </w:pPr>
            <w:r>
              <w:rPr>
                <w:rFonts w:ascii="Arial" w:cs="Arial" w:eastAsia="Arial" w:hAnsi="Arial"/>
                <w:sz w:val="14"/>
                <w:szCs w:val="14"/>
                <w:color w:val="auto"/>
              </w:rPr>
              <w:t>auto</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center"/>
              <w:ind w:right="8"/>
              <w:spacing w:after="0" w:line="157" w:lineRule="exact"/>
              <w:rPr>
                <w:sz w:val="20"/>
                <w:szCs w:val="20"/>
                <w:color w:val="auto"/>
              </w:rPr>
            </w:pPr>
            <w:r>
              <w:rPr>
                <w:rFonts w:ascii="Arial" w:cs="Arial" w:eastAsia="Arial" w:hAnsi="Arial"/>
                <w:sz w:val="14"/>
                <w:szCs w:val="14"/>
                <w:color w:val="auto"/>
              </w:rPr>
              <w:t>rate</w:t>
            </w:r>
          </w:p>
        </w:tc>
        <w:tc>
          <w:tcPr>
            <w:tcW w:w="380" w:type="dxa"/>
            <w:vAlign w:val="bottom"/>
          </w:tcPr>
          <w:p>
            <w:pPr>
              <w:spacing w:after="0"/>
              <w:rPr>
                <w:sz w:val="13"/>
                <w:szCs w:val="13"/>
                <w:color w:val="auto"/>
              </w:rPr>
            </w:pPr>
          </w:p>
        </w:tc>
        <w:tc>
          <w:tcPr>
            <w:tcW w:w="760" w:type="dxa"/>
            <w:vAlign w:val="bottom"/>
            <w:gridSpan w:val="4"/>
          </w:tcPr>
          <w:p>
            <w:pPr>
              <w:jc w:val="right"/>
              <w:spacing w:after="0" w:line="157" w:lineRule="exact"/>
              <w:rPr>
                <w:sz w:val="20"/>
                <w:szCs w:val="20"/>
                <w:color w:val="auto"/>
              </w:rPr>
            </w:pPr>
            <w:r>
              <w:rPr>
                <w:rFonts w:ascii="Arial" w:cs="Arial" w:eastAsia="Arial" w:hAnsi="Arial"/>
                <w:sz w:val="14"/>
                <w:szCs w:val="14"/>
                <w:color w:val="auto"/>
              </w:rPr>
              <w:t>multi-peril</w:t>
            </w:r>
          </w:p>
        </w:tc>
        <w:tc>
          <w:tcPr>
            <w:tcW w:w="32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gridSpan w:val="2"/>
          </w:tcPr>
          <w:p>
            <w:pPr>
              <w:jc w:val="center"/>
              <w:ind w:right="28"/>
              <w:spacing w:after="0" w:line="157" w:lineRule="exact"/>
              <w:rPr>
                <w:sz w:val="20"/>
                <w:szCs w:val="20"/>
                <w:color w:val="auto"/>
              </w:rPr>
            </w:pPr>
            <w:r>
              <w:rPr>
                <w:rFonts w:ascii="Arial" w:cs="Arial" w:eastAsia="Arial" w:hAnsi="Arial"/>
                <w:sz w:val="14"/>
                <w:szCs w:val="14"/>
                <w:color w:val="auto"/>
              </w:rPr>
              <w:t>rate</w:t>
            </w:r>
          </w:p>
        </w:tc>
        <w:tc>
          <w:tcPr>
            <w:tcW w:w="380" w:type="dxa"/>
            <w:vAlign w:val="bottom"/>
          </w:tcPr>
          <w:p>
            <w:pPr>
              <w:spacing w:after="0"/>
              <w:rPr>
                <w:sz w:val="13"/>
                <w:szCs w:val="13"/>
                <w:color w:val="auto"/>
              </w:rPr>
            </w:pPr>
          </w:p>
        </w:tc>
        <w:tc>
          <w:tcPr>
            <w:tcW w:w="66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comp.</w:t>
            </w:r>
          </w:p>
        </w:tc>
        <w:tc>
          <w:tcPr>
            <w:tcW w:w="320" w:type="dxa"/>
            <w:vAlign w:val="bottom"/>
          </w:tcPr>
          <w:p>
            <w:pPr>
              <w:spacing w:after="0"/>
              <w:rPr>
                <w:sz w:val="13"/>
                <w:szCs w:val="13"/>
                <w:color w:val="auto"/>
              </w:rPr>
            </w:pPr>
          </w:p>
        </w:tc>
        <w:tc>
          <w:tcPr>
            <w:tcW w:w="48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99"/>
              </w:rPr>
              <w:t>rate</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gridSpan w:val="3"/>
          </w:tcPr>
          <w:p>
            <w:pPr>
              <w:jc w:val="right"/>
              <w:ind w:right="100"/>
              <w:spacing w:after="0" w:line="157" w:lineRule="exact"/>
              <w:rPr>
                <w:sz w:val="20"/>
                <w:szCs w:val="20"/>
                <w:color w:val="auto"/>
              </w:rPr>
            </w:pPr>
            <w:r>
              <w:rPr>
                <w:rFonts w:ascii="Arial" w:cs="Arial" w:eastAsia="Arial" w:hAnsi="Arial"/>
                <w:sz w:val="14"/>
                <w:szCs w:val="14"/>
                <w:color w:val="auto"/>
                <w:w w:val="98"/>
              </w:rPr>
              <w:t>of business</w:t>
            </w:r>
          </w:p>
        </w:tc>
        <w:tc>
          <w:tcPr>
            <w:tcW w:w="240" w:type="dxa"/>
            <w:vAlign w:val="bottom"/>
          </w:tcPr>
          <w:p>
            <w:pPr>
              <w:spacing w:after="0"/>
              <w:rPr>
                <w:sz w:val="13"/>
                <w:szCs w:val="13"/>
                <w:color w:val="auto"/>
              </w:rPr>
            </w:pPr>
          </w:p>
        </w:tc>
        <w:tc>
          <w:tcPr>
            <w:tcW w:w="640" w:type="dxa"/>
            <w:vAlign w:val="bottom"/>
            <w:gridSpan w:val="4"/>
          </w:tcPr>
          <w:p>
            <w:pPr>
              <w:jc w:val="center"/>
              <w:ind w:right="88"/>
              <w:spacing w:after="0" w:line="157" w:lineRule="exact"/>
              <w:rPr>
                <w:sz w:val="20"/>
                <w:szCs w:val="20"/>
                <w:color w:val="auto"/>
              </w:rPr>
            </w:pPr>
            <w:r>
              <w:rPr>
                <w:rFonts w:ascii="Arial" w:cs="Arial" w:eastAsia="Arial" w:hAnsi="Arial"/>
                <w:sz w:val="14"/>
                <w:szCs w:val="14"/>
                <w:color w:val="auto"/>
                <w:w w:val="99"/>
              </w:rPr>
              <w:t>rate</w:t>
            </w:r>
          </w:p>
        </w:tc>
        <w:tc>
          <w:tcPr>
            <w:tcW w:w="240" w:type="dxa"/>
            <w:vAlign w:val="bottom"/>
          </w:tcPr>
          <w:p>
            <w:pPr>
              <w:spacing w:after="0"/>
              <w:rPr>
                <w:sz w:val="13"/>
                <w:szCs w:val="13"/>
                <w:color w:val="auto"/>
              </w:rPr>
            </w:pPr>
          </w:p>
        </w:tc>
        <w:tc>
          <w:tcPr>
            <w:tcW w:w="820" w:type="dxa"/>
            <w:vAlign w:val="bottom"/>
            <w:gridSpan w:val="4"/>
          </w:tcPr>
          <w:p>
            <w:pPr>
              <w:jc w:val="center"/>
              <w:ind w:right="80"/>
              <w:spacing w:after="0" w:line="157" w:lineRule="exact"/>
              <w:rPr>
                <w:sz w:val="20"/>
                <w:szCs w:val="20"/>
                <w:color w:val="auto"/>
              </w:rPr>
            </w:pPr>
            <w:r>
              <w:rPr>
                <w:rFonts w:ascii="Arial" w:cs="Arial" w:eastAsia="Arial" w:hAnsi="Arial"/>
                <w:sz w:val="14"/>
                <w:szCs w:val="14"/>
                <w:color w:val="auto"/>
              </w:rPr>
              <w:t>Lines</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center"/>
              <w:ind w:right="160"/>
              <w:spacing w:after="0" w:line="157" w:lineRule="exact"/>
              <w:rPr>
                <w:sz w:val="20"/>
                <w:szCs w:val="20"/>
                <w:color w:val="auto"/>
              </w:rPr>
            </w:pPr>
            <w:r>
              <w:rPr>
                <w:rFonts w:ascii="Arial" w:cs="Arial" w:eastAsia="Arial" w:hAnsi="Arial"/>
                <w:sz w:val="14"/>
                <w:szCs w:val="14"/>
                <w:color w:val="auto"/>
                <w:w w:val="99"/>
              </w:rPr>
              <w:t>rate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80" w:type="dxa"/>
            <w:vAlign w:val="bottom"/>
            <w:shd w:val="clear" w:color="auto" w:fill="CCEEFF"/>
          </w:tcPr>
          <w:p>
            <w:pPr>
              <w:jc w:val="center"/>
              <w:ind w:right="713"/>
              <w:spacing w:after="0" w:line="196" w:lineRule="exact"/>
              <w:rPr>
                <w:sz w:val="20"/>
                <w:szCs w:val="20"/>
                <w:color w:val="auto"/>
              </w:rPr>
            </w:pPr>
            <w:r>
              <w:rPr>
                <w:rFonts w:ascii="Arial" w:cs="Arial" w:eastAsia="Arial" w:hAnsi="Arial"/>
                <w:sz w:val="18"/>
                <w:szCs w:val="18"/>
                <w:color w:val="auto"/>
                <w:w w:val="97"/>
              </w:rPr>
              <w:t>12/31/2003</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115,171</w:t>
            </w:r>
          </w:p>
        </w:tc>
        <w:tc>
          <w:tcPr>
            <w:tcW w:w="1020" w:type="dxa"/>
            <w:vAlign w:val="bottom"/>
            <w:gridSpan w:val="4"/>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6.6%</w:t>
            </w:r>
          </w:p>
        </w:tc>
        <w:tc>
          <w:tcPr>
            <w:tcW w:w="920" w:type="dxa"/>
            <w:vAlign w:val="bottom"/>
            <w:gridSpan w:val="5"/>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206,533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8.3%</w:t>
            </w:r>
          </w:p>
        </w:tc>
        <w:tc>
          <w:tcPr>
            <w:tcW w:w="6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62,282</w:t>
            </w:r>
          </w:p>
        </w:tc>
        <w:tc>
          <w:tcPr>
            <w:tcW w:w="1040" w:type="dxa"/>
            <w:vAlign w:val="bottom"/>
            <w:gridSpan w:val="5"/>
            <w:shd w:val="clear" w:color="auto" w:fill="CCEEFF"/>
          </w:tcPr>
          <w:p>
            <w:pPr>
              <w:jc w:val="right"/>
              <w:ind w:right="8"/>
              <w:spacing w:after="0" w:line="196" w:lineRule="exact"/>
              <w:rPr>
                <w:sz w:val="20"/>
                <w:szCs w:val="20"/>
                <w:color w:val="auto"/>
              </w:rPr>
            </w:pPr>
            <w:r>
              <w:rPr>
                <w:rFonts w:ascii="Arial" w:cs="Arial" w:eastAsia="Arial" w:hAnsi="Arial"/>
                <w:sz w:val="18"/>
                <w:szCs w:val="18"/>
                <w:color w:val="auto"/>
              </w:rPr>
              <w:t>5.7%</w:t>
            </w:r>
          </w:p>
        </w:tc>
        <w:tc>
          <w:tcPr>
            <w:tcW w:w="1040" w:type="dxa"/>
            <w:vAlign w:val="bottom"/>
            <w:gridSpan w:val="4"/>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86,409</w:t>
            </w:r>
          </w:p>
        </w:tc>
        <w:tc>
          <w:tcPr>
            <w:tcW w:w="880" w:type="dxa"/>
            <w:vAlign w:val="bottom"/>
            <w:gridSpan w:val="5"/>
            <w:shd w:val="clear" w:color="auto" w:fill="CCEEFF"/>
          </w:tcPr>
          <w:p>
            <w:pPr>
              <w:ind w:left="460"/>
              <w:spacing w:after="0" w:line="196" w:lineRule="exact"/>
              <w:rPr>
                <w:sz w:val="20"/>
                <w:szCs w:val="20"/>
                <w:color w:val="auto"/>
              </w:rPr>
            </w:pPr>
            <w:r>
              <w:rPr>
                <w:rFonts w:ascii="Arial" w:cs="Arial" w:eastAsia="Arial" w:hAnsi="Arial"/>
                <w:sz w:val="18"/>
                <w:szCs w:val="18"/>
                <w:color w:val="auto"/>
                <w:w w:val="97"/>
              </w:rPr>
              <w:t>8.3%</w:t>
            </w:r>
          </w:p>
        </w:tc>
        <w:tc>
          <w:tcPr>
            <w:tcW w:w="1060" w:type="dxa"/>
            <w:vAlign w:val="bottom"/>
            <w:gridSpan w:val="5"/>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470,395</w:t>
            </w:r>
          </w:p>
        </w:tc>
        <w:tc>
          <w:tcPr>
            <w:tcW w:w="900" w:type="dxa"/>
            <w:vAlign w:val="bottom"/>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80" w:type="dxa"/>
            <w:vAlign w:val="bottom"/>
          </w:tcPr>
          <w:p>
            <w:pPr>
              <w:jc w:val="center"/>
              <w:ind w:right="713"/>
              <w:spacing w:after="0" w:line="202" w:lineRule="exact"/>
              <w:rPr>
                <w:sz w:val="20"/>
                <w:szCs w:val="20"/>
                <w:color w:val="auto"/>
              </w:rPr>
            </w:pPr>
            <w:r>
              <w:rPr>
                <w:rFonts w:ascii="Arial" w:cs="Arial" w:eastAsia="Arial" w:hAnsi="Arial"/>
                <w:sz w:val="18"/>
                <w:szCs w:val="18"/>
                <w:color w:val="auto"/>
                <w:w w:val="97"/>
              </w:rPr>
              <w:t>03/31/2004</w:t>
            </w:r>
          </w:p>
        </w:tc>
        <w:tc>
          <w:tcPr>
            <w:tcW w:w="116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115,760</w:t>
            </w:r>
          </w:p>
        </w:tc>
        <w:tc>
          <w:tcPr>
            <w:tcW w:w="1020" w:type="dxa"/>
            <w:vAlign w:val="bottom"/>
            <w:gridSpan w:val="4"/>
          </w:tcPr>
          <w:p>
            <w:pPr>
              <w:jc w:val="right"/>
              <w:ind w:right="220"/>
              <w:spacing w:after="0" w:line="202" w:lineRule="exact"/>
              <w:rPr>
                <w:sz w:val="20"/>
                <w:szCs w:val="20"/>
                <w:color w:val="auto"/>
              </w:rPr>
            </w:pPr>
            <w:r>
              <w:rPr>
                <w:rFonts w:ascii="Arial" w:cs="Arial" w:eastAsia="Arial" w:hAnsi="Arial"/>
                <w:sz w:val="18"/>
                <w:szCs w:val="18"/>
                <w:color w:val="auto"/>
              </w:rPr>
              <w:t>5.3%</w:t>
            </w:r>
          </w:p>
        </w:tc>
        <w:tc>
          <w:tcPr>
            <w:tcW w:w="920" w:type="dxa"/>
            <w:vAlign w:val="bottom"/>
            <w:gridSpan w:val="5"/>
          </w:tcPr>
          <w:p>
            <w:pPr>
              <w:jc w:val="right"/>
              <w:ind w:right="160"/>
              <w:spacing w:after="0" w:line="202" w:lineRule="exact"/>
              <w:rPr>
                <w:sz w:val="20"/>
                <w:szCs w:val="20"/>
                <w:color w:val="auto"/>
              </w:rPr>
            </w:pPr>
            <w:r>
              <w:rPr>
                <w:rFonts w:ascii="Arial" w:cs="Arial" w:eastAsia="Arial" w:hAnsi="Arial"/>
                <w:sz w:val="18"/>
                <w:szCs w:val="18"/>
                <w:color w:val="auto"/>
              </w:rPr>
              <w:t>206,937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6.2%</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61,378</w:t>
            </w:r>
          </w:p>
        </w:tc>
        <w:tc>
          <w:tcPr>
            <w:tcW w:w="1040" w:type="dxa"/>
            <w:vAlign w:val="bottom"/>
            <w:gridSpan w:val="5"/>
          </w:tcPr>
          <w:p>
            <w:pPr>
              <w:jc w:val="right"/>
              <w:ind w:right="8"/>
              <w:spacing w:after="0" w:line="202" w:lineRule="exact"/>
              <w:rPr>
                <w:sz w:val="20"/>
                <w:szCs w:val="20"/>
                <w:color w:val="auto"/>
              </w:rPr>
            </w:pPr>
            <w:r>
              <w:rPr>
                <w:rFonts w:ascii="Arial" w:cs="Arial" w:eastAsia="Arial" w:hAnsi="Arial"/>
                <w:sz w:val="18"/>
                <w:szCs w:val="18"/>
                <w:color w:val="auto"/>
              </w:rPr>
              <w:t>2.1%</w:t>
            </w:r>
          </w:p>
        </w:tc>
        <w:tc>
          <w:tcPr>
            <w:tcW w:w="1040" w:type="dxa"/>
            <w:vAlign w:val="bottom"/>
            <w:gridSpan w:val="4"/>
          </w:tcPr>
          <w:p>
            <w:pPr>
              <w:jc w:val="right"/>
              <w:ind w:right="100"/>
              <w:spacing w:after="0" w:line="202" w:lineRule="exact"/>
              <w:rPr>
                <w:sz w:val="20"/>
                <w:szCs w:val="20"/>
                <w:color w:val="auto"/>
              </w:rPr>
            </w:pPr>
            <w:r>
              <w:rPr>
                <w:rFonts w:ascii="Arial" w:cs="Arial" w:eastAsia="Arial" w:hAnsi="Arial"/>
                <w:sz w:val="18"/>
                <w:szCs w:val="18"/>
                <w:color w:val="auto"/>
              </w:rPr>
              <w:t>86,344</w:t>
            </w:r>
          </w:p>
        </w:tc>
        <w:tc>
          <w:tcPr>
            <w:tcW w:w="880" w:type="dxa"/>
            <w:vAlign w:val="bottom"/>
            <w:gridSpan w:val="5"/>
          </w:tcPr>
          <w:p>
            <w:pPr>
              <w:ind w:left="460"/>
              <w:spacing w:after="0" w:line="202" w:lineRule="exact"/>
              <w:rPr>
                <w:sz w:val="20"/>
                <w:szCs w:val="20"/>
                <w:color w:val="auto"/>
              </w:rPr>
            </w:pPr>
            <w:r>
              <w:rPr>
                <w:rFonts w:ascii="Arial" w:cs="Arial" w:eastAsia="Arial" w:hAnsi="Arial"/>
                <w:sz w:val="18"/>
                <w:szCs w:val="18"/>
                <w:color w:val="auto"/>
                <w:w w:val="97"/>
              </w:rPr>
              <w:t>6.1%</w:t>
            </w:r>
          </w:p>
        </w:tc>
        <w:tc>
          <w:tcPr>
            <w:tcW w:w="1060" w:type="dxa"/>
            <w:vAlign w:val="bottom"/>
            <w:gridSpan w:val="5"/>
          </w:tcPr>
          <w:p>
            <w:pPr>
              <w:jc w:val="right"/>
              <w:ind w:right="80"/>
              <w:spacing w:after="0" w:line="202" w:lineRule="exact"/>
              <w:rPr>
                <w:sz w:val="20"/>
                <w:szCs w:val="20"/>
                <w:color w:val="auto"/>
              </w:rPr>
            </w:pPr>
            <w:r>
              <w:rPr>
                <w:rFonts w:ascii="Arial" w:cs="Arial" w:eastAsia="Arial" w:hAnsi="Arial"/>
                <w:sz w:val="18"/>
                <w:szCs w:val="18"/>
                <w:color w:val="auto"/>
              </w:rPr>
              <w:t>470,419</w:t>
            </w:r>
          </w:p>
        </w:tc>
        <w:tc>
          <w:tcPr>
            <w:tcW w:w="9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80" w:type="dxa"/>
            <w:vAlign w:val="bottom"/>
            <w:shd w:val="clear" w:color="auto" w:fill="CCEEFF"/>
          </w:tcPr>
          <w:p>
            <w:pPr>
              <w:jc w:val="center"/>
              <w:ind w:right="713"/>
              <w:spacing w:after="0" w:line="202" w:lineRule="exact"/>
              <w:rPr>
                <w:sz w:val="20"/>
                <w:szCs w:val="20"/>
                <w:color w:val="auto"/>
              </w:rPr>
            </w:pPr>
            <w:r>
              <w:rPr>
                <w:rFonts w:ascii="Arial" w:cs="Arial" w:eastAsia="Arial" w:hAnsi="Arial"/>
                <w:sz w:val="18"/>
                <w:szCs w:val="18"/>
                <w:color w:val="auto"/>
                <w:w w:val="97"/>
              </w:rPr>
              <w:t>06/30/2004</w:t>
            </w:r>
          </w:p>
        </w:tc>
        <w:tc>
          <w:tcPr>
            <w:tcW w:w="116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117,060</w:t>
            </w:r>
          </w:p>
        </w:tc>
        <w:tc>
          <w:tcPr>
            <w:tcW w:w="1020" w:type="dxa"/>
            <w:vAlign w:val="bottom"/>
            <w:gridSpan w:val="4"/>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3.7%</w:t>
            </w:r>
          </w:p>
        </w:tc>
        <w:tc>
          <w:tcPr>
            <w:tcW w:w="920" w:type="dxa"/>
            <w:vAlign w:val="bottom"/>
            <w:gridSpan w:val="5"/>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209,795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4.1%</w:t>
            </w: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60,735</w:t>
            </w:r>
          </w:p>
        </w:tc>
        <w:tc>
          <w:tcPr>
            <w:tcW w:w="104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(1.9)%</w:t>
            </w:r>
          </w:p>
        </w:tc>
        <w:tc>
          <w:tcPr>
            <w:tcW w:w="104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87,172</w:t>
            </w:r>
          </w:p>
        </w:tc>
        <w:tc>
          <w:tcPr>
            <w:tcW w:w="880" w:type="dxa"/>
            <w:vAlign w:val="bottom"/>
            <w:gridSpan w:val="5"/>
            <w:shd w:val="clear" w:color="auto" w:fill="CCEEFF"/>
          </w:tcPr>
          <w:p>
            <w:pPr>
              <w:ind w:left="460"/>
              <w:spacing w:after="0" w:line="202" w:lineRule="exact"/>
              <w:rPr>
                <w:sz w:val="20"/>
                <w:szCs w:val="20"/>
                <w:color w:val="auto"/>
              </w:rPr>
            </w:pPr>
            <w:r>
              <w:rPr>
                <w:rFonts w:ascii="Arial" w:cs="Arial" w:eastAsia="Arial" w:hAnsi="Arial"/>
                <w:sz w:val="18"/>
                <w:szCs w:val="18"/>
                <w:color w:val="auto"/>
                <w:w w:val="97"/>
              </w:rPr>
              <w:t>4.0%</w:t>
            </w:r>
          </w:p>
        </w:tc>
        <w:tc>
          <w:tcPr>
            <w:tcW w:w="1060" w:type="dxa"/>
            <w:vAlign w:val="bottom"/>
            <w:gridSpan w:val="5"/>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474,762</w:t>
            </w:r>
          </w:p>
        </w:tc>
        <w:tc>
          <w:tcPr>
            <w:tcW w:w="90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80" w:type="dxa"/>
            <w:vAlign w:val="bottom"/>
          </w:tcPr>
          <w:p>
            <w:pPr>
              <w:jc w:val="center"/>
              <w:ind w:right="713"/>
              <w:spacing w:after="0" w:line="202" w:lineRule="exact"/>
              <w:rPr>
                <w:sz w:val="20"/>
                <w:szCs w:val="20"/>
                <w:color w:val="auto"/>
              </w:rPr>
            </w:pPr>
            <w:r>
              <w:rPr>
                <w:rFonts w:ascii="Arial" w:cs="Arial" w:eastAsia="Arial" w:hAnsi="Arial"/>
                <w:sz w:val="18"/>
                <w:szCs w:val="18"/>
                <w:color w:val="auto"/>
                <w:w w:val="97"/>
              </w:rPr>
              <w:t>09/30/2004</w:t>
            </w:r>
          </w:p>
        </w:tc>
        <w:tc>
          <w:tcPr>
            <w:tcW w:w="116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117,090</w:t>
            </w:r>
          </w:p>
        </w:tc>
        <w:tc>
          <w:tcPr>
            <w:tcW w:w="1020" w:type="dxa"/>
            <w:vAlign w:val="bottom"/>
            <w:gridSpan w:val="4"/>
          </w:tcPr>
          <w:p>
            <w:pPr>
              <w:jc w:val="right"/>
              <w:ind w:right="220"/>
              <w:spacing w:after="0" w:line="202" w:lineRule="exact"/>
              <w:rPr>
                <w:sz w:val="20"/>
                <w:szCs w:val="20"/>
                <w:color w:val="auto"/>
              </w:rPr>
            </w:pPr>
            <w:r>
              <w:rPr>
                <w:rFonts w:ascii="Arial" w:cs="Arial" w:eastAsia="Arial" w:hAnsi="Arial"/>
                <w:sz w:val="18"/>
                <w:szCs w:val="18"/>
                <w:color w:val="auto"/>
              </w:rPr>
              <w:t>2.4%</w:t>
            </w:r>
          </w:p>
        </w:tc>
        <w:tc>
          <w:tcPr>
            <w:tcW w:w="920" w:type="dxa"/>
            <w:vAlign w:val="bottom"/>
            <w:gridSpan w:val="5"/>
          </w:tcPr>
          <w:p>
            <w:pPr>
              <w:jc w:val="right"/>
              <w:ind w:right="160"/>
              <w:spacing w:after="0" w:line="202" w:lineRule="exact"/>
              <w:rPr>
                <w:sz w:val="20"/>
                <w:szCs w:val="20"/>
                <w:color w:val="auto"/>
              </w:rPr>
            </w:pPr>
            <w:r>
              <w:rPr>
                <w:rFonts w:ascii="Arial" w:cs="Arial" w:eastAsia="Arial" w:hAnsi="Arial"/>
                <w:sz w:val="18"/>
                <w:szCs w:val="18"/>
                <w:color w:val="auto"/>
              </w:rPr>
              <w:t>210,012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2.4%</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59,863</w:t>
            </w:r>
          </w:p>
        </w:tc>
        <w:tc>
          <w:tcPr>
            <w:tcW w:w="104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(4.1)%</w:t>
            </w:r>
          </w:p>
        </w:tc>
        <w:tc>
          <w:tcPr>
            <w:tcW w:w="1040" w:type="dxa"/>
            <w:vAlign w:val="bottom"/>
            <w:gridSpan w:val="4"/>
          </w:tcPr>
          <w:p>
            <w:pPr>
              <w:jc w:val="right"/>
              <w:ind w:right="100"/>
              <w:spacing w:after="0" w:line="202" w:lineRule="exact"/>
              <w:rPr>
                <w:sz w:val="20"/>
                <w:szCs w:val="20"/>
                <w:color w:val="auto"/>
              </w:rPr>
            </w:pPr>
            <w:r>
              <w:rPr>
                <w:rFonts w:ascii="Arial" w:cs="Arial" w:eastAsia="Arial" w:hAnsi="Arial"/>
                <w:sz w:val="18"/>
                <w:szCs w:val="18"/>
                <w:color w:val="auto"/>
              </w:rPr>
              <w:t>87,921</w:t>
            </w:r>
          </w:p>
        </w:tc>
        <w:tc>
          <w:tcPr>
            <w:tcW w:w="880" w:type="dxa"/>
            <w:vAlign w:val="bottom"/>
            <w:gridSpan w:val="5"/>
          </w:tcPr>
          <w:p>
            <w:pPr>
              <w:ind w:left="460"/>
              <w:spacing w:after="0" w:line="202" w:lineRule="exact"/>
              <w:rPr>
                <w:sz w:val="20"/>
                <w:szCs w:val="20"/>
                <w:color w:val="auto"/>
              </w:rPr>
            </w:pPr>
            <w:r>
              <w:rPr>
                <w:rFonts w:ascii="Arial" w:cs="Arial" w:eastAsia="Arial" w:hAnsi="Arial"/>
                <w:sz w:val="18"/>
                <w:szCs w:val="18"/>
                <w:color w:val="auto"/>
                <w:w w:val="97"/>
              </w:rPr>
              <w:t>2.5%</w:t>
            </w:r>
          </w:p>
        </w:tc>
        <w:tc>
          <w:tcPr>
            <w:tcW w:w="1060" w:type="dxa"/>
            <w:vAlign w:val="bottom"/>
            <w:gridSpan w:val="5"/>
          </w:tcPr>
          <w:p>
            <w:pPr>
              <w:jc w:val="right"/>
              <w:ind w:right="80"/>
              <w:spacing w:after="0" w:line="202" w:lineRule="exact"/>
              <w:rPr>
                <w:sz w:val="20"/>
                <w:szCs w:val="20"/>
                <w:color w:val="auto"/>
              </w:rPr>
            </w:pPr>
            <w:r>
              <w:rPr>
                <w:rFonts w:ascii="Arial" w:cs="Arial" w:eastAsia="Arial" w:hAnsi="Arial"/>
                <w:sz w:val="18"/>
                <w:szCs w:val="18"/>
                <w:color w:val="auto"/>
              </w:rPr>
              <w:t>474,886</w:t>
            </w:r>
          </w:p>
        </w:tc>
        <w:tc>
          <w:tcPr>
            <w:tcW w:w="9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80" w:type="dxa"/>
            <w:vAlign w:val="bottom"/>
            <w:shd w:val="clear" w:color="auto" w:fill="CCEEFF"/>
          </w:tcPr>
          <w:p>
            <w:pPr>
              <w:jc w:val="center"/>
              <w:ind w:right="713"/>
              <w:spacing w:after="0" w:line="202" w:lineRule="exact"/>
              <w:rPr>
                <w:sz w:val="20"/>
                <w:szCs w:val="20"/>
                <w:color w:val="auto"/>
              </w:rPr>
            </w:pPr>
            <w:r>
              <w:rPr>
                <w:rFonts w:ascii="Arial" w:cs="Arial" w:eastAsia="Arial" w:hAnsi="Arial"/>
                <w:sz w:val="18"/>
                <w:szCs w:val="18"/>
                <w:color w:val="auto"/>
                <w:w w:val="97"/>
              </w:rPr>
              <w:t>12/31/2004</w:t>
            </w:r>
          </w:p>
        </w:tc>
        <w:tc>
          <w:tcPr>
            <w:tcW w:w="116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117,287</w:t>
            </w:r>
          </w:p>
        </w:tc>
        <w:tc>
          <w:tcPr>
            <w:tcW w:w="1020" w:type="dxa"/>
            <w:vAlign w:val="bottom"/>
            <w:gridSpan w:val="4"/>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1.8%</w:t>
            </w:r>
          </w:p>
        </w:tc>
        <w:tc>
          <w:tcPr>
            <w:tcW w:w="920" w:type="dxa"/>
            <w:vAlign w:val="bottom"/>
            <w:gridSpan w:val="5"/>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209,623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1.5%</w:t>
            </w: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58,931</w:t>
            </w:r>
          </w:p>
        </w:tc>
        <w:tc>
          <w:tcPr>
            <w:tcW w:w="104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(5.4)%</w:t>
            </w:r>
          </w:p>
        </w:tc>
        <w:tc>
          <w:tcPr>
            <w:tcW w:w="104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87,815</w:t>
            </w:r>
          </w:p>
        </w:tc>
        <w:tc>
          <w:tcPr>
            <w:tcW w:w="880" w:type="dxa"/>
            <w:vAlign w:val="bottom"/>
            <w:gridSpan w:val="5"/>
            <w:shd w:val="clear" w:color="auto" w:fill="CCEEFF"/>
          </w:tcPr>
          <w:p>
            <w:pPr>
              <w:ind w:left="460"/>
              <w:spacing w:after="0" w:line="202" w:lineRule="exact"/>
              <w:rPr>
                <w:sz w:val="20"/>
                <w:szCs w:val="20"/>
                <w:color w:val="auto"/>
              </w:rPr>
            </w:pPr>
            <w:r>
              <w:rPr>
                <w:rFonts w:ascii="Arial" w:cs="Arial" w:eastAsia="Arial" w:hAnsi="Arial"/>
                <w:sz w:val="18"/>
                <w:szCs w:val="18"/>
                <w:color w:val="auto"/>
                <w:w w:val="97"/>
              </w:rPr>
              <w:t>1.6%</w:t>
            </w:r>
          </w:p>
        </w:tc>
        <w:tc>
          <w:tcPr>
            <w:tcW w:w="1060" w:type="dxa"/>
            <w:vAlign w:val="bottom"/>
            <w:gridSpan w:val="5"/>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473,656</w:t>
            </w:r>
          </w:p>
        </w:tc>
        <w:tc>
          <w:tcPr>
            <w:tcW w:w="90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680" w:type="dxa"/>
            <w:vAlign w:val="bottom"/>
          </w:tcPr>
          <w:p>
            <w:pPr>
              <w:jc w:val="center"/>
              <w:ind w:right="713"/>
              <w:spacing w:after="0"/>
              <w:rPr>
                <w:sz w:val="20"/>
                <w:szCs w:val="20"/>
                <w:color w:val="auto"/>
              </w:rPr>
            </w:pPr>
            <w:r>
              <w:rPr>
                <w:rFonts w:ascii="Arial" w:cs="Arial" w:eastAsia="Arial" w:hAnsi="Arial"/>
                <w:sz w:val="18"/>
                <w:szCs w:val="18"/>
                <w:color w:val="auto"/>
                <w:w w:val="97"/>
              </w:rPr>
              <w:t>03/31/2005</w:t>
            </w: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117,382</w:t>
            </w:r>
          </w:p>
        </w:tc>
        <w:tc>
          <w:tcPr>
            <w:tcW w:w="1020" w:type="dxa"/>
            <w:vAlign w:val="bottom"/>
            <w:gridSpan w:val="4"/>
          </w:tcPr>
          <w:p>
            <w:pPr>
              <w:jc w:val="right"/>
              <w:ind w:right="220"/>
              <w:spacing w:after="0"/>
              <w:rPr>
                <w:sz w:val="20"/>
                <w:szCs w:val="20"/>
                <w:color w:val="auto"/>
              </w:rPr>
            </w:pPr>
            <w:r>
              <w:rPr>
                <w:rFonts w:ascii="Arial" w:cs="Arial" w:eastAsia="Arial" w:hAnsi="Arial"/>
                <w:sz w:val="18"/>
                <w:szCs w:val="18"/>
                <w:color w:val="auto"/>
              </w:rPr>
              <w:t>1.4%</w:t>
            </w:r>
          </w:p>
        </w:tc>
        <w:tc>
          <w:tcPr>
            <w:tcW w:w="920" w:type="dxa"/>
            <w:vAlign w:val="bottom"/>
            <w:gridSpan w:val="5"/>
          </w:tcPr>
          <w:p>
            <w:pPr>
              <w:jc w:val="right"/>
              <w:ind w:right="160"/>
              <w:spacing w:after="0"/>
              <w:rPr>
                <w:sz w:val="20"/>
                <w:szCs w:val="20"/>
                <w:color w:val="auto"/>
              </w:rPr>
            </w:pPr>
            <w:r>
              <w:rPr>
                <w:rFonts w:ascii="Arial" w:cs="Arial" w:eastAsia="Arial" w:hAnsi="Arial"/>
                <w:sz w:val="18"/>
                <w:szCs w:val="18"/>
                <w:color w:val="auto"/>
              </w:rPr>
              <w:t>209,619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rPr>
              <w:t>1.3%</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57,949</w:t>
            </w:r>
          </w:p>
        </w:tc>
        <w:tc>
          <w:tcPr>
            <w:tcW w:w="1040" w:type="dxa"/>
            <w:vAlign w:val="bottom"/>
            <w:gridSpan w:val="5"/>
          </w:tcPr>
          <w:p>
            <w:pPr>
              <w:jc w:val="right"/>
              <w:spacing w:after="0"/>
              <w:rPr>
                <w:sz w:val="20"/>
                <w:szCs w:val="20"/>
                <w:color w:val="auto"/>
              </w:rPr>
            </w:pPr>
            <w:r>
              <w:rPr>
                <w:rFonts w:ascii="Arial" w:cs="Arial" w:eastAsia="Arial" w:hAnsi="Arial"/>
                <w:sz w:val="18"/>
                <w:szCs w:val="18"/>
                <w:color w:val="auto"/>
              </w:rPr>
              <w:t>(5.6)%</w:t>
            </w:r>
          </w:p>
        </w:tc>
        <w:tc>
          <w:tcPr>
            <w:tcW w:w="1040" w:type="dxa"/>
            <w:vAlign w:val="bottom"/>
            <w:gridSpan w:val="4"/>
          </w:tcPr>
          <w:p>
            <w:pPr>
              <w:jc w:val="right"/>
              <w:ind w:right="100"/>
              <w:spacing w:after="0"/>
              <w:rPr>
                <w:sz w:val="20"/>
                <w:szCs w:val="20"/>
                <w:color w:val="auto"/>
              </w:rPr>
            </w:pPr>
            <w:r>
              <w:rPr>
                <w:rFonts w:ascii="Arial" w:cs="Arial" w:eastAsia="Arial" w:hAnsi="Arial"/>
                <w:sz w:val="18"/>
                <w:szCs w:val="18"/>
                <w:color w:val="auto"/>
              </w:rPr>
              <w:t>87,877</w:t>
            </w:r>
          </w:p>
        </w:tc>
        <w:tc>
          <w:tcPr>
            <w:tcW w:w="880" w:type="dxa"/>
            <w:vAlign w:val="bottom"/>
            <w:gridSpan w:val="5"/>
          </w:tcPr>
          <w:p>
            <w:pPr>
              <w:ind w:left="460"/>
              <w:spacing w:after="0"/>
              <w:rPr>
                <w:sz w:val="20"/>
                <w:szCs w:val="20"/>
                <w:color w:val="auto"/>
              </w:rPr>
            </w:pPr>
            <w:r>
              <w:rPr>
                <w:rFonts w:ascii="Arial" w:cs="Arial" w:eastAsia="Arial" w:hAnsi="Arial"/>
                <w:sz w:val="18"/>
                <w:szCs w:val="18"/>
                <w:color w:val="auto"/>
                <w:w w:val="97"/>
              </w:rPr>
              <w:t>1.8%</w:t>
            </w:r>
          </w:p>
        </w:tc>
        <w:tc>
          <w:tcPr>
            <w:tcW w:w="1060" w:type="dxa"/>
            <w:vAlign w:val="bottom"/>
            <w:gridSpan w:val="5"/>
          </w:tcPr>
          <w:p>
            <w:pPr>
              <w:jc w:val="right"/>
              <w:ind w:right="80"/>
              <w:spacing w:after="0"/>
              <w:rPr>
                <w:sz w:val="20"/>
                <w:szCs w:val="20"/>
                <w:color w:val="auto"/>
              </w:rPr>
            </w:pPr>
            <w:r>
              <w:rPr>
                <w:rFonts w:ascii="Arial" w:cs="Arial" w:eastAsia="Arial" w:hAnsi="Arial"/>
                <w:sz w:val="18"/>
                <w:szCs w:val="18"/>
                <w:color w:val="auto"/>
              </w:rPr>
              <w:t>472,827</w:t>
            </w: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4"/>
          </w:tcPr>
          <w:p>
            <w:pPr>
              <w:jc w:val="center"/>
              <w:ind w:right="240"/>
              <w:spacing w:after="0"/>
              <w:rPr>
                <w:sz w:val="20"/>
                <w:szCs w:val="20"/>
                <w:color w:val="auto"/>
              </w:rPr>
            </w:pPr>
            <w:r>
              <w:rPr>
                <w:rFonts w:ascii="Arial" w:cs="Arial" w:eastAsia="Arial" w:hAnsi="Arial"/>
                <w:sz w:val="14"/>
                <w:szCs w:val="14"/>
                <w:color w:val="auto"/>
              </w:rPr>
              <w:t>12-mth.</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5"/>
          </w:tcPr>
          <w:p>
            <w:pPr>
              <w:jc w:val="right"/>
              <w:ind w:right="760"/>
              <w:spacing w:after="0"/>
              <w:rPr>
                <w:sz w:val="20"/>
                <w:szCs w:val="20"/>
                <w:color w:val="auto"/>
              </w:rPr>
            </w:pPr>
            <w:r>
              <w:rPr>
                <w:rFonts w:ascii="Arial" w:cs="Arial" w:eastAsia="Arial" w:hAnsi="Arial"/>
                <w:sz w:val="14"/>
                <w:szCs w:val="14"/>
                <w:color w:val="auto"/>
                <w:w w:val="89"/>
              </w:rPr>
              <w:t>Total</w:t>
            </w:r>
          </w:p>
        </w:tc>
        <w:tc>
          <w:tcPr>
            <w:tcW w:w="900" w:type="dxa"/>
            <w:vAlign w:val="bottom"/>
            <w:gridSpan w:val="4"/>
          </w:tcPr>
          <w:p>
            <w:pPr>
              <w:jc w:val="center"/>
              <w:ind w:right="240"/>
              <w:spacing w:after="0"/>
              <w:rPr>
                <w:sz w:val="20"/>
                <w:szCs w:val="20"/>
                <w:color w:val="auto"/>
              </w:rPr>
            </w:pPr>
            <w:r>
              <w:rPr>
                <w:rFonts w:ascii="Arial" w:cs="Arial" w:eastAsia="Arial" w:hAnsi="Arial"/>
                <w:sz w:val="14"/>
                <w:szCs w:val="14"/>
                <w:color w:val="auto"/>
                <w:w w:val="99"/>
              </w:rPr>
              <w:t>growth</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680" w:type="dxa"/>
            <w:vAlign w:val="bottom"/>
            <w:tcBorders>
              <w:bottom w:val="single" w:sz="8" w:color="auto"/>
            </w:tcBorders>
          </w:tcPr>
          <w:p>
            <w:pPr>
              <w:ind w:left="220"/>
              <w:spacing w:after="0" w:line="157" w:lineRule="exact"/>
              <w:rPr>
                <w:sz w:val="20"/>
                <w:szCs w:val="20"/>
                <w:color w:val="auto"/>
              </w:rPr>
            </w:pPr>
            <w:r>
              <w:rPr>
                <w:rFonts w:ascii="Arial" w:cs="Arial" w:eastAsia="Arial" w:hAnsi="Arial"/>
                <w:sz w:val="14"/>
                <w:szCs w:val="14"/>
                <w:color w:val="auto"/>
              </w:rPr>
              <w:t>Date</w:t>
            </w: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3"/>
          </w:tcPr>
          <w:p>
            <w:pPr>
              <w:jc w:val="right"/>
              <w:ind w:right="108"/>
              <w:spacing w:after="0" w:line="157" w:lineRule="exact"/>
              <w:rPr>
                <w:sz w:val="20"/>
                <w:szCs w:val="20"/>
                <w:color w:val="auto"/>
              </w:rPr>
            </w:pPr>
            <w:r>
              <w:rPr>
                <w:rFonts w:ascii="Arial" w:cs="Arial" w:eastAsia="Arial" w:hAnsi="Arial"/>
                <w:sz w:val="14"/>
                <w:szCs w:val="14"/>
                <w:color w:val="auto"/>
              </w:rPr>
              <w:t>All Lines</w:t>
            </w:r>
          </w:p>
        </w:tc>
        <w:tc>
          <w:tcPr>
            <w:tcW w:w="460" w:type="dxa"/>
            <w:vAlign w:val="bottom"/>
            <w:gridSpan w:val="3"/>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2"/>
          </w:tcPr>
          <w:p>
            <w:pPr>
              <w:jc w:val="center"/>
              <w:ind w:right="188"/>
              <w:spacing w:after="0" w:line="157" w:lineRule="exact"/>
              <w:rPr>
                <w:sz w:val="20"/>
                <w:szCs w:val="20"/>
                <w:color w:val="auto"/>
              </w:rPr>
            </w:pPr>
            <w:r>
              <w:rPr>
                <w:rFonts w:ascii="Arial" w:cs="Arial" w:eastAsia="Arial" w:hAnsi="Arial"/>
                <w:sz w:val="14"/>
                <w:szCs w:val="14"/>
                <w:color w:val="auto"/>
              </w:rPr>
              <w:t>rate</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80" w:type="dxa"/>
            <w:vAlign w:val="bottom"/>
            <w:shd w:val="clear" w:color="auto" w:fill="CCEEFF"/>
          </w:tcPr>
          <w:p>
            <w:pPr>
              <w:jc w:val="center"/>
              <w:ind w:right="713"/>
              <w:spacing w:after="0" w:line="196" w:lineRule="exact"/>
              <w:rPr>
                <w:sz w:val="20"/>
                <w:szCs w:val="20"/>
                <w:color w:val="auto"/>
              </w:rPr>
            </w:pPr>
            <w:r>
              <w:rPr>
                <w:rFonts w:ascii="Arial" w:cs="Arial" w:eastAsia="Arial" w:hAnsi="Arial"/>
                <w:sz w:val="18"/>
                <w:szCs w:val="18"/>
                <w:color w:val="auto"/>
                <w:w w:val="97"/>
              </w:rPr>
              <w:t>12/31/2003</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80" w:type="dxa"/>
            <w:vAlign w:val="bottom"/>
            <w:gridSpan w:val="8"/>
            <w:shd w:val="clear" w:color="auto" w:fill="CCEEFF"/>
          </w:tcPr>
          <w:p>
            <w:pPr>
              <w:jc w:val="right"/>
              <w:ind w:right="300"/>
              <w:spacing w:after="0" w:line="196" w:lineRule="exact"/>
              <w:rPr>
                <w:sz w:val="20"/>
                <w:szCs w:val="20"/>
                <w:color w:val="auto"/>
              </w:rPr>
            </w:pPr>
            <w:r>
              <w:rPr>
                <w:rFonts w:ascii="Arial" w:cs="Arial" w:eastAsia="Arial" w:hAnsi="Arial"/>
                <w:sz w:val="18"/>
                <w:szCs w:val="18"/>
                <w:color w:val="auto"/>
              </w:rPr>
              <w:t>3,743,405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4"/>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80" w:type="dxa"/>
            <w:vAlign w:val="bottom"/>
          </w:tcPr>
          <w:p>
            <w:pPr>
              <w:jc w:val="center"/>
              <w:ind w:right="713"/>
              <w:spacing w:after="0" w:line="202" w:lineRule="exact"/>
              <w:rPr>
                <w:sz w:val="20"/>
                <w:szCs w:val="20"/>
                <w:color w:val="auto"/>
              </w:rPr>
            </w:pPr>
            <w:r>
              <w:rPr>
                <w:rFonts w:ascii="Arial" w:cs="Arial" w:eastAsia="Arial" w:hAnsi="Arial"/>
                <w:sz w:val="18"/>
                <w:szCs w:val="18"/>
                <w:color w:val="auto"/>
                <w:w w:val="97"/>
              </w:rPr>
              <w:t>03/31/2004</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8"/>
          </w:tcPr>
          <w:p>
            <w:pPr>
              <w:jc w:val="right"/>
              <w:ind w:right="300"/>
              <w:spacing w:after="0" w:line="202" w:lineRule="exact"/>
              <w:rPr>
                <w:sz w:val="20"/>
                <w:szCs w:val="20"/>
                <w:color w:val="auto"/>
              </w:rPr>
            </w:pPr>
            <w:r>
              <w:rPr>
                <w:rFonts w:ascii="Arial" w:cs="Arial" w:eastAsia="Arial" w:hAnsi="Arial"/>
                <w:sz w:val="18"/>
                <w:szCs w:val="18"/>
                <w:color w:val="auto"/>
              </w:rPr>
              <w:t>3,760,648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80" w:type="dxa"/>
            <w:vAlign w:val="bottom"/>
            <w:shd w:val="clear" w:color="auto" w:fill="CCEEFF"/>
          </w:tcPr>
          <w:p>
            <w:pPr>
              <w:jc w:val="center"/>
              <w:ind w:right="713"/>
              <w:spacing w:after="0" w:line="202" w:lineRule="exact"/>
              <w:rPr>
                <w:sz w:val="20"/>
                <w:szCs w:val="20"/>
                <w:color w:val="auto"/>
              </w:rPr>
            </w:pPr>
            <w:r>
              <w:rPr>
                <w:rFonts w:ascii="Arial" w:cs="Arial" w:eastAsia="Arial" w:hAnsi="Arial"/>
                <w:sz w:val="18"/>
                <w:szCs w:val="18"/>
                <w:color w:val="auto"/>
                <w:w w:val="97"/>
              </w:rPr>
              <w:t>06/30/2004</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80" w:type="dxa"/>
            <w:vAlign w:val="bottom"/>
            <w:gridSpan w:val="8"/>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3,787,242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80" w:type="dxa"/>
            <w:vAlign w:val="bottom"/>
          </w:tcPr>
          <w:p>
            <w:pPr>
              <w:jc w:val="center"/>
              <w:ind w:right="713"/>
              <w:spacing w:after="0" w:line="202" w:lineRule="exact"/>
              <w:rPr>
                <w:sz w:val="20"/>
                <w:szCs w:val="20"/>
                <w:color w:val="auto"/>
              </w:rPr>
            </w:pPr>
            <w:r>
              <w:rPr>
                <w:rFonts w:ascii="Arial" w:cs="Arial" w:eastAsia="Arial" w:hAnsi="Arial"/>
                <w:sz w:val="18"/>
                <w:szCs w:val="18"/>
                <w:color w:val="auto"/>
                <w:w w:val="97"/>
              </w:rPr>
              <w:t>09/30/2004</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8"/>
          </w:tcPr>
          <w:p>
            <w:pPr>
              <w:jc w:val="right"/>
              <w:ind w:right="300"/>
              <w:spacing w:after="0" w:line="202" w:lineRule="exact"/>
              <w:rPr>
                <w:sz w:val="20"/>
                <w:szCs w:val="20"/>
                <w:color w:val="auto"/>
              </w:rPr>
            </w:pPr>
            <w:r>
              <w:rPr>
                <w:rFonts w:ascii="Arial" w:cs="Arial" w:eastAsia="Arial" w:hAnsi="Arial"/>
                <w:sz w:val="18"/>
                <w:szCs w:val="18"/>
                <w:color w:val="auto"/>
              </w:rPr>
              <w:t>3,787,053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80" w:type="dxa"/>
            <w:vAlign w:val="bottom"/>
            <w:shd w:val="clear" w:color="auto" w:fill="CCEEFF"/>
          </w:tcPr>
          <w:p>
            <w:pPr>
              <w:jc w:val="center"/>
              <w:ind w:right="713"/>
              <w:spacing w:after="0" w:line="202" w:lineRule="exact"/>
              <w:rPr>
                <w:sz w:val="20"/>
                <w:szCs w:val="20"/>
                <w:color w:val="auto"/>
              </w:rPr>
            </w:pPr>
            <w:r>
              <w:rPr>
                <w:rFonts w:ascii="Arial" w:cs="Arial" w:eastAsia="Arial" w:hAnsi="Arial"/>
                <w:sz w:val="18"/>
                <w:szCs w:val="18"/>
                <w:color w:val="auto"/>
                <w:w w:val="97"/>
              </w:rPr>
              <w:t>12/31/2004</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80" w:type="dxa"/>
            <w:vAlign w:val="bottom"/>
            <w:gridSpan w:val="8"/>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3,771,105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680" w:type="dxa"/>
            <w:vAlign w:val="bottom"/>
          </w:tcPr>
          <w:p>
            <w:pPr>
              <w:jc w:val="center"/>
              <w:ind w:right="713"/>
              <w:spacing w:after="0"/>
              <w:rPr>
                <w:sz w:val="20"/>
                <w:szCs w:val="20"/>
                <w:color w:val="auto"/>
              </w:rPr>
            </w:pPr>
            <w:r>
              <w:rPr>
                <w:rFonts w:ascii="Arial" w:cs="Arial" w:eastAsia="Arial" w:hAnsi="Arial"/>
                <w:sz w:val="18"/>
                <w:szCs w:val="18"/>
                <w:color w:val="auto"/>
                <w:w w:val="97"/>
              </w:rPr>
              <w:t>03/31/2005</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8"/>
          </w:tcPr>
          <w:p>
            <w:pPr>
              <w:jc w:val="right"/>
              <w:ind w:right="300"/>
              <w:spacing w:after="0"/>
              <w:rPr>
                <w:sz w:val="20"/>
                <w:szCs w:val="20"/>
                <w:color w:val="auto"/>
              </w:rPr>
            </w:pPr>
            <w:r>
              <w:rPr>
                <w:rFonts w:ascii="Arial" w:cs="Arial" w:eastAsia="Arial" w:hAnsi="Arial"/>
                <w:sz w:val="18"/>
                <w:szCs w:val="18"/>
                <w:color w:val="auto"/>
              </w:rPr>
              <w:t>3,758,512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Policy retention trends for Property and Casualty Group insurance operations: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tcPr>
          <w:p>
            <w:pPr>
              <w:jc w:val="center"/>
              <w:ind w:right="480"/>
              <w:spacing w:after="0"/>
              <w:rPr>
                <w:sz w:val="20"/>
                <w:szCs w:val="20"/>
                <w:color w:val="auto"/>
              </w:rPr>
            </w:pPr>
            <w:r>
              <w:rPr>
                <w:rFonts w:ascii="Arial" w:cs="Arial" w:eastAsia="Arial" w:hAnsi="Arial"/>
                <w:sz w:val="14"/>
                <w:szCs w:val="14"/>
                <w:color w:val="auto"/>
              </w:rPr>
              <w:t>Private</w:t>
            </w: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4"/>
                <w:szCs w:val="14"/>
                <w:color w:val="auto"/>
              </w:rPr>
              <w:t>All other</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tcPr>
          <w:p>
            <w:pPr>
              <w:jc w:val="center"/>
              <w:ind w:right="480"/>
              <w:spacing w:after="0"/>
              <w:rPr>
                <w:sz w:val="20"/>
                <w:szCs w:val="20"/>
                <w:color w:val="auto"/>
              </w:rPr>
            </w:pPr>
            <w:r>
              <w:rPr>
                <w:rFonts w:ascii="Arial" w:cs="Arial" w:eastAsia="Arial" w:hAnsi="Arial"/>
                <w:sz w:val="14"/>
                <w:szCs w:val="14"/>
                <w:color w:val="auto"/>
              </w:rPr>
              <w:t>passenger</w:t>
            </w:r>
          </w:p>
        </w:tc>
        <w:tc>
          <w:tcPr>
            <w:tcW w:w="980" w:type="dxa"/>
            <w:vAlign w:val="bottom"/>
            <w:gridSpan w:val="2"/>
          </w:tcPr>
          <w:p>
            <w:pPr>
              <w:ind w:left="160"/>
              <w:spacing w:after="0"/>
              <w:rPr>
                <w:sz w:val="20"/>
                <w:szCs w:val="20"/>
                <w:color w:val="auto"/>
              </w:rPr>
            </w:pPr>
            <w:r>
              <w:rPr>
                <w:rFonts w:ascii="Arial" w:cs="Arial" w:eastAsia="Arial" w:hAnsi="Arial"/>
                <w:sz w:val="14"/>
                <w:szCs w:val="14"/>
                <w:color w:val="auto"/>
              </w:rPr>
              <w:t>CML*</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color w:val="auto"/>
              </w:rPr>
              <w:t>CML*</w:t>
            </w:r>
          </w:p>
        </w:tc>
        <w:tc>
          <w:tcPr>
            <w:tcW w:w="1160" w:type="dxa"/>
            <w:vAlign w:val="bottom"/>
            <w:gridSpan w:val="2"/>
          </w:tcPr>
          <w:p>
            <w:pPr>
              <w:ind w:left="40"/>
              <w:spacing w:after="0"/>
              <w:rPr>
                <w:sz w:val="20"/>
                <w:szCs w:val="20"/>
                <w:color w:val="auto"/>
              </w:rPr>
            </w:pPr>
            <w:r>
              <w:rPr>
                <w:rFonts w:ascii="Arial" w:cs="Arial" w:eastAsia="Arial" w:hAnsi="Arial"/>
                <w:sz w:val="14"/>
                <w:szCs w:val="14"/>
                <w:color w:val="auto"/>
              </w:rPr>
              <w:t>Workers’</w:t>
            </w:r>
          </w:p>
        </w:tc>
        <w:tc>
          <w:tcPr>
            <w:tcW w:w="1160" w:type="dxa"/>
            <w:vAlign w:val="bottom"/>
            <w:gridSpan w:val="2"/>
          </w:tcPr>
          <w:p>
            <w:pPr>
              <w:jc w:val="center"/>
              <w:ind w:right="500"/>
              <w:spacing w:after="0"/>
              <w:rPr>
                <w:sz w:val="20"/>
                <w:szCs w:val="20"/>
                <w:color w:val="auto"/>
              </w:rPr>
            </w:pPr>
            <w:r>
              <w:rPr>
                <w:rFonts w:ascii="Arial" w:cs="Arial" w:eastAsia="Arial" w:hAnsi="Arial"/>
                <w:sz w:val="14"/>
                <w:szCs w:val="14"/>
                <w:color w:val="auto"/>
              </w:rPr>
              <w:t>lines of</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160" w:type="dxa"/>
            <w:vAlign w:val="bottom"/>
          </w:tcPr>
          <w:p>
            <w:pPr>
              <w:jc w:val="center"/>
              <w:ind w:right="2233"/>
              <w:spacing w:after="0" w:line="157" w:lineRule="exact"/>
              <w:rPr>
                <w:sz w:val="20"/>
                <w:szCs w:val="20"/>
                <w:color w:val="auto"/>
              </w:rPr>
            </w:pPr>
            <w:r>
              <w:rPr>
                <w:rFonts w:ascii="Arial" w:cs="Arial" w:eastAsia="Arial" w:hAnsi="Arial"/>
                <w:sz w:val="14"/>
                <w:szCs w:val="14"/>
                <w:color w:val="auto"/>
              </w:rPr>
              <w:t>Date</w:t>
            </w:r>
          </w:p>
        </w:tc>
        <w:tc>
          <w:tcPr>
            <w:tcW w:w="320" w:type="dxa"/>
            <w:vAlign w:val="bottom"/>
          </w:tcPr>
          <w:p>
            <w:pPr>
              <w:spacing w:after="0"/>
              <w:rPr>
                <w:sz w:val="13"/>
                <w:szCs w:val="13"/>
                <w:color w:val="auto"/>
              </w:rPr>
            </w:pPr>
          </w:p>
        </w:tc>
        <w:tc>
          <w:tcPr>
            <w:tcW w:w="660" w:type="dxa"/>
            <w:vAlign w:val="bottom"/>
          </w:tcPr>
          <w:p>
            <w:pPr>
              <w:jc w:val="center"/>
              <w:spacing w:after="0" w:line="157" w:lineRule="exact"/>
              <w:rPr>
                <w:sz w:val="20"/>
                <w:szCs w:val="20"/>
                <w:color w:val="auto"/>
              </w:rPr>
            </w:pPr>
            <w:r>
              <w:rPr>
                <w:rFonts w:ascii="Arial" w:cs="Arial" w:eastAsia="Arial" w:hAnsi="Arial"/>
                <w:sz w:val="14"/>
                <w:szCs w:val="14"/>
                <w:color w:val="auto"/>
              </w:rPr>
              <w:t>auto</w:t>
            </w:r>
          </w:p>
        </w:tc>
        <w:tc>
          <w:tcPr>
            <w:tcW w:w="480" w:type="dxa"/>
            <w:vAlign w:val="bottom"/>
          </w:tcPr>
          <w:p>
            <w:pPr>
              <w:spacing w:after="0"/>
              <w:rPr>
                <w:sz w:val="13"/>
                <w:szCs w:val="13"/>
                <w:color w:val="auto"/>
              </w:rPr>
            </w:pPr>
          </w:p>
        </w:tc>
        <w:tc>
          <w:tcPr>
            <w:tcW w:w="660" w:type="dxa"/>
            <w:vAlign w:val="bottom"/>
          </w:tcPr>
          <w:p>
            <w:pPr>
              <w:ind w:left="200"/>
              <w:spacing w:after="0" w:line="157" w:lineRule="exact"/>
              <w:rPr>
                <w:sz w:val="20"/>
                <w:szCs w:val="20"/>
                <w:color w:val="auto"/>
              </w:rPr>
            </w:pPr>
            <w:r>
              <w:rPr>
                <w:rFonts w:ascii="Arial" w:cs="Arial" w:eastAsia="Arial" w:hAnsi="Arial"/>
                <w:sz w:val="14"/>
                <w:szCs w:val="14"/>
                <w:color w:val="auto"/>
              </w:rPr>
              <w:t>auto</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spacing w:after="0" w:line="157" w:lineRule="exact"/>
              <w:rPr>
                <w:sz w:val="20"/>
                <w:szCs w:val="20"/>
                <w:color w:val="auto"/>
              </w:rPr>
            </w:pPr>
            <w:r>
              <w:rPr>
                <w:rFonts w:ascii="Arial" w:cs="Arial" w:eastAsia="Arial" w:hAnsi="Arial"/>
                <w:sz w:val="14"/>
                <w:szCs w:val="14"/>
                <w:color w:val="auto"/>
              </w:rPr>
              <w:t>Homeowners</w:t>
            </w:r>
          </w:p>
        </w:tc>
        <w:tc>
          <w:tcPr>
            <w:tcW w:w="116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multi-peril</w:t>
            </w:r>
          </w:p>
        </w:tc>
        <w:tc>
          <w:tcPr>
            <w:tcW w:w="1160" w:type="dxa"/>
            <w:vAlign w:val="bottom"/>
            <w:gridSpan w:val="2"/>
          </w:tcPr>
          <w:p>
            <w:pPr>
              <w:ind w:left="140"/>
              <w:spacing w:after="0" w:line="157" w:lineRule="exact"/>
              <w:rPr>
                <w:sz w:val="20"/>
                <w:szCs w:val="20"/>
                <w:color w:val="auto"/>
              </w:rPr>
            </w:pPr>
            <w:r>
              <w:rPr>
                <w:rFonts w:ascii="Arial" w:cs="Arial" w:eastAsia="Arial" w:hAnsi="Arial"/>
                <w:sz w:val="14"/>
                <w:szCs w:val="14"/>
                <w:color w:val="auto"/>
              </w:rPr>
              <w:t>comp.</w:t>
            </w:r>
          </w:p>
        </w:tc>
        <w:tc>
          <w:tcPr>
            <w:tcW w:w="1160" w:type="dxa"/>
            <w:vAlign w:val="bottom"/>
            <w:gridSpan w:val="2"/>
          </w:tcPr>
          <w:p>
            <w:pPr>
              <w:jc w:val="center"/>
              <w:ind w:right="500"/>
              <w:spacing w:after="0" w:line="157" w:lineRule="exact"/>
              <w:rPr>
                <w:sz w:val="20"/>
                <w:szCs w:val="20"/>
                <w:color w:val="auto"/>
              </w:rPr>
            </w:pPr>
            <w:r>
              <w:rPr>
                <w:rFonts w:ascii="Arial" w:cs="Arial" w:eastAsia="Arial" w:hAnsi="Arial"/>
                <w:sz w:val="14"/>
                <w:szCs w:val="14"/>
                <w:color w:val="auto"/>
              </w:rPr>
              <w:t>business</w:t>
            </w:r>
          </w:p>
        </w:tc>
        <w:tc>
          <w:tcPr>
            <w:tcW w:w="820" w:type="dxa"/>
            <w:vAlign w:val="bottom"/>
            <w:gridSpan w:val="2"/>
          </w:tcPr>
          <w:p>
            <w:pPr>
              <w:ind w:left="180"/>
              <w:spacing w:after="0" w:line="157"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160" w:type="dxa"/>
            <w:vAlign w:val="bottom"/>
            <w:shd w:val="clear" w:color="auto" w:fill="CCEEFF"/>
          </w:tcPr>
          <w:p>
            <w:pPr>
              <w:jc w:val="center"/>
              <w:ind w:right="2193"/>
              <w:spacing w:after="0" w:line="196" w:lineRule="exact"/>
              <w:rPr>
                <w:sz w:val="20"/>
                <w:szCs w:val="20"/>
                <w:color w:val="auto"/>
              </w:rPr>
            </w:pPr>
            <w:r>
              <w:rPr>
                <w:rFonts w:ascii="Arial" w:cs="Arial" w:eastAsia="Arial" w:hAnsi="Arial"/>
                <w:sz w:val="18"/>
                <w:szCs w:val="18"/>
                <w:color w:val="auto"/>
                <w:w w:val="97"/>
              </w:rPr>
              <w:t>12/31/2003</w:t>
            </w:r>
          </w:p>
        </w:tc>
        <w:tc>
          <w:tcPr>
            <w:tcW w:w="3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320"/>
              <w:spacing w:after="0" w:line="196" w:lineRule="exact"/>
              <w:rPr>
                <w:sz w:val="20"/>
                <w:szCs w:val="20"/>
                <w:color w:val="auto"/>
              </w:rPr>
            </w:pPr>
            <w:r>
              <w:rPr>
                <w:rFonts w:ascii="Arial" w:cs="Arial" w:eastAsia="Arial" w:hAnsi="Arial"/>
                <w:sz w:val="18"/>
                <w:szCs w:val="18"/>
                <w:color w:val="auto"/>
              </w:rPr>
              <w:t>91.6%</w:t>
            </w:r>
          </w:p>
        </w:tc>
        <w:tc>
          <w:tcPr>
            <w:tcW w:w="980" w:type="dxa"/>
            <w:vAlign w:val="bottom"/>
            <w:gridSpan w:val="2"/>
            <w:shd w:val="clear" w:color="auto" w:fill="CCEEFF"/>
          </w:tcPr>
          <w:p>
            <w:pPr>
              <w:ind w:left="320"/>
              <w:spacing w:after="0" w:line="196" w:lineRule="exact"/>
              <w:rPr>
                <w:sz w:val="20"/>
                <w:szCs w:val="20"/>
                <w:color w:val="auto"/>
              </w:rPr>
            </w:pPr>
            <w:r>
              <w:rPr>
                <w:rFonts w:ascii="Arial" w:cs="Arial" w:eastAsia="Arial" w:hAnsi="Arial"/>
                <w:sz w:val="18"/>
                <w:szCs w:val="18"/>
                <w:color w:val="auto"/>
              </w:rPr>
              <w:t>89.8%</w:t>
            </w:r>
          </w:p>
        </w:tc>
        <w:tc>
          <w:tcPr>
            <w:tcW w:w="1500" w:type="dxa"/>
            <w:vAlign w:val="bottom"/>
            <w:gridSpan w:val="3"/>
            <w:shd w:val="clear" w:color="auto" w:fill="CCEEFF"/>
          </w:tcPr>
          <w:p>
            <w:pPr>
              <w:ind w:left="660"/>
              <w:spacing w:after="0" w:line="196" w:lineRule="exact"/>
              <w:rPr>
                <w:sz w:val="20"/>
                <w:szCs w:val="20"/>
                <w:color w:val="auto"/>
              </w:rPr>
            </w:pPr>
            <w:r>
              <w:rPr>
                <w:rFonts w:ascii="Arial" w:cs="Arial" w:eastAsia="Arial" w:hAnsi="Arial"/>
                <w:sz w:val="18"/>
                <w:szCs w:val="18"/>
                <w:color w:val="auto"/>
              </w:rPr>
              <w:t>89.5%</w:t>
            </w:r>
          </w:p>
        </w:tc>
        <w:tc>
          <w:tcPr>
            <w:tcW w:w="1160" w:type="dxa"/>
            <w:vAlign w:val="bottom"/>
            <w:gridSpan w:val="2"/>
            <w:shd w:val="clear" w:color="auto" w:fill="CCEEFF"/>
          </w:tcPr>
          <w:p>
            <w:pPr>
              <w:ind w:left="320"/>
              <w:spacing w:after="0" w:line="196" w:lineRule="exact"/>
              <w:rPr>
                <w:sz w:val="20"/>
                <w:szCs w:val="20"/>
                <w:color w:val="auto"/>
              </w:rPr>
            </w:pPr>
            <w:r>
              <w:rPr>
                <w:rFonts w:ascii="Arial" w:cs="Arial" w:eastAsia="Arial" w:hAnsi="Arial"/>
                <w:sz w:val="18"/>
                <w:szCs w:val="18"/>
                <w:color w:val="auto"/>
              </w:rPr>
              <w:t>87.5%</w:t>
            </w:r>
          </w:p>
        </w:tc>
        <w:tc>
          <w:tcPr>
            <w:tcW w:w="1160" w:type="dxa"/>
            <w:vAlign w:val="bottom"/>
            <w:gridSpan w:val="2"/>
            <w:shd w:val="clear" w:color="auto" w:fill="CCEEFF"/>
          </w:tcPr>
          <w:p>
            <w:pPr>
              <w:ind w:left="320"/>
              <w:spacing w:after="0" w:line="196" w:lineRule="exact"/>
              <w:rPr>
                <w:sz w:val="20"/>
                <w:szCs w:val="20"/>
                <w:color w:val="auto"/>
              </w:rPr>
            </w:pPr>
            <w:r>
              <w:rPr>
                <w:rFonts w:ascii="Arial" w:cs="Arial" w:eastAsia="Arial" w:hAnsi="Arial"/>
                <w:sz w:val="18"/>
                <w:szCs w:val="18"/>
                <w:color w:val="auto"/>
              </w:rPr>
              <w:t>88.1%</w:t>
            </w:r>
          </w:p>
        </w:tc>
        <w:tc>
          <w:tcPr>
            <w:tcW w:w="1160" w:type="dxa"/>
            <w:vAlign w:val="bottom"/>
            <w:gridSpan w:val="2"/>
            <w:shd w:val="clear" w:color="auto" w:fill="CCEEFF"/>
          </w:tcPr>
          <w:p>
            <w:pPr>
              <w:ind w:left="320"/>
              <w:spacing w:after="0" w:line="196" w:lineRule="exact"/>
              <w:rPr>
                <w:sz w:val="20"/>
                <w:szCs w:val="20"/>
                <w:color w:val="auto"/>
              </w:rPr>
            </w:pPr>
            <w:r>
              <w:rPr>
                <w:rFonts w:ascii="Arial" w:cs="Arial" w:eastAsia="Arial" w:hAnsi="Arial"/>
                <w:sz w:val="18"/>
                <w:szCs w:val="18"/>
                <w:color w:val="auto"/>
              </w:rPr>
              <w:t>88.2%</w:t>
            </w:r>
          </w:p>
        </w:tc>
        <w:tc>
          <w:tcPr>
            <w:tcW w:w="820" w:type="dxa"/>
            <w:vAlign w:val="bottom"/>
            <w:gridSpan w:val="2"/>
            <w:shd w:val="clear" w:color="auto" w:fill="CCEEFF"/>
          </w:tcPr>
          <w:p>
            <w:pPr>
              <w:ind w:left="300"/>
              <w:spacing w:after="0" w:line="196" w:lineRule="exact"/>
              <w:rPr>
                <w:sz w:val="20"/>
                <w:szCs w:val="20"/>
                <w:color w:val="auto"/>
              </w:rPr>
            </w:pPr>
            <w:r>
              <w:rPr>
                <w:rFonts w:ascii="Arial" w:cs="Arial" w:eastAsia="Arial" w:hAnsi="Arial"/>
                <w:sz w:val="18"/>
                <w:szCs w:val="18"/>
                <w:color w:val="auto"/>
                <w:w w:val="97"/>
              </w:rPr>
              <w:t>90.2%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60" w:type="dxa"/>
            <w:vAlign w:val="bottom"/>
          </w:tcPr>
          <w:p>
            <w:pPr>
              <w:jc w:val="center"/>
              <w:ind w:right="2193"/>
              <w:spacing w:after="0" w:line="202" w:lineRule="exact"/>
              <w:rPr>
                <w:sz w:val="20"/>
                <w:szCs w:val="20"/>
                <w:color w:val="auto"/>
              </w:rPr>
            </w:pPr>
            <w:r>
              <w:rPr>
                <w:rFonts w:ascii="Arial" w:cs="Arial" w:eastAsia="Arial" w:hAnsi="Arial"/>
                <w:sz w:val="18"/>
                <w:szCs w:val="18"/>
                <w:color w:val="auto"/>
                <w:w w:val="97"/>
              </w:rPr>
              <w:t>03/31/2004</w:t>
            </w:r>
          </w:p>
        </w:tc>
        <w:tc>
          <w:tcPr>
            <w:tcW w:w="980" w:type="dxa"/>
            <w:vAlign w:val="bottom"/>
            <w:gridSpan w:val="2"/>
          </w:tcPr>
          <w:p>
            <w:pPr>
              <w:ind w:left="640"/>
              <w:spacing w:after="0" w:line="202" w:lineRule="exact"/>
              <w:rPr>
                <w:sz w:val="20"/>
                <w:szCs w:val="20"/>
                <w:color w:val="auto"/>
              </w:rPr>
            </w:pPr>
            <w:r>
              <w:rPr>
                <w:rFonts w:ascii="Arial" w:cs="Arial" w:eastAsia="Arial" w:hAnsi="Arial"/>
                <w:sz w:val="18"/>
                <w:szCs w:val="18"/>
                <w:color w:val="auto"/>
                <w:w w:val="91"/>
              </w:rPr>
              <w:t>91.2</w:t>
            </w:r>
          </w:p>
        </w:tc>
        <w:tc>
          <w:tcPr>
            <w:tcW w:w="480" w:type="dxa"/>
            <w:vAlign w:val="bottom"/>
          </w:tcPr>
          <w:p>
            <w:pPr>
              <w:spacing w:after="0"/>
              <w:rPr>
                <w:sz w:val="17"/>
                <w:szCs w:val="17"/>
                <w:color w:val="auto"/>
              </w:rPr>
            </w:pPr>
          </w:p>
        </w:tc>
        <w:tc>
          <w:tcPr>
            <w:tcW w:w="98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89.7</w:t>
            </w:r>
          </w:p>
        </w:tc>
        <w:tc>
          <w:tcPr>
            <w:tcW w:w="1000" w:type="dxa"/>
            <w:vAlign w:val="bottom"/>
            <w:gridSpan w:val="2"/>
          </w:tcPr>
          <w:p>
            <w:pPr>
              <w:ind w:left="660"/>
              <w:spacing w:after="0" w:line="202" w:lineRule="exact"/>
              <w:rPr>
                <w:sz w:val="20"/>
                <w:szCs w:val="20"/>
                <w:color w:val="auto"/>
              </w:rPr>
            </w:pPr>
            <w:r>
              <w:rPr>
                <w:rFonts w:ascii="Arial" w:cs="Arial" w:eastAsia="Arial" w:hAnsi="Arial"/>
                <w:sz w:val="18"/>
                <w:szCs w:val="18"/>
                <w:color w:val="auto"/>
                <w:w w:val="91"/>
              </w:rPr>
              <w:t>89.0</w:t>
            </w:r>
          </w:p>
        </w:tc>
        <w:tc>
          <w:tcPr>
            <w:tcW w:w="500" w:type="dxa"/>
            <w:vAlign w:val="bottom"/>
          </w:tcPr>
          <w:p>
            <w:pPr>
              <w:spacing w:after="0"/>
              <w:rPr>
                <w:sz w:val="17"/>
                <w:szCs w:val="17"/>
                <w:color w:val="auto"/>
              </w:rPr>
            </w:pPr>
          </w:p>
        </w:tc>
        <w:tc>
          <w:tcPr>
            <w:tcW w:w="660" w:type="dxa"/>
            <w:vAlign w:val="bottom"/>
          </w:tcPr>
          <w:p>
            <w:pPr>
              <w:ind w:left="320"/>
              <w:spacing w:after="0" w:line="202" w:lineRule="exact"/>
              <w:rPr>
                <w:sz w:val="20"/>
                <w:szCs w:val="20"/>
                <w:color w:val="auto"/>
              </w:rPr>
            </w:pPr>
            <w:r>
              <w:rPr>
                <w:rFonts w:ascii="Arial" w:cs="Arial" w:eastAsia="Arial" w:hAnsi="Arial"/>
                <w:sz w:val="18"/>
                <w:szCs w:val="18"/>
                <w:color w:val="auto"/>
                <w:w w:val="91"/>
              </w:rPr>
              <w:t>87.6</w:t>
            </w:r>
          </w:p>
        </w:tc>
        <w:tc>
          <w:tcPr>
            <w:tcW w:w="500" w:type="dxa"/>
            <w:vAlign w:val="bottom"/>
          </w:tcPr>
          <w:p>
            <w:pPr>
              <w:spacing w:after="0"/>
              <w:rPr>
                <w:sz w:val="17"/>
                <w:szCs w:val="17"/>
                <w:color w:val="auto"/>
              </w:rPr>
            </w:pPr>
          </w:p>
        </w:tc>
        <w:tc>
          <w:tcPr>
            <w:tcW w:w="11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88.1</w:t>
            </w:r>
          </w:p>
        </w:tc>
        <w:tc>
          <w:tcPr>
            <w:tcW w:w="11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87.5</w:t>
            </w:r>
          </w:p>
        </w:tc>
        <w:tc>
          <w:tcPr>
            <w:tcW w:w="82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60" w:type="dxa"/>
            <w:vAlign w:val="bottom"/>
            <w:shd w:val="clear" w:color="auto" w:fill="CCEEFF"/>
          </w:tcPr>
          <w:p>
            <w:pPr>
              <w:jc w:val="center"/>
              <w:ind w:right="2193"/>
              <w:spacing w:after="0" w:line="202" w:lineRule="exact"/>
              <w:rPr>
                <w:sz w:val="20"/>
                <w:szCs w:val="20"/>
                <w:color w:val="auto"/>
              </w:rPr>
            </w:pPr>
            <w:r>
              <w:rPr>
                <w:rFonts w:ascii="Arial" w:cs="Arial" w:eastAsia="Arial" w:hAnsi="Arial"/>
                <w:sz w:val="18"/>
                <w:szCs w:val="18"/>
                <w:color w:val="auto"/>
                <w:w w:val="97"/>
              </w:rPr>
              <w:t>06/30/2004</w:t>
            </w:r>
          </w:p>
        </w:tc>
        <w:tc>
          <w:tcPr>
            <w:tcW w:w="980" w:type="dxa"/>
            <w:vAlign w:val="bottom"/>
            <w:gridSpan w:val="2"/>
            <w:shd w:val="clear" w:color="auto" w:fill="CCEEFF"/>
          </w:tcPr>
          <w:p>
            <w:pPr>
              <w:ind w:left="640"/>
              <w:spacing w:after="0" w:line="202" w:lineRule="exact"/>
              <w:rPr>
                <w:sz w:val="20"/>
                <w:szCs w:val="20"/>
                <w:color w:val="auto"/>
              </w:rPr>
            </w:pPr>
            <w:r>
              <w:rPr>
                <w:rFonts w:ascii="Arial" w:cs="Arial" w:eastAsia="Arial" w:hAnsi="Arial"/>
                <w:sz w:val="18"/>
                <w:szCs w:val="18"/>
                <w:color w:val="auto"/>
                <w:w w:val="91"/>
              </w:rPr>
              <w:t>90.7</w:t>
            </w:r>
          </w:p>
        </w:tc>
        <w:tc>
          <w:tcPr>
            <w:tcW w:w="4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89.0</w:t>
            </w:r>
          </w:p>
        </w:tc>
        <w:tc>
          <w:tcPr>
            <w:tcW w:w="100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w w:val="91"/>
              </w:rPr>
              <w:t>88.4</w:t>
            </w: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w w:val="91"/>
              </w:rPr>
              <w:t>86.7</w:t>
            </w:r>
          </w:p>
        </w:tc>
        <w:tc>
          <w:tcPr>
            <w:tcW w:w="5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86.7</w:t>
            </w:r>
          </w:p>
        </w:tc>
        <w:tc>
          <w:tcPr>
            <w:tcW w:w="116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86.8</w:t>
            </w:r>
          </w:p>
        </w:tc>
        <w:tc>
          <w:tcPr>
            <w:tcW w:w="82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60" w:type="dxa"/>
            <w:vAlign w:val="bottom"/>
          </w:tcPr>
          <w:p>
            <w:pPr>
              <w:jc w:val="center"/>
              <w:ind w:right="2193"/>
              <w:spacing w:after="0" w:line="202" w:lineRule="exact"/>
              <w:rPr>
                <w:sz w:val="20"/>
                <w:szCs w:val="20"/>
                <w:color w:val="auto"/>
              </w:rPr>
            </w:pPr>
            <w:r>
              <w:rPr>
                <w:rFonts w:ascii="Arial" w:cs="Arial" w:eastAsia="Arial" w:hAnsi="Arial"/>
                <w:sz w:val="18"/>
                <w:szCs w:val="18"/>
                <w:color w:val="auto"/>
                <w:w w:val="97"/>
              </w:rPr>
              <w:t>09/30/2004</w:t>
            </w:r>
          </w:p>
        </w:tc>
        <w:tc>
          <w:tcPr>
            <w:tcW w:w="980" w:type="dxa"/>
            <w:vAlign w:val="bottom"/>
            <w:gridSpan w:val="2"/>
          </w:tcPr>
          <w:p>
            <w:pPr>
              <w:ind w:left="640"/>
              <w:spacing w:after="0" w:line="202" w:lineRule="exact"/>
              <w:rPr>
                <w:sz w:val="20"/>
                <w:szCs w:val="20"/>
                <w:color w:val="auto"/>
              </w:rPr>
            </w:pPr>
            <w:r>
              <w:rPr>
                <w:rFonts w:ascii="Arial" w:cs="Arial" w:eastAsia="Arial" w:hAnsi="Arial"/>
                <w:sz w:val="18"/>
                <w:szCs w:val="18"/>
                <w:color w:val="auto"/>
                <w:w w:val="91"/>
              </w:rPr>
              <w:t>90.3</w:t>
            </w:r>
          </w:p>
        </w:tc>
        <w:tc>
          <w:tcPr>
            <w:tcW w:w="480" w:type="dxa"/>
            <w:vAlign w:val="bottom"/>
          </w:tcPr>
          <w:p>
            <w:pPr>
              <w:spacing w:after="0"/>
              <w:rPr>
                <w:sz w:val="17"/>
                <w:szCs w:val="17"/>
                <w:color w:val="auto"/>
              </w:rPr>
            </w:pPr>
          </w:p>
        </w:tc>
        <w:tc>
          <w:tcPr>
            <w:tcW w:w="98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88.5</w:t>
            </w:r>
          </w:p>
        </w:tc>
        <w:tc>
          <w:tcPr>
            <w:tcW w:w="1000" w:type="dxa"/>
            <w:vAlign w:val="bottom"/>
            <w:gridSpan w:val="2"/>
          </w:tcPr>
          <w:p>
            <w:pPr>
              <w:ind w:left="660"/>
              <w:spacing w:after="0" w:line="202" w:lineRule="exact"/>
              <w:rPr>
                <w:sz w:val="20"/>
                <w:szCs w:val="20"/>
                <w:color w:val="auto"/>
              </w:rPr>
            </w:pPr>
            <w:r>
              <w:rPr>
                <w:rFonts w:ascii="Arial" w:cs="Arial" w:eastAsia="Arial" w:hAnsi="Arial"/>
                <w:sz w:val="18"/>
                <w:szCs w:val="18"/>
                <w:color w:val="auto"/>
                <w:w w:val="91"/>
              </w:rPr>
              <w:t>87.9</w:t>
            </w:r>
          </w:p>
        </w:tc>
        <w:tc>
          <w:tcPr>
            <w:tcW w:w="500" w:type="dxa"/>
            <w:vAlign w:val="bottom"/>
          </w:tcPr>
          <w:p>
            <w:pPr>
              <w:spacing w:after="0"/>
              <w:rPr>
                <w:sz w:val="17"/>
                <w:szCs w:val="17"/>
                <w:color w:val="auto"/>
              </w:rPr>
            </w:pPr>
          </w:p>
        </w:tc>
        <w:tc>
          <w:tcPr>
            <w:tcW w:w="660" w:type="dxa"/>
            <w:vAlign w:val="bottom"/>
          </w:tcPr>
          <w:p>
            <w:pPr>
              <w:ind w:left="320"/>
              <w:spacing w:after="0" w:line="202" w:lineRule="exact"/>
              <w:rPr>
                <w:sz w:val="20"/>
                <w:szCs w:val="20"/>
                <w:color w:val="auto"/>
              </w:rPr>
            </w:pPr>
            <w:r>
              <w:rPr>
                <w:rFonts w:ascii="Arial" w:cs="Arial" w:eastAsia="Arial" w:hAnsi="Arial"/>
                <w:sz w:val="18"/>
                <w:szCs w:val="18"/>
                <w:color w:val="auto"/>
                <w:w w:val="91"/>
              </w:rPr>
              <w:t>86.0</w:t>
            </w:r>
          </w:p>
        </w:tc>
        <w:tc>
          <w:tcPr>
            <w:tcW w:w="500" w:type="dxa"/>
            <w:vAlign w:val="bottom"/>
          </w:tcPr>
          <w:p>
            <w:pPr>
              <w:spacing w:after="0"/>
              <w:rPr>
                <w:sz w:val="17"/>
                <w:szCs w:val="17"/>
                <w:color w:val="auto"/>
              </w:rPr>
            </w:pPr>
          </w:p>
        </w:tc>
        <w:tc>
          <w:tcPr>
            <w:tcW w:w="11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86.2</w:t>
            </w:r>
          </w:p>
        </w:tc>
        <w:tc>
          <w:tcPr>
            <w:tcW w:w="11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86.0</w:t>
            </w:r>
          </w:p>
        </w:tc>
        <w:tc>
          <w:tcPr>
            <w:tcW w:w="82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60" w:type="dxa"/>
            <w:vAlign w:val="bottom"/>
            <w:shd w:val="clear" w:color="auto" w:fill="CCEEFF"/>
          </w:tcPr>
          <w:p>
            <w:pPr>
              <w:jc w:val="center"/>
              <w:ind w:right="2193"/>
              <w:spacing w:after="0" w:line="202" w:lineRule="exact"/>
              <w:rPr>
                <w:sz w:val="20"/>
                <w:szCs w:val="20"/>
                <w:color w:val="auto"/>
              </w:rPr>
            </w:pPr>
            <w:r>
              <w:rPr>
                <w:rFonts w:ascii="Arial" w:cs="Arial" w:eastAsia="Arial" w:hAnsi="Arial"/>
                <w:sz w:val="18"/>
                <w:szCs w:val="18"/>
                <w:color w:val="auto"/>
                <w:w w:val="97"/>
              </w:rPr>
              <w:t>12/31/2004</w:t>
            </w:r>
          </w:p>
        </w:tc>
        <w:tc>
          <w:tcPr>
            <w:tcW w:w="980" w:type="dxa"/>
            <w:vAlign w:val="bottom"/>
            <w:gridSpan w:val="2"/>
            <w:shd w:val="clear" w:color="auto" w:fill="CCEEFF"/>
          </w:tcPr>
          <w:p>
            <w:pPr>
              <w:ind w:left="640"/>
              <w:spacing w:after="0" w:line="202" w:lineRule="exact"/>
              <w:rPr>
                <w:sz w:val="20"/>
                <w:szCs w:val="20"/>
                <w:color w:val="auto"/>
              </w:rPr>
            </w:pPr>
            <w:r>
              <w:rPr>
                <w:rFonts w:ascii="Arial" w:cs="Arial" w:eastAsia="Arial" w:hAnsi="Arial"/>
                <w:sz w:val="18"/>
                <w:szCs w:val="18"/>
                <w:color w:val="auto"/>
                <w:w w:val="91"/>
              </w:rPr>
              <w:t>90.0</w:t>
            </w:r>
          </w:p>
        </w:tc>
        <w:tc>
          <w:tcPr>
            <w:tcW w:w="4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88.3</w:t>
            </w:r>
          </w:p>
        </w:tc>
        <w:tc>
          <w:tcPr>
            <w:tcW w:w="100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w w:val="91"/>
              </w:rPr>
              <w:t>87.6</w:t>
            </w: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w w:val="91"/>
              </w:rPr>
              <w:t>85.3</w:t>
            </w:r>
          </w:p>
        </w:tc>
        <w:tc>
          <w:tcPr>
            <w:tcW w:w="5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85.8</w:t>
            </w:r>
          </w:p>
        </w:tc>
        <w:tc>
          <w:tcPr>
            <w:tcW w:w="116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85.8</w:t>
            </w:r>
          </w:p>
        </w:tc>
        <w:tc>
          <w:tcPr>
            <w:tcW w:w="82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60" w:type="dxa"/>
            <w:vAlign w:val="bottom"/>
          </w:tcPr>
          <w:p>
            <w:pPr>
              <w:jc w:val="center"/>
              <w:ind w:right="2193"/>
              <w:spacing w:after="0"/>
              <w:rPr>
                <w:sz w:val="20"/>
                <w:szCs w:val="20"/>
                <w:color w:val="auto"/>
              </w:rPr>
            </w:pPr>
            <w:r>
              <w:rPr>
                <w:rFonts w:ascii="Arial" w:cs="Arial" w:eastAsia="Arial" w:hAnsi="Arial"/>
                <w:sz w:val="18"/>
                <w:szCs w:val="18"/>
                <w:color w:val="auto"/>
                <w:w w:val="97"/>
              </w:rPr>
              <w:t>03/31/2005</w:t>
            </w:r>
          </w:p>
        </w:tc>
        <w:tc>
          <w:tcPr>
            <w:tcW w:w="980" w:type="dxa"/>
            <w:vAlign w:val="bottom"/>
            <w:gridSpan w:val="2"/>
          </w:tcPr>
          <w:p>
            <w:pPr>
              <w:ind w:left="640"/>
              <w:spacing w:after="0"/>
              <w:rPr>
                <w:sz w:val="20"/>
                <w:szCs w:val="20"/>
                <w:color w:val="auto"/>
              </w:rPr>
            </w:pPr>
            <w:r>
              <w:rPr>
                <w:rFonts w:ascii="Arial" w:cs="Arial" w:eastAsia="Arial" w:hAnsi="Arial"/>
                <w:sz w:val="18"/>
                <w:szCs w:val="18"/>
                <w:color w:val="auto"/>
                <w:w w:val="91"/>
              </w:rPr>
              <w:t>89.9</w:t>
            </w:r>
          </w:p>
        </w:tc>
        <w:tc>
          <w:tcPr>
            <w:tcW w:w="480" w:type="dxa"/>
            <w:vAlign w:val="bottom"/>
          </w:tcPr>
          <w:p>
            <w:pPr>
              <w:spacing w:after="0"/>
              <w:rPr>
                <w:sz w:val="18"/>
                <w:szCs w:val="18"/>
                <w:color w:val="auto"/>
              </w:rPr>
            </w:pPr>
          </w:p>
        </w:tc>
        <w:tc>
          <w:tcPr>
            <w:tcW w:w="980" w:type="dxa"/>
            <w:vAlign w:val="bottom"/>
            <w:gridSpan w:val="2"/>
          </w:tcPr>
          <w:p>
            <w:pPr>
              <w:ind w:left="320"/>
              <w:spacing w:after="0"/>
              <w:rPr>
                <w:sz w:val="20"/>
                <w:szCs w:val="20"/>
                <w:color w:val="auto"/>
              </w:rPr>
            </w:pPr>
            <w:r>
              <w:rPr>
                <w:rFonts w:ascii="Arial" w:cs="Arial" w:eastAsia="Arial" w:hAnsi="Arial"/>
                <w:sz w:val="18"/>
                <w:szCs w:val="18"/>
                <w:color w:val="auto"/>
              </w:rPr>
              <w:t>88.2</w:t>
            </w:r>
          </w:p>
        </w:tc>
        <w:tc>
          <w:tcPr>
            <w:tcW w:w="1000" w:type="dxa"/>
            <w:vAlign w:val="bottom"/>
            <w:gridSpan w:val="2"/>
          </w:tcPr>
          <w:p>
            <w:pPr>
              <w:ind w:left="660"/>
              <w:spacing w:after="0"/>
              <w:rPr>
                <w:sz w:val="20"/>
                <w:szCs w:val="20"/>
                <w:color w:val="auto"/>
              </w:rPr>
            </w:pPr>
            <w:r>
              <w:rPr>
                <w:rFonts w:ascii="Arial" w:cs="Arial" w:eastAsia="Arial" w:hAnsi="Arial"/>
                <w:sz w:val="18"/>
                <w:szCs w:val="18"/>
                <w:color w:val="auto"/>
                <w:w w:val="91"/>
              </w:rPr>
              <w:t>87.6</w:t>
            </w:r>
          </w:p>
        </w:tc>
        <w:tc>
          <w:tcPr>
            <w:tcW w:w="500" w:type="dxa"/>
            <w:vAlign w:val="bottom"/>
          </w:tcPr>
          <w:p>
            <w:pPr>
              <w:spacing w:after="0"/>
              <w:rPr>
                <w:sz w:val="18"/>
                <w:szCs w:val="18"/>
                <w:color w:val="auto"/>
              </w:rPr>
            </w:pPr>
          </w:p>
        </w:tc>
        <w:tc>
          <w:tcPr>
            <w:tcW w:w="660" w:type="dxa"/>
            <w:vAlign w:val="bottom"/>
          </w:tcPr>
          <w:p>
            <w:pPr>
              <w:ind w:left="320"/>
              <w:spacing w:after="0"/>
              <w:rPr>
                <w:sz w:val="20"/>
                <w:szCs w:val="20"/>
                <w:color w:val="auto"/>
              </w:rPr>
            </w:pPr>
            <w:r>
              <w:rPr>
                <w:rFonts w:ascii="Arial" w:cs="Arial" w:eastAsia="Arial" w:hAnsi="Arial"/>
                <w:sz w:val="18"/>
                <w:szCs w:val="18"/>
                <w:color w:val="auto"/>
                <w:w w:val="91"/>
              </w:rPr>
              <w:t>85.5</w:t>
            </w:r>
          </w:p>
        </w:tc>
        <w:tc>
          <w:tcPr>
            <w:tcW w:w="500" w:type="dxa"/>
            <w:vAlign w:val="bottom"/>
          </w:tcPr>
          <w:p>
            <w:pPr>
              <w:spacing w:after="0"/>
              <w:rPr>
                <w:sz w:val="18"/>
                <w:szCs w:val="18"/>
                <w:color w:val="auto"/>
              </w:rPr>
            </w:pPr>
          </w:p>
        </w:tc>
        <w:tc>
          <w:tcPr>
            <w:tcW w:w="1160" w:type="dxa"/>
            <w:vAlign w:val="bottom"/>
            <w:gridSpan w:val="2"/>
          </w:tcPr>
          <w:p>
            <w:pPr>
              <w:ind w:left="320"/>
              <w:spacing w:after="0"/>
              <w:rPr>
                <w:sz w:val="20"/>
                <w:szCs w:val="20"/>
                <w:color w:val="auto"/>
              </w:rPr>
            </w:pPr>
            <w:r>
              <w:rPr>
                <w:rFonts w:ascii="Arial" w:cs="Arial" w:eastAsia="Arial" w:hAnsi="Arial"/>
                <w:sz w:val="18"/>
                <w:szCs w:val="18"/>
                <w:color w:val="auto"/>
              </w:rPr>
              <w:t>85.9</w:t>
            </w:r>
          </w:p>
        </w:tc>
        <w:tc>
          <w:tcPr>
            <w:tcW w:w="1160" w:type="dxa"/>
            <w:vAlign w:val="bottom"/>
            <w:gridSpan w:val="2"/>
          </w:tcPr>
          <w:p>
            <w:pPr>
              <w:ind w:left="320"/>
              <w:spacing w:after="0"/>
              <w:rPr>
                <w:sz w:val="20"/>
                <w:szCs w:val="20"/>
                <w:color w:val="auto"/>
              </w:rPr>
            </w:pPr>
            <w:r>
              <w:rPr>
                <w:rFonts w:ascii="Arial" w:cs="Arial" w:eastAsia="Arial" w:hAnsi="Arial"/>
                <w:sz w:val="18"/>
                <w:szCs w:val="18"/>
                <w:color w:val="auto"/>
              </w:rPr>
              <w:t>85.5</w:t>
            </w:r>
          </w:p>
        </w:tc>
        <w:tc>
          <w:tcPr>
            <w:tcW w:w="820" w:type="dxa"/>
            <w:vAlign w:val="bottom"/>
            <w:gridSpan w:val="2"/>
          </w:tcPr>
          <w:p>
            <w:pPr>
              <w:ind w:left="30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3208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*CML = Commercial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w:t>
      </w:r>
    </w:p>
    <w:p>
      <w:pPr>
        <w:spacing w:after="0" w:line="18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following information should be read in conjunction with the historical financial information and the notes thereto included in Item 1 of this Quarterly Report on Form 10-Q and Management’s Discussion and Analysis of Financial Condition and Results of Operations contained in the Annual Report on Form 10-K for the year ended December 31, 2004 as filed with the Securities and Exchange Commission on February 24, 2005. Preceding the discussion of financial results is an introduction discussing the relationships between the member companies of the Erie Insurance Group. The following discussion of financial results focuses heavily on the Erie Indemnity Company’s (the Company) three primary segments: management operations, insurance underwriting operations and investment operations consistent with the presentation in Note 12 in the Notes to Consolidated Financial Statements. That presentation, which management uses internally to monitor and evaluate results, is an alternative presentation of the Company’s Consolidated Statements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NATURE OF ORGANIZATION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organizational chart depicts the organization of the various entities of the Erie Insurance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991235</wp:posOffset>
            </wp:positionH>
            <wp:positionV relativeFrom="paragraph">
              <wp:posOffset>118110</wp:posOffset>
            </wp:positionV>
            <wp:extent cx="5282565" cy="23926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282565" cy="2392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49" w:right="29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w:t>
      </w:r>
      <w:r>
        <w:rPr>
          <w:rFonts w:ascii="Arial" w:cs="Arial" w:eastAsia="Arial" w:hAnsi="Arial"/>
          <w:sz w:val="18"/>
          <w:szCs w:val="18"/>
          <w:color w:val="auto"/>
        </w:rPr>
        <w:t xml:space="preserve"> (Continued)</w:t>
      </w:r>
    </w:p>
    <w:p>
      <w:pPr>
        <w:spacing w:after="0" w:line="185"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Erie Indemnity Company (the Company) has served since 1925 as the attorney-in-fact for the policyholders of the Erie Insurance Exchange (Exchange). The Company is a public registrant that operates predominantly as a provider of certain management services to the Exchange. The Company also owns subsidiaries that are property and casualty insurers. Each applicant for insurance to a reciprocal insurance exchange signs a subscriber’s agreement, which contains a power-of-attorney appointing an attorney-in-fact. Under the Company’s attorney-in-fact arrangement with subscribers to the Exchange, the Company is required to perform services relating to the sales, underwriting and issuance of policies on behalf of the Exchange.</w:t>
      </w:r>
    </w:p>
    <w:p>
      <w:pPr>
        <w:spacing w:after="0" w:line="165"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Exchange and its property/casualty subsidiary, Flagship City Insurance Company, and the Company’s three property/casualty subsidiaries, Erie Insurance Company (EIC), Erie Insurance Company of New York (EINY) and Erie Insurance Property &amp; Casualty Company (EIPC), (collectively, the Property and Casualty Group) write personal and commercial lines property and casualty coverage exclusively through more than 1,700 independent agencies comprising over 7,600 licensed independent agents and pool their underwriting results. The financial position or results of operations of the Exchange are not consolidated with those of the Company. The Company, together with the Property and Casualty Group and EFL, operate collectively as the Erie Insurance Group.</w:t>
      </w:r>
    </w:p>
    <w:p>
      <w:pPr>
        <w:spacing w:after="0" w:line="165"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The financial information presented herein reflects the Company’s management operations from serving as attorney-in-fact for the Exchange, its insurance underwriting results from its wholly-owned subsidiaries (EIC, EINY and EIPC) and the Company’s investment operations.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Results of Operations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360" w:type="dxa"/>
            <w:vAlign w:val="bottom"/>
          </w:tcPr>
          <w:p>
            <w:pPr>
              <w:spacing w:after="0"/>
              <w:rPr>
                <w:sz w:val="14"/>
                <w:szCs w:val="14"/>
                <w:color w:val="auto"/>
              </w:rPr>
            </w:pPr>
          </w:p>
        </w:tc>
        <w:tc>
          <w:tcPr>
            <w:tcW w:w="2060" w:type="dxa"/>
            <w:vAlign w:val="bottom"/>
            <w:gridSpan w:val="6"/>
          </w:tcPr>
          <w:p>
            <w:pPr>
              <w:jc w:val="center"/>
              <w:ind w:right="80"/>
              <w:spacing w:after="0"/>
              <w:rPr>
                <w:sz w:val="20"/>
                <w:szCs w:val="20"/>
                <w:color w:val="auto"/>
              </w:rPr>
            </w:pPr>
            <w:r>
              <w:rPr>
                <w:rFonts w:ascii="Arial" w:cs="Arial" w:eastAsia="Arial" w:hAnsi="Arial"/>
                <w:sz w:val="14"/>
                <w:szCs w:val="14"/>
                <w:color w:val="auto"/>
              </w:rPr>
              <w:t>Three months ended March 31</w:t>
            </w:r>
          </w:p>
        </w:tc>
      </w:tr>
      <w:tr>
        <w:trPr>
          <w:trHeight w:val="157"/>
        </w:trPr>
        <w:tc>
          <w:tcPr>
            <w:tcW w:w="9360" w:type="dxa"/>
            <w:vAlign w:val="bottom"/>
          </w:tcPr>
          <w:p>
            <w:pPr>
              <w:spacing w:after="0" w:line="157" w:lineRule="exact"/>
              <w:rPr>
                <w:sz w:val="20"/>
                <w:szCs w:val="20"/>
                <w:color w:val="auto"/>
              </w:rPr>
            </w:pPr>
            <w:r>
              <w:rPr>
                <w:rFonts w:ascii="Arial" w:cs="Arial" w:eastAsia="Arial" w:hAnsi="Arial"/>
                <w:sz w:val="14"/>
                <w:szCs w:val="14"/>
                <w:color w:val="auto"/>
              </w:rPr>
              <w:t>(dollars in thousands, except per share data)</w:t>
            </w:r>
          </w:p>
        </w:tc>
        <w:tc>
          <w:tcPr>
            <w:tcW w:w="740" w:type="dxa"/>
            <w:vAlign w:val="bottom"/>
            <w:tcBorders>
              <w:bottom w:val="single" w:sz="8" w:color="auto"/>
            </w:tcBorders>
          </w:tcPr>
          <w:p>
            <w:pPr>
              <w:jc w:val="right"/>
              <w:ind w:right="115"/>
              <w:spacing w:after="0" w:line="157" w:lineRule="exact"/>
              <w:rPr>
                <w:sz w:val="20"/>
                <w:szCs w:val="20"/>
                <w:color w:val="auto"/>
              </w:rPr>
            </w:pPr>
            <w:r>
              <w:rPr>
                <w:rFonts w:ascii="Arial" w:cs="Arial" w:eastAsia="Arial" w:hAnsi="Arial"/>
                <w:sz w:val="14"/>
                <w:szCs w:val="14"/>
                <w:color w:val="auto"/>
              </w:rPr>
              <w:t>2005</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3"/>
              <w:spacing w:after="0" w:line="157" w:lineRule="exact"/>
              <w:rPr>
                <w:sz w:val="20"/>
                <w:szCs w:val="20"/>
                <w:color w:val="auto"/>
              </w:rPr>
            </w:pPr>
            <w:r>
              <w:rPr>
                <w:rFonts w:ascii="Arial" w:cs="Arial" w:eastAsia="Arial" w:hAnsi="Arial"/>
                <w:sz w:val="14"/>
                <w:szCs w:val="14"/>
                <w:color w:val="auto"/>
              </w:rPr>
              <w:t>2004</w:t>
            </w:r>
          </w:p>
        </w:tc>
        <w:tc>
          <w:tcPr>
            <w:tcW w:w="100" w:type="dxa"/>
            <w:vAlign w:val="bottom"/>
          </w:tcPr>
          <w:p>
            <w:pPr>
              <w:spacing w:after="0"/>
              <w:rPr>
                <w:sz w:val="13"/>
                <w:szCs w:val="13"/>
                <w:color w:val="auto"/>
              </w:rPr>
            </w:pPr>
          </w:p>
        </w:tc>
      </w:tr>
      <w:tr>
        <w:trPr>
          <w:trHeight w:val="156"/>
        </w:trPr>
        <w:tc>
          <w:tcPr>
            <w:tcW w:w="9360" w:type="dxa"/>
            <w:vAlign w:val="bottom"/>
          </w:tcPr>
          <w:p>
            <w:pPr>
              <w:spacing w:after="0"/>
              <w:rPr>
                <w:sz w:val="13"/>
                <w:szCs w:val="13"/>
                <w:color w:val="auto"/>
              </w:rPr>
            </w:pPr>
          </w:p>
        </w:tc>
        <w:tc>
          <w:tcPr>
            <w:tcW w:w="1380" w:type="dxa"/>
            <w:vAlign w:val="bottom"/>
            <w:gridSpan w:val="4"/>
          </w:tcPr>
          <w:p>
            <w:pPr>
              <w:jc w:val="center"/>
              <w:ind w:left="495"/>
              <w:spacing w:after="0" w:line="155" w:lineRule="exact"/>
              <w:rPr>
                <w:sz w:val="20"/>
                <w:szCs w:val="20"/>
                <w:color w:val="auto"/>
              </w:rPr>
            </w:pPr>
            <w:r>
              <w:rPr>
                <w:rFonts w:ascii="Arial" w:cs="Arial" w:eastAsia="Arial" w:hAnsi="Arial"/>
                <w:sz w:val="14"/>
                <w:szCs w:val="14"/>
                <w:color w:val="auto"/>
              </w:rPr>
              <w:t>(Unaudited)</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3"/>
        </w:trPr>
        <w:tc>
          <w:tcPr>
            <w:tcW w:w="9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from management operations</w:t>
            </w:r>
          </w:p>
        </w:tc>
        <w:tc>
          <w:tcPr>
            <w:tcW w:w="9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$ 57,482</w:t>
            </w:r>
          </w:p>
        </w:tc>
        <w:tc>
          <w:tcPr>
            <w:tcW w:w="108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$ 56,226</w:t>
            </w:r>
          </w:p>
        </w:tc>
      </w:tr>
      <w:tr>
        <w:trPr>
          <w:trHeight w:val="203"/>
        </w:trPr>
        <w:tc>
          <w:tcPr>
            <w:tcW w:w="9360" w:type="dxa"/>
            <w:vAlign w:val="bottom"/>
          </w:tcPr>
          <w:p>
            <w:pPr>
              <w:spacing w:after="0" w:line="202" w:lineRule="exact"/>
              <w:rPr>
                <w:sz w:val="20"/>
                <w:szCs w:val="20"/>
                <w:color w:val="auto"/>
              </w:rPr>
            </w:pPr>
            <w:r>
              <w:rPr>
                <w:rFonts w:ascii="Arial" w:cs="Arial" w:eastAsia="Arial" w:hAnsi="Arial"/>
                <w:sz w:val="18"/>
                <w:szCs w:val="18"/>
                <w:color w:val="auto"/>
              </w:rPr>
              <w:t>Underwriting income (loss)</w:t>
            </w:r>
          </w:p>
        </w:tc>
        <w:tc>
          <w:tcPr>
            <w:tcW w:w="9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6,229</w:t>
            </w:r>
          </w:p>
        </w:tc>
        <w:tc>
          <w:tcPr>
            <w:tcW w:w="40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1,491)</w:t>
            </w:r>
          </w:p>
        </w:tc>
      </w:tr>
      <w:tr>
        <w:trPr>
          <w:trHeight w:val="203"/>
        </w:trPr>
        <w:tc>
          <w:tcPr>
            <w:tcW w:w="9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revenue from investment operations</w:t>
            </w: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22,843</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19,371</w:t>
            </w:r>
          </w:p>
        </w:tc>
        <w:tc>
          <w:tcPr>
            <w:tcW w:w="100" w:type="dxa"/>
            <w:vAlign w:val="bottom"/>
            <w:shd w:val="clear" w:color="auto" w:fill="CCEEFF"/>
          </w:tcPr>
          <w:p>
            <w:pPr>
              <w:spacing w:after="0"/>
              <w:rPr>
                <w:sz w:val="17"/>
                <w:szCs w:val="17"/>
                <w:color w:val="auto"/>
              </w:rPr>
            </w:pPr>
          </w:p>
        </w:tc>
      </w:tr>
      <w:tr>
        <w:trPr>
          <w:trHeight w:val="210"/>
        </w:trPr>
        <w:tc>
          <w:tcPr>
            <w:tcW w:w="93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86,554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74,106</w:t>
            </w:r>
          </w:p>
        </w:tc>
      </w:tr>
      <w:tr>
        <w:trPr>
          <w:trHeight w:val="203"/>
        </w:trPr>
        <w:tc>
          <w:tcPr>
            <w:tcW w:w="9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Provision for income taxes</w:t>
            </w: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28,783</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24,534</w:t>
            </w:r>
          </w:p>
        </w:tc>
        <w:tc>
          <w:tcPr>
            <w:tcW w:w="100" w:type="dxa"/>
            <w:vAlign w:val="bottom"/>
            <w:shd w:val="clear" w:color="auto" w:fill="CCEEFF"/>
          </w:tcPr>
          <w:p>
            <w:pPr>
              <w:spacing w:after="0"/>
              <w:rPr>
                <w:sz w:val="17"/>
                <w:szCs w:val="17"/>
                <w:color w:val="auto"/>
              </w:rPr>
            </w:pPr>
          </w:p>
        </w:tc>
      </w:tr>
      <w:tr>
        <w:trPr>
          <w:trHeight w:val="210"/>
        </w:trPr>
        <w:tc>
          <w:tcPr>
            <w:tcW w:w="9360" w:type="dxa"/>
            <w:vAlign w:val="bottom"/>
          </w:tcPr>
          <w:p>
            <w:pPr>
              <w:spacing w:after="0"/>
              <w:rPr>
                <w:sz w:val="20"/>
                <w:szCs w:val="20"/>
                <w:color w:val="auto"/>
              </w:rPr>
            </w:pPr>
            <w:r>
              <w:rPr>
                <w:rFonts w:ascii="Arial" w:cs="Arial" w:eastAsia="Arial" w:hAnsi="Arial"/>
                <w:sz w:val="18"/>
                <w:szCs w:val="18"/>
                <w:color w:val="auto"/>
              </w:rPr>
              <w:t>Net income</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$ 57,771</w:t>
            </w:r>
          </w:p>
        </w:tc>
        <w:tc>
          <w:tcPr>
            <w:tcW w:w="1080" w:type="dxa"/>
            <w:vAlign w:val="bottom"/>
            <w:gridSpan w:val="4"/>
          </w:tcPr>
          <w:p>
            <w:pPr>
              <w:jc w:val="right"/>
              <w:ind w:right="100"/>
              <w:spacing w:after="0"/>
              <w:rPr>
                <w:sz w:val="20"/>
                <w:szCs w:val="20"/>
                <w:color w:val="auto"/>
              </w:rPr>
            </w:pPr>
            <w:r>
              <w:rPr>
                <w:rFonts w:ascii="Arial" w:cs="Arial" w:eastAsia="Arial" w:hAnsi="Arial"/>
                <w:sz w:val="18"/>
                <w:szCs w:val="18"/>
                <w:color w:val="auto"/>
              </w:rPr>
              <w:t>$ 49,572</w:t>
            </w:r>
          </w:p>
        </w:tc>
      </w:tr>
      <w:tr>
        <w:trPr>
          <w:trHeight w:val="20"/>
        </w:trPr>
        <w:tc>
          <w:tcPr>
            <w:tcW w:w="93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9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per share – diluted</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0.83</w:t>
            </w:r>
          </w:p>
        </w:tc>
        <w:tc>
          <w:tcPr>
            <w:tcW w:w="2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240"/>
              <w:spacing w:after="0" w:line="196"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0.70</w:t>
            </w:r>
          </w:p>
        </w:tc>
      </w:tr>
      <w:tr>
        <w:trPr>
          <w:trHeight w:val="20"/>
        </w:trPr>
        <w:tc>
          <w:tcPr>
            <w:tcW w:w="93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Consolidated net income for the first quarter of 2005 increased 16.5% to $57.8 million compared to $49.6 million during the same period in 2004. The increase in income from management operations was the result of a higher management fee rate in 2005 and a 1.2% increase in the direct written premiums of the Property and Casualty Group. Management fee revenue was reduced by $.4 million and $3.9 million in the first quarters of 2005 and 2004, respectively, due to an increase in the allowance on mid-term policy cancellations. The methodology used to estimate the mid-term policy cancellations has been based on a refined analysis of the adequacy of the allowance since the second quarter of 2004. The refined methodology decreased the second quarter 2004 allowance and increased the second quarter 2004 management fee revenue by $2.8 million.</w:t>
      </w:r>
    </w:p>
    <w:p>
      <w:pPr>
        <w:spacing w:after="0" w:line="176" w:lineRule="exact"/>
        <w:rPr>
          <w:sz w:val="20"/>
          <w:szCs w:val="20"/>
          <w:color w:val="auto"/>
        </w:rPr>
      </w:pPr>
    </w:p>
    <w:p>
      <w:pPr>
        <w:jc w:val="both"/>
        <w:ind w:right="660"/>
        <w:spacing w:after="0"/>
        <w:rPr>
          <w:sz w:val="20"/>
          <w:szCs w:val="20"/>
          <w:color w:val="auto"/>
        </w:rPr>
      </w:pPr>
      <w:r>
        <w:rPr>
          <w:rFonts w:ascii="Arial" w:cs="Arial" w:eastAsia="Arial" w:hAnsi="Arial"/>
          <w:sz w:val="18"/>
          <w:szCs w:val="18"/>
          <w:color w:val="auto"/>
        </w:rPr>
        <w:t>Insurance underwriting operations improved as a result of the Property and Casualty Group’s continued efforts to focus on underwriting profitability. The Property and Casualty Group experienced favorable development on losses of prior accident years and seasonally low underwriting losses in the first quarter of 2005.</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w:t>
      </w:r>
      <w:r>
        <w:rPr>
          <w:rFonts w:ascii="Arial" w:cs="Arial" w:eastAsia="Arial" w:hAnsi="Arial"/>
          <w:sz w:val="18"/>
          <w:szCs w:val="18"/>
          <w:color w:val="auto"/>
        </w:rPr>
        <w:t xml:space="preserve"> (Continued)</w:t>
      </w:r>
    </w:p>
    <w:p>
      <w:pPr>
        <w:spacing w:after="0" w:line="185"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Revenue from investment operations increased 17.9% in the first quarter of 2005 compared to the same period in 2004. This increase is due to realized gains on sales of investments and improved results in its limited partnership earnings.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OVERVIEW OF OPERATING SEGMENTS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Management Operations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2260" w:type="dxa"/>
            <w:vAlign w:val="bottom"/>
            <w:gridSpan w:val="6"/>
          </w:tcPr>
          <w:p>
            <w:pPr>
              <w:jc w:val="right"/>
              <w:ind w:right="220"/>
              <w:spacing w:after="0"/>
              <w:rPr>
                <w:sz w:val="20"/>
                <w:szCs w:val="20"/>
                <w:color w:val="auto"/>
              </w:rPr>
            </w:pPr>
            <w:r>
              <w:rPr>
                <w:rFonts w:ascii="Arial" w:cs="Arial" w:eastAsia="Arial" w:hAnsi="Arial"/>
                <w:sz w:val="14"/>
                <w:szCs w:val="14"/>
                <w:color w:val="auto"/>
              </w:rPr>
              <w:t>Three months ended March 31</w:t>
            </w:r>
          </w:p>
        </w:tc>
        <w:tc>
          <w:tcPr>
            <w:tcW w:w="0" w:type="dxa"/>
            <w:vAlign w:val="bottom"/>
          </w:tcPr>
          <w:p>
            <w:pPr>
              <w:spacing w:after="0"/>
              <w:rPr>
                <w:sz w:val="1"/>
                <w:szCs w:val="1"/>
                <w:color w:val="auto"/>
              </w:rPr>
            </w:pPr>
          </w:p>
        </w:tc>
      </w:tr>
      <w:tr>
        <w:trPr>
          <w:trHeight w:val="157"/>
        </w:trPr>
        <w:tc>
          <w:tcPr>
            <w:tcW w:w="9160" w:type="dxa"/>
            <w:vAlign w:val="bottom"/>
            <w:gridSpan w:val="2"/>
          </w:tcPr>
          <w:p>
            <w:pPr>
              <w:spacing w:after="0" w:line="157" w:lineRule="exact"/>
              <w:rPr>
                <w:sz w:val="20"/>
                <w:szCs w:val="20"/>
                <w:color w:val="auto"/>
              </w:rPr>
            </w:pPr>
            <w:r>
              <w:rPr>
                <w:rFonts w:ascii="Arial" w:cs="Arial" w:eastAsia="Arial" w:hAnsi="Arial"/>
                <w:sz w:val="14"/>
                <w:szCs w:val="14"/>
                <w:color w:val="auto"/>
              </w:rPr>
              <w:t>(dollars in thousands)</w:t>
            </w: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34"/>
              <w:spacing w:after="0" w:line="157" w:lineRule="exact"/>
              <w:rPr>
                <w:sz w:val="20"/>
                <w:szCs w:val="20"/>
                <w:color w:val="auto"/>
              </w:rPr>
            </w:pPr>
            <w:r>
              <w:rPr>
                <w:rFonts w:ascii="Arial" w:cs="Arial" w:eastAsia="Arial" w:hAnsi="Arial"/>
                <w:sz w:val="14"/>
                <w:szCs w:val="14"/>
                <w:color w:val="auto"/>
              </w:rPr>
              <w:t>2005</w:t>
            </w:r>
          </w:p>
        </w:tc>
        <w:tc>
          <w:tcPr>
            <w:tcW w:w="5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52"/>
              <w:spacing w:after="0" w:line="157" w:lineRule="exact"/>
              <w:rPr>
                <w:sz w:val="20"/>
                <w:szCs w:val="20"/>
                <w:color w:val="auto"/>
              </w:rPr>
            </w:pPr>
            <w:r>
              <w:rPr>
                <w:rFonts w:ascii="Arial" w:cs="Arial" w:eastAsia="Arial" w:hAnsi="Arial"/>
                <w:sz w:val="14"/>
                <w:szCs w:val="14"/>
                <w:color w:val="auto"/>
              </w:rPr>
              <w:t>2004</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(Unaudited)</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Management fee revenue</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w w:val="98"/>
              </w:rPr>
              <w:t>230,409</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8"/>
              </w:rPr>
              <w:t>221,867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40" w:type="dxa"/>
            <w:vAlign w:val="bottom"/>
          </w:tcPr>
          <w:p>
            <w:pPr>
              <w:spacing w:after="0" w:line="202" w:lineRule="exact"/>
              <w:rPr>
                <w:sz w:val="20"/>
                <w:szCs w:val="20"/>
                <w:color w:val="auto"/>
              </w:rPr>
            </w:pPr>
            <w:r>
              <w:rPr>
                <w:rFonts w:ascii="Arial" w:cs="Arial" w:eastAsia="Arial" w:hAnsi="Arial"/>
                <w:sz w:val="18"/>
                <w:szCs w:val="18"/>
                <w:color w:val="auto"/>
              </w:rPr>
              <w:t>Service agreement revenue</w:t>
            </w:r>
          </w:p>
        </w:tc>
        <w:tc>
          <w:tcPr>
            <w:tcW w:w="120" w:type="dxa"/>
            <w:vAlign w:val="bottom"/>
          </w:tcPr>
          <w:p>
            <w:pPr>
              <w:spacing w:after="0"/>
              <w:rPr>
                <w:sz w:val="17"/>
                <w:szCs w:val="17"/>
                <w:color w:val="auto"/>
              </w:rPr>
            </w:pPr>
          </w:p>
        </w:tc>
        <w:tc>
          <w:tcPr>
            <w:tcW w:w="12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4,787</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5,598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9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revenue from management operations</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w w:val="98"/>
              </w:rPr>
              <w:t>235,196</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8"/>
              </w:rPr>
              <w:t>227,465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40" w:type="dxa"/>
            <w:vAlign w:val="bottom"/>
          </w:tcPr>
          <w:p>
            <w:pPr>
              <w:spacing w:after="0" w:line="202" w:lineRule="exact"/>
              <w:rPr>
                <w:sz w:val="20"/>
                <w:szCs w:val="20"/>
                <w:color w:val="auto"/>
              </w:rPr>
            </w:pPr>
            <w:r>
              <w:rPr>
                <w:rFonts w:ascii="Arial" w:cs="Arial" w:eastAsia="Arial" w:hAnsi="Arial"/>
                <w:sz w:val="18"/>
                <w:szCs w:val="18"/>
                <w:color w:val="auto"/>
              </w:rPr>
              <w:t>Cost of management operations</w:t>
            </w:r>
          </w:p>
        </w:tc>
        <w:tc>
          <w:tcPr>
            <w:tcW w:w="120" w:type="dxa"/>
            <w:vAlign w:val="bottom"/>
          </w:tcPr>
          <w:p>
            <w:pPr>
              <w:spacing w:after="0"/>
              <w:rPr>
                <w:sz w:val="17"/>
                <w:szCs w:val="17"/>
                <w:color w:val="auto"/>
              </w:rPr>
            </w:pPr>
          </w:p>
        </w:tc>
        <w:tc>
          <w:tcPr>
            <w:tcW w:w="12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w w:val="98"/>
              </w:rPr>
              <w:t>177,714</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98"/>
              </w:rPr>
              <w:t>171,239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9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from management operations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57,482</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56,226</w:t>
            </w:r>
          </w:p>
        </w:tc>
        <w:tc>
          <w:tcPr>
            <w:tcW w:w="0" w:type="dxa"/>
            <w:vAlign w:val="bottom"/>
          </w:tcPr>
          <w:p>
            <w:pPr>
              <w:spacing w:after="0"/>
              <w:rPr>
                <w:sz w:val="1"/>
                <w:szCs w:val="1"/>
                <w:color w:val="auto"/>
              </w:rPr>
            </w:pPr>
          </w:p>
        </w:tc>
      </w:tr>
      <w:tr>
        <w:trPr>
          <w:trHeight w:val="20"/>
        </w:trPr>
        <w:tc>
          <w:tcPr>
            <w:tcW w:w="916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160" w:type="dxa"/>
            <w:vAlign w:val="bottom"/>
            <w:gridSpan w:val="2"/>
          </w:tcPr>
          <w:p>
            <w:pPr>
              <w:spacing w:after="0" w:line="196" w:lineRule="exact"/>
              <w:rPr>
                <w:sz w:val="20"/>
                <w:szCs w:val="20"/>
                <w:color w:val="auto"/>
              </w:rPr>
            </w:pPr>
            <w:r>
              <w:rPr>
                <w:rFonts w:ascii="Arial" w:cs="Arial" w:eastAsia="Arial" w:hAnsi="Arial"/>
                <w:sz w:val="18"/>
                <w:szCs w:val="18"/>
                <w:color w:val="auto"/>
              </w:rPr>
              <w:t>Gross margin percentage</w:t>
            </w:r>
          </w:p>
        </w:tc>
        <w:tc>
          <w:tcPr>
            <w:tcW w:w="120" w:type="dxa"/>
            <w:vAlign w:val="bottom"/>
          </w:tcPr>
          <w:p>
            <w:pPr>
              <w:spacing w:after="0"/>
              <w:rPr>
                <w:sz w:val="17"/>
                <w:szCs w:val="17"/>
                <w:color w:val="auto"/>
              </w:rPr>
            </w:pPr>
          </w:p>
        </w:tc>
        <w:tc>
          <w:tcPr>
            <w:tcW w:w="1200" w:type="dxa"/>
            <w:vAlign w:val="bottom"/>
            <w:gridSpan w:val="2"/>
          </w:tcPr>
          <w:p>
            <w:pPr>
              <w:jc w:val="right"/>
              <w:ind w:right="380"/>
              <w:spacing w:after="0" w:line="196" w:lineRule="exact"/>
              <w:rPr>
                <w:sz w:val="20"/>
                <w:szCs w:val="20"/>
                <w:color w:val="auto"/>
              </w:rPr>
            </w:pPr>
            <w:r>
              <w:rPr>
                <w:rFonts w:ascii="Arial" w:cs="Arial" w:eastAsia="Arial" w:hAnsi="Arial"/>
                <w:sz w:val="18"/>
                <w:szCs w:val="18"/>
                <w:color w:val="auto"/>
              </w:rPr>
              <w:t>24.4%</w:t>
            </w:r>
          </w:p>
        </w:tc>
        <w:tc>
          <w:tcPr>
            <w:tcW w:w="120" w:type="dxa"/>
            <w:vAlign w:val="bottom"/>
          </w:tcPr>
          <w:p>
            <w:pPr>
              <w:spacing w:after="0"/>
              <w:rPr>
                <w:sz w:val="17"/>
                <w:szCs w:val="17"/>
                <w:color w:val="auto"/>
              </w:rPr>
            </w:pPr>
          </w:p>
        </w:tc>
        <w:tc>
          <w:tcPr>
            <w:tcW w:w="8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9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Management fee rate</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80"/>
              <w:spacing w:after="0" w:line="196" w:lineRule="exact"/>
              <w:rPr>
                <w:sz w:val="20"/>
                <w:szCs w:val="20"/>
                <w:color w:val="auto"/>
              </w:rPr>
            </w:pPr>
            <w:r>
              <w:rPr>
                <w:rFonts w:ascii="Arial" w:cs="Arial" w:eastAsia="Arial" w:hAnsi="Arial"/>
                <w:sz w:val="18"/>
                <w:szCs w:val="18"/>
                <w:color w:val="auto"/>
              </w:rPr>
              <w:t>23.75%</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fee revenue</w:t>
      </w:r>
    </w:p>
    <w:p>
      <w:pPr>
        <w:spacing w:after="0" w:line="19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Management fee revenue rose 3.9% for the quarter ended March 31, 2005 compared to the quarter ended March 31, 2004. Management fees from the Exchange represented 73.0% and 73.9% of the Company’s total revenues for the first quarters of 2005 and 2004, respectively. Management fee revenue is based on the management fee rate, established by the Board of Directors, and the direct written premiums of the Property and Casualty Group. The higher management fee rate in 2005 of 23.75% resulted in $2.4 million more in management fee revenue for the quarter ended March 31, 2005, or an increase in net income per share-diluted of $.02 per share. Direct written premiums of the Property and Casualty Group grew 1.2% in the first quarter of 2005 to $971.8 million. Increases in average premium per policy, which included the impact of certain rate increases in various lines of business that were initially effective in 2004, contributed to the growth of direct written premiums.</w:t>
      </w:r>
    </w:p>
    <w:p>
      <w:pPr>
        <w:spacing w:after="0" w:line="181"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Management fees are returned to the Exchange when policies are cancelled mid-term and unearned premiums are refunded. The Company records an estimated allowance for management fees returned on mid-term policy cancellation. First quarter 2005 and 2004 revenues were reduced by $.4 million and $3.9 million, respectively, due to changes in the allowance. The 2005 allowance adjustment reflects a leveling off of cancellations evidenced by policy retention ratios of 88.3% and 88.4% at March 31, 2005 and December 31, 2004, respectively. The 2004 allowance adjustment was reflective of increased policy cancellations due to initiatives implemented to focus on underwriting profitability. The policy retention ratio declined to 89.8% at March 31, 2004 from 90.2% at December 31, 2003. The methodology used to estimate the premium cancellation allowance was evaluated and refined in the second quarter of 2004. The second quarter 2004 allowance was reduced by $2.8 million as the prior estimate exceeded actual mid-term policy cancellations.</w:t>
      </w:r>
    </w:p>
    <w:p>
      <w:pPr>
        <w:spacing w:after="0" w:line="16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w:t>
      </w:r>
      <w:r>
        <w:rPr>
          <w:rFonts w:ascii="Arial" w:cs="Arial" w:eastAsia="Arial" w:hAnsi="Arial"/>
          <w:sz w:val="18"/>
          <w:szCs w:val="18"/>
          <w:color w:val="auto"/>
        </w:rPr>
        <w:t xml:space="preserve"> (Continued)</w:t>
      </w:r>
    </w:p>
    <w:p>
      <w:pPr>
        <w:spacing w:after="0" w:line="185" w:lineRule="exact"/>
        <w:rPr>
          <w:sz w:val="20"/>
          <w:szCs w:val="20"/>
          <w:color w:val="auto"/>
        </w:rPr>
      </w:pPr>
    </w:p>
    <w:p>
      <w:pPr>
        <w:ind w:right="420"/>
        <w:spacing w:after="0"/>
        <w:rPr>
          <w:sz w:val="20"/>
          <w:szCs w:val="20"/>
          <w:color w:val="auto"/>
        </w:rPr>
      </w:pPr>
      <w:r>
        <w:rPr>
          <w:rFonts w:ascii="Arial" w:cs="Arial" w:eastAsia="Arial" w:hAnsi="Arial"/>
          <w:sz w:val="18"/>
          <w:szCs w:val="18"/>
          <w:color w:val="auto"/>
        </w:rPr>
        <w:t>An emphasis on underwriting discipline during 2004 resulted in a tapering off in policy production and reduced policy retention ratios, as anticipated. The rate increases that were attained in 2003 and 2004 helped to offset these reductions. In 2005, the Property and Casualty Group increased emphasis on managing exposure growth and improving risk selection. (See Insurance Underwriting Operations section.)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Policy production and retention ratios</w:t>
      </w:r>
    </w:p>
    <w:p>
      <w:pPr>
        <w:spacing w:after="0" w:line="18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Total new business declined 13.3% to $83.8 million in the first quarter of 2005 from $96.7 million in the first quarter of 2004. Personal lines new business premium written declined 22.5% to $ 53.1 million from $ 68.5 million for the first quarters of 2005 and 2004, respectively. Commercial lines new business premiums increased 8.6% to $30.5 million in the first quarter of 2005 from $28.1 million in the first quarter of 2004. (see Note 12, “Segment Information” which contains policies in force and policy retention trends by line of business).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Premium rates and rate change impacts</w:t>
      </w:r>
    </w:p>
    <w:p>
      <w:pPr>
        <w:spacing w:after="0" w:line="189" w:lineRule="exact"/>
        <w:rPr>
          <w:sz w:val="20"/>
          <w:szCs w:val="20"/>
          <w:color w:val="auto"/>
        </w:rPr>
      </w:pPr>
    </w:p>
    <w:p>
      <w:pPr>
        <w:jc w:val="both"/>
        <w:ind w:right="120"/>
        <w:spacing w:after="0" w:line="239" w:lineRule="auto"/>
        <w:rPr>
          <w:sz w:val="20"/>
          <w:szCs w:val="20"/>
          <w:color w:val="auto"/>
        </w:rPr>
      </w:pPr>
      <w:r>
        <w:rPr>
          <w:rFonts w:ascii="Arial" w:cs="Arial" w:eastAsia="Arial" w:hAnsi="Arial"/>
          <w:sz w:val="18"/>
          <w:szCs w:val="18"/>
          <w:color w:val="auto"/>
        </w:rPr>
        <w:t>The average premium per policy increased 6.4% to $1,066 for the twelve months ended March 31, 2005 from $1,002 for the twelve months ended March 31, 2004. The average premium per personal lines policy increased 6.4% while commercial lines average premiums increased 6.2% for the twelve months ended March 31, 2005. The private passenger auto average premium per policy increased 4.3% to $1,192 for the twelve months ended March 31, 2005 from $1,143 for the twelve months ended March 31, 2004.</w:t>
      </w:r>
    </w:p>
    <w:p>
      <w:pPr>
        <w:spacing w:after="0" w:line="161"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In 2004 and 2003 substantial rate increases were filed by the Property and Casualty Group for certain lines of business in various states to offset growing loss costs. The Property and Casualty Group writes one-year policies. Rate increases take 24 months to be reflected fully in earned premiums. It takes 12 months to implement a rate increase to all policyholders and another 12 months to earn the increased premiums in full. Because of the time span for full recognition of premium rate increases, certain rate increases approved in 2004 are earned in 2005.</w:t>
      </w:r>
    </w:p>
    <w:p>
      <w:pPr>
        <w:spacing w:after="0" w:line="175"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Given the improved underwriting results and the change in general market conditions, rate actions will not continue to follow trends experienced in recent years. Management continuously evaluates pricing actions and estimates that those approved, filed and contemplated for filing through March 31, 2005 will result in a net decrease in direct written premiums of $4.8 million in 2005. The improved experience will allow the Property and Casualty Group to be more price competitive for potential new policyholders and improve retention of existing policyholders.</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49" w:right="29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w:t>
      </w:r>
      <w:r>
        <w:rPr>
          <w:rFonts w:ascii="Arial" w:cs="Arial" w:eastAsia="Arial" w:hAnsi="Arial"/>
          <w:sz w:val="18"/>
          <w:szCs w:val="18"/>
          <w:color w:val="auto"/>
        </w:rPr>
        <w:t xml:space="preserve"> (Continued)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2005 Activity</w:t>
      </w:r>
    </w:p>
    <w:p>
      <w:pPr>
        <w:spacing w:after="0" w:line="18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Beginning in August 2004, the Property and Casualty Group implemented insurance scoring for underwriting purposes for its private passenger auto and homeowners lines of business in all operating states, except Maryland, in response to changing competitive market conditions. The Property and Casualty Group has developed a price segmentation model that incorporates insurance scoring, among other risk characteristics, into a rating plan with multiple pricing tiers. This segmented pricing will enable the Property and Casualty Group to offer competitive rates to more customers with the best loss characteristics, providing greater flexibility in pricing policies with varying degrees of risk. In March 2005, use of the rating plan was implemented on all new business. Application of the rating plan to renewal business is expected for policies renewing effective April 2005.</w:t>
      </w:r>
    </w:p>
    <w:p>
      <w:pPr>
        <w:spacing w:after="0" w:line="163"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To support the independent agents’ policy growth efforts, management is also considering additional marketing initiatives to attract preferred business.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agreement revenue</w:t>
      </w:r>
    </w:p>
    <w:p>
      <w:pPr>
        <w:spacing w:after="0" w:line="193"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Service agreement revenue decreased to $4.8 million for the first quarter of 2005, from $5.6 million for the same period in 2004. Included in service agreement revenue are service charges the Company collects from policyholders for providing multiple payment plans on policies written by the Property and Casualty Group. Service charge income was $4.8 million and $4.9 million in the first quarters of 2005 and 2004, respectively.</w:t>
      </w:r>
    </w:p>
    <w:p>
      <w:pPr>
        <w:spacing w:after="0" w:line="161"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Also included in service agreement revenue is service income received from the Exchange as compensation for the management and administration of voluntary assumed reinsurance from non-affiliated insurers. As the Exchange exited the assumed reinsurance business as of December 31, 2003, a modest amount of reinsurance premium was recorded generating $.7 million in service agreement revenue in the first quarter of 2004 as remaining treaties expired. In the first quarter of 2005, the remaining activity generated minimal service income for the Company. The service agreement between the Company and Exchange was terminated effective March 31, 2005.</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management operations</w:t>
      </w:r>
    </w:p>
    <w:p>
      <w:pPr>
        <w:spacing w:after="0" w:line="193"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The cost of management operations increased 3.8% for the first quarter of 2005 to $177.7 million from $171.2 million during the first quarter of 2004, primarily due to an increase in commission and personnel costs.</w:t>
      </w:r>
    </w:p>
    <w:p>
      <w:pPr>
        <w:spacing w:after="0" w:line="156"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Commissions to independent agents, which are the largest component of the cost of management Operations, include scheduled commissions earned by independent agents on premiums written, accelerated commissions and agent bonuses.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w:t>
      </w:r>
      <w:r>
        <w:rPr>
          <w:rFonts w:ascii="Arial" w:cs="Arial" w:eastAsia="Arial" w:hAnsi="Arial"/>
          <w:sz w:val="18"/>
          <w:szCs w:val="18"/>
          <w:color w:val="auto"/>
        </w:rPr>
        <w:t xml:space="preserve"> (Continued)</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7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500" w:type="dxa"/>
            <w:vAlign w:val="bottom"/>
            <w:gridSpan w:val="4"/>
          </w:tcPr>
          <w:p>
            <w:pPr>
              <w:jc w:val="right"/>
              <w:ind w:right="500"/>
              <w:spacing w:after="0"/>
              <w:rPr>
                <w:sz w:val="20"/>
                <w:szCs w:val="20"/>
                <w:color w:val="auto"/>
              </w:rPr>
            </w:pPr>
            <w:r>
              <w:rPr>
                <w:rFonts w:ascii="Arial" w:cs="Arial" w:eastAsia="Arial" w:hAnsi="Arial"/>
                <w:sz w:val="14"/>
                <w:szCs w:val="14"/>
                <w:color w:val="auto"/>
              </w:rPr>
              <w:t>Three months ended March 31</w:t>
            </w:r>
          </w:p>
        </w:tc>
        <w:tc>
          <w:tcPr>
            <w:tcW w:w="60" w:type="dxa"/>
            <w:vAlign w:val="bottom"/>
          </w:tcPr>
          <w:p>
            <w:pPr>
              <w:spacing w:after="0"/>
              <w:rPr>
                <w:sz w:val="14"/>
                <w:szCs w:val="14"/>
                <w:color w:val="auto"/>
              </w:rPr>
            </w:pPr>
          </w:p>
        </w:tc>
        <w:tc>
          <w:tcPr>
            <w:tcW w:w="840" w:type="dxa"/>
            <w:vAlign w:val="bottom"/>
            <w:gridSpan w:val="2"/>
            <w:vMerge w:val="restart"/>
          </w:tcPr>
          <w:p>
            <w:pPr>
              <w:jc w:val="right"/>
              <w:ind w:right="320"/>
              <w:spacing w:after="0"/>
              <w:rPr>
                <w:sz w:val="20"/>
                <w:szCs w:val="20"/>
                <w:color w:val="auto"/>
              </w:rPr>
            </w:pPr>
            <w:r>
              <w:rPr>
                <w:rFonts w:ascii="Arial" w:cs="Arial" w:eastAsia="Arial" w:hAnsi="Arial"/>
                <w:sz w:val="14"/>
                <w:szCs w:val="14"/>
                <w:color w:val="auto"/>
              </w:rPr>
              <w:t>Percent</w:t>
            </w:r>
          </w:p>
        </w:tc>
        <w:tc>
          <w:tcPr>
            <w:tcW w:w="0" w:type="dxa"/>
            <w:vAlign w:val="bottom"/>
          </w:tcPr>
          <w:p>
            <w:pPr>
              <w:spacing w:after="0"/>
              <w:rPr>
                <w:sz w:val="1"/>
                <w:szCs w:val="1"/>
                <w:color w:val="auto"/>
              </w:rPr>
            </w:pPr>
          </w:p>
        </w:tc>
      </w:tr>
      <w:tr>
        <w:trPr>
          <w:trHeight w:val="152"/>
        </w:trPr>
        <w:tc>
          <w:tcPr>
            <w:tcW w:w="57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740" w:type="dxa"/>
            <w:vAlign w:val="bottom"/>
          </w:tcPr>
          <w:p>
            <w:pPr>
              <w:spacing w:after="0" w:line="157" w:lineRule="exact"/>
              <w:rPr>
                <w:sz w:val="20"/>
                <w:szCs w:val="20"/>
                <w:color w:val="auto"/>
              </w:rPr>
            </w:pPr>
            <w:r>
              <w:rPr>
                <w:rFonts w:ascii="Arial" w:cs="Arial" w:eastAsia="Arial" w:hAnsi="Arial"/>
                <w:sz w:val="14"/>
                <w:szCs w:val="14"/>
                <w:color w:val="auto"/>
              </w:rPr>
              <w:t>(dollars in thousands)</w:t>
            </w:r>
          </w:p>
        </w:tc>
        <w:tc>
          <w:tcPr>
            <w:tcW w:w="2280" w:type="dxa"/>
            <w:vAlign w:val="bottom"/>
          </w:tcPr>
          <w:p>
            <w:pPr>
              <w:spacing w:after="0"/>
              <w:rPr>
                <w:sz w:val="13"/>
                <w:szCs w:val="13"/>
                <w:color w:val="auto"/>
              </w:rPr>
            </w:pPr>
          </w:p>
        </w:tc>
        <w:tc>
          <w:tcPr>
            <w:tcW w:w="780" w:type="dxa"/>
            <w:vAlign w:val="bottom"/>
            <w:tcBorders>
              <w:bottom w:val="single" w:sz="8" w:color="auto"/>
            </w:tcBorders>
          </w:tcPr>
          <w:p>
            <w:pPr>
              <w:jc w:val="right"/>
              <w:ind w:right="162"/>
              <w:spacing w:after="0" w:line="157" w:lineRule="exact"/>
              <w:rPr>
                <w:sz w:val="20"/>
                <w:szCs w:val="20"/>
                <w:color w:val="auto"/>
              </w:rPr>
            </w:pPr>
            <w:r>
              <w:rPr>
                <w:rFonts w:ascii="Arial" w:cs="Arial" w:eastAsia="Arial" w:hAnsi="Arial"/>
                <w:sz w:val="14"/>
                <w:szCs w:val="14"/>
                <w:color w:val="auto"/>
              </w:rPr>
              <w:t>2005</w:t>
            </w:r>
          </w:p>
        </w:tc>
        <w:tc>
          <w:tcPr>
            <w:tcW w:w="480" w:type="dxa"/>
            <w:vAlign w:val="bottom"/>
          </w:tcPr>
          <w:p>
            <w:pPr>
              <w:spacing w:after="0"/>
              <w:rPr>
                <w:sz w:val="13"/>
                <w:szCs w:val="13"/>
                <w:color w:val="auto"/>
              </w:rPr>
            </w:pPr>
          </w:p>
        </w:tc>
        <w:tc>
          <w:tcPr>
            <w:tcW w:w="780" w:type="dxa"/>
            <w:vAlign w:val="bottom"/>
            <w:tcBorders>
              <w:bottom w:val="single" w:sz="8" w:color="auto"/>
            </w:tcBorders>
          </w:tcPr>
          <w:p>
            <w:pPr>
              <w:jc w:val="right"/>
              <w:ind w:right="133"/>
              <w:spacing w:after="0" w:line="157" w:lineRule="exact"/>
              <w:rPr>
                <w:sz w:val="20"/>
                <w:szCs w:val="20"/>
                <w:color w:val="auto"/>
              </w:rPr>
            </w:pPr>
            <w:r>
              <w:rPr>
                <w:rFonts w:ascii="Arial" w:cs="Arial" w:eastAsia="Arial" w:hAnsi="Arial"/>
                <w:sz w:val="14"/>
                <w:szCs w:val="14"/>
                <w:color w:val="auto"/>
              </w:rPr>
              <w:t>2004</w:t>
            </w:r>
          </w:p>
        </w:tc>
        <w:tc>
          <w:tcPr>
            <w:tcW w:w="4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
              <w:spacing w:after="0" w:line="157" w:lineRule="exact"/>
              <w:rPr>
                <w:sz w:val="20"/>
                <w:szCs w:val="20"/>
                <w:color w:val="auto"/>
              </w:rPr>
            </w:pPr>
            <w:r>
              <w:rPr>
                <w:rFonts w:ascii="Arial" w:cs="Arial" w:eastAsia="Arial" w:hAnsi="Arial"/>
                <w:sz w:val="14"/>
                <w:szCs w:val="14"/>
                <w:color w:val="auto"/>
              </w:rPr>
              <w:t>Change</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Scheduled rate commissions</w:t>
            </w:r>
          </w:p>
        </w:tc>
        <w:tc>
          <w:tcPr>
            <w:tcW w:w="3540" w:type="dxa"/>
            <w:vAlign w:val="bottom"/>
            <w:gridSpan w:val="3"/>
            <w:shd w:val="clear" w:color="auto" w:fill="CCEEFF"/>
          </w:tcPr>
          <w:p>
            <w:pPr>
              <w:jc w:val="right"/>
              <w:ind w:right="480"/>
              <w:spacing w:after="0" w:line="196" w:lineRule="exact"/>
              <w:rPr>
                <w:sz w:val="20"/>
                <w:szCs w:val="20"/>
                <w:color w:val="auto"/>
              </w:rPr>
            </w:pPr>
            <w:r>
              <w:rPr>
                <w:rFonts w:ascii="Arial" w:cs="Arial" w:eastAsia="Arial" w:hAnsi="Arial"/>
                <w:sz w:val="18"/>
                <w:szCs w:val="18"/>
                <w:color w:val="auto"/>
              </w:rPr>
              <w:t>$ 110,046</w:t>
            </w:r>
          </w:p>
        </w:tc>
        <w:tc>
          <w:tcPr>
            <w:tcW w:w="1240" w:type="dxa"/>
            <w:vAlign w:val="bottom"/>
            <w:gridSpan w:val="2"/>
            <w:shd w:val="clear" w:color="auto" w:fill="CCEEFF"/>
          </w:tcPr>
          <w:p>
            <w:pPr>
              <w:jc w:val="right"/>
              <w:ind w:right="460"/>
              <w:spacing w:after="0" w:line="196" w:lineRule="exact"/>
              <w:rPr>
                <w:sz w:val="20"/>
                <w:szCs w:val="20"/>
                <w:color w:val="auto"/>
              </w:rPr>
            </w:pPr>
            <w:r>
              <w:rPr>
                <w:rFonts w:ascii="Arial" w:cs="Arial" w:eastAsia="Arial" w:hAnsi="Arial"/>
                <w:sz w:val="18"/>
                <w:szCs w:val="18"/>
                <w:color w:val="auto"/>
                <w:w w:val="94"/>
              </w:rPr>
              <w:t>$ 111,100</w:t>
            </w: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3"/>
        </w:trPr>
        <w:tc>
          <w:tcPr>
            <w:tcW w:w="5740" w:type="dxa"/>
            <w:vAlign w:val="bottom"/>
          </w:tcPr>
          <w:p>
            <w:pPr>
              <w:spacing w:after="0" w:line="202" w:lineRule="exact"/>
              <w:rPr>
                <w:sz w:val="20"/>
                <w:szCs w:val="20"/>
                <w:color w:val="auto"/>
              </w:rPr>
            </w:pPr>
            <w:r>
              <w:rPr>
                <w:rFonts w:ascii="Arial" w:cs="Arial" w:eastAsia="Arial" w:hAnsi="Arial"/>
                <w:sz w:val="18"/>
                <w:szCs w:val="18"/>
                <w:color w:val="auto"/>
              </w:rPr>
              <w:t>Accelerated rate commissions</w:t>
            </w:r>
          </w:p>
        </w:tc>
        <w:tc>
          <w:tcPr>
            <w:tcW w:w="3540" w:type="dxa"/>
            <w:vAlign w:val="bottom"/>
            <w:gridSpan w:val="3"/>
          </w:tcPr>
          <w:p>
            <w:pPr>
              <w:jc w:val="right"/>
              <w:ind w:right="480"/>
              <w:spacing w:after="0" w:line="202" w:lineRule="exact"/>
              <w:rPr>
                <w:sz w:val="20"/>
                <w:szCs w:val="20"/>
                <w:color w:val="auto"/>
              </w:rPr>
            </w:pPr>
            <w:r>
              <w:rPr>
                <w:rFonts w:ascii="Arial" w:cs="Arial" w:eastAsia="Arial" w:hAnsi="Arial"/>
                <w:sz w:val="18"/>
                <w:szCs w:val="18"/>
                <w:color w:val="auto"/>
              </w:rPr>
              <w:t>3,042</w:t>
            </w:r>
          </w:p>
        </w:tc>
        <w:tc>
          <w:tcPr>
            <w:tcW w:w="12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6,323</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03"/>
        </w:trPr>
        <w:tc>
          <w:tcPr>
            <w:tcW w:w="5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Agent bonuses</w:t>
            </w:r>
          </w:p>
        </w:tc>
        <w:tc>
          <w:tcPr>
            <w:tcW w:w="3540" w:type="dxa"/>
            <w:vAlign w:val="bottom"/>
            <w:gridSpan w:val="3"/>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12,899</w:t>
            </w:r>
          </w:p>
        </w:tc>
        <w:tc>
          <w:tcPr>
            <w:tcW w:w="12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7,503</w:t>
            </w:r>
          </w:p>
        </w:tc>
        <w:tc>
          <w:tcPr>
            <w:tcW w:w="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03"/>
        </w:trPr>
        <w:tc>
          <w:tcPr>
            <w:tcW w:w="5740" w:type="dxa"/>
            <w:vAlign w:val="bottom"/>
          </w:tcPr>
          <w:p>
            <w:pPr>
              <w:spacing w:after="0" w:line="202" w:lineRule="exact"/>
              <w:rPr>
                <w:sz w:val="20"/>
                <w:szCs w:val="20"/>
                <w:color w:val="auto"/>
              </w:rPr>
            </w:pPr>
            <w:r>
              <w:rPr>
                <w:rFonts w:ascii="Arial" w:cs="Arial" w:eastAsia="Arial" w:hAnsi="Arial"/>
                <w:sz w:val="18"/>
                <w:szCs w:val="18"/>
                <w:color w:val="auto"/>
              </w:rPr>
              <w:t>Allowance for mid-term policy cancellations</w:t>
            </w:r>
          </w:p>
        </w:tc>
        <w:tc>
          <w:tcPr>
            <w:tcW w:w="22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200</w:t>
            </w:r>
          </w:p>
        </w:tc>
        <w:tc>
          <w:tcPr>
            <w:tcW w:w="480" w:type="dxa"/>
            <w:vAlign w:val="bottom"/>
          </w:tcPr>
          <w:p>
            <w:pPr>
              <w:spacing w:after="0"/>
              <w:rPr>
                <w:sz w:val="17"/>
                <w:szCs w:val="17"/>
                <w:color w:val="auto"/>
              </w:rPr>
            </w:pPr>
          </w:p>
        </w:tc>
        <w:tc>
          <w:tcPr>
            <w:tcW w:w="12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   2,000)</w:t>
            </w:r>
          </w:p>
        </w:tc>
        <w:tc>
          <w:tcPr>
            <w:tcW w:w="60" w:type="dxa"/>
            <w:vAlign w:val="bottom"/>
          </w:tcPr>
          <w:p>
            <w:pPr>
              <w:spacing w:after="0"/>
              <w:rPr>
                <w:sz w:val="17"/>
                <w:szCs w:val="17"/>
                <w:color w:val="auto"/>
              </w:rPr>
            </w:pPr>
          </w:p>
        </w:tc>
        <w:tc>
          <w:tcPr>
            <w:tcW w:w="8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7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Total commissions</w:t>
            </w:r>
          </w:p>
        </w:tc>
        <w:tc>
          <w:tcPr>
            <w:tcW w:w="3540" w:type="dxa"/>
            <w:vAlign w:val="bottom"/>
            <w:gridSpan w:val="3"/>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$ 126,187</w:t>
            </w:r>
          </w:p>
        </w:tc>
        <w:tc>
          <w:tcPr>
            <w:tcW w:w="12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w w:val="94"/>
              </w:rPr>
              <w:t>$ 122,926</w:t>
            </w:r>
          </w:p>
        </w:tc>
        <w:tc>
          <w:tcPr>
            <w:tcW w:w="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Scheduled rate commissions decreased to $110.0 million for the quarter ended March 31, 2005. Scheduled rate commissions were impacted by a 1.2% increase in the direct written premiums of the Property and Casualty Group in the first quarter of 2005 and a reduction in certain commercial commission rates. Commercial commission rate reductions became effective on premiums collected after December 31, 2004 and resulted in a $5.3 million reduction in scheduled rate commissions in the first quarter of 2005. Accelerated rate commissions are offered to newly recruited agents and include their normal commission schedules. Accelerated commissions were lower in the first three months of 2005 as there were fewer new agency appointments in 2004 and existing accelerated commission contracts expired. New agency appointments are expected to increase in 2005 and accelerated commissions are expected to increase accordingly.</w:t>
      </w:r>
    </w:p>
    <w:p>
      <w:pPr>
        <w:spacing w:after="0" w:line="163"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The agent bonus program awards are based on the agency’s property/casualty underwriting profitability and also includes a component for growth in agency property/casualty premiums, if agencies are profitable. The estimate for the bonus is modeled on a monthly basis using the two prior years actual underwriting data by agency combined with the current year-to-date actual data. Company estimates use projected underwriting data for the remainder of the current year in order to model the 36-month underwriting results by agency. The increase in agent bonuses in the first quarter of 2005 reflects the impact of the improved underwriting profitability in 2004, as the bonus program considers the current and two prior years’ actual underwriting data. The agent bonus award is estimated at $50 million for 2005. The reward estimate at the first quarter of 2004 was lower given the actual underwriting results of 2003 and 2002.</w:t>
      </w:r>
    </w:p>
    <w:p>
      <w:pPr>
        <w:spacing w:after="0" w:line="17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cost of management operations excluding commission costs, increased 6.7% for the three months ended March 31, 2005 to $51.5 million from $48.3 million recorded in the first quarter of 2004. Personnel related costs are the second largest component in cost of management operations. The Company’s personnel costs totaled $31.8 million for the three months ended March 31, 2005, compared to $29.8 million for the same period in 2004, an increase of 6.9%. Contributing to this increase was a 6.8% increase in salaries and wages due to a (1) 5% increase in staffing levels, (2) 4% increase in normal merit pay rates and (3) an offsetting increased reimbursement from affiliated companies. Total employee benefit costs increased 8.2% in the first quarter of 2005 compared to the first quarter of 2004. Retirement plan benefit costs increased 12.2% to $2.7 million in the first quarter of 2005 compared to $2.4 million in the first quarter of 2004. The Company’s consulting actuarial firm completed an experience study in the first quarter of 2005 that evaluated actual participant experience from the past five years. The results of the study, which were factored into the development of the 2005 retirement plan benefit cost estimates, reflected lower turnover assumptions in the postretirement benefit plan, which will increase the Company’s projected annual costs by $.5 million. The net impact on projected benefit costs related to the employee pension plan as a result of changes in various assumptions is not significant.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29" w:name="page30"/>
    <w:bookmarkEnd w:id="29"/>
    <w:p>
      <w:pPr>
        <w:ind w:right="620"/>
        <w:spacing w:after="0" w:line="465" w:lineRule="auto"/>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w:t>
      </w:r>
      <w:r>
        <w:rPr>
          <w:rFonts w:ascii="Arial" w:cs="Arial" w:eastAsia="Arial" w:hAnsi="Arial"/>
          <w:sz w:val="18"/>
          <w:szCs w:val="18"/>
          <w:color w:val="auto"/>
        </w:rPr>
        <w:t xml:space="preserve"> (Continued) </w:t>
      </w:r>
      <w:r>
        <w:rPr>
          <w:rFonts w:ascii="Arial" w:cs="Arial" w:eastAsia="Arial" w:hAnsi="Arial"/>
          <w:sz w:val="18"/>
          <w:szCs w:val="18"/>
          <w:i w:val="1"/>
          <w:iCs w:val="1"/>
          <w:u w:val="single" w:color="auto"/>
          <w:color w:val="auto"/>
        </w:rPr>
        <w:t>Insurance Underwriting Operations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100" w:type="dxa"/>
            <w:vAlign w:val="bottom"/>
            <w:gridSpan w:val="5"/>
          </w:tcPr>
          <w:p>
            <w:pPr>
              <w:jc w:val="center"/>
              <w:ind w:right="100"/>
              <w:spacing w:after="0"/>
              <w:rPr>
                <w:sz w:val="20"/>
                <w:szCs w:val="20"/>
                <w:color w:val="auto"/>
              </w:rPr>
            </w:pPr>
            <w:r>
              <w:rPr>
                <w:rFonts w:ascii="Arial" w:cs="Arial" w:eastAsia="Arial" w:hAnsi="Arial"/>
                <w:sz w:val="14"/>
                <w:szCs w:val="14"/>
                <w:color w:val="auto"/>
              </w:rPr>
              <w:t>Three months ended March 31</w:t>
            </w:r>
          </w:p>
        </w:tc>
      </w:tr>
      <w:tr>
        <w:trPr>
          <w:trHeight w:val="157"/>
        </w:trPr>
        <w:tc>
          <w:tcPr>
            <w:tcW w:w="6680" w:type="dxa"/>
            <w:vAlign w:val="bottom"/>
            <w:gridSpan w:val="2"/>
          </w:tcPr>
          <w:p>
            <w:pPr>
              <w:spacing w:after="0" w:line="157" w:lineRule="exact"/>
              <w:rPr>
                <w:sz w:val="20"/>
                <w:szCs w:val="20"/>
                <w:color w:val="auto"/>
              </w:rPr>
            </w:pPr>
            <w:r>
              <w:rPr>
                <w:rFonts w:ascii="Arial" w:cs="Arial" w:eastAsia="Arial" w:hAnsi="Arial"/>
                <w:sz w:val="14"/>
                <w:szCs w:val="14"/>
                <w:color w:val="auto"/>
              </w:rPr>
              <w:t>(dollars in thousands)</w:t>
            </w:r>
          </w:p>
        </w:tc>
        <w:tc>
          <w:tcPr>
            <w:tcW w:w="2640" w:type="dxa"/>
            <w:vAlign w:val="bottom"/>
          </w:tcPr>
          <w:p>
            <w:pPr>
              <w:spacing w:after="0"/>
              <w:rPr>
                <w:sz w:val="13"/>
                <w:szCs w:val="13"/>
                <w:color w:val="auto"/>
              </w:rPr>
            </w:pPr>
          </w:p>
        </w:tc>
        <w:tc>
          <w:tcPr>
            <w:tcW w:w="740" w:type="dxa"/>
            <w:vAlign w:val="bottom"/>
            <w:tcBorders>
              <w:bottom w:val="single" w:sz="8" w:color="auto"/>
            </w:tcBorders>
          </w:tcPr>
          <w:p>
            <w:pPr>
              <w:jc w:val="right"/>
              <w:ind w:right="121"/>
              <w:spacing w:after="0" w:line="157" w:lineRule="exact"/>
              <w:rPr>
                <w:sz w:val="20"/>
                <w:szCs w:val="20"/>
                <w:color w:val="auto"/>
              </w:rPr>
            </w:pPr>
            <w:r>
              <w:rPr>
                <w:rFonts w:ascii="Arial" w:cs="Arial" w:eastAsia="Arial" w:hAnsi="Arial"/>
                <w:sz w:val="14"/>
                <w:szCs w:val="14"/>
                <w:color w:val="auto"/>
              </w:rPr>
              <w:t>2005</w:t>
            </w:r>
          </w:p>
        </w:tc>
        <w:tc>
          <w:tcPr>
            <w:tcW w:w="4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53"/>
              <w:spacing w:after="0" w:line="157" w:lineRule="exact"/>
              <w:rPr>
                <w:sz w:val="20"/>
                <w:szCs w:val="20"/>
                <w:color w:val="auto"/>
              </w:rPr>
            </w:pPr>
            <w:r>
              <w:rPr>
                <w:rFonts w:ascii="Arial" w:cs="Arial" w:eastAsia="Arial" w:hAnsi="Arial"/>
                <w:sz w:val="14"/>
                <w:szCs w:val="14"/>
                <w:color w:val="auto"/>
              </w:rPr>
              <w:t>2004</w:t>
            </w:r>
          </w:p>
        </w:tc>
        <w:tc>
          <w:tcPr>
            <w:tcW w:w="10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66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420" w:type="dxa"/>
            <w:vAlign w:val="bottom"/>
            <w:gridSpan w:val="3"/>
          </w:tcPr>
          <w:p>
            <w:pPr>
              <w:jc w:val="center"/>
              <w:ind w:left="501"/>
              <w:spacing w:after="0" w:line="155" w:lineRule="exact"/>
              <w:rPr>
                <w:sz w:val="20"/>
                <w:szCs w:val="20"/>
                <w:color w:val="auto"/>
              </w:rPr>
            </w:pPr>
            <w:r>
              <w:rPr>
                <w:rFonts w:ascii="Arial" w:cs="Arial" w:eastAsia="Arial" w:hAnsi="Arial"/>
                <w:sz w:val="14"/>
                <w:szCs w:val="14"/>
                <w:color w:val="auto"/>
              </w:rPr>
              <w:t>(Unaudited)</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Premiums earned</w:t>
            </w:r>
          </w:p>
        </w:tc>
        <w:tc>
          <w:tcPr>
            <w:tcW w:w="3860" w:type="dxa"/>
            <w:vAlign w:val="bottom"/>
            <w:gridSpan w:val="3"/>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$ 53,648</w:t>
            </w: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50,649</w:t>
            </w:r>
          </w:p>
        </w:tc>
      </w:tr>
      <w:tr>
        <w:trPr>
          <w:trHeight w:val="203"/>
        </w:trPr>
        <w:tc>
          <w:tcPr>
            <w:tcW w:w="20" w:type="dxa"/>
            <w:vAlign w:val="bottom"/>
          </w:tcPr>
          <w:p>
            <w:pPr>
              <w:spacing w:after="0"/>
              <w:rPr>
                <w:sz w:val="17"/>
                <w:szCs w:val="17"/>
                <w:color w:val="auto"/>
              </w:rPr>
            </w:pPr>
          </w:p>
        </w:tc>
        <w:tc>
          <w:tcPr>
            <w:tcW w:w="6660" w:type="dxa"/>
            <w:vAlign w:val="bottom"/>
          </w:tcPr>
          <w:p>
            <w:pPr>
              <w:spacing w:after="0" w:line="202" w:lineRule="exact"/>
              <w:rPr>
                <w:sz w:val="20"/>
                <w:szCs w:val="20"/>
                <w:color w:val="auto"/>
              </w:rPr>
            </w:pPr>
            <w:r>
              <w:rPr>
                <w:rFonts w:ascii="Arial" w:cs="Arial" w:eastAsia="Arial" w:hAnsi="Arial"/>
                <w:sz w:val="18"/>
                <w:szCs w:val="18"/>
                <w:color w:val="auto"/>
              </w:rPr>
              <w:t>Losses and loss adjustment expenses incurred</w:t>
            </w:r>
          </w:p>
        </w:tc>
        <w:tc>
          <w:tcPr>
            <w:tcW w:w="3860" w:type="dxa"/>
            <w:vAlign w:val="bottom"/>
            <w:gridSpan w:val="3"/>
          </w:tcPr>
          <w:p>
            <w:pPr>
              <w:jc w:val="right"/>
              <w:ind w:right="480"/>
              <w:spacing w:after="0" w:line="202" w:lineRule="exact"/>
              <w:rPr>
                <w:sz w:val="20"/>
                <w:szCs w:val="20"/>
                <w:color w:val="auto"/>
              </w:rPr>
            </w:pPr>
            <w:r>
              <w:rPr>
                <w:rFonts w:ascii="Arial" w:cs="Arial" w:eastAsia="Arial" w:hAnsi="Arial"/>
                <w:sz w:val="18"/>
                <w:szCs w:val="18"/>
                <w:color w:val="auto"/>
              </w:rPr>
              <w:t>32,677</w:t>
            </w:r>
          </w:p>
        </w:tc>
        <w:tc>
          <w:tcPr>
            <w:tcW w:w="20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38,037</w:t>
            </w: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Policy acquisition and other underwriting expenses</w:t>
            </w:r>
          </w:p>
        </w:tc>
        <w:tc>
          <w:tcPr>
            <w:tcW w:w="264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14,742</w:t>
            </w:r>
          </w:p>
        </w:tc>
        <w:tc>
          <w:tcPr>
            <w:tcW w:w="4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14,103</w:t>
            </w:r>
          </w:p>
        </w:tc>
        <w:tc>
          <w:tcPr>
            <w:tcW w:w="100" w:type="dxa"/>
            <w:vAlign w:val="bottom"/>
            <w:shd w:val="clear" w:color="auto" w:fill="CCEEFF"/>
          </w:tcPr>
          <w:p>
            <w:pPr>
              <w:spacing w:after="0"/>
              <w:rPr>
                <w:sz w:val="17"/>
                <w:szCs w:val="17"/>
                <w:color w:val="auto"/>
              </w:rPr>
            </w:pPr>
          </w:p>
        </w:tc>
      </w:tr>
      <w:tr>
        <w:trPr>
          <w:trHeight w:val="217"/>
        </w:trPr>
        <w:tc>
          <w:tcPr>
            <w:tcW w:w="6680" w:type="dxa"/>
            <w:vAlign w:val="bottom"/>
            <w:gridSpan w:val="2"/>
          </w:tcPr>
          <w:p>
            <w:pPr>
              <w:spacing w:after="0"/>
              <w:rPr>
                <w:sz w:val="20"/>
                <w:szCs w:val="20"/>
                <w:color w:val="auto"/>
              </w:rPr>
            </w:pPr>
            <w:r>
              <w:rPr>
                <w:rFonts w:ascii="Arial" w:cs="Arial" w:eastAsia="Arial" w:hAnsi="Arial"/>
                <w:sz w:val="18"/>
                <w:szCs w:val="18"/>
                <w:color w:val="auto"/>
              </w:rPr>
              <w:t>Total losses and expenses</w:t>
            </w:r>
          </w:p>
        </w:tc>
        <w:tc>
          <w:tcPr>
            <w:tcW w:w="264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47,419</w:t>
            </w:r>
          </w:p>
        </w:tc>
        <w:tc>
          <w:tcPr>
            <w:tcW w:w="4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52,140</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Underwriting income (loss)</w:t>
            </w:r>
          </w:p>
        </w:tc>
        <w:tc>
          <w:tcPr>
            <w:tcW w:w="3860" w:type="dxa"/>
            <w:vAlign w:val="bottom"/>
            <w:gridSpan w:val="3"/>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  6,229</w:t>
            </w: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1,491)</w:t>
            </w: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right="440"/>
        <w:spacing w:after="0"/>
        <w:rPr>
          <w:sz w:val="20"/>
          <w:szCs w:val="20"/>
          <w:color w:val="auto"/>
        </w:rPr>
      </w:pPr>
      <w:r>
        <w:rPr>
          <w:rFonts w:ascii="Arial" w:cs="Arial" w:eastAsia="Arial" w:hAnsi="Arial"/>
          <w:sz w:val="18"/>
          <w:szCs w:val="18"/>
          <w:color w:val="auto"/>
        </w:rPr>
        <w:t>The following table reconciles the underwriting results of the Property and Casualty Group on a statutory accounting basis (SAP) to the underwriting results of the Company on a GAAP basis. The detail of the Property and Casualty Group provides financial data for the direct business and the reinsurance business separately.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Property and Casualty Group Underwriting Results to the Company Underwriting Results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2260" w:type="dxa"/>
            <w:vAlign w:val="bottom"/>
            <w:gridSpan w:val="6"/>
          </w:tcPr>
          <w:p>
            <w:pPr>
              <w:jc w:val="center"/>
              <w:ind w:right="160"/>
              <w:spacing w:after="0"/>
              <w:rPr>
                <w:sz w:val="20"/>
                <w:szCs w:val="20"/>
                <w:color w:val="auto"/>
              </w:rPr>
            </w:pPr>
            <w:r>
              <w:rPr>
                <w:rFonts w:ascii="Arial" w:cs="Arial" w:eastAsia="Arial" w:hAnsi="Arial"/>
                <w:sz w:val="14"/>
                <w:szCs w:val="14"/>
                <w:color w:val="auto"/>
              </w:rPr>
              <w:t>Three months ended March 31</w:t>
            </w:r>
          </w:p>
        </w:tc>
        <w:tc>
          <w:tcPr>
            <w:tcW w:w="0" w:type="dxa"/>
            <w:vAlign w:val="bottom"/>
          </w:tcPr>
          <w:p>
            <w:pPr>
              <w:spacing w:after="0"/>
              <w:rPr>
                <w:sz w:val="1"/>
                <w:szCs w:val="1"/>
                <w:color w:val="auto"/>
              </w:rPr>
            </w:pPr>
          </w:p>
        </w:tc>
      </w:tr>
      <w:tr>
        <w:trPr>
          <w:trHeight w:val="157"/>
        </w:trPr>
        <w:tc>
          <w:tcPr>
            <w:tcW w:w="9160" w:type="dxa"/>
            <w:vAlign w:val="bottom"/>
            <w:gridSpan w:val="2"/>
          </w:tcPr>
          <w:p>
            <w:pPr>
              <w:spacing w:after="0" w:line="157" w:lineRule="exact"/>
              <w:rPr>
                <w:sz w:val="20"/>
                <w:szCs w:val="20"/>
                <w:color w:val="auto"/>
              </w:rPr>
            </w:pPr>
            <w:r>
              <w:rPr>
                <w:rFonts w:ascii="Arial" w:cs="Arial" w:eastAsia="Arial" w:hAnsi="Arial"/>
                <w:sz w:val="14"/>
                <w:szCs w:val="14"/>
                <w:color w:val="auto"/>
              </w:rPr>
              <w:t>(dollars in thousands)</w:t>
            </w: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32"/>
              <w:spacing w:after="0" w:line="157" w:lineRule="exact"/>
              <w:rPr>
                <w:sz w:val="20"/>
                <w:szCs w:val="20"/>
                <w:color w:val="auto"/>
              </w:rPr>
            </w:pPr>
            <w:r>
              <w:rPr>
                <w:rFonts w:ascii="Arial" w:cs="Arial" w:eastAsia="Arial" w:hAnsi="Arial"/>
                <w:sz w:val="14"/>
                <w:szCs w:val="14"/>
                <w:color w:val="auto"/>
              </w:rPr>
              <w:t>2005</w:t>
            </w:r>
          </w:p>
        </w:tc>
        <w:tc>
          <w:tcPr>
            <w:tcW w:w="5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51"/>
              <w:spacing w:after="0" w:line="157" w:lineRule="exact"/>
              <w:rPr>
                <w:sz w:val="20"/>
                <w:szCs w:val="20"/>
                <w:color w:val="auto"/>
              </w:rPr>
            </w:pPr>
            <w:r>
              <w:rPr>
                <w:rFonts w:ascii="Arial" w:cs="Arial" w:eastAsia="Arial" w:hAnsi="Arial"/>
                <w:sz w:val="14"/>
                <w:szCs w:val="14"/>
                <w:color w:val="auto"/>
              </w:rPr>
              <w:t>2004</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3"/>
          </w:tcPr>
          <w:p>
            <w:pPr>
              <w:jc w:val="center"/>
              <w:ind w:left="452"/>
              <w:spacing w:after="0" w:line="155" w:lineRule="exact"/>
              <w:rPr>
                <w:sz w:val="20"/>
                <w:szCs w:val="20"/>
                <w:color w:val="auto"/>
              </w:rPr>
            </w:pPr>
            <w:r>
              <w:rPr>
                <w:rFonts w:ascii="Arial" w:cs="Arial" w:eastAsia="Arial" w:hAnsi="Arial"/>
                <w:sz w:val="14"/>
                <w:szCs w:val="14"/>
                <w:color w:val="auto"/>
              </w:rPr>
              <w:t>(Unaudited)</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Property and Casualty Group Insurance Underwriting Operations (SAP Basis)</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40" w:type="dxa"/>
            <w:vAlign w:val="bottom"/>
          </w:tcPr>
          <w:p>
            <w:pPr>
              <w:ind w:left="400"/>
              <w:spacing w:after="0" w:line="202" w:lineRule="exact"/>
              <w:rPr>
                <w:sz w:val="20"/>
                <w:szCs w:val="20"/>
                <w:color w:val="auto"/>
              </w:rPr>
            </w:pPr>
            <w:r>
              <w:rPr>
                <w:rFonts w:ascii="Arial" w:cs="Arial" w:eastAsia="Arial" w:hAnsi="Arial"/>
                <w:sz w:val="18"/>
                <w:szCs w:val="18"/>
                <w:color w:val="auto"/>
              </w:rPr>
              <w:t>Direct underwriting results:</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4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Direct written premium</w:t>
            </w:r>
          </w:p>
        </w:tc>
        <w:tc>
          <w:tcPr>
            <w:tcW w:w="1320" w:type="dxa"/>
            <w:vAlign w:val="bottom"/>
            <w:gridSpan w:val="3"/>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w w:val="94"/>
              </w:rPr>
              <w:t>$ 971,825</w:t>
            </w:r>
          </w:p>
        </w:tc>
        <w:tc>
          <w:tcPr>
            <w:tcW w:w="94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4"/>
              </w:rPr>
              <w:t>$ 960,710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40" w:type="dxa"/>
            <w:vAlign w:val="bottom"/>
          </w:tcPr>
          <w:p>
            <w:pPr>
              <w:ind w:left="600"/>
              <w:spacing w:after="0"/>
              <w:rPr>
                <w:sz w:val="20"/>
                <w:szCs w:val="20"/>
                <w:color w:val="auto"/>
              </w:rPr>
            </w:pPr>
            <w:r>
              <w:rPr>
                <w:rFonts w:ascii="Arial" w:cs="Arial" w:eastAsia="Arial" w:hAnsi="Arial"/>
                <w:sz w:val="18"/>
                <w:szCs w:val="18"/>
                <w:color w:val="auto"/>
              </w:rPr>
              <w:t>Premium earned</w:t>
            </w:r>
          </w:p>
        </w:tc>
        <w:tc>
          <w:tcPr>
            <w:tcW w:w="12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w w:val="98"/>
              </w:rPr>
              <w:t>991,283</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927,495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4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Loss and loss adjustment expenses incurred</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w w:val="98"/>
              </w:rPr>
              <w:t>574,052</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8"/>
              </w:rPr>
              <w:t>667,638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40" w:type="dxa"/>
            <w:vAlign w:val="bottom"/>
          </w:tcPr>
          <w:p>
            <w:pPr>
              <w:ind w:left="600"/>
              <w:spacing w:after="0" w:line="202" w:lineRule="exact"/>
              <w:rPr>
                <w:sz w:val="20"/>
                <w:szCs w:val="20"/>
                <w:color w:val="auto"/>
              </w:rPr>
            </w:pPr>
            <w:r>
              <w:rPr>
                <w:rFonts w:ascii="Arial" w:cs="Arial" w:eastAsia="Arial" w:hAnsi="Arial"/>
                <w:sz w:val="18"/>
                <w:szCs w:val="18"/>
                <w:color w:val="auto"/>
              </w:rPr>
              <w:t>Policy acquisition and other underwriting expenses</w:t>
            </w:r>
          </w:p>
        </w:tc>
        <w:tc>
          <w:tcPr>
            <w:tcW w:w="120" w:type="dxa"/>
            <w:vAlign w:val="bottom"/>
          </w:tcPr>
          <w:p>
            <w:pPr>
              <w:spacing w:after="0"/>
              <w:rPr>
                <w:sz w:val="17"/>
                <w:szCs w:val="17"/>
                <w:color w:val="auto"/>
              </w:rPr>
            </w:pPr>
          </w:p>
        </w:tc>
        <w:tc>
          <w:tcPr>
            <w:tcW w:w="12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w w:val="98"/>
              </w:rPr>
              <w:t>270,613</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98"/>
              </w:rPr>
              <w:t>258,691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1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losses and expenses</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w w:val="98"/>
              </w:rPr>
              <w:t>844,665</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8"/>
              </w:rPr>
              <w:t>926,329</w:t>
            </w:r>
          </w:p>
        </w:tc>
        <w:tc>
          <w:tcPr>
            <w:tcW w:w="0" w:type="dxa"/>
            <w:vAlign w:val="bottom"/>
          </w:tcPr>
          <w:p>
            <w:pPr>
              <w:spacing w:after="0"/>
              <w:rPr>
                <w:sz w:val="1"/>
                <w:szCs w:val="1"/>
                <w:color w:val="auto"/>
              </w:rPr>
            </w:pPr>
          </w:p>
        </w:tc>
      </w:tr>
      <w:tr>
        <w:trPr>
          <w:trHeight w:val="20"/>
        </w:trPr>
        <w:tc>
          <w:tcPr>
            <w:tcW w:w="916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60" w:type="dxa"/>
            <w:vAlign w:val="bottom"/>
            <w:gridSpan w:val="2"/>
          </w:tcPr>
          <w:p>
            <w:pPr>
              <w:spacing w:after="0"/>
              <w:rPr>
                <w:sz w:val="20"/>
                <w:szCs w:val="20"/>
                <w:color w:val="auto"/>
              </w:rPr>
            </w:pPr>
            <w:r>
              <w:rPr>
                <w:rFonts w:ascii="Arial" w:cs="Arial" w:eastAsia="Arial" w:hAnsi="Arial"/>
                <w:sz w:val="18"/>
                <w:szCs w:val="18"/>
                <w:color w:val="auto"/>
              </w:rPr>
              <w:t>Direct underwriting income</w:t>
            </w:r>
          </w:p>
        </w:tc>
        <w:tc>
          <w:tcPr>
            <w:tcW w:w="12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w w:val="98"/>
              </w:rPr>
              <w:t>146,618</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Nonaffiliated reinsurance underwriting results—net</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15,256)</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14,409)</w:t>
            </w:r>
          </w:p>
        </w:tc>
        <w:tc>
          <w:tcPr>
            <w:tcW w:w="0" w:type="dxa"/>
            <w:vAlign w:val="bottom"/>
          </w:tcPr>
          <w:p>
            <w:pPr>
              <w:spacing w:after="0"/>
              <w:rPr>
                <w:sz w:val="1"/>
                <w:szCs w:val="1"/>
                <w:color w:val="auto"/>
              </w:rPr>
            </w:pPr>
          </w:p>
        </w:tc>
      </w:tr>
      <w:tr>
        <w:trPr>
          <w:trHeight w:val="20"/>
        </w:trPr>
        <w:tc>
          <w:tcPr>
            <w:tcW w:w="916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60" w:type="dxa"/>
            <w:vAlign w:val="bottom"/>
            <w:gridSpan w:val="2"/>
          </w:tcPr>
          <w:p>
            <w:pPr>
              <w:spacing w:after="0"/>
              <w:rPr>
                <w:sz w:val="20"/>
                <w:szCs w:val="20"/>
                <w:color w:val="auto"/>
              </w:rPr>
            </w:pPr>
            <w:r>
              <w:rPr>
                <w:rFonts w:ascii="Arial" w:cs="Arial" w:eastAsia="Arial" w:hAnsi="Arial"/>
                <w:sz w:val="18"/>
                <w:szCs w:val="18"/>
                <w:color w:val="auto"/>
              </w:rPr>
              <w:t>Net underwriting gain (loss) (SAP Basis)</w:t>
            </w:r>
          </w:p>
        </w:tc>
        <w:tc>
          <w:tcPr>
            <w:tcW w:w="12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w w:val="98"/>
              </w:rPr>
              <w:t>131,362</w:t>
            </w: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13,243)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9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Erie Indemnity Company Insurance Underwriting Operations (SAP to GAAP Basis)</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40" w:type="dxa"/>
            <w:vAlign w:val="bottom"/>
          </w:tcPr>
          <w:p>
            <w:pPr>
              <w:spacing w:after="0" w:line="202" w:lineRule="exact"/>
              <w:rPr>
                <w:sz w:val="20"/>
                <w:szCs w:val="20"/>
                <w:color w:val="auto"/>
              </w:rPr>
            </w:pPr>
            <w:r>
              <w:rPr>
                <w:rFonts w:ascii="Arial" w:cs="Arial" w:eastAsia="Arial" w:hAnsi="Arial"/>
                <w:sz w:val="18"/>
                <w:szCs w:val="18"/>
                <w:color w:val="auto"/>
              </w:rPr>
              <w:t>Percent of pool assumed by Company</w:t>
            </w:r>
          </w:p>
        </w:tc>
        <w:tc>
          <w:tcPr>
            <w:tcW w:w="120" w:type="dxa"/>
            <w:vAlign w:val="bottom"/>
          </w:tcPr>
          <w:p>
            <w:pPr>
              <w:spacing w:after="0"/>
              <w:rPr>
                <w:sz w:val="18"/>
                <w:szCs w:val="18"/>
                <w:color w:val="auto"/>
              </w:rPr>
            </w:pPr>
          </w:p>
        </w:tc>
        <w:tc>
          <w:tcPr>
            <w:tcW w:w="12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5.5%</w:t>
            </w:r>
          </w:p>
        </w:tc>
        <w:tc>
          <w:tcPr>
            <w:tcW w:w="120" w:type="dxa"/>
            <w:vAlign w:val="bottom"/>
          </w:tcPr>
          <w:p>
            <w:pPr>
              <w:spacing w:after="0"/>
              <w:rPr>
                <w:sz w:val="18"/>
                <w:szCs w:val="18"/>
                <w:color w:val="auto"/>
              </w:rPr>
            </w:pP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Company preliminary underwriting income (loss):</w:t>
            </w: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40" w:type="dxa"/>
            <w:vAlign w:val="bottom"/>
          </w:tcPr>
          <w:p>
            <w:pPr>
              <w:ind w:left="200"/>
              <w:spacing w:after="0" w:line="202" w:lineRule="exact"/>
              <w:rPr>
                <w:sz w:val="20"/>
                <w:szCs w:val="20"/>
                <w:color w:val="auto"/>
              </w:rPr>
            </w:pPr>
            <w:r>
              <w:rPr>
                <w:rFonts w:ascii="Arial" w:cs="Arial" w:eastAsia="Arial" w:hAnsi="Arial"/>
                <w:sz w:val="18"/>
                <w:szCs w:val="18"/>
                <w:color w:val="auto"/>
              </w:rPr>
              <w:t>Direct</w:t>
            </w:r>
          </w:p>
        </w:tc>
        <w:tc>
          <w:tcPr>
            <w:tcW w:w="120" w:type="dxa"/>
            <w:vAlign w:val="bottom"/>
          </w:tcPr>
          <w:p>
            <w:pPr>
              <w:spacing w:after="0"/>
              <w:rPr>
                <w:sz w:val="17"/>
                <w:szCs w:val="17"/>
                <w:color w:val="auto"/>
              </w:rPr>
            </w:pPr>
          </w:p>
        </w:tc>
        <w:tc>
          <w:tcPr>
            <w:tcW w:w="12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8,064</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Nonaffiliated reinsurance</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839)</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0"/>
        </w:trPr>
        <w:tc>
          <w:tcPr>
            <w:tcW w:w="916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160" w:type="dxa"/>
            <w:vAlign w:val="bottom"/>
            <w:gridSpan w:val="2"/>
          </w:tcPr>
          <w:p>
            <w:pPr>
              <w:spacing w:after="0"/>
              <w:rPr>
                <w:sz w:val="20"/>
                <w:szCs w:val="20"/>
                <w:color w:val="auto"/>
              </w:rPr>
            </w:pPr>
            <w:r>
              <w:rPr>
                <w:rFonts w:ascii="Arial" w:cs="Arial" w:eastAsia="Arial" w:hAnsi="Arial"/>
                <w:sz w:val="18"/>
                <w:szCs w:val="18"/>
                <w:color w:val="auto"/>
              </w:rPr>
              <w:t>Net underwriting gain (loss) (SAP Basis)</w:t>
            </w:r>
          </w:p>
        </w:tc>
        <w:tc>
          <w:tcPr>
            <w:tcW w:w="120" w:type="dxa"/>
            <w:vAlign w:val="bottom"/>
          </w:tcPr>
          <w:p>
            <w:pPr>
              <w:spacing w:after="0"/>
              <w:rPr>
                <w:sz w:val="19"/>
                <w:szCs w:val="19"/>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7,225</w:t>
            </w: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9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Excess-of-loss premiums ceded to the Exchange</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844)</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40" w:type="dxa"/>
            <w:vAlign w:val="bottom"/>
          </w:tcPr>
          <w:p>
            <w:pPr>
              <w:spacing w:after="0" w:line="202" w:lineRule="exact"/>
              <w:rPr>
                <w:sz w:val="20"/>
                <w:szCs w:val="20"/>
                <w:color w:val="auto"/>
              </w:rPr>
            </w:pPr>
            <w:r>
              <w:rPr>
                <w:rFonts w:ascii="Arial" w:cs="Arial" w:eastAsia="Arial" w:hAnsi="Arial"/>
                <w:sz w:val="18"/>
                <w:szCs w:val="18"/>
                <w:color w:val="auto"/>
              </w:rPr>
              <w:t>Reinsurance charges under excess-of-loss agreement</w:t>
            </w:r>
          </w:p>
        </w:tc>
        <w:tc>
          <w:tcPr>
            <w:tcW w:w="1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340)</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SAP to GAAP adjustments</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916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60" w:type="dxa"/>
            <w:vAlign w:val="bottom"/>
            <w:gridSpan w:val="2"/>
          </w:tcPr>
          <w:p>
            <w:pPr>
              <w:spacing w:after="0"/>
              <w:rPr>
                <w:sz w:val="20"/>
                <w:szCs w:val="20"/>
                <w:color w:val="auto"/>
              </w:rPr>
            </w:pPr>
            <w:r>
              <w:rPr>
                <w:rFonts w:ascii="Arial" w:cs="Arial" w:eastAsia="Arial" w:hAnsi="Arial"/>
                <w:sz w:val="18"/>
                <w:szCs w:val="18"/>
                <w:color w:val="auto"/>
              </w:rPr>
              <w:t>Company underwriting income (loss) (GAAP Basis)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6,229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(1,491)</w:t>
            </w:r>
          </w:p>
        </w:tc>
        <w:tc>
          <w:tcPr>
            <w:tcW w:w="0" w:type="dxa"/>
            <w:vAlign w:val="bottom"/>
          </w:tcPr>
          <w:p>
            <w:pPr>
              <w:spacing w:after="0"/>
              <w:rPr>
                <w:sz w:val="1"/>
                <w:szCs w:val="1"/>
                <w:color w:val="auto"/>
              </w:rPr>
            </w:pPr>
          </w:p>
        </w:tc>
      </w:tr>
      <w:tr>
        <w:trPr>
          <w:trHeight w:val="20"/>
        </w:trPr>
        <w:tc>
          <w:tcPr>
            <w:tcW w:w="9160" w:type="dxa"/>
            <w:vAlign w:val="bottom"/>
            <w:gridSpan w:val="2"/>
            <w:vMerge w:val="restart"/>
          </w:tcPr>
          <w:p>
            <w:pPr>
              <w:ind w:left="5620"/>
              <w:spacing w:after="0"/>
              <w:rPr>
                <w:sz w:val="20"/>
                <w:szCs w:val="20"/>
                <w:color w:val="auto"/>
              </w:rPr>
            </w:pPr>
            <w:r>
              <w:rPr>
                <w:rFonts w:ascii="Arial" w:cs="Arial" w:eastAsia="Arial" w:hAnsi="Arial"/>
                <w:sz w:val="18"/>
                <w:szCs w:val="18"/>
                <w:color w:val="auto"/>
              </w:rPr>
              <w:t>29</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91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4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54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w:t>
      </w:r>
      <w:r>
        <w:rPr>
          <w:rFonts w:ascii="Arial" w:cs="Arial" w:eastAsia="Arial" w:hAnsi="Arial"/>
          <w:sz w:val="18"/>
          <w:szCs w:val="18"/>
          <w:color w:val="auto"/>
        </w:rPr>
        <w:t xml:space="preserve"> (Continued)</w:t>
      </w:r>
    </w:p>
    <w:p>
      <w:pPr>
        <w:spacing w:after="0" w:line="18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GAAP combined ratio represents the ratio of losses, loss adjustment, acquisition and other underwriting expenses incurred to premiums earned. The GAAP combined ratios of the Company are different than the results of the Property and Casualty Group due to certain GAAP adjustments and the effects of the excess-of-loss reinsurance agreement between the Company’s property/casualty insurance subsidiaries and the Exchange. The statutory combined ratio as reported, and the statutory combined ratio after being adjusted for the profit component paid to the Company, are also presented below for the Property and Casualty Group:</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80" w:type="dxa"/>
            <w:vAlign w:val="bottom"/>
          </w:tcPr>
          <w:p>
            <w:pPr>
              <w:spacing w:after="0"/>
              <w:rPr>
                <w:sz w:val="14"/>
                <w:szCs w:val="14"/>
                <w:color w:val="auto"/>
              </w:rPr>
            </w:pPr>
          </w:p>
        </w:tc>
        <w:tc>
          <w:tcPr>
            <w:tcW w:w="2140" w:type="dxa"/>
            <w:vAlign w:val="bottom"/>
            <w:gridSpan w:val="4"/>
          </w:tcPr>
          <w:p>
            <w:pPr>
              <w:spacing w:after="0"/>
              <w:rPr>
                <w:sz w:val="20"/>
                <w:szCs w:val="20"/>
                <w:color w:val="auto"/>
              </w:rPr>
            </w:pPr>
            <w:r>
              <w:rPr>
                <w:rFonts w:ascii="Arial" w:cs="Arial" w:eastAsia="Arial" w:hAnsi="Arial"/>
                <w:sz w:val="14"/>
                <w:szCs w:val="14"/>
                <w:color w:val="auto"/>
              </w:rPr>
              <w:t>Three months ended March 31</w:t>
            </w:r>
          </w:p>
        </w:tc>
      </w:tr>
      <w:tr>
        <w:trPr>
          <w:trHeight w:val="157"/>
        </w:trPr>
        <w:tc>
          <w:tcPr>
            <w:tcW w:w="9280" w:type="dxa"/>
            <w:vAlign w:val="bottom"/>
          </w:tcPr>
          <w:p>
            <w:pPr>
              <w:spacing w:after="0"/>
              <w:rPr>
                <w:sz w:val="13"/>
                <w:szCs w:val="13"/>
                <w:color w:val="auto"/>
              </w:rPr>
            </w:pPr>
          </w:p>
        </w:tc>
        <w:tc>
          <w:tcPr>
            <w:tcW w:w="720" w:type="dxa"/>
            <w:vAlign w:val="bottom"/>
            <w:tcBorders>
              <w:bottom w:val="single" w:sz="8" w:color="auto"/>
            </w:tcBorders>
          </w:tcPr>
          <w:p>
            <w:pPr>
              <w:ind w:left="200"/>
              <w:spacing w:after="0" w:line="157" w:lineRule="exact"/>
              <w:rPr>
                <w:sz w:val="20"/>
                <w:szCs w:val="20"/>
                <w:color w:val="auto"/>
              </w:rPr>
            </w:pPr>
            <w:r>
              <w:rPr>
                <w:rFonts w:ascii="Arial" w:cs="Arial" w:eastAsia="Arial" w:hAnsi="Arial"/>
                <w:sz w:val="14"/>
                <w:szCs w:val="14"/>
                <w:color w:val="auto"/>
              </w:rPr>
              <w:t>2005</w:t>
            </w:r>
          </w:p>
        </w:tc>
        <w:tc>
          <w:tcPr>
            <w:tcW w:w="520" w:type="dxa"/>
            <w:vAlign w:val="bottom"/>
          </w:tcPr>
          <w:p>
            <w:pPr>
              <w:spacing w:after="0"/>
              <w:rPr>
                <w:sz w:val="13"/>
                <w:szCs w:val="13"/>
                <w:color w:val="auto"/>
              </w:rPr>
            </w:pPr>
          </w:p>
        </w:tc>
        <w:tc>
          <w:tcPr>
            <w:tcW w:w="740" w:type="dxa"/>
            <w:vAlign w:val="bottom"/>
            <w:tcBorders>
              <w:bottom w:val="single" w:sz="8" w:color="auto"/>
            </w:tcBorders>
          </w:tcPr>
          <w:p>
            <w:pPr>
              <w:jc w:val="right"/>
              <w:ind w:right="113"/>
              <w:spacing w:after="0" w:line="157" w:lineRule="exact"/>
              <w:rPr>
                <w:sz w:val="20"/>
                <w:szCs w:val="20"/>
                <w:color w:val="auto"/>
              </w:rPr>
            </w:pPr>
            <w:r>
              <w:rPr>
                <w:rFonts w:ascii="Arial" w:cs="Arial" w:eastAsia="Arial" w:hAnsi="Arial"/>
                <w:sz w:val="14"/>
                <w:szCs w:val="14"/>
                <w:color w:val="auto"/>
              </w:rPr>
              <w:t>2004</w:t>
            </w:r>
          </w:p>
        </w:tc>
        <w:tc>
          <w:tcPr>
            <w:tcW w:w="160" w:type="dxa"/>
            <w:vAlign w:val="bottom"/>
          </w:tcPr>
          <w:p>
            <w:pPr>
              <w:spacing w:after="0"/>
              <w:rPr>
                <w:sz w:val="13"/>
                <w:szCs w:val="13"/>
                <w:color w:val="auto"/>
              </w:rPr>
            </w:pPr>
          </w:p>
        </w:tc>
      </w:tr>
      <w:tr>
        <w:trPr>
          <w:trHeight w:val="196"/>
        </w:trPr>
        <w:tc>
          <w:tcPr>
            <w:tcW w:w="9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Company GAAP combined ratio</w:t>
            </w:r>
          </w:p>
        </w:tc>
        <w:tc>
          <w:tcPr>
            <w:tcW w:w="1240" w:type="dxa"/>
            <w:vAlign w:val="bottom"/>
            <w:gridSpan w:val="2"/>
            <w:shd w:val="clear" w:color="auto" w:fill="CCEEFF"/>
          </w:tcPr>
          <w:p>
            <w:pPr>
              <w:ind w:left="380"/>
              <w:spacing w:after="0" w:line="196" w:lineRule="exact"/>
              <w:rPr>
                <w:sz w:val="20"/>
                <w:szCs w:val="20"/>
                <w:color w:val="auto"/>
              </w:rPr>
            </w:pPr>
            <w:r>
              <w:rPr>
                <w:rFonts w:ascii="Arial" w:cs="Arial" w:eastAsia="Arial" w:hAnsi="Arial"/>
                <w:sz w:val="18"/>
                <w:szCs w:val="18"/>
                <w:color w:val="auto"/>
              </w:rPr>
              <w:t>88.4%</w:t>
            </w:r>
          </w:p>
        </w:tc>
        <w:tc>
          <w:tcPr>
            <w:tcW w:w="9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102.9%</w:t>
            </w:r>
          </w:p>
        </w:tc>
      </w:tr>
      <w:tr>
        <w:trPr>
          <w:trHeight w:val="203"/>
        </w:trPr>
        <w:tc>
          <w:tcPr>
            <w:tcW w:w="9280" w:type="dxa"/>
            <w:vAlign w:val="bottom"/>
          </w:tcPr>
          <w:p>
            <w:pPr>
              <w:spacing w:after="0" w:line="202" w:lineRule="exact"/>
              <w:rPr>
                <w:sz w:val="20"/>
                <w:szCs w:val="20"/>
                <w:color w:val="auto"/>
              </w:rPr>
            </w:pPr>
            <w:r>
              <w:rPr>
                <w:rFonts w:ascii="Arial" w:cs="Arial" w:eastAsia="Arial" w:hAnsi="Arial"/>
                <w:sz w:val="18"/>
                <w:szCs w:val="18"/>
                <w:color w:val="auto"/>
              </w:rPr>
              <w:t>Statutory combined ratio</w:t>
            </w:r>
          </w:p>
        </w:tc>
        <w:tc>
          <w:tcPr>
            <w:tcW w:w="124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86.8</w:t>
            </w: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100.2</w:t>
            </w:r>
          </w:p>
        </w:tc>
      </w:tr>
      <w:tr>
        <w:trPr>
          <w:trHeight w:val="203"/>
        </w:trPr>
        <w:tc>
          <w:tcPr>
            <w:tcW w:w="9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Statutory combined ratio, excluding catastrophes</w:t>
            </w:r>
          </w:p>
        </w:tc>
        <w:tc>
          <w:tcPr>
            <w:tcW w:w="124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86.3</w:t>
            </w: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99.4</w:t>
            </w:r>
          </w:p>
        </w:tc>
      </w:tr>
      <w:tr>
        <w:trPr>
          <w:trHeight w:val="203"/>
        </w:trPr>
        <w:tc>
          <w:tcPr>
            <w:tcW w:w="9280" w:type="dxa"/>
            <w:vAlign w:val="bottom"/>
          </w:tcPr>
          <w:p>
            <w:pPr>
              <w:spacing w:after="0" w:line="202" w:lineRule="exact"/>
              <w:rPr>
                <w:sz w:val="20"/>
                <w:szCs w:val="20"/>
                <w:color w:val="auto"/>
              </w:rPr>
            </w:pPr>
            <w:r>
              <w:rPr>
                <w:rFonts w:ascii="Arial" w:cs="Arial" w:eastAsia="Arial" w:hAnsi="Arial"/>
                <w:sz w:val="18"/>
                <w:szCs w:val="18"/>
                <w:color w:val="auto"/>
              </w:rPr>
              <w:t>Adjusted statutory combined ratio</w:t>
            </w:r>
          </w:p>
        </w:tc>
        <w:tc>
          <w:tcPr>
            <w:tcW w:w="124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81.4</w:t>
            </w: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95.0</w:t>
            </w:r>
          </w:p>
        </w:tc>
      </w:tr>
      <w:tr>
        <w:trPr>
          <w:trHeight w:val="203"/>
        </w:trPr>
        <w:tc>
          <w:tcPr>
            <w:tcW w:w="9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statutory combined ratio, excluding catastrophes</w:t>
            </w:r>
          </w:p>
        </w:tc>
        <w:tc>
          <w:tcPr>
            <w:tcW w:w="124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80.9</w:t>
            </w: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94.2</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insurance subsidiaries’ share of the Property and Casualty Group’s direct business generated underwriting income of</w:t>
      </w:r>
    </w:p>
    <w:p>
      <w:pPr>
        <w:ind w:right="20"/>
        <w:spacing w:after="0" w:line="236" w:lineRule="auto"/>
        <w:rPr>
          <w:sz w:val="20"/>
          <w:szCs w:val="20"/>
          <w:color w:val="auto"/>
        </w:rPr>
      </w:pPr>
      <w:r>
        <w:rPr>
          <w:rFonts w:ascii="Arial" w:cs="Arial" w:eastAsia="Arial" w:hAnsi="Arial"/>
          <w:sz w:val="18"/>
          <w:szCs w:val="18"/>
          <w:color w:val="auto"/>
        </w:rPr>
        <w:t>$8.1 million and $.1 million on a statutory basis in the first quarters of 2005 and 2004, respectively. The Property and Casualty Group’s reported statutory combined ratio, calculated on direct business only, was 85.6 and 99.5 for the first quarters of 2005 and 2004, respectively. The improvement in 2005 underwriting results on direct business reflects the impact of the underwriting profitability initiatives implemented in 2003 and 2004 to help offset severity increases and manage exposure growth. During the first quarter of 2004, seasonal fluctuations were not recognized. Prior to the third quarter 2004, reserve estimates were reviewed quarterly but seasonal fluctuations in loss reserves were previously recognized over the balance of the year. Since then, seasonal fluctuation in the Property and Casualty Group’s underwriting results are recognized in the quarterly results in which they occurred. The first quarter of the fiscal year typically has the lowest non-catastrophe claim volume of the year. Catastrophe losses incurred by the Property and Casualty Group were not significant and therefore the lower claim volume, coupled with improving underwriting, resulted in seasonally low losses at March 31, 2005. Underwriting losses are seasonally higher in the second and fourth quarters and as a consequence, the Company’s property/casualty combined ratio generally increases as the year progresses.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Underwriting profitability initiatives</w:t>
      </w:r>
    </w:p>
    <w:p>
      <w:pPr>
        <w:spacing w:after="0" w:line="189" w:lineRule="exact"/>
        <w:rPr>
          <w:sz w:val="20"/>
          <w:szCs w:val="20"/>
          <w:color w:val="auto"/>
        </w:rPr>
      </w:pPr>
    </w:p>
    <w:p>
      <w:pPr>
        <w:ind w:right="500"/>
        <w:spacing w:after="0" w:line="238" w:lineRule="auto"/>
        <w:rPr>
          <w:sz w:val="20"/>
          <w:szCs w:val="20"/>
          <w:color w:val="auto"/>
        </w:rPr>
      </w:pPr>
      <w:r>
        <w:rPr>
          <w:rFonts w:ascii="Arial" w:cs="Arial" w:eastAsia="Arial" w:hAnsi="Arial"/>
          <w:sz w:val="18"/>
          <w:szCs w:val="18"/>
          <w:color w:val="auto"/>
        </w:rPr>
        <w:t>The Property and Casualty Group continues to maintain its focus on enhancing quality growth while maintaining underwriting profitability. Recent underwriting practices have strengthened the Property and Casualty Group’s financial position to compete for profitable business. Underwriting practices affect the number of new policyholders eligible for coverage with the Property and Casualty Group as well as the number eligible to renew and the terms of renewal. The acceptability of risks written by the Property and Casualty Group is an important element of underwriting profitability.</w:t>
      </w:r>
    </w:p>
    <w:p>
      <w:pPr>
        <w:spacing w:after="0" w:line="176"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In 2004, the Property and Casualty Group began utilizing insurance scoring for underwriting purposes to aid in risk selection. Insurance scoring is an objective tool that insurers use, along with other applicant information, to better predict the likelihood of policyholder losses. By more precisely predicting the likelihood of future losses, the tool can help insurers manage their risk, enabling them to more accurately price insurance coverage. Underwriting profitability is also affected by loss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w:t>
      </w:r>
      <w:r>
        <w:rPr>
          <w:rFonts w:ascii="Arial" w:cs="Arial" w:eastAsia="Arial" w:hAnsi="Arial"/>
          <w:sz w:val="18"/>
          <w:szCs w:val="18"/>
          <w:color w:val="auto"/>
        </w:rPr>
        <w:t xml:space="preserve"> (Continued)</w:t>
      </w:r>
    </w:p>
    <w:p>
      <w:pPr>
        <w:spacing w:after="0" w:line="185"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cost inflation and changes in the average loss per claim. The Property and Casualty Group is currently implementing the use of insurance scoring for pricing purposes. The cost of obtaining insurance scores on applications during the first quarter of 2005 was $.5 million.</w:t>
      </w:r>
    </w:p>
    <w:p>
      <w:pPr>
        <w:spacing w:after="0" w:line="156"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Insurance scoring has been incorporated into a rating plan with multiple pricing tiers, which was applied to new business in March 2005. The rating plan is expected to be used to begin evaluating renewal business beginning in April 2005. This segmented pricing will enable the Company to offer competitive rates to more customers, providing greater flexibility in pricing policies with varying degrees of risk. To also stimulate growth, the Company planned to continue its agent appointment efforts in 2005. Through the first quarter of 2005, six new agents have been appointed in existing territories.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Catastrophe losses</w:t>
      </w:r>
    </w:p>
    <w:p>
      <w:pPr>
        <w:spacing w:after="0" w:line="20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Catastrophes are an inherent risk of the property/casualty insurance business and can have a material impact on the Company’s insurance underwriting results. In addressing this risk, the Company employs what it believes are reasonable underwriting standards and monitors its exposure by geographic region. The Property and Casualty Group maintains catastrophe reinsurance coverage from unaffiliated insurers. The 2005 agreement is a property catastrophe reinsurance treaty that provides coverage of up to 95.0% of a loss of $400 million in excess of the Property and Casualty Group’s loss retention of $200 million per occurrence. No loss recoverables were recorded under this treaty at March 31, 2005. Additionally, the Company’s property/casualty insurance subsidiaries’ all-lines excess-of-loss reinsurance agreement with the Exchange should substantially mitigate the effect of catastrophe losses on the Company’s financial position. During the first quarters of 2005 and 2004, the Company’s share of catastrophe losses, as defined by the Property and Casualty Group, amounted to $.3 million and $.4 million, respectively and contributed .5 points and .8 points to the GAAP combined ratio respectively.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Reinsurance</w:t>
      </w:r>
    </w:p>
    <w:p>
      <w:pPr>
        <w:spacing w:after="0" w:line="193"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Company’s property/casualty insurance subsidiaries’ nonaffiliated reinsurance business includes its share of the Property and Casualty Group’s voluntary and involuntary assumed reinsurance business and unaffiliated ceded business. The Exchange exited the voluntary assumed reinsurance business as of December 31, 2003 to allow the Property and Casualty Group to focus on its core business and lessen its underwriting exposure. The effects of the excess-of-loss reinsurance agreement between the Company’s property/casualty insurance subsidiaries and the Exchange is also reflected in the reinsurance business when looking at the Company’s results on a segment basis. The excess-of-loss reinsurance agreement is not subject to the intercompany pooling agreement and is presented after the effects of the pool in the previous reconciliation table.</w:t>
      </w:r>
    </w:p>
    <w:p>
      <w:pPr>
        <w:spacing w:after="0" w:line="176"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Company’s property/casualty insurance subsidiaries’ all lines excess-of-loss reinsurance agreement with the Exchange limits their retained share of ultimate net losses in any applicable accident year. EIC’s and EINY’s aggregate excess-of-loss reinsurance agreement with the Exchange provides that once EIC and EINY have sustained ultimate net losses, excluding losses from terrorism, nuclear, biological and chemical events, in any applicable accident year that exceed an amount equal to 72.5% of EIC’s and EINY’s net premiums earned in that period, the Exchange will be liable for 95% of the amount of such excess, up to but not exceeding, an amount equal to 95% of 15% of EIC’s and EINY’s net premium earned. Losses equal to 5% of the ultimate net loss in excess of the retention under the contract are retained by EIC and EINY. The contract only permits loss recoverables when claims are paid. The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w:t>
      </w:r>
      <w:r>
        <w:rPr>
          <w:rFonts w:ascii="Arial" w:cs="Arial" w:eastAsia="Arial" w:hAnsi="Arial"/>
          <w:sz w:val="18"/>
          <w:szCs w:val="18"/>
          <w:color w:val="auto"/>
        </w:rPr>
        <w:t xml:space="preserve"> (Continued)</w:t>
      </w:r>
    </w:p>
    <w:p>
      <w:pPr>
        <w:spacing w:after="0" w:line="185" w:lineRule="exact"/>
        <w:rPr>
          <w:sz w:val="20"/>
          <w:szCs w:val="20"/>
          <w:color w:val="auto"/>
        </w:rPr>
      </w:pPr>
    </w:p>
    <w:p>
      <w:pPr>
        <w:jc w:val="both"/>
        <w:ind w:right="440"/>
        <w:spacing w:after="0" w:line="239" w:lineRule="auto"/>
        <w:rPr>
          <w:sz w:val="20"/>
          <w:szCs w:val="20"/>
          <w:color w:val="auto"/>
        </w:rPr>
      </w:pPr>
      <w:r>
        <w:rPr>
          <w:rFonts w:ascii="Arial" w:cs="Arial" w:eastAsia="Arial" w:hAnsi="Arial"/>
          <w:sz w:val="18"/>
          <w:szCs w:val="18"/>
          <w:color w:val="auto"/>
        </w:rPr>
        <w:t>contract also requires that any unpaid loss recoverables will be commuted 60 months after an annual period expires. The premium for this coverage decreased to 1.5% of EIC’s and EINY’s net premium earned in 2005 from 1.7% in 2004 to reflect current market conditions. The premium paid to the Exchange for this agreement in each of the first quarters of 2005 and 2004 was $1.7 million, of which $.8 million was recorded as incurred expense during the first quarter of 2005.</w:t>
      </w:r>
    </w:p>
    <w:p>
      <w:pPr>
        <w:spacing w:after="0" w:line="16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the first quarter of 2005, the Company’s property/casualty insurance subsidiaries recorded net charges under the excess-of-loss reinsurance agreement with the Exchange of $.3 million. Included in the net charges of $.3 million are recoveries for the first quarter of 2005 of $.1 million offset by the commutation of the 1999 accident year. In accordance with this agreement, commutation of an accident year occurs five years after the accident year expires. The 1999 accident year met the commutation criteria and the unpaid loss recoverable of $ 3.4 million was settled in March 2005. The present value of the estimated losses from the 1999 accident year, or $3.0 million, was settled with the Exchange by the Company’s property/casualty insurance subsidiaries resulting in a charge to the Company of $.4 million. The $.1 million first quarter 2005 recovery related to the 2000 and 2001 accident years.</w:t>
      </w:r>
    </w:p>
    <w:p>
      <w:pPr>
        <w:spacing w:after="0" w:line="163"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During the first quarter of 2004, no charges or recoveries under the excess-of-loss agreement were recorded by the Company’s property/casualty insurance subsidiaries. As reimbursement occurs only when claims are paid, no cash payments have been made between the companies in 2005 or 2004 for recoveries. An increase in the recoverable in any given year reduces the Company’s losses and loss adjustment expenses on the Consolidated Statements of Operations while a decrease in the recoverable results in an increase in the Company’s losses and loss adjustments expenses.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acquisition and other underwriting expenses</w:t>
      </w:r>
    </w:p>
    <w:p>
      <w:pPr>
        <w:spacing w:after="0" w:line="19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Policy acquisition and other underwriting expenses of the Property and Casualty Group include the management fee due to the Company of $230.8 million and $225.8 million for the first quarters of 2005 and 2004, respectively. The amount presented on the Company’s Statements of Operations as management fee revenue reflects the elimination of intercompany management fee revenue between the EIC, EINY and the Company, and the allowance for mid-term policy cancellations. Dividends paid to workers’ compensation policyholders increased $1.9 million in the first quarter of 2005 to $6.5 million as average loss ratios of these policyholders improved.</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33" w:name="page34"/>
    <w:bookmarkEnd w:id="33"/>
    <w:p>
      <w:pPr>
        <w:ind w:right="620"/>
        <w:spacing w:after="0" w:line="465" w:lineRule="auto"/>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w:t>
      </w:r>
      <w:r>
        <w:rPr>
          <w:rFonts w:ascii="Arial" w:cs="Arial" w:eastAsia="Arial" w:hAnsi="Arial"/>
          <w:sz w:val="18"/>
          <w:szCs w:val="18"/>
          <w:color w:val="auto"/>
        </w:rPr>
        <w:t xml:space="preserve"> (Continued) </w:t>
      </w:r>
      <w:r>
        <w:rPr>
          <w:rFonts w:ascii="Arial" w:cs="Arial" w:eastAsia="Arial" w:hAnsi="Arial"/>
          <w:sz w:val="18"/>
          <w:szCs w:val="18"/>
          <w:i w:val="1"/>
          <w:iCs w:val="1"/>
          <w:u w:val="single" w:color="auto"/>
          <w:color w:val="auto"/>
        </w:rPr>
        <w:t>Investment Operations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2060" w:type="dxa"/>
            <w:vAlign w:val="bottom"/>
            <w:gridSpan w:val="5"/>
          </w:tcPr>
          <w:p>
            <w:pPr>
              <w:jc w:val="center"/>
              <w:ind w:right="80"/>
              <w:spacing w:after="0"/>
              <w:rPr>
                <w:sz w:val="20"/>
                <w:szCs w:val="20"/>
                <w:color w:val="auto"/>
              </w:rPr>
            </w:pPr>
            <w:r>
              <w:rPr>
                <w:rFonts w:ascii="Arial" w:cs="Arial" w:eastAsia="Arial" w:hAnsi="Arial"/>
                <w:sz w:val="14"/>
                <w:szCs w:val="14"/>
                <w:color w:val="auto"/>
              </w:rPr>
              <w:t>Three months ended March 31</w:t>
            </w:r>
          </w:p>
        </w:tc>
      </w:tr>
      <w:tr>
        <w:trPr>
          <w:trHeight w:val="157"/>
        </w:trPr>
        <w:tc>
          <w:tcPr>
            <w:tcW w:w="9360" w:type="dxa"/>
            <w:vAlign w:val="bottom"/>
            <w:gridSpan w:val="2"/>
          </w:tcPr>
          <w:p>
            <w:pPr>
              <w:spacing w:after="0" w:line="157" w:lineRule="exact"/>
              <w:rPr>
                <w:sz w:val="20"/>
                <w:szCs w:val="20"/>
                <w:color w:val="auto"/>
              </w:rPr>
            </w:pPr>
            <w:r>
              <w:rPr>
                <w:rFonts w:ascii="Arial" w:cs="Arial" w:eastAsia="Arial" w:hAnsi="Arial"/>
                <w:sz w:val="14"/>
                <w:szCs w:val="14"/>
                <w:color w:val="auto"/>
              </w:rPr>
              <w:t>(dollars in thousands)</w:t>
            </w:r>
          </w:p>
        </w:tc>
        <w:tc>
          <w:tcPr>
            <w:tcW w:w="740" w:type="dxa"/>
            <w:vAlign w:val="bottom"/>
            <w:tcBorders>
              <w:bottom w:val="single" w:sz="8" w:color="auto"/>
            </w:tcBorders>
          </w:tcPr>
          <w:p>
            <w:pPr>
              <w:jc w:val="right"/>
              <w:ind w:right="117"/>
              <w:spacing w:after="0" w:line="157" w:lineRule="exact"/>
              <w:rPr>
                <w:sz w:val="20"/>
                <w:szCs w:val="20"/>
                <w:color w:val="auto"/>
              </w:rPr>
            </w:pPr>
            <w:r>
              <w:rPr>
                <w:rFonts w:ascii="Arial" w:cs="Arial" w:eastAsia="Arial" w:hAnsi="Arial"/>
                <w:sz w:val="14"/>
                <w:szCs w:val="14"/>
                <w:color w:val="auto"/>
              </w:rPr>
              <w:t>2005</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Borders>
              <w:bottom w:val="single" w:sz="8" w:color="auto"/>
            </w:tcBorders>
          </w:tcPr>
          <w:p>
            <w:pPr>
              <w:jc w:val="right"/>
              <w:ind w:right="139"/>
              <w:spacing w:after="0" w:line="157" w:lineRule="exact"/>
              <w:rPr>
                <w:sz w:val="20"/>
                <w:szCs w:val="20"/>
                <w:color w:val="auto"/>
              </w:rPr>
            </w:pPr>
            <w:r>
              <w:rPr>
                <w:rFonts w:ascii="Arial" w:cs="Arial" w:eastAsia="Arial" w:hAnsi="Arial"/>
                <w:sz w:val="14"/>
                <w:szCs w:val="14"/>
                <w:color w:val="auto"/>
              </w:rPr>
              <w:t>2004</w:t>
            </w:r>
          </w:p>
        </w:tc>
        <w:tc>
          <w:tcPr>
            <w:tcW w:w="10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9340" w:type="dxa"/>
            <w:vAlign w:val="bottom"/>
          </w:tcPr>
          <w:p>
            <w:pPr>
              <w:spacing w:after="0"/>
              <w:rPr>
                <w:sz w:val="13"/>
                <w:szCs w:val="13"/>
                <w:color w:val="auto"/>
              </w:rPr>
            </w:pPr>
          </w:p>
        </w:tc>
        <w:tc>
          <w:tcPr>
            <w:tcW w:w="2060" w:type="dxa"/>
            <w:vAlign w:val="bottom"/>
            <w:gridSpan w:val="5"/>
          </w:tcPr>
          <w:p>
            <w:pPr>
              <w:jc w:val="center"/>
              <w:ind w:right="100"/>
              <w:spacing w:after="0" w:line="155" w:lineRule="exact"/>
              <w:rPr>
                <w:sz w:val="20"/>
                <w:szCs w:val="20"/>
                <w:color w:val="auto"/>
              </w:rPr>
            </w:pPr>
            <w:r>
              <w:rPr>
                <w:rFonts w:ascii="Arial" w:cs="Arial" w:eastAsia="Arial" w:hAnsi="Arial"/>
                <w:sz w:val="14"/>
                <w:szCs w:val="14"/>
                <w:color w:val="auto"/>
              </w:rPr>
              <w:t>(Unaudited)</w:t>
            </w:r>
          </w:p>
        </w:tc>
      </w:tr>
      <w:tr>
        <w:trPr>
          <w:trHeight w:val="203"/>
        </w:trPr>
        <w:tc>
          <w:tcPr>
            <w:tcW w:w="20" w:type="dxa"/>
            <w:vAlign w:val="bottom"/>
          </w:tcPr>
          <w:p>
            <w:pPr>
              <w:spacing w:after="0"/>
              <w:rPr>
                <w:sz w:val="17"/>
                <w:szCs w:val="17"/>
                <w:color w:val="auto"/>
              </w:rPr>
            </w:pPr>
          </w:p>
        </w:tc>
        <w:tc>
          <w:tcPr>
            <w:tcW w:w="9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investment income</w:t>
            </w:r>
          </w:p>
        </w:tc>
        <w:tc>
          <w:tcPr>
            <w:tcW w:w="9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$ 14,468</w:t>
            </w:r>
          </w:p>
        </w:tc>
        <w:tc>
          <w:tcPr>
            <w:tcW w:w="108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$ 14,686</w:t>
            </w:r>
          </w:p>
        </w:tc>
      </w:tr>
      <w:tr>
        <w:trPr>
          <w:trHeight w:val="203"/>
        </w:trPr>
        <w:tc>
          <w:tcPr>
            <w:tcW w:w="20" w:type="dxa"/>
            <w:vAlign w:val="bottom"/>
          </w:tcPr>
          <w:p>
            <w:pPr>
              <w:spacing w:after="0"/>
              <w:rPr>
                <w:sz w:val="17"/>
                <w:szCs w:val="17"/>
                <w:color w:val="auto"/>
              </w:rPr>
            </w:pPr>
          </w:p>
        </w:tc>
        <w:tc>
          <w:tcPr>
            <w:tcW w:w="9340" w:type="dxa"/>
            <w:vAlign w:val="bottom"/>
          </w:tcPr>
          <w:p>
            <w:pPr>
              <w:spacing w:after="0" w:line="202" w:lineRule="exact"/>
              <w:rPr>
                <w:sz w:val="20"/>
                <w:szCs w:val="20"/>
                <w:color w:val="auto"/>
              </w:rPr>
            </w:pPr>
            <w:r>
              <w:rPr>
                <w:rFonts w:ascii="Arial" w:cs="Arial" w:eastAsia="Arial" w:hAnsi="Arial"/>
                <w:sz w:val="18"/>
                <w:szCs w:val="18"/>
                <w:color w:val="auto"/>
              </w:rPr>
              <w:t>Net realized gains on investments</w:t>
            </w:r>
          </w:p>
        </w:tc>
        <w:tc>
          <w:tcPr>
            <w:tcW w:w="9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5,497</w:t>
            </w:r>
          </w:p>
        </w:tc>
        <w:tc>
          <w:tcPr>
            <w:tcW w:w="108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2,853</w:t>
            </w:r>
          </w:p>
        </w:tc>
      </w:tr>
      <w:tr>
        <w:trPr>
          <w:trHeight w:val="203"/>
        </w:trPr>
        <w:tc>
          <w:tcPr>
            <w:tcW w:w="20" w:type="dxa"/>
            <w:vAlign w:val="bottom"/>
          </w:tcPr>
          <w:p>
            <w:pPr>
              <w:spacing w:after="0"/>
              <w:rPr>
                <w:sz w:val="17"/>
                <w:szCs w:val="17"/>
                <w:color w:val="auto"/>
              </w:rPr>
            </w:pPr>
          </w:p>
        </w:tc>
        <w:tc>
          <w:tcPr>
            <w:tcW w:w="9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 in earnings of EFL</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767</w:t>
            </w:r>
          </w:p>
        </w:tc>
        <w:tc>
          <w:tcPr>
            <w:tcW w:w="24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1,414</w:t>
            </w:r>
          </w:p>
        </w:tc>
      </w:tr>
      <w:tr>
        <w:trPr>
          <w:trHeight w:val="210"/>
        </w:trPr>
        <w:tc>
          <w:tcPr>
            <w:tcW w:w="20" w:type="dxa"/>
            <w:vAlign w:val="bottom"/>
          </w:tcPr>
          <w:p>
            <w:pPr>
              <w:spacing w:after="0"/>
              <w:rPr>
                <w:sz w:val="18"/>
                <w:szCs w:val="18"/>
                <w:color w:val="auto"/>
              </w:rPr>
            </w:pPr>
          </w:p>
        </w:tc>
        <w:tc>
          <w:tcPr>
            <w:tcW w:w="9340" w:type="dxa"/>
            <w:vAlign w:val="bottom"/>
          </w:tcPr>
          <w:p>
            <w:pPr>
              <w:spacing w:after="0" w:line="202" w:lineRule="exact"/>
              <w:rPr>
                <w:sz w:val="20"/>
                <w:szCs w:val="20"/>
                <w:color w:val="auto"/>
              </w:rPr>
            </w:pPr>
            <w:r>
              <w:rPr>
                <w:rFonts w:ascii="Arial" w:cs="Arial" w:eastAsia="Arial" w:hAnsi="Arial"/>
                <w:sz w:val="18"/>
                <w:szCs w:val="18"/>
                <w:color w:val="auto"/>
              </w:rPr>
              <w:t>Equity in earnings of limited partnerships</w:t>
            </w: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2,111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418</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9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revenue from investment operations</w:t>
            </w:r>
          </w:p>
        </w:tc>
        <w:tc>
          <w:tcPr>
            <w:tcW w:w="9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$ 22,843</w:t>
            </w:r>
          </w:p>
        </w:tc>
        <w:tc>
          <w:tcPr>
            <w:tcW w:w="108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$ 19,371</w:t>
            </w: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increase in net revenue from investment operations in 2005 is due in part to equity in earnings of limited partnerships of $2.1 million in the first quarter of 2005, compared to $.4 million in the first quarter of 2004. In addition, sales of common equity securities in the first quarter of 2005 drove a $ 2.6 million increase in net realized gains on investments. There were impairment charges of $ 1.5 million included in net realized gains or losses on fixed maturity and equity investments in the first quarter of 2005 related to the automotive and technology industries. There were no impairment charges on these securities in the first quarter of 2004.</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Company’s performance of its fixed maturities and preferred stock portfolios compared to selected market indices is presented below.</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9180" w:type="dxa"/>
            <w:vAlign w:val="bottom"/>
          </w:tcPr>
          <w:p>
            <w:pPr>
              <w:spacing w:after="0"/>
              <w:rPr>
                <w:sz w:val="15"/>
                <w:szCs w:val="15"/>
                <w:color w:val="auto"/>
              </w:rPr>
            </w:pPr>
          </w:p>
        </w:tc>
        <w:tc>
          <w:tcPr>
            <w:tcW w:w="2220" w:type="dxa"/>
            <w:vAlign w:val="bottom"/>
            <w:gridSpan w:val="2"/>
          </w:tcPr>
          <w:p>
            <w:pPr>
              <w:jc w:val="center"/>
              <w:ind w:right="220"/>
              <w:spacing w:after="0"/>
              <w:rPr>
                <w:sz w:val="20"/>
                <w:szCs w:val="20"/>
                <w:color w:val="auto"/>
              </w:rPr>
            </w:pPr>
            <w:r>
              <w:rPr>
                <w:rFonts w:ascii="Arial" w:cs="Arial" w:eastAsia="Arial" w:hAnsi="Arial"/>
                <w:sz w:val="14"/>
                <w:szCs w:val="14"/>
                <w:i w:val="1"/>
                <w:iCs w:val="1"/>
                <w:color w:val="auto"/>
              </w:rPr>
              <w:t>Pre-tax annualized total returns</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180" w:type="dxa"/>
            <w:vAlign w:val="bottom"/>
          </w:tcPr>
          <w:p>
            <w:pPr>
              <w:spacing w:after="0"/>
              <w:rPr>
                <w:sz w:val="13"/>
                <w:szCs w:val="13"/>
                <w:color w:val="auto"/>
              </w:rPr>
            </w:pPr>
          </w:p>
        </w:tc>
        <w:tc>
          <w:tcPr>
            <w:tcW w:w="200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Two year period ended</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180" w:type="dxa"/>
            <w:vAlign w:val="bottom"/>
          </w:tcPr>
          <w:p>
            <w:pPr>
              <w:spacing w:after="0"/>
              <w:rPr>
                <w:sz w:val="13"/>
                <w:szCs w:val="13"/>
                <w:color w:val="auto"/>
              </w:rPr>
            </w:pPr>
          </w:p>
        </w:tc>
        <w:tc>
          <w:tcPr>
            <w:tcW w:w="2220" w:type="dxa"/>
            <w:vAlign w:val="bottom"/>
            <w:gridSpan w:val="2"/>
          </w:tcPr>
          <w:p>
            <w:pPr>
              <w:jc w:val="center"/>
              <w:ind w:right="240"/>
              <w:spacing w:after="0" w:line="155" w:lineRule="exact"/>
              <w:rPr>
                <w:sz w:val="20"/>
                <w:szCs w:val="20"/>
                <w:color w:val="auto"/>
              </w:rPr>
            </w:pPr>
            <w:r>
              <w:rPr>
                <w:rFonts w:ascii="Arial" w:cs="Arial" w:eastAsia="Arial" w:hAnsi="Arial"/>
                <w:sz w:val="14"/>
                <w:szCs w:val="14"/>
                <w:color w:val="auto"/>
              </w:rPr>
              <w:t>March 31, 2005 (1)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8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Erie Indemnity Company Indices:</w:t>
            </w:r>
          </w:p>
        </w:tc>
        <w:tc>
          <w:tcPr>
            <w:tcW w:w="20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tcPr>
          <w:p>
            <w:pPr>
              <w:spacing w:after="0" w:line="202" w:lineRule="exact"/>
              <w:rPr>
                <w:sz w:val="20"/>
                <w:szCs w:val="20"/>
                <w:color w:val="auto"/>
              </w:rPr>
            </w:pPr>
            <w:r>
              <w:rPr>
                <w:rFonts w:ascii="Arial" w:cs="Arial" w:eastAsia="Arial" w:hAnsi="Arial"/>
                <w:sz w:val="18"/>
                <w:szCs w:val="18"/>
                <w:color w:val="auto"/>
              </w:rPr>
              <w:t>Fixed maturities – corporate</w:t>
            </w:r>
          </w:p>
        </w:tc>
        <w:tc>
          <w:tcPr>
            <w:tcW w:w="22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Fixed maturities – municipal</w:t>
            </w:r>
          </w:p>
        </w:tc>
        <w:tc>
          <w:tcPr>
            <w:tcW w:w="2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3.08(2)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tcPr>
          <w:p>
            <w:pPr>
              <w:spacing w:after="0" w:line="202" w:lineRule="exact"/>
              <w:rPr>
                <w:sz w:val="20"/>
                <w:szCs w:val="20"/>
                <w:color w:val="auto"/>
              </w:rPr>
            </w:pPr>
            <w:r>
              <w:rPr>
                <w:rFonts w:ascii="Arial" w:cs="Arial" w:eastAsia="Arial" w:hAnsi="Arial"/>
                <w:sz w:val="18"/>
                <w:szCs w:val="18"/>
                <w:color w:val="auto"/>
              </w:rPr>
              <w:t>Preferred stock</w:t>
            </w:r>
          </w:p>
        </w:tc>
        <w:tc>
          <w:tcPr>
            <w:tcW w:w="2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7.90(2)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Common stock</w:t>
            </w:r>
          </w:p>
        </w:tc>
        <w:tc>
          <w:tcPr>
            <w:tcW w:w="2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17.67(3)</w:t>
            </w:r>
          </w:p>
        </w:tc>
        <w:tc>
          <w:tcPr>
            <w:tcW w:w="0" w:type="dxa"/>
            <w:vAlign w:val="bottom"/>
          </w:tcPr>
          <w:p>
            <w:pPr>
              <w:spacing w:after="0"/>
              <w:rPr>
                <w:sz w:val="1"/>
                <w:szCs w:val="1"/>
                <w:color w:val="auto"/>
              </w:rPr>
            </w:pPr>
          </w:p>
        </w:tc>
      </w:tr>
      <w:tr>
        <w:trPr>
          <w:trHeight w:val="419"/>
        </w:trPr>
        <w:tc>
          <w:tcPr>
            <w:tcW w:w="9200" w:type="dxa"/>
            <w:vAlign w:val="bottom"/>
            <w:gridSpan w:val="2"/>
          </w:tcPr>
          <w:p>
            <w:pPr>
              <w:spacing w:after="0"/>
              <w:rPr>
                <w:sz w:val="20"/>
                <w:szCs w:val="20"/>
                <w:color w:val="auto"/>
              </w:rPr>
            </w:pPr>
            <w:r>
              <w:rPr>
                <w:rFonts w:ascii="Arial" w:cs="Arial" w:eastAsia="Arial" w:hAnsi="Arial"/>
                <w:sz w:val="18"/>
                <w:szCs w:val="18"/>
                <w:i w:val="1"/>
                <w:iCs w:val="1"/>
                <w:color w:val="auto"/>
              </w:rPr>
              <w:t>Market indices:</w:t>
            </w:r>
          </w:p>
        </w:tc>
        <w:tc>
          <w:tcPr>
            <w:tcW w:w="2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91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Lehman Brothers U.S. Aggregate</w:t>
            </w:r>
          </w:p>
        </w:tc>
        <w:tc>
          <w:tcPr>
            <w:tcW w:w="22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S&amp;P 500 Composite Index</w:t>
            </w:r>
          </w:p>
        </w:tc>
        <w:tc>
          <w:tcPr>
            <w:tcW w:w="2220" w:type="dxa"/>
            <w:vAlign w:val="bottom"/>
            <w:gridSpan w:val="2"/>
          </w:tcPr>
          <w:p>
            <w:pPr>
              <w:jc w:val="right"/>
              <w:ind w:right="22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3208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02" w:lineRule="exact"/>
        <w:rPr>
          <w:sz w:val="20"/>
          <w:szCs w:val="20"/>
          <w:color w:val="auto"/>
        </w:rPr>
      </w:pPr>
    </w:p>
    <w:p>
      <w:pPr>
        <w:ind w:left="560" w:hanging="552"/>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investment income, realized and unrealized gains and losses.</w:t>
      </w:r>
    </w:p>
    <w:p>
      <w:pPr>
        <w:spacing w:after="0" w:line="198" w:lineRule="exact"/>
        <w:rPr>
          <w:rFonts w:ascii="Arial" w:cs="Arial" w:eastAsia="Arial" w:hAnsi="Arial"/>
          <w:sz w:val="18"/>
          <w:szCs w:val="18"/>
          <w:color w:val="auto"/>
        </w:rPr>
      </w:pPr>
    </w:p>
    <w:p>
      <w:pPr>
        <w:ind w:left="560" w:hanging="552"/>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Returns on municipal fixed maturities and preferred stocks have tax-equivalent yields of 5.62% and 9.79%, respectively.</w:t>
      </w:r>
    </w:p>
    <w:p>
      <w:pPr>
        <w:spacing w:after="0" w:line="198" w:lineRule="exact"/>
        <w:rPr>
          <w:rFonts w:ascii="Arial" w:cs="Arial" w:eastAsia="Arial" w:hAnsi="Arial"/>
          <w:sz w:val="18"/>
          <w:szCs w:val="18"/>
          <w:color w:val="auto"/>
        </w:rPr>
      </w:pPr>
    </w:p>
    <w:p>
      <w:pPr>
        <w:ind w:left="560" w:hanging="552"/>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Return is gross of fees to external managers.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Private equity and mezzanine debt limited partnerships generated earnings of $ 1.1 million and $.1 million for the three months ended March 31, 2005 and 2004, respectively. There were impairment charges of $.6 million and $.1 million on limited partnerships in the first quarters of 2005 and 2004, respectively, related to private equity limited partnerships.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CONDITION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Investments</w:t>
      </w:r>
    </w:p>
    <w:p>
      <w:pPr>
        <w:spacing w:after="0" w:line="189" w:lineRule="exact"/>
        <w:rPr>
          <w:sz w:val="20"/>
          <w:szCs w:val="20"/>
          <w:color w:val="auto"/>
        </w:rPr>
      </w:pPr>
    </w:p>
    <w:p>
      <w:pPr>
        <w:ind w:right="440"/>
        <w:spacing w:after="0"/>
        <w:rPr>
          <w:sz w:val="20"/>
          <w:szCs w:val="20"/>
          <w:color w:val="auto"/>
        </w:rPr>
      </w:pPr>
      <w:r>
        <w:rPr>
          <w:rFonts w:ascii="Arial" w:cs="Arial" w:eastAsia="Arial" w:hAnsi="Arial"/>
          <w:sz w:val="18"/>
          <w:szCs w:val="18"/>
          <w:color w:val="auto"/>
        </w:rPr>
        <w:t>The Company’s investment strategy takes a long-term perspective emphasizing investment quality, diversification and superior investment returns. Investments are managed on a total return approach that focuses on current income and capital appreciation. The Company’s investment strategy also provides for liquidity to meet the short- and long-term commitments of the Company. At March 31,</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w:t>
      </w:r>
      <w:r>
        <w:rPr>
          <w:rFonts w:ascii="Arial" w:cs="Arial" w:eastAsia="Arial" w:hAnsi="Arial"/>
          <w:sz w:val="18"/>
          <w:szCs w:val="18"/>
          <w:color w:val="auto"/>
        </w:rPr>
        <w:t xml:space="preserve"> (Continued)</w:t>
      </w:r>
    </w:p>
    <w:p>
      <w:pPr>
        <w:spacing w:after="0" w:line="185"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2005, the Company’s investment portfolio of investment-grade bonds and preferred stock, common stock and cash and cash equivalents represents $1.2 billion, or 40.0%, of total assets. These investments provide the liquidity the Company requires to meet the demands on its funds.</w:t>
      </w:r>
    </w:p>
    <w:p>
      <w:pPr>
        <w:spacing w:after="0" w:line="16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Company continually reviews the investment portfolio to evaluate positions that might incur other-than-temporary declines in value. For all investment holdings, general economic conditions and/or conditions specifically affecting the underlying issuer or its industry, including downgrades by the major rating agencies, are considered in evaluating impairment in value. In addition to specific factors, other factors considered in the Company’s review of investment valuation are the length of time the market value is below cost and the amount the market value is below cost.</w:t>
      </w:r>
    </w:p>
    <w:p>
      <w:pPr>
        <w:spacing w:after="0" w:line="162" w:lineRule="exact"/>
        <w:rPr>
          <w:sz w:val="20"/>
          <w:szCs w:val="20"/>
          <w:color w:val="auto"/>
        </w:rPr>
      </w:pPr>
    </w:p>
    <w:p>
      <w:pPr>
        <w:ind w:right="380"/>
        <w:spacing w:after="0" w:line="237" w:lineRule="auto"/>
        <w:rPr>
          <w:sz w:val="20"/>
          <w:szCs w:val="20"/>
          <w:color w:val="auto"/>
        </w:rPr>
      </w:pPr>
      <w:r>
        <w:rPr>
          <w:rFonts w:ascii="Arial" w:cs="Arial" w:eastAsia="Arial" w:hAnsi="Arial"/>
          <w:sz w:val="18"/>
          <w:szCs w:val="18"/>
          <w:color w:val="auto"/>
        </w:rPr>
        <w:t>There is a presumption of impairment for common equity securities and equity limited partnerships when the decline is, in management’s opinion significant and of an extended duration. The Company considers market conditions, industry characteristics and the fundamental operating results of the issuer to determine if sufficient objective evidence exists to refute the presumption of impairment. When the presumption of impairment is confirmed, the Company will recognize an impairment charge to operations. Common stock impairments are included in realized losses in the Consolidated Statements of Operations. For limited partnerships, the impairment charge is included as a component of equity in losses or earnings of limited partnerships in the Consolidated Statements of Operations.</w:t>
      </w:r>
    </w:p>
    <w:p>
      <w:pPr>
        <w:spacing w:after="0" w:line="17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For fixed maturity and preferred stock investments, the Company individually analyzes all positions with emphasis on those that have, in management’s opinion, declined significantly below cost. The Company considers market conditions, industry characteristics and the fundamental operating results of the issuer to determine if the decline is due to changes in interest rates, changes relating to a decline in credit quality, or other issues affecting the investment. A charge is recorded in the Consolidated Statements of Operations for positions that have experienced other-than-temporary impairments due to credit quality or other factors, or for which it is not the intent or ability of the Company to hold the position until recovery has occurred. (See “Analysis of Investment Operations” section).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If the Company’s policy for determining the recognition of impaired positions were different, the Company’s Consolidated Results of Operations could be significantly impacted. Management believes its investment valuation philosophy and accounting practices result in appropriate and timely measurement of value and recognition of impairment.</w:t>
      </w:r>
    </w:p>
    <w:p>
      <w:pPr>
        <w:spacing w:after="0" w:line="16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Company’s investments are subject to certain risks, including interest rate and price risk. The Company’s exposure to interest rates is concentrated in the fixed maturities portfolio. The fixed maturities portfolio comprises 73.9% and 74.2% of invested assets at March 31, 2005 and December 31, 2004, respectively. The Company calculates the duration and convexity of fixed maturities portfolio each month to measure the price sensitivity of the portfolio to interest rate changes. Duration measures the relative sensitivity of the fair value of an investment to changes in interest rates. Convexity measures the rate of change of duration with respect to changes in interest rates. These factors are analyzed monthly to ensure that both the duration and convexity remain in the targeted ranges established by management.</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49" w:right="29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w:t>
      </w:r>
      <w:r>
        <w:rPr>
          <w:rFonts w:ascii="Arial" w:cs="Arial" w:eastAsia="Arial" w:hAnsi="Arial"/>
          <w:sz w:val="18"/>
          <w:szCs w:val="18"/>
          <w:color w:val="auto"/>
        </w:rPr>
        <w:t xml:space="preserve"> (Continued)</w:t>
      </w:r>
    </w:p>
    <w:p>
      <w:pPr>
        <w:spacing w:after="0" w:line="18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Company’s portfolio of marketable equity securities, which is carried on the Consolidated Statements of Financial Position at estimated fair value, has exposure to price risk, the risk of potential loss in estimated fair value resulting from an adverse change in prices. The Company does not hedge its exposure to equity price risk inherent in its equity investments. The Company’s objective is to earn competitive relative returns by investing in a diverse portfolio of high-quality, liquid securities. Portfolio holdings are diversified across industries and among exchange traded mid- to large-cap stocks. The Company measures risk by comparing the performance of the marketable equity portfolio to benchmark returns such as the S&amp;P 500.</w:t>
      </w:r>
    </w:p>
    <w:p>
      <w:pPr>
        <w:spacing w:after="0" w:line="165"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Company’s portfolio of limited partnership investments has exposure to market risks, primarily relating to the financial performance of the various entities in which they invested. The limited partnership portfolio comprises 10.0% and 9.9% of invested assets at March 31, 2005 and December 31, 2004, respectively. These investments consist primarily of equity investments in small and medium-sized companies and in real estate. The Company achieves diversification within the limited partnership portfolio by investing in approximately 75 partnerships that have approximately 1,475 distinct investments. The Company reviews at least quarterly the limited partnership investments by sector, geography and vintage year. These limited partnership investments are diversified to avoid concentration in a particular industry. The Company performs extensive research prior to investment in these partnerships.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Property/casualty loss reserves</w:t>
      </w:r>
    </w:p>
    <w:p>
      <w:pPr>
        <w:spacing w:after="0" w:line="203"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Loss reserves are established to account for the estimated ultimate costs of loss and loss adjustment expenses for claims that have been reported but not yet settled and claims that have been incurred but not reported.</w:t>
      </w:r>
    </w:p>
    <w:p>
      <w:pPr>
        <w:spacing w:after="0" w:line="15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Multiple actuarial methods are used in estimating unpaid loss and loss adjustment expense liabilities. Each methodology utilizes unique assumptions and variables. A range of reasonable estimates is developed utilizing these methods for each product line or product coverage analyzed. The presence or absence and magnitude of underlying variables, their interaction, and their recognition in estimation methods will cause the width of the range to vary for different product segments and over time for the same product segment. The final estimate recorded by management is a function of detailed analyses of historical trends adjusted as new emerging data indicates.</w:t>
      </w:r>
    </w:p>
    <w:p>
      <w:pPr>
        <w:spacing w:after="0" w:line="162"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The factors which may potentially cause the greatest variation between current reserve estimates and the actual future paid amounts are: unforeseen changes in statutory or case law altering the amounts to be paid on existing claim obligations, new medical procedures and/or drugs whose cost is significantly different from that seen in the past, and claims patterns on current business that differ significantly from historical claims patterns.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w:t>
      </w:r>
      <w:r>
        <w:rPr>
          <w:rFonts w:ascii="Arial" w:cs="Arial" w:eastAsia="Arial" w:hAnsi="Arial"/>
          <w:sz w:val="18"/>
          <w:szCs w:val="18"/>
          <w:color w:val="auto"/>
        </w:rPr>
        <w:t xml:space="preserve"> (Continued)</w:t>
      </w:r>
    </w:p>
    <w:p>
      <w:pPr>
        <w:spacing w:after="0" w:line="185"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Loss and loss adjustment expense reserves are presented on the Company’s Statements of Financial Position on a gross basis for EIC, ENY, and EPC, the property/casualty insurance subsidiaries of the Company that wrote about 17% of the direct property/casualty premiums of the Property and Casualty Group. Under the terms of the Property and Casualty Group’s quota share and intercompany pooling arrangement, a significant portion of these reserve liabilities are recoverable. Recoverable amounts are reflected as an asset on the Company’s Statements of Financial Position. The direct and assumed loss and loss adjustment expense reserves by major line of business and the related amount recoverable under the intercompany pooling arrangement and excess-of-loss reinsurance agreement are presented below:</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Loss and Loss Adjustment Expense Reserve:</w:t>
      </w:r>
    </w:p>
    <w:p>
      <w:pPr>
        <w:spacing w:after="0" w:line="379"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gridSpan w:val="2"/>
          </w:tcPr>
          <w:p>
            <w:pPr>
              <w:ind w:left="60"/>
              <w:spacing w:after="0"/>
              <w:rPr>
                <w:sz w:val="20"/>
                <w:szCs w:val="20"/>
                <w:color w:val="auto"/>
              </w:rPr>
            </w:pPr>
            <w:r>
              <w:rPr>
                <w:rFonts w:ascii="Arial" w:cs="Arial" w:eastAsia="Arial" w:hAnsi="Arial"/>
                <w:sz w:val="14"/>
                <w:szCs w:val="14"/>
                <w:color w:val="auto"/>
              </w:rPr>
              <w:t>As of</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March 31,</w:t>
            </w:r>
          </w:p>
        </w:tc>
        <w:tc>
          <w:tcPr>
            <w:tcW w:w="1300" w:type="dxa"/>
            <w:vAlign w:val="bottom"/>
            <w:gridSpan w:val="4"/>
          </w:tcPr>
          <w:p>
            <w:pPr>
              <w:ind w:left="320"/>
              <w:spacing w:after="0"/>
              <w:rPr>
                <w:sz w:val="20"/>
                <w:szCs w:val="20"/>
                <w:color w:val="auto"/>
              </w:rPr>
            </w:pPr>
            <w:r>
              <w:rPr>
                <w:rFonts w:ascii="Arial" w:cs="Arial" w:eastAsia="Arial" w:hAnsi="Arial"/>
                <w:sz w:val="14"/>
                <w:szCs w:val="14"/>
                <w:color w:val="auto"/>
              </w:rPr>
              <w:t>December 31,</w:t>
            </w:r>
          </w:p>
        </w:tc>
      </w:tr>
      <w:tr>
        <w:trPr>
          <w:trHeight w:val="157"/>
        </w:trPr>
        <w:tc>
          <w:tcPr>
            <w:tcW w:w="7060" w:type="dxa"/>
            <w:vAlign w:val="bottom"/>
            <w:gridSpan w:val="2"/>
          </w:tcPr>
          <w:p>
            <w:pPr>
              <w:spacing w:after="0" w:line="157" w:lineRule="exact"/>
              <w:rPr>
                <w:sz w:val="20"/>
                <w:szCs w:val="20"/>
                <w:color w:val="auto"/>
              </w:rPr>
            </w:pPr>
            <w:r>
              <w:rPr>
                <w:rFonts w:ascii="Arial" w:cs="Arial" w:eastAsia="Arial" w:hAnsi="Arial"/>
                <w:sz w:val="14"/>
                <w:szCs w:val="14"/>
                <w:color w:val="auto"/>
              </w:rPr>
              <w:t>(in thousands)</w:t>
            </w:r>
          </w:p>
        </w:tc>
        <w:tc>
          <w:tcPr>
            <w:tcW w:w="780" w:type="dxa"/>
            <w:vAlign w:val="bottom"/>
            <w:tcBorders>
              <w:bottom w:val="single" w:sz="8" w:color="auto"/>
            </w:tcBorders>
          </w:tcPr>
          <w:p>
            <w:pPr>
              <w:jc w:val="right"/>
              <w:ind w:right="152"/>
              <w:spacing w:after="0" w:line="157" w:lineRule="exact"/>
              <w:rPr>
                <w:sz w:val="20"/>
                <w:szCs w:val="20"/>
                <w:color w:val="auto"/>
              </w:rPr>
            </w:pPr>
            <w:r>
              <w:rPr>
                <w:rFonts w:ascii="Arial" w:cs="Arial" w:eastAsia="Arial" w:hAnsi="Arial"/>
                <w:sz w:val="14"/>
                <w:szCs w:val="14"/>
                <w:color w:val="auto"/>
              </w:rPr>
              <w:t>2005</w:t>
            </w:r>
          </w:p>
        </w:tc>
        <w:tc>
          <w:tcPr>
            <w:tcW w:w="3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91"/>
              <w:spacing w:after="0" w:line="157" w:lineRule="exact"/>
              <w:rPr>
                <w:sz w:val="20"/>
                <w:szCs w:val="20"/>
                <w:color w:val="auto"/>
              </w:rPr>
            </w:pPr>
            <w:r>
              <w:rPr>
                <w:rFonts w:ascii="Arial" w:cs="Arial" w:eastAsia="Arial" w:hAnsi="Arial"/>
                <w:sz w:val="14"/>
                <w:szCs w:val="14"/>
                <w:color w:val="auto"/>
              </w:rPr>
              <w:t>2004</w:t>
            </w:r>
          </w:p>
        </w:tc>
        <w:tc>
          <w:tcPr>
            <w:tcW w:w="80" w:type="dxa"/>
            <w:vAlign w:val="bottom"/>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7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reserve liability</w:t>
            </w: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040" w:type="dxa"/>
            <w:vAlign w:val="bottom"/>
          </w:tcPr>
          <w:p>
            <w:pPr>
              <w:ind w:left="200"/>
              <w:spacing w:after="0" w:line="202" w:lineRule="exact"/>
              <w:rPr>
                <w:sz w:val="20"/>
                <w:szCs w:val="20"/>
                <w:color w:val="auto"/>
              </w:rPr>
            </w:pPr>
            <w:r>
              <w:rPr>
                <w:rFonts w:ascii="Arial" w:cs="Arial" w:eastAsia="Arial" w:hAnsi="Arial"/>
                <w:sz w:val="18"/>
                <w:szCs w:val="18"/>
                <w:color w:val="auto"/>
              </w:rPr>
              <w:t>Personal:</w:t>
            </w: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04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Private passenger auto</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$396,653</w:t>
            </w:r>
          </w:p>
        </w:tc>
        <w:tc>
          <w:tcPr>
            <w:tcW w:w="50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400,609</w:t>
            </w:r>
          </w:p>
        </w:tc>
        <w:tc>
          <w:tcPr>
            <w:tcW w:w="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040" w:type="dxa"/>
            <w:vAlign w:val="bottom"/>
          </w:tcPr>
          <w:p>
            <w:pPr>
              <w:ind w:left="400"/>
              <w:spacing w:after="0" w:line="202" w:lineRule="exact"/>
              <w:rPr>
                <w:sz w:val="20"/>
                <w:szCs w:val="20"/>
                <w:color w:val="auto"/>
              </w:rPr>
            </w:pPr>
            <w:r>
              <w:rPr>
                <w:rFonts w:ascii="Arial" w:cs="Arial" w:eastAsia="Arial" w:hAnsi="Arial"/>
                <w:sz w:val="18"/>
                <w:szCs w:val="18"/>
                <w:color w:val="auto"/>
              </w:rPr>
              <w:t>Catastrophic injury</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85,252</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86,239</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04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Homeowners</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23,030</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22,798</w:t>
            </w:r>
          </w:p>
        </w:tc>
        <w:tc>
          <w:tcPr>
            <w:tcW w:w="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040" w:type="dxa"/>
            <w:vAlign w:val="bottom"/>
          </w:tcPr>
          <w:p>
            <w:pPr>
              <w:ind w:left="400"/>
              <w:spacing w:after="0" w:line="202" w:lineRule="exact"/>
              <w:rPr>
                <w:sz w:val="20"/>
                <w:szCs w:val="20"/>
                <w:color w:val="auto"/>
              </w:rPr>
            </w:pPr>
            <w:r>
              <w:rPr>
                <w:rFonts w:ascii="Arial" w:cs="Arial" w:eastAsia="Arial" w:hAnsi="Arial"/>
                <w:sz w:val="18"/>
                <w:szCs w:val="18"/>
                <w:color w:val="auto"/>
              </w:rPr>
              <w:t>Other personal</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6,771</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6,322</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0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Commercial:</w:t>
            </w: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040" w:type="dxa"/>
            <w:vAlign w:val="bottom"/>
          </w:tcPr>
          <w:p>
            <w:pPr>
              <w:ind w:left="400"/>
              <w:spacing w:after="0" w:line="202" w:lineRule="exact"/>
              <w:rPr>
                <w:sz w:val="20"/>
                <w:szCs w:val="20"/>
                <w:color w:val="auto"/>
              </w:rPr>
            </w:pPr>
            <w:r>
              <w:rPr>
                <w:rFonts w:ascii="Arial" w:cs="Arial" w:eastAsia="Arial" w:hAnsi="Arial"/>
                <w:sz w:val="18"/>
                <w:szCs w:val="18"/>
                <w:color w:val="auto"/>
              </w:rPr>
              <w:t>Workers’ compensation</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216,396</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216,808</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04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Commercial auto</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80,521</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78,646</w:t>
            </w:r>
          </w:p>
        </w:tc>
        <w:tc>
          <w:tcPr>
            <w:tcW w:w="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040" w:type="dxa"/>
            <w:vAlign w:val="bottom"/>
          </w:tcPr>
          <w:p>
            <w:pPr>
              <w:ind w:left="400"/>
              <w:spacing w:after="0" w:line="202" w:lineRule="exact"/>
              <w:rPr>
                <w:sz w:val="20"/>
                <w:szCs w:val="20"/>
                <w:color w:val="auto"/>
              </w:rPr>
            </w:pPr>
            <w:r>
              <w:rPr>
                <w:rFonts w:ascii="Arial" w:cs="Arial" w:eastAsia="Arial" w:hAnsi="Arial"/>
                <w:sz w:val="18"/>
                <w:szCs w:val="18"/>
                <w:color w:val="auto"/>
              </w:rPr>
              <w:t>Commercial multi-peril</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63,396</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63,118</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04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Catastrophic injury</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419</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454</w:t>
            </w:r>
          </w:p>
        </w:tc>
        <w:tc>
          <w:tcPr>
            <w:tcW w:w="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040" w:type="dxa"/>
            <w:vAlign w:val="bottom"/>
          </w:tcPr>
          <w:p>
            <w:pPr>
              <w:ind w:left="400"/>
              <w:spacing w:after="0" w:line="202" w:lineRule="exact"/>
              <w:rPr>
                <w:sz w:val="20"/>
                <w:szCs w:val="20"/>
                <w:color w:val="auto"/>
              </w:rPr>
            </w:pPr>
            <w:r>
              <w:rPr>
                <w:rFonts w:ascii="Arial" w:cs="Arial" w:eastAsia="Arial" w:hAnsi="Arial"/>
                <w:sz w:val="18"/>
                <w:szCs w:val="18"/>
                <w:color w:val="auto"/>
              </w:rPr>
              <w:t>Other commercial</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16,252</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15,288</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04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Reinsurance</w:t>
            </w: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53,896</w:t>
            </w:r>
          </w:p>
        </w:tc>
        <w:tc>
          <w:tcPr>
            <w:tcW w:w="3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52,752</w:t>
            </w:r>
          </w:p>
        </w:tc>
        <w:tc>
          <w:tcPr>
            <w:tcW w:w="80" w:type="dxa"/>
            <w:vAlign w:val="bottom"/>
            <w:shd w:val="clear" w:color="auto" w:fill="CCEEFF"/>
          </w:tcPr>
          <w:p>
            <w:pPr>
              <w:spacing w:after="0"/>
              <w:rPr>
                <w:sz w:val="17"/>
                <w:szCs w:val="17"/>
                <w:color w:val="auto"/>
              </w:rPr>
            </w:pPr>
          </w:p>
        </w:tc>
      </w:tr>
      <w:tr>
        <w:trPr>
          <w:trHeight w:val="210"/>
        </w:trPr>
        <w:tc>
          <w:tcPr>
            <w:tcW w:w="7060" w:type="dxa"/>
            <w:vAlign w:val="bottom"/>
            <w:gridSpan w:val="2"/>
          </w:tcPr>
          <w:p>
            <w:pPr>
              <w:spacing w:after="0"/>
              <w:rPr>
                <w:sz w:val="20"/>
                <w:szCs w:val="20"/>
                <w:color w:val="auto"/>
              </w:rPr>
            </w:pPr>
            <w:r>
              <w:rPr>
                <w:rFonts w:ascii="Arial" w:cs="Arial" w:eastAsia="Arial" w:hAnsi="Arial"/>
                <w:sz w:val="18"/>
                <w:szCs w:val="18"/>
                <w:color w:val="auto"/>
              </w:rPr>
              <w:t>Gross reserves</w:t>
            </w:r>
          </w:p>
        </w:tc>
        <w:tc>
          <w:tcPr>
            <w:tcW w:w="780" w:type="dxa"/>
            <w:vAlign w:val="bottom"/>
          </w:tcPr>
          <w:p>
            <w:pPr>
              <w:jc w:val="right"/>
              <w:spacing w:after="0"/>
              <w:rPr>
                <w:sz w:val="20"/>
                <w:szCs w:val="20"/>
                <w:color w:val="auto"/>
              </w:rPr>
            </w:pPr>
            <w:r>
              <w:rPr>
                <w:rFonts w:ascii="Arial" w:cs="Arial" w:eastAsia="Arial" w:hAnsi="Arial"/>
                <w:sz w:val="18"/>
                <w:szCs w:val="18"/>
                <w:color w:val="auto"/>
              </w:rPr>
              <w:t>942,586</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943,034</w:t>
            </w:r>
          </w:p>
        </w:tc>
        <w:tc>
          <w:tcPr>
            <w:tcW w:w="8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Reinsurance recoverables</w:t>
            </w: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762,272</w:t>
            </w:r>
          </w:p>
        </w:tc>
        <w:tc>
          <w:tcPr>
            <w:tcW w:w="3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765,563</w:t>
            </w:r>
          </w:p>
        </w:tc>
        <w:tc>
          <w:tcPr>
            <w:tcW w:w="80" w:type="dxa"/>
            <w:vAlign w:val="bottom"/>
            <w:shd w:val="clear" w:color="auto" w:fill="CCEEFF"/>
          </w:tcPr>
          <w:p>
            <w:pPr>
              <w:spacing w:after="0"/>
              <w:rPr>
                <w:sz w:val="17"/>
                <w:szCs w:val="17"/>
                <w:color w:val="auto"/>
              </w:rPr>
            </w:pPr>
          </w:p>
        </w:tc>
      </w:tr>
      <w:tr>
        <w:trPr>
          <w:trHeight w:val="210"/>
        </w:trPr>
        <w:tc>
          <w:tcPr>
            <w:tcW w:w="7060" w:type="dxa"/>
            <w:vAlign w:val="bottom"/>
            <w:gridSpan w:val="2"/>
          </w:tcPr>
          <w:p>
            <w:pPr>
              <w:spacing w:after="0"/>
              <w:rPr>
                <w:sz w:val="20"/>
                <w:szCs w:val="20"/>
                <w:color w:val="auto"/>
              </w:rPr>
            </w:pPr>
            <w:r>
              <w:rPr>
                <w:rFonts w:ascii="Arial" w:cs="Arial" w:eastAsia="Arial" w:hAnsi="Arial"/>
                <w:sz w:val="18"/>
                <w:szCs w:val="18"/>
                <w:color w:val="auto"/>
              </w:rPr>
              <w:t>Net reserve liability</w:t>
            </w:r>
          </w:p>
        </w:tc>
        <w:tc>
          <w:tcPr>
            <w:tcW w:w="780" w:type="dxa"/>
            <w:vAlign w:val="bottom"/>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180,314</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177,471</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As discussed previously, loss and loss adjustment expense reserves are developed using multiple estimation methods that result in a range of estimates for each product coverage group. The estimate recorded is a function of detailed analysis of historical trends and management expectations of future events and trends. The product coverage that has the greatest potential for variation is the automobile catastrophic injury liability reserve. The range of reasonable estimates, on a net basis, for the automobile catastrophic injury liability reserve, for both personal and commercial is from $143 million to $344 million for the Property and Casualty Group. The reserve carried by the Property and Casualty Group at March 31, 2005 was $202 million, which is management’s best estimate of liability. The Company’s property/casualty subsidiaries share of the net automobile catastrophic injury liability reserve is $11 million at March 31, 2005.</w:t>
      </w:r>
    </w:p>
    <w:p>
      <w:pPr>
        <w:spacing w:after="0" w:line="163"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 potential variability in these reserves can be primarily attributed to automobile no-fault claims incurred prior to 1986. The automobile no-fault law in Pennsylvania at that time provided for unlimited medical benefits. There are currently 392 claimants requiring lifetime medical care of which 79 involve catastrophic injuries. The estimation of ultimate liabilities for these claims is subject to significant judgment due to assumptions that must be made for mortality rates, medical inflation costs, changes in medical technologies and variations in claimant health over time.</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9" w:right="27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w:t>
      </w:r>
      <w:r>
        <w:rPr>
          <w:rFonts w:ascii="Arial" w:cs="Arial" w:eastAsia="Arial" w:hAnsi="Arial"/>
          <w:sz w:val="18"/>
          <w:szCs w:val="18"/>
          <w:color w:val="auto"/>
        </w:rPr>
        <w:t xml:space="preserve"> (Continued)</w:t>
      </w:r>
    </w:p>
    <w:p>
      <w:pPr>
        <w:spacing w:after="0" w:line="185"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It is anticipated that these automobile no-fault claims will require payments over approximately the next 40 years. The impact of medical cost inflation in future years is a significant variable in estimating this liability over 40 years. A 100-basis point change in the medical cost inflation assumption would result in a change in net liability for the Company of $2 million. Claimants’ future life expectancy is another significant variable. The life expectancy assumption underlying the estimate reflects experience to date. Actual experience, different than that assumed, could have a significant impact on the reserve estimate.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At March 31, 2005, the Property and Casualty Group’s estimated total loss exposure related to the events of September 11th remained at</w:t>
      </w:r>
    </w:p>
    <w:p>
      <w:pPr>
        <w:spacing w:after="0" w:line="236" w:lineRule="auto"/>
        <w:rPr>
          <w:sz w:val="20"/>
          <w:szCs w:val="20"/>
          <w:color w:val="auto"/>
        </w:rPr>
      </w:pPr>
      <w:r>
        <w:rPr>
          <w:rFonts w:ascii="Arial" w:cs="Arial" w:eastAsia="Arial" w:hAnsi="Arial"/>
          <w:sz w:val="18"/>
          <w:szCs w:val="18"/>
          <w:color w:val="auto"/>
        </w:rPr>
        <w:t>$150 million. At March 31, 2005, paid claims and case reserves on reported claims total $ 79.2 million, with an additional exposure to adverse development of $70.8 million if every claim ultimately develops into the full layer limit loss. The estimate of assumed loss and loss adjustment expense reserves was derived from thoroughly reviewing all outstanding reinsurance contracts for potential exposure. However, estimation of ultimate liabilities for these claims is difficult due to uncertainties regarding delays in claim investigation, lengthy emergence periods for claims such as respiratory disorders, and coverage disputes with respect to the number of events. The most critical factor in the estimation of these losses is whether the destruction of the World Trade Center Towers will be considered a single event or two separate events. The Company believes the current reserves should be sufficient to absorb the potential development that may occur should the destruction of the World Trade Center Towers be considered two separate events. No losses were recognized by the Company’s property/casualty insurance subsidiaries in 2005 or 2004 related to the World Trade Center attack.</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Financial Ratings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Insurance companies are rated by rating agencies to provide insurance consumers and investors with meaningful information on the rated companies. Higher ratings generally indicate financial stability and a stronger ability to pay claims. The ratings are generally based upon factors relevant to policyholders and are not directed toward return to investors.</w:t>
      </w:r>
    </w:p>
    <w:p>
      <w:pPr>
        <w:spacing w:after="0" w:line="162"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Each member of the Property and Casualty Group has a rating from A.M. Best of A+ (“Superior”, the second highest A.M. Best rating). The A+ rating places the members of the Property and Casualty Group in the top 10% of approximately 3,000 property/casualty insurers rated and represents a superior ability to meet ongoing obligations to policyholders. Each member of the Property and Casualty Group also has a rating of Api (“strong”) from Standard &amp; Poors. A rating of “A” means that the insurer has strong financial security characteristics. The subscript “pi” means the rating was based on publicly available information.</w:t>
      </w:r>
    </w:p>
    <w:p>
      <w:pPr>
        <w:spacing w:after="0" w:line="162"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Members of the Property and Casualty Group are also rated by Weiss Ratings, Inc., which is a consumer-oriented rating company that issues ratings designed to provide an independent opinion of an insurance company’s financial strength. During the first quarter 2005, the Erie Insurance Exchange was upgraded to a B (Good) rating based upon the Company’s third quarter 2004 financial results and the remaining members of the Property and Casualty Group maintain B (Good) ratings. Management believes that financial ratings are among many important factors in marketing the Property and Casualty Group’s products to its agents and customers.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38" w:name="page39"/>
    <w:bookmarkEnd w:id="38"/>
    <w:p>
      <w:pPr>
        <w:ind w:right="620"/>
        <w:spacing w:after="0" w:line="446" w:lineRule="auto"/>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w:t>
      </w:r>
      <w:r>
        <w:rPr>
          <w:rFonts w:ascii="Arial" w:cs="Arial" w:eastAsia="Arial" w:hAnsi="Arial"/>
          <w:sz w:val="18"/>
          <w:szCs w:val="18"/>
          <w:color w:val="auto"/>
        </w:rPr>
        <w:t xml:space="preserve"> (Continued) </w:t>
      </w:r>
      <w:r>
        <w:rPr>
          <w:rFonts w:ascii="Arial" w:cs="Arial" w:eastAsia="Arial" w:hAnsi="Arial"/>
          <w:sz w:val="18"/>
          <w:szCs w:val="18"/>
          <w:u w:val="single" w:color="auto"/>
          <w:color w:val="auto"/>
        </w:rPr>
        <w:t>LIQUIDITY AND CAPITAL RESOURCES</w:t>
      </w:r>
    </w:p>
    <w:p>
      <w:pPr>
        <w:spacing w:after="0" w:line="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Liquidity is a measure of an entity’s ability to secure enough cash to meet its contractual obligations and operating needs. The Company’s major sources of funds from operations are the net cash flow generated from the Company’s management operations, the net cash flow from EIC’s and EINY’s 5.5% participation in the underwriting results of the reinsurance pool with the Exchange, and investment income from affiliated and non-affiliated investments. With respect to the management fee, funds are generally received from the Exchange on a premiums collected basis. The Company has a receivable from the Exchange and affiliates related to the management fee receivable from premiums written, but not yet collected, as well as the management fee receivable on premiums collected in the current month. The Company pays nearly all general and administrative expenses on behalf of the Exchange and other affiliated companies. The Exchange generally reimburses the Company for these expenses on a paid basis each month.</w:t>
      </w:r>
    </w:p>
    <w:p>
      <w:pPr>
        <w:spacing w:after="0" w:line="16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Management fee and other cash settlements due from the Exchange were $185.6 million at March 31, 2005, and $207.2 million at December 31, 2004. A receivable from EFL for cash settlements totaled $4.7 million at March 31, 2005, compared to $4.3 million at December 31, 2004. The receivable due from the Exchange for reinsurance recoverable from unpaid loss and loss adjustment expenses and unearned premium balances ceded to the intercompany reinsurance pool decreased less than 1% to $893.6 million at March 31, 2005 from $893.8 million at December 31, 2004. The changes are the result of corresponding changes in direct loss reserves, loss adjustment expense reserves and unearned premium reserves of the Company’s property/casualty insurance subsidiaries that are ceded to the Exchange under the intercompany pooling agreement. The change in the property/casualty insurance subsidiaries reserves ceded to the Exchange is a result of a corresponding increase or decrease in direct premium written by the Company’s property/casualty insurance subsidiaries. Direct written premium of the property/casualty insurance subsidiaries decreased 1.0% in the first quarter of 2005 compared to a 4.9% increase in the first quarter of 2004.</w:t>
      </w:r>
    </w:p>
    <w:p>
      <w:pPr>
        <w:spacing w:after="0" w:line="18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Cash outflows are variable because settlement dates for claim payments vary and cannot be predicted with absolute certainty. While volatility in claims payments could be significant for the Property and Casualty Group, the effect on the Company of this volatility is mitigated by the intercompany reinsurance pooling arrangement. The exposure for large loss payments is also mitigated by the Company’s excess-of-loss reinsurance agreement with the Exchange. The cash flow requirements for claims have not historically been significant to the Company’s liquidity. Historically, about 50% of losses and loss adjustment expenses included in the reserve are paid out in the subsequent 12-month period and approximately 89% is paid out within a five year period. Such payments are reduced by recoveries under the intercompany reinsurance pooling agreement.</w:t>
      </w:r>
    </w:p>
    <w:p>
      <w:pPr>
        <w:spacing w:after="0" w:line="163"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The Company has historically generated sufficient net positive cash flow from its operations to fund its commitments and build the investment portfolio. The Company also maintains a high degree of liquidity in its investment portfolio in the form of readily marketable fixed maturities, equity securities and short-term investments. Net cash flows provided by operating activities were $62.5 million and $44.6 million for the three months ended March 31, 2005 and 2004, respectively.</w:t>
      </w:r>
    </w:p>
    <w:p>
      <w:pPr>
        <w:spacing w:after="0" w:line="161"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Cash paid in the first quarter of 2005 for agent bonuses was $ 46.4 million. As $46.0 million was accrued for agent bonuses in 2004, the Company’s income reflected the $.4 million change in the first quarter of 2005. There were no contributions to the employee pension plan in the first quarter of 2005 compared to a $7.6 million contribution in the first quarter of 2004. The Company has met its minimum pension funding requirements and does not intend on making a contribution to its employee pension plan in 2005.</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w:t>
      </w:r>
      <w:r>
        <w:rPr>
          <w:rFonts w:ascii="Arial" w:cs="Arial" w:eastAsia="Arial" w:hAnsi="Arial"/>
          <w:sz w:val="18"/>
          <w:szCs w:val="18"/>
          <w:color w:val="auto"/>
        </w:rPr>
        <w:t xml:space="preserve"> (Continued)</w:t>
      </w:r>
    </w:p>
    <w:p>
      <w:pPr>
        <w:spacing w:after="0" w:line="185"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Proceeds from the sales of equity securities totaled $40.9 million and $5.0 million in the first quarters of 2005 and 2004, respectively. The Company has liquidated certain of its internally managed equity securities to allow the external investment managers to manage the portfolio. Purchases of equity securities were $50.8 million and $5.2 million in the first quarters of 2005 and 2004, respectively. The first quarter 2005 activity represents the external investment managers building the equity securities portfolio.</w:t>
      </w:r>
    </w:p>
    <w:p>
      <w:pPr>
        <w:spacing w:after="0" w:line="161"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Dividends paid to shareholders for the three months ended March 31, 2005 and 2004, totaled $20.6 million and $13.9 million, respectively. As part of its capital management activities in 2004, the Company increased its quarterly shareholder dividends for 2005 by 51% on both its Class A and Class B common stock. The annualized dividends will increase the Company’s 2005 payout by approximately $28 million from the prior dividend level. There are no regulatory restrictions on the payment of dividends to the Company’s shareholders, although there are state law restrictions on the payment of dividends from the Company’s insurance subsidiaries to the Company.</w:t>
      </w:r>
    </w:p>
    <w:p>
      <w:pPr>
        <w:spacing w:after="0" w:line="162"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During the first quarter of 2005, the Company repurchased 285,428 shares of its outstanding Class A common stock in conjunction with the stock repurchase plan that was authorized in December 2003. The shares were purchased at a total cost of $14.6 million, or an average price per share of $51.21. (See table at Part II. Item 2., Issuer Repurchases of Equity Securities.) The plan allows the Company to repurchase up to $250 million of its outstanding Class A common stock through December 31, 2006.</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FACTORS THAT MAY AFFECT FUTURE RESULTS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Financial Condition of the Exchange</w:t>
      </w:r>
    </w:p>
    <w:p>
      <w:pPr>
        <w:spacing w:after="0" w:line="189"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Company has a direct interest in the financial condition of the Exchange because management fee revenues are based on the direct written premiums of the Exchange and the other members of the Property and Casualty Group. Additionally, the Company participates in the underwriting results of the Exchange through the pooling arrangement in which the Company’s insurance subsidiaries have 5.5% participation. The Company’s property/casualty insurance subsidiaries have in effect an all-lines aggregate excess-of-loss reinsurance agreement with the Exchange to reduce potential exposure to catastrophe losses and variations in underwriting results. Additionally, a concentration of credit risk exists related to the unsecured receivables due from the Exchange for certain fees, costs and reimbursements.</w:t>
      </w:r>
    </w:p>
    <w:p>
      <w:pPr>
        <w:spacing w:after="0" w:line="178"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To the extent that the Exchange incurs underwriting losses or investment losses resulting from declines in the value of its marketable securities, the Exchange’s policyholders’ surplus would be adversely affected. If the surplus of the Exchange were to decline significantly from its current level, the Property and Casualty Group could find it more difficult to retain its existing business and attract new business. A decline in the business of the Property and Casualty Group would have an adverse effect on the amount of the management fees the Company receives and the underwriting results of the Property and Casualty Group in which the Company has 5.5% participation. In addition, a decline in the surplus of the Exchange from its current level would make it more likely that the management fee rate would be reduced. Additional information, including condensed statutory financial statements of the Exchange, are presented in Note 11 to the Consolidated Financial Statements.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40" w:name="page41"/>
    <w:bookmarkEnd w:id="40"/>
    <w:p>
      <w:pPr>
        <w:ind w:right="600"/>
        <w:spacing w:after="0" w:line="446" w:lineRule="auto"/>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w:t>
      </w:r>
      <w:r>
        <w:rPr>
          <w:rFonts w:ascii="Arial" w:cs="Arial" w:eastAsia="Arial" w:hAnsi="Arial"/>
          <w:sz w:val="18"/>
          <w:szCs w:val="18"/>
          <w:color w:val="auto"/>
        </w:rPr>
        <w:t xml:space="preserve"> (Continued) </w:t>
      </w:r>
      <w:r>
        <w:rPr>
          <w:rFonts w:ascii="Arial" w:cs="Arial" w:eastAsia="Arial" w:hAnsi="Arial"/>
          <w:sz w:val="18"/>
          <w:szCs w:val="18"/>
          <w:i w:val="1"/>
          <w:iCs w:val="1"/>
          <w:u w:val="single" w:color="auto"/>
          <w:color w:val="auto"/>
        </w:rPr>
        <w:t>Insurance Premium Rate Increases</w:t>
      </w:r>
    </w:p>
    <w:p>
      <w:pPr>
        <w:spacing w:after="0" w:line="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premium growth attributable to rate increases of the Property and Casualty Group directly affects underwriting profitability of the Property and Casualty Group and the Exchange. In recent years, prices for commercial and personal lines insurance have increased considerably in the industry. The property/casualty insurers of the Property and Casualty Group also increased prices considerably during 2003 and into 2004. Pricing actions contemplated or taken by the Property and Casualty Group are subject to various regulatory requirements of the states in which these insurers operate. The pricing actions already implemented, or to be implemented through 2005, will also have an effect on the market competitiveness of the Property and Casualty Group’s insurance products. Such pricing actions, and those of our competitors, could affect the ability of our agents to sell and/or renew business.</w:t>
      </w:r>
    </w:p>
    <w:p>
      <w:pPr>
        <w:spacing w:after="0" w:line="16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Rate increases filed by the Property and Casualty Group for certain lines of business in various states were sought to offset growing loss costs in those lines in 2003 and 2004. While these levels of rate increases are not expected to increase, the first three months of 2005 included some of the impact of these rate changes becoming effective. The rate increases accounted for approximately $26 million in increased written premiums. The total impact in 2005 of pricing actions approved, filed, awaiting approval or contemplated through March 31, 2005, is anticipated to result in a net decrease in written premiums of $4.8 million. The majority of the rate decreases stem from the private passenger auto and the homeowners lines of business in Pennsylvania. Pricing actions anticipated in 2005 are a result of the recent improvements in underwriting results. A return to more stable rates should allow the Property and Casualty Group to be more competitive with other insurers and is anticipated to increase the Property and Casualty Group’s ability to attract new policyholders and to retain existing policyholders.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Insurance Scoring</w:t>
      </w:r>
    </w:p>
    <w:p>
      <w:pPr>
        <w:spacing w:after="0" w:line="189" w:lineRule="exact"/>
        <w:rPr>
          <w:sz w:val="20"/>
          <w:szCs w:val="20"/>
          <w:color w:val="auto"/>
        </w:rPr>
      </w:pPr>
    </w:p>
    <w:p>
      <w:pPr>
        <w:ind w:right="380"/>
        <w:spacing w:after="0" w:line="238" w:lineRule="auto"/>
        <w:rPr>
          <w:sz w:val="20"/>
          <w:szCs w:val="20"/>
          <w:color w:val="auto"/>
        </w:rPr>
      </w:pPr>
      <w:r>
        <w:rPr>
          <w:rFonts w:ascii="Arial" w:cs="Arial" w:eastAsia="Arial" w:hAnsi="Arial"/>
          <w:sz w:val="18"/>
          <w:szCs w:val="18"/>
          <w:color w:val="auto"/>
        </w:rPr>
        <w:t>The Property and Casualty Group continues developing its comprehensive rating plan for private passenger auto and homeowners lines of business. The rating plan includes significantly more rating tiers, providing the Company greater flexibility in pricing policies with varying degrees of risk. Insurance scoring is among the most significant risk factors the Company has recently incorporated into the rating plan. Expanded pricing segmentation, incorporating insurance scoring, should enable the Company to provide more competitive rates to policyholders with varying risk characteristics as risks can be more accurately priced.</w:t>
      </w:r>
    </w:p>
    <w:p>
      <w:pPr>
        <w:spacing w:after="0" w:line="162"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Implementing and refining insurance scoring could impact retention of existing policyholders and could affect the Property and Casualty Group's ability to attract new policyholders. Introduction of variables such as credit worthiness could potentially disrupt the relationships with policyholders insured by the Property and Casualty Group. The extent of this impact cannot be determined.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Catastrophe Losses</w:t>
      </w:r>
    </w:p>
    <w:p>
      <w:pPr>
        <w:spacing w:after="0" w:line="18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Property and Casualty Group conducts business in 11 states and the District of Columbia, primarily in the mid-Atlantic, midwestern and southeastern portions of the United States. A substantial portion of the business is private passenger and commercial automobile, homeowners and workers’ compensation insurance in Ohio, Maryland, Virginia and particularly, Pennsylvania. As a result, a single catastrophe occurrence or destructive weather pattern could materially adversely affect the results of operations and surplus position of the members of the Property and Casualty Group. Common catastrophe events include hurricanes, earthquakes, tornadoes, wind and hail storms, winter freeze, fires and explosions. The Property and Casualty Group maintains catastrophe occurrence reinsurance coverage to mitigate the future potential catastrophe loss exposure.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41" w:name="page42"/>
    <w:bookmarkEnd w:id="41"/>
    <w:p>
      <w:pPr>
        <w:ind w:right="600"/>
        <w:spacing w:after="0" w:line="446" w:lineRule="auto"/>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w:t>
      </w:r>
      <w:r>
        <w:rPr>
          <w:rFonts w:ascii="Arial" w:cs="Arial" w:eastAsia="Arial" w:hAnsi="Arial"/>
          <w:sz w:val="18"/>
          <w:szCs w:val="18"/>
          <w:color w:val="auto"/>
        </w:rPr>
        <w:t xml:space="preserve"> (Continued) </w:t>
      </w:r>
      <w:r>
        <w:rPr>
          <w:rFonts w:ascii="Arial" w:cs="Arial" w:eastAsia="Arial" w:hAnsi="Arial"/>
          <w:sz w:val="18"/>
          <w:szCs w:val="18"/>
          <w:i w:val="1"/>
          <w:iCs w:val="1"/>
          <w:u w:val="single" w:color="auto"/>
          <w:color w:val="auto"/>
        </w:rPr>
        <w:t>Information Technology Costs</w:t>
      </w:r>
    </w:p>
    <w:p>
      <w:pPr>
        <w:spacing w:after="0" w:line="1"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In 2001, the Erie Insurance Group began a comprehensive program of eCommerce initiatives in support of the Erie Insurance Group’s agency force and back office policy underwriting, issuance and administration. The first major component of the eCommerce program (network and desktop hardware deployment) was completed during 2002.</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Erie Insurance Group has spent $180.4 million on the eCommerce program through March 2005. Target delivery dates established in 2002 have generally not been met as management has devoted increased effort to quality assurance efforts to ensure that the rollout creates only minimal business disruption.</w:t>
      </w:r>
    </w:p>
    <w:p>
      <w:pPr>
        <w:spacing w:after="0" w:line="158"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While functional as a personal lines rating and policy administration system, Erie</w:t>
      </w:r>
      <w:r>
        <w:rPr>
          <w:rFonts w:ascii="Arial" w:cs="Arial" w:eastAsia="Arial" w:hAnsi="Arial"/>
          <w:sz w:val="18"/>
          <w:szCs w:val="18"/>
          <w:i w:val="1"/>
          <w:iCs w:val="1"/>
          <w:color w:val="auto"/>
        </w:rPr>
        <w:t>Connection</w:t>
      </w:r>
      <w:r>
        <w:rPr>
          <w:rFonts w:ascii="Arial" w:cs="Arial" w:eastAsia="Arial" w:hAnsi="Arial"/>
          <w:sz w:val="18"/>
          <w:szCs w:val="18"/>
          <w:color w:val="auto"/>
        </w:rPr>
        <w:t xml:space="preserve"> agency interface has generally not met the Company’s or agent’s expectations for ease of use. The Company has postponed further deployment of the system until such usability issues are resolved. Estimates of the costs to improve the agency interface for ease of use needed to facilitate future deployment and the timetable for deployment are currently being developed.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 Risk</w:t>
      </w:r>
    </w:p>
    <w:p>
      <w:pPr>
        <w:spacing w:after="0" w:line="189" w:lineRule="exact"/>
        <w:rPr>
          <w:sz w:val="20"/>
          <w:szCs w:val="20"/>
          <w:color w:val="auto"/>
        </w:rPr>
      </w:pPr>
    </w:p>
    <w:p>
      <w:pPr>
        <w:ind w:right="480"/>
        <w:spacing w:after="0"/>
        <w:rPr>
          <w:sz w:val="20"/>
          <w:szCs w:val="20"/>
          <w:color w:val="auto"/>
        </w:rPr>
      </w:pPr>
      <w:r>
        <w:rPr>
          <w:rFonts w:ascii="Arial" w:cs="Arial" w:eastAsia="Arial" w:hAnsi="Arial"/>
          <w:sz w:val="18"/>
          <w:szCs w:val="18"/>
          <w:color w:val="auto"/>
        </w:rPr>
        <w:t>The Company is exposed to interest rate risk through its fixed maturities portfolio. As interest rates rise, impairment charges could be recognized in future period. Additionally, the emerging authoritative guidance on the determination of when an investment is impaired and whether the impairment is other than temporary, could result in significant impairments being recognized in future periods.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Sarbanes-Oxley Act of 2002—Section 404 Internal Control Reporting</w:t>
      </w:r>
    </w:p>
    <w:p>
      <w:pPr>
        <w:spacing w:after="0" w:line="18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Sarbanes-Oxley Act of 2002 established numerous compliance requirements for public companies which include an annual evaluation of internal controls (Section 404). Management completed its Section 404 evaluation of internal controls as of December 31, 2004 and reported that there were no material weaknesses in internal controls over financial reporting within the Company. While certain deficiencies were identified during management’s evaluation, remediation plans were developed, implemented and completed by the end of 2004. The Company continues to make process improvements in areas where enhancements identified during the evaluation would be beneficial to the business and internal control processes.</w:t>
      </w:r>
    </w:p>
    <w:p>
      <w:pPr>
        <w:spacing w:after="0" w:line="165"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The Sarbanes-Oxley Act will continue to require the Company to dedicate substantial resources to complete its 2005 and future evaluations including internal personnel and external auditing and consulting fees.</w:t>
      </w:r>
    </w:p>
    <w:p>
      <w:pPr>
        <w:spacing w:after="0" w:line="170"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Management makes judgments in its evaluation of internal controls. These judgments could change over time and/or control processes within the Company will evolve in response to system development and business needs. Management’s current opinion of internal control is not an assurance of control effectiveness in future periods.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Terrorism</w:t>
      </w:r>
    </w:p>
    <w:p>
      <w:pPr>
        <w:spacing w:after="0" w:line="18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On November 26, 2002, President Bush signed the Terrorism Risk Insurance Act of 2002 (“Act”), establishing a program for commercial property/casualty losses, including workers’ compensation, resulting from foreign acts of terrorism. The Act required commercial insurers to make terrorism coverage available immediately through at least December 31, 2004, and provided limited federal protection above individual company retention levels, based upon a percentage of direct earned premium, and above aggregate industry retention levels that range from $10 billion in the second year to $15 billion in the third year of the program. The federal government will pay 90% of covered terrorism losses that exceed retention levels. On June 18, 2004, the Department of Treasury announced its decision to require insurers to continue to make terrorism coverage available under the Act in program year three. The Act is scheduled to expire on December 31, 2005. Personal lines are not included under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w:t>
      </w:r>
      <w:r>
        <w:rPr>
          <w:rFonts w:ascii="Arial" w:cs="Arial" w:eastAsia="Arial" w:hAnsi="Arial"/>
          <w:sz w:val="18"/>
          <w:szCs w:val="18"/>
          <w:color w:val="auto"/>
        </w:rPr>
        <w:t xml:space="preserve"> (Continued)</w:t>
      </w:r>
    </w:p>
    <w:p>
      <w:pPr>
        <w:spacing w:after="0" w:line="185"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protection of the Act, and state regulators have not approved exclusions for acts of terrorism on personal lines policies. The Property and Casualty Group is exposed to terrorism losses for personal and commercial lines and workers’ compensation, although commercial lines and workers’ compensation are afforded a backstop above certain retention levels for foreign acts of terrorism under the federal program until December 31, 2005. If the Terrorism Risk Insurance Act is not extended or reauthorized, the Property and Casualty Group will be exposed to terrorism losses for commercial lines and workers’ compensation without the benefit of the federal backstop. The Property and Casualty Group could incur large losses if future terrorist attacks occur.</w:t>
      </w:r>
    </w:p>
    <w:p>
      <w:pPr>
        <w:spacing w:after="0" w:line="165"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Erie Insurance Group has taken the steps necessary to comply with the Act by providing notices to all commercial policyholders disclosing the premium, if any, attributable to coverage for acts of terrorism, as defined in the Act, and disclosing federal participation in payment of terrorism losses. The Act pre-empted any exclusion or provision in place prior to November 26, 2002, that excluded or limited coverage for losses from foreign acts of terrorism. Insurers may exclude coverage for foreign acts of terrorism under the Act if the policyholder accepts an exclusion and rejects coverage or fails to pay additional premium charges after notice is given. Exclusions are not allowed under workers’ compensation policies and rates for terrorism coverage are applied in accordance with state laws.</w:t>
      </w:r>
    </w:p>
    <w:p>
      <w:pPr>
        <w:spacing w:after="0" w:line="16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Erie Insurance Group continues to evaluate procedures that have been established to comply with the Act. Terrorism coverage is not excluded under the majority of the Property and Casualty Group commercial property/casualty policies. Other than workers’ compensation, which incur charges consistent with state law, premium charges for terrorism coverage are currently applied only for a small number of new and renewal commercial policies where deemed appropriate based upon individual risk factors and characteristics. Appropriate disclosure notices are provided in accordance with the Act.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auto"/>
        </w:rPr>
        <w:t>ITEM 3. QUANTITATIVE AND QUALITATIVE DISCLOSURES ABOUT MARKET RISK</w:t>
      </w:r>
    </w:p>
    <w:p>
      <w:pPr>
        <w:spacing w:after="0" w:line="185"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The Company’s exposure to market risk is primarily related to fluctuations in prices and interest rates. Quantitative and qualitative disclosures about market risk resulting from changes in prices and interest rates are included in Item 7A. in the Company’s 2004 Annual Report on Form 10-K. There have been no material changes in such risks or the Company’s periodic reviews of asset and liability positions during the three months ended March 31, 2005. The information contained in the investments section of Management’s Discussion and Analysis of Financial Condition and Results of Operations is incorporated herein by reference.</w:t>
      </w:r>
    </w:p>
    <w:p>
      <w:pPr>
        <w:spacing w:after="0" w:line="16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Company’s objective is to earn competitive returns by investing in a diversified portfolio of securities. The Company is exposed to credit risk through its portfolios of fixed maturity securities, nonredeemable preferred stock, mortgage loans and to a lesser extent short-term investments. This risk is defined as the potential loss in market value resulting from adverse changes in the borrower’s ability to repay the debt. The Company manages this risk by performing up front underwriting analysis and ongoing reviews of credit quality by position and for the fixed maturity portfolio in total. The Company does not hedge credit risk inherent in its fixed maturity investments.</w:t>
      </w:r>
    </w:p>
    <w:p>
      <w:pPr>
        <w:spacing w:after="0" w:line="162" w:lineRule="exact"/>
        <w:rPr>
          <w:sz w:val="20"/>
          <w:szCs w:val="20"/>
          <w:color w:val="auto"/>
        </w:rPr>
      </w:pPr>
    </w:p>
    <w:p>
      <w:pPr>
        <w:ind w:right="540"/>
        <w:spacing w:after="0" w:line="239" w:lineRule="auto"/>
        <w:rPr>
          <w:sz w:val="20"/>
          <w:szCs w:val="20"/>
          <w:color w:val="auto"/>
        </w:rPr>
      </w:pPr>
      <w:r>
        <w:rPr>
          <w:rFonts w:ascii="Arial" w:cs="Arial" w:eastAsia="Arial" w:hAnsi="Arial"/>
          <w:sz w:val="18"/>
          <w:szCs w:val="18"/>
          <w:color w:val="auto"/>
        </w:rPr>
        <w:t>The Company has significant receivables from the Exchange, which are subject to credit risk. Company results are directly related to the financial strength of the Exchange. Credit risks related to the receivables from the Exchange are evaluated periodically by Company management. Since the Company’s inception, it has collected all amounts due from the Exchange in a timely manner (generally within 120 days).</w:t>
      </w:r>
    </w:p>
    <w:p>
      <w:pPr>
        <w:spacing w:after="0" w:line="175" w:lineRule="exact"/>
        <w:rPr>
          <w:sz w:val="20"/>
          <w:szCs w:val="20"/>
          <w:color w:val="auto"/>
        </w:rPr>
      </w:pPr>
    </w:p>
    <w:p>
      <w:pPr>
        <w:ind w:right="240"/>
        <w:spacing w:after="0" w:line="236" w:lineRule="auto"/>
        <w:rPr>
          <w:sz w:val="20"/>
          <w:szCs w:val="20"/>
          <w:color w:val="auto"/>
        </w:rPr>
      </w:pPr>
      <w:r>
        <w:rPr>
          <w:rFonts w:ascii="Arial" w:cs="Arial" w:eastAsia="Arial" w:hAnsi="Arial"/>
          <w:sz w:val="18"/>
          <w:szCs w:val="18"/>
          <w:color w:val="auto"/>
        </w:rPr>
        <w:t>“Safe Harbor” Statement Under the Private Securities Litigation Reform Act of 1995: Certain forward-looking statements contained herein involve risks and uncertainties. These statements include certain discussions relating to management fee revenue, cost of management operations, underwriting, premium and investment income volume, business strategies, profitability and business relationships and the Company’s other business activities during 2005 and beyond. In some cases, you can identify forward-looking statements by terms such as “may,” “will,” “should,” “could,” “would,” “expect,” “plan,” “intend,” “anticipate,” “believe,” “estimate,” “project,” “predict,” “potential” and similar expressions. These forward-looking statements reflect the Company’s current views about future events, are based on assumptions and are subject to known and unknown risks and uncertainties that may cause results to differ materially from those anticipated in those statements. Many of the factors that will determine future events or achievements are beyond our ability to control or predict.</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9" w:right="27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auto"/>
        </w:rPr>
        <w:t>ITEM 4. CONTROLS AND PROCEDURES</w:t>
      </w:r>
    </w:p>
    <w:p>
      <w:pPr>
        <w:spacing w:after="0" w:line="18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As of March 31, 2005, the Company carried out an evaluation, under the supervision and with the participation of the Company’s management, including its Chief Executive Officer and its Chief Financial Officer, of the design and operation of the Company’s disclosure controls and procedures. Based on this evaluation, the Company’s Chief Executive Officer and Chief Financial Officer concluded that the Company’s disclosure controls and procedures are effective for gathering, analyzing and disclosing the information the Company is required to disclose in the reports it files under the Securities Exchange Act of 1934, within the time periods specified in the SEC’s rules and forms. There have been no significant changes in the Company’s internal controls or in other factors that could significantly affect internal controls subsequent to the date of this evaluation.</w:t>
      </w:r>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9" w:right="27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auto"/>
        </w:rPr>
        <w:t>PART II.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CHANGES IN SECURITIES, AND USE OF PROCEEDS AND ISSUER PURCHASES OF EQUITY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Issuer Purchases of Equity Securities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rPr>
              <w:t>Approximate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rPr>
              <w:t>Dollar Value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jc w:val="center"/>
              <w:ind w:right="420"/>
              <w:spacing w:after="0"/>
              <w:rPr>
                <w:sz w:val="20"/>
                <w:szCs w:val="20"/>
                <w:color w:val="auto"/>
              </w:rPr>
            </w:pPr>
            <w:r>
              <w:rPr>
                <w:rFonts w:ascii="Arial" w:cs="Arial" w:eastAsia="Arial" w:hAnsi="Arial"/>
                <w:sz w:val="14"/>
                <w:szCs w:val="14"/>
                <w:color w:val="auto"/>
                <w:w w:val="99"/>
              </w:rPr>
              <w:t>Total Number of</w:t>
            </w: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rPr>
              <w:t>of Shares that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360" w:type="dxa"/>
            <w:vAlign w:val="bottom"/>
            <w:gridSpan w:val="3"/>
          </w:tcPr>
          <w:p>
            <w:pPr>
              <w:jc w:val="center"/>
              <w:ind w:left="14"/>
              <w:spacing w:after="0"/>
              <w:rPr>
                <w:sz w:val="20"/>
                <w:szCs w:val="20"/>
                <w:color w:val="auto"/>
              </w:rPr>
            </w:pPr>
            <w:r>
              <w:rPr>
                <w:rFonts w:ascii="Arial" w:cs="Arial" w:eastAsia="Arial" w:hAnsi="Arial"/>
                <w:sz w:val="14"/>
                <w:szCs w:val="14"/>
                <w:color w:val="auto"/>
              </w:rPr>
              <w:t>Total Number</w:t>
            </w:r>
          </w:p>
        </w:tc>
        <w:tc>
          <w:tcPr>
            <w:tcW w:w="1060" w:type="dxa"/>
            <w:vAlign w:val="bottom"/>
          </w:tcPr>
          <w:p>
            <w:pPr>
              <w:jc w:val="center"/>
              <w:spacing w:after="0"/>
              <w:rPr>
                <w:sz w:val="20"/>
                <w:szCs w:val="20"/>
                <w:color w:val="auto"/>
              </w:rPr>
            </w:pPr>
            <w:r>
              <w:rPr>
                <w:rFonts w:ascii="Arial" w:cs="Arial" w:eastAsia="Arial" w:hAnsi="Arial"/>
                <w:sz w:val="14"/>
                <w:szCs w:val="14"/>
                <w:color w:val="auto"/>
              </w:rPr>
              <w:t>Average</w:t>
            </w:r>
          </w:p>
        </w:tc>
        <w:tc>
          <w:tcPr>
            <w:tcW w:w="1800" w:type="dxa"/>
            <w:vAlign w:val="bottom"/>
            <w:gridSpan w:val="3"/>
          </w:tcPr>
          <w:p>
            <w:pPr>
              <w:jc w:val="center"/>
              <w:ind w:right="180"/>
              <w:spacing w:after="0"/>
              <w:rPr>
                <w:sz w:val="20"/>
                <w:szCs w:val="20"/>
                <w:color w:val="auto"/>
              </w:rPr>
            </w:pPr>
            <w:r>
              <w:rPr>
                <w:rFonts w:ascii="Arial" w:cs="Arial" w:eastAsia="Arial" w:hAnsi="Arial"/>
                <w:sz w:val="14"/>
                <w:szCs w:val="14"/>
                <w:color w:val="auto"/>
              </w:rPr>
              <w:t>Shares Purchased</w:t>
            </w: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rPr>
              <w:t>May Yet Be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color w:val="auto"/>
              </w:rPr>
              <w:t>of Shares</w:t>
            </w:r>
          </w:p>
        </w:tc>
        <w:tc>
          <w:tcPr>
            <w:tcW w:w="1060" w:type="dxa"/>
            <w:vAlign w:val="bottom"/>
          </w:tcPr>
          <w:p>
            <w:pPr>
              <w:jc w:val="center"/>
              <w:spacing w:after="0"/>
              <w:rPr>
                <w:sz w:val="20"/>
                <w:szCs w:val="20"/>
                <w:color w:val="auto"/>
              </w:rPr>
            </w:pPr>
            <w:r>
              <w:rPr>
                <w:rFonts w:ascii="Arial" w:cs="Arial" w:eastAsia="Arial" w:hAnsi="Arial"/>
                <w:sz w:val="14"/>
                <w:szCs w:val="14"/>
                <w:color w:val="auto"/>
              </w:rPr>
              <w:t>Price Paid</w:t>
            </w:r>
          </w:p>
        </w:tc>
        <w:tc>
          <w:tcPr>
            <w:tcW w:w="220" w:type="dxa"/>
            <w:vAlign w:val="bottom"/>
          </w:tcPr>
          <w:p>
            <w:pPr>
              <w:spacing w:after="0"/>
              <w:rPr>
                <w:sz w:val="14"/>
                <w:szCs w:val="14"/>
                <w:color w:val="auto"/>
              </w:rPr>
            </w:pPr>
          </w:p>
        </w:tc>
        <w:tc>
          <w:tcPr>
            <w:tcW w:w="1580" w:type="dxa"/>
            <w:vAlign w:val="bottom"/>
            <w:gridSpan w:val="2"/>
          </w:tcPr>
          <w:p>
            <w:pPr>
              <w:jc w:val="center"/>
              <w:ind w:right="420"/>
              <w:spacing w:after="0"/>
              <w:rPr>
                <w:sz w:val="20"/>
                <w:szCs w:val="20"/>
                <w:color w:val="auto"/>
              </w:rPr>
            </w:pPr>
            <w:r>
              <w:rPr>
                <w:rFonts w:ascii="Arial" w:cs="Arial" w:eastAsia="Arial" w:hAnsi="Arial"/>
                <w:sz w:val="14"/>
                <w:szCs w:val="14"/>
                <w:color w:val="auto"/>
              </w:rPr>
              <w:t>as Part of Publicly</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color w:val="auto"/>
              </w:rPr>
              <w:t>Purchased Under</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960" w:type="dxa"/>
            <w:vAlign w:val="bottom"/>
            <w:tcBorders>
              <w:bottom w:val="single" w:sz="8" w:color="auto"/>
            </w:tcBorders>
          </w:tcPr>
          <w:p>
            <w:pPr>
              <w:ind w:left="500"/>
              <w:spacing w:after="0" w:line="157" w:lineRule="exact"/>
              <w:rPr>
                <w:sz w:val="20"/>
                <w:szCs w:val="20"/>
                <w:color w:val="auto"/>
              </w:rPr>
            </w:pPr>
            <w:r>
              <w:rPr>
                <w:rFonts w:ascii="Arial" w:cs="Arial" w:eastAsia="Arial" w:hAnsi="Arial"/>
                <w:sz w:val="14"/>
                <w:szCs w:val="14"/>
                <w:color w:val="auto"/>
              </w:rPr>
              <w:t>Period</w:t>
            </w:r>
          </w:p>
        </w:tc>
        <w:tc>
          <w:tcPr>
            <w:tcW w:w="300" w:type="dxa"/>
            <w:vAlign w:val="bottom"/>
          </w:tcPr>
          <w:p>
            <w:pPr>
              <w:spacing w:after="0"/>
              <w:rPr>
                <w:sz w:val="13"/>
                <w:szCs w:val="13"/>
                <w:color w:val="auto"/>
              </w:rPr>
            </w:pPr>
          </w:p>
        </w:tc>
        <w:tc>
          <w:tcPr>
            <w:tcW w:w="1060" w:type="dxa"/>
            <w:vAlign w:val="bottom"/>
            <w:tcBorders>
              <w:bottom w:val="single" w:sz="8" w:color="auto"/>
            </w:tcBorders>
            <w:gridSpan w:val="2"/>
          </w:tcPr>
          <w:p>
            <w:pPr>
              <w:jc w:val="center"/>
              <w:ind w:right="220"/>
              <w:spacing w:after="0" w:line="157" w:lineRule="exact"/>
              <w:rPr>
                <w:sz w:val="20"/>
                <w:szCs w:val="20"/>
                <w:color w:val="auto"/>
              </w:rPr>
            </w:pPr>
            <w:r>
              <w:rPr>
                <w:rFonts w:ascii="Arial" w:cs="Arial" w:eastAsia="Arial" w:hAnsi="Arial"/>
                <w:sz w:val="14"/>
                <w:szCs w:val="14"/>
                <w:color w:val="auto"/>
              </w:rPr>
              <w:t>Purchased</w:t>
            </w:r>
          </w:p>
        </w:tc>
        <w:tc>
          <w:tcPr>
            <w:tcW w:w="106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Per share</w:t>
            </w:r>
          </w:p>
        </w:tc>
        <w:tc>
          <w:tcPr>
            <w:tcW w:w="22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2"/>
          </w:tcPr>
          <w:p>
            <w:pPr>
              <w:jc w:val="center"/>
              <w:ind w:right="420"/>
              <w:spacing w:after="0" w:line="157" w:lineRule="exact"/>
              <w:rPr>
                <w:sz w:val="20"/>
                <w:szCs w:val="20"/>
                <w:color w:val="auto"/>
              </w:rPr>
            </w:pPr>
            <w:r>
              <w:rPr>
                <w:rFonts w:ascii="Arial" w:cs="Arial" w:eastAsia="Arial" w:hAnsi="Arial"/>
                <w:sz w:val="14"/>
                <w:szCs w:val="14"/>
                <w:color w:val="auto"/>
              </w:rPr>
              <w:t>Announced Plan</w:t>
            </w:r>
          </w:p>
        </w:tc>
        <w:tc>
          <w:tcPr>
            <w:tcW w:w="112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the Plan</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January 1 - 31, 2005</w:t>
            </w:r>
          </w:p>
        </w:tc>
        <w:tc>
          <w:tcPr>
            <w:tcW w:w="11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50,224</w:t>
            </w: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18"/>
              <w:spacing w:after="0" w:line="196" w:lineRule="exact"/>
              <w:rPr>
                <w:sz w:val="20"/>
                <w:szCs w:val="20"/>
                <w:color w:val="auto"/>
              </w:rPr>
            </w:pPr>
            <w:r>
              <w:rPr>
                <w:rFonts w:ascii="Arial" w:cs="Arial" w:eastAsia="Arial" w:hAnsi="Arial"/>
                <w:sz w:val="18"/>
                <w:szCs w:val="18"/>
                <w:color w:val="auto"/>
              </w:rPr>
              <w:t>$  52.41</w:t>
            </w:r>
          </w:p>
        </w:tc>
        <w:tc>
          <w:tcPr>
            <w:tcW w:w="1800" w:type="dxa"/>
            <w:vAlign w:val="bottom"/>
            <w:gridSpan w:val="3"/>
            <w:shd w:val="clear" w:color="auto" w:fill="CCEEFF"/>
          </w:tcPr>
          <w:p>
            <w:pPr>
              <w:jc w:val="right"/>
              <w:ind w:right="420"/>
              <w:spacing w:after="0" w:line="196" w:lineRule="exact"/>
              <w:rPr>
                <w:sz w:val="20"/>
                <w:szCs w:val="20"/>
                <w:color w:val="auto"/>
              </w:rPr>
            </w:pPr>
            <w:r>
              <w:rPr>
                <w:rFonts w:ascii="Arial" w:cs="Arial" w:eastAsia="Arial" w:hAnsi="Arial"/>
                <w:sz w:val="18"/>
                <w:szCs w:val="18"/>
                <w:color w:val="auto"/>
              </w:rPr>
              <w:t>48,426</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5980" w:type="dxa"/>
            <w:vAlign w:val="bottom"/>
            <w:gridSpan w:val="2"/>
          </w:tcPr>
          <w:p>
            <w:pPr>
              <w:spacing w:after="0"/>
              <w:rPr>
                <w:sz w:val="20"/>
                <w:szCs w:val="20"/>
                <w:color w:val="auto"/>
              </w:rPr>
            </w:pPr>
            <w:r>
              <w:rPr>
                <w:rFonts w:ascii="Arial" w:cs="Arial" w:eastAsia="Arial" w:hAnsi="Arial"/>
                <w:sz w:val="18"/>
                <w:szCs w:val="18"/>
                <w:color w:val="auto"/>
              </w:rPr>
              <w:t>February 1 - 29, 2005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1,126</w:t>
            </w:r>
          </w:p>
        </w:tc>
        <w:tc>
          <w:tcPr>
            <w:tcW w:w="220" w:type="dxa"/>
            <w:vAlign w:val="bottom"/>
          </w:tcPr>
          <w:p>
            <w:pPr>
              <w:spacing w:after="0"/>
              <w:rPr>
                <w:sz w:val="24"/>
                <w:szCs w:val="24"/>
                <w:color w:val="auto"/>
              </w:rPr>
            </w:pPr>
          </w:p>
        </w:tc>
        <w:tc>
          <w:tcPr>
            <w:tcW w:w="1060" w:type="dxa"/>
            <w:vAlign w:val="bottom"/>
          </w:tcPr>
          <w:p>
            <w:pPr>
              <w:jc w:val="right"/>
              <w:ind w:right="118"/>
              <w:spacing w:after="0"/>
              <w:rPr>
                <w:sz w:val="20"/>
                <w:szCs w:val="20"/>
                <w:color w:val="auto"/>
              </w:rPr>
            </w:pPr>
            <w:r>
              <w:rPr>
                <w:rFonts w:ascii="Arial" w:cs="Arial" w:eastAsia="Arial" w:hAnsi="Arial"/>
                <w:sz w:val="18"/>
                <w:szCs w:val="18"/>
                <w:color w:val="auto"/>
              </w:rPr>
              <w:t>53.04</w:t>
            </w:r>
          </w:p>
        </w:tc>
        <w:tc>
          <w:tcPr>
            <w:tcW w:w="1800" w:type="dxa"/>
            <w:vAlign w:val="bottom"/>
            <w:gridSpan w:val="3"/>
          </w:tcPr>
          <w:p>
            <w:pPr>
              <w:jc w:val="right"/>
              <w:ind w:right="420"/>
              <w:spacing w:after="0"/>
              <w:rPr>
                <w:sz w:val="20"/>
                <w:szCs w:val="20"/>
                <w:color w:val="auto"/>
              </w:rPr>
            </w:pPr>
            <w:r>
              <w:rPr>
                <w:rFonts w:ascii="Arial" w:cs="Arial" w:eastAsia="Arial" w:hAnsi="Arial"/>
                <w:sz w:val="18"/>
                <w:szCs w:val="18"/>
                <w:color w:val="auto"/>
              </w:rPr>
              <w:t>1,126</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5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March 1 - 31, 2005</w:t>
            </w:r>
          </w:p>
        </w:tc>
        <w:tc>
          <w:tcPr>
            <w:tcW w:w="30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235,876</w:t>
            </w: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18"/>
              <w:spacing w:after="0" w:line="202" w:lineRule="exact"/>
              <w:rPr>
                <w:sz w:val="20"/>
                <w:szCs w:val="20"/>
                <w:color w:val="auto"/>
              </w:rPr>
            </w:pPr>
            <w:r>
              <w:rPr>
                <w:rFonts w:ascii="Arial" w:cs="Arial" w:eastAsia="Arial" w:hAnsi="Arial"/>
                <w:sz w:val="18"/>
                <w:szCs w:val="18"/>
                <w:color w:val="auto"/>
              </w:rPr>
              <w:t>50.96</w:t>
            </w:r>
          </w:p>
        </w:tc>
        <w:tc>
          <w:tcPr>
            <w:tcW w:w="220" w:type="dxa"/>
            <w:vAlign w:val="bottom"/>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235,876</w:t>
            </w: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9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287,226</w:t>
            </w:r>
          </w:p>
        </w:tc>
        <w:tc>
          <w:tcPr>
            <w:tcW w:w="220" w:type="dxa"/>
            <w:vAlign w:val="bottom"/>
          </w:tcPr>
          <w:p>
            <w:pPr>
              <w:spacing w:after="0"/>
              <w:rPr>
                <w:sz w:val="24"/>
                <w:szCs w:val="24"/>
                <w:color w:val="auto"/>
              </w:rPr>
            </w:pPr>
          </w:p>
        </w:tc>
        <w:tc>
          <w:tcPr>
            <w:tcW w:w="1060" w:type="dxa"/>
            <w:vAlign w:val="bottom"/>
          </w:tcPr>
          <w:p>
            <w:pPr>
              <w:jc w:val="right"/>
              <w:ind w:right="118"/>
              <w:spacing w:after="0"/>
              <w:rPr>
                <w:sz w:val="20"/>
                <w:szCs w:val="20"/>
                <w:color w:val="auto"/>
              </w:rPr>
            </w:pPr>
            <w:r>
              <w:rPr>
                <w:rFonts w:ascii="Arial" w:cs="Arial" w:eastAsia="Arial" w:hAnsi="Arial"/>
                <w:sz w:val="18"/>
                <w:szCs w:val="18"/>
                <w:color w:val="auto"/>
              </w:rPr>
              <w:t>51.22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285,428</w:t>
            </w:r>
          </w:p>
        </w:tc>
        <w:tc>
          <w:tcPr>
            <w:tcW w:w="42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 xml:space="preserve"> 180,000,000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The month of January 2005 includes 1,798 shares that vested under the stock compensation plan for the Company’s outside directors. Included in this amount are the vesting of 1,744 of awards previously granted and 54 dividend equivalent shares that vest as they are granted (as dividends are declared by the Company).</w:t>
      </w:r>
    </w:p>
    <w:p>
      <w:pPr>
        <w:spacing w:after="0" w:line="162"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In March 2005, the Company purchased, in a privately negotiated block trade, 200,000 shares of its Class A common stock for $10,143,800 from Samuel P. Black III, former director of the Company. These shares were beneficially owned by Mr. Black through the Black Interests Limited Partnership.</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auto"/>
        </w:rPr>
        <w:t>PART II. OTHER INFORMATION (Continued)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EXHIBITS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80" w:type="dxa"/>
            <w:vAlign w:val="bottom"/>
          </w:tcPr>
          <w:p>
            <w:pPr>
              <w:spacing w:after="0"/>
              <w:rPr>
                <w:sz w:val="20"/>
                <w:szCs w:val="20"/>
                <w:color w:val="auto"/>
              </w:rPr>
            </w:pPr>
            <w:r>
              <w:rPr>
                <w:rFonts w:ascii="Arial" w:cs="Arial" w:eastAsia="Arial" w:hAnsi="Arial"/>
                <w:sz w:val="14"/>
                <w:szCs w:val="14"/>
                <w:color w:val="auto"/>
              </w:rPr>
              <w:t>Exhibit</w:t>
            </w:r>
          </w:p>
        </w:tc>
        <w:tc>
          <w:tcPr>
            <w:tcW w:w="100" w:type="dxa"/>
            <w:vAlign w:val="bottom"/>
          </w:tcPr>
          <w:p>
            <w:pPr>
              <w:spacing w:after="0"/>
              <w:rPr>
                <w:sz w:val="14"/>
                <w:szCs w:val="14"/>
                <w:color w:val="auto"/>
              </w:rPr>
            </w:pPr>
          </w:p>
        </w:tc>
        <w:tc>
          <w:tcPr>
            <w:tcW w:w="9540" w:type="dxa"/>
            <w:vAlign w:val="bottom"/>
          </w:tcPr>
          <w:p>
            <w:pPr>
              <w:spacing w:after="0"/>
              <w:rPr>
                <w:sz w:val="14"/>
                <w:szCs w:val="14"/>
                <w:color w:val="auto"/>
              </w:rPr>
            </w:pPr>
          </w:p>
        </w:tc>
      </w:tr>
      <w:tr>
        <w:trPr>
          <w:trHeight w:val="157"/>
        </w:trPr>
        <w:tc>
          <w:tcPr>
            <w:tcW w:w="1780" w:type="dxa"/>
            <w:vAlign w:val="bottom"/>
          </w:tcPr>
          <w:p>
            <w:pPr>
              <w:spacing w:after="0" w:line="157" w:lineRule="exact"/>
              <w:rPr>
                <w:sz w:val="20"/>
                <w:szCs w:val="20"/>
                <w:color w:val="auto"/>
              </w:rPr>
            </w:pPr>
            <w:r>
              <w:rPr>
                <w:rFonts w:ascii="Arial" w:cs="Arial" w:eastAsia="Arial" w:hAnsi="Arial"/>
                <w:sz w:val="14"/>
                <w:szCs w:val="14"/>
                <w:color w:val="auto"/>
              </w:rPr>
              <w:t>Number</w:t>
            </w:r>
          </w:p>
        </w:tc>
        <w:tc>
          <w:tcPr>
            <w:tcW w:w="9640" w:type="dxa"/>
            <w:vAlign w:val="bottom"/>
            <w:gridSpan w:val="2"/>
          </w:tcPr>
          <w:p>
            <w:pPr>
              <w:ind w:left="100"/>
              <w:spacing w:after="0" w:line="157" w:lineRule="exact"/>
              <w:rPr>
                <w:sz w:val="20"/>
                <w:szCs w:val="20"/>
                <w:color w:val="auto"/>
              </w:rPr>
            </w:pPr>
            <w:r>
              <w:rPr>
                <w:rFonts w:ascii="Arial" w:cs="Arial" w:eastAsia="Arial" w:hAnsi="Arial"/>
                <w:sz w:val="14"/>
                <w:szCs w:val="14"/>
                <w:color w:val="auto"/>
              </w:rPr>
              <w:t>Description of Exhibit</w:t>
            </w:r>
          </w:p>
        </w:tc>
      </w:tr>
      <w:tr>
        <w:trPr>
          <w:trHeight w:val="195"/>
        </w:trPr>
        <w:tc>
          <w:tcPr>
            <w:tcW w:w="1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10.83</w:t>
            </w:r>
          </w:p>
        </w:tc>
        <w:tc>
          <w:tcPr>
            <w:tcW w:w="100" w:type="dxa"/>
            <w:vAlign w:val="bottom"/>
          </w:tcPr>
          <w:p>
            <w:pPr>
              <w:spacing w:after="0"/>
              <w:rPr>
                <w:sz w:val="16"/>
                <w:szCs w:val="16"/>
                <w:color w:val="auto"/>
              </w:rPr>
            </w:pPr>
          </w:p>
        </w:tc>
        <w:tc>
          <w:tcPr>
            <w:tcW w:w="9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Addendum to Aggregate Excess of Loss Reinsurance Contract effective January 1, 2005 between Erie Insurance</w:t>
            </w:r>
          </w:p>
        </w:tc>
      </w:tr>
      <w:tr>
        <w:trPr>
          <w:trHeight w:val="203"/>
        </w:trPr>
        <w:tc>
          <w:tcPr>
            <w:tcW w:w="1780" w:type="dxa"/>
            <w:vAlign w:val="bottom"/>
          </w:tcPr>
          <w:p>
            <w:pPr>
              <w:spacing w:after="0"/>
              <w:rPr>
                <w:sz w:val="17"/>
                <w:szCs w:val="17"/>
                <w:color w:val="auto"/>
              </w:rPr>
            </w:pPr>
          </w:p>
        </w:tc>
        <w:tc>
          <w:tcPr>
            <w:tcW w:w="96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Exchange, by and through its Attorney-in-Fact, Erie Indemnity Company and Erie Insurance Company and its wholly-</w:t>
            </w:r>
          </w:p>
        </w:tc>
      </w:tr>
      <w:tr>
        <w:trPr>
          <w:trHeight w:val="217"/>
        </w:trPr>
        <w:tc>
          <w:tcPr>
            <w:tcW w:w="1780" w:type="dxa"/>
            <w:vAlign w:val="bottom"/>
          </w:tcPr>
          <w:p>
            <w:pPr>
              <w:spacing w:after="0"/>
              <w:rPr>
                <w:sz w:val="18"/>
                <w:szCs w:val="18"/>
                <w:color w:val="auto"/>
              </w:rPr>
            </w:pPr>
          </w:p>
        </w:tc>
        <w:tc>
          <w:tcPr>
            <w:tcW w:w="9640" w:type="dxa"/>
            <w:vAlign w:val="bottom"/>
            <w:gridSpan w:val="2"/>
          </w:tcPr>
          <w:p>
            <w:pPr>
              <w:ind w:left="100"/>
              <w:spacing w:after="0"/>
              <w:rPr>
                <w:sz w:val="20"/>
                <w:szCs w:val="20"/>
                <w:color w:val="auto"/>
              </w:rPr>
            </w:pPr>
            <w:r>
              <w:rPr>
                <w:rFonts w:ascii="Arial" w:cs="Arial" w:eastAsia="Arial" w:hAnsi="Arial"/>
                <w:sz w:val="18"/>
                <w:szCs w:val="18"/>
                <w:color w:val="auto"/>
              </w:rPr>
              <w:t>owned subsidiary Erie Insurance Company of New York</w:t>
            </w:r>
          </w:p>
        </w:tc>
      </w:tr>
      <w:tr>
        <w:trPr>
          <w:trHeight w:val="405"/>
        </w:trPr>
        <w:tc>
          <w:tcPr>
            <w:tcW w:w="1780" w:type="dxa"/>
            <w:vAlign w:val="bottom"/>
          </w:tcPr>
          <w:p>
            <w:pPr>
              <w:spacing w:after="0"/>
              <w:rPr>
                <w:sz w:val="20"/>
                <w:szCs w:val="20"/>
                <w:color w:val="auto"/>
              </w:rPr>
            </w:pPr>
            <w:r>
              <w:rPr>
                <w:rFonts w:ascii="Arial" w:cs="Arial" w:eastAsia="Arial" w:hAnsi="Arial"/>
                <w:sz w:val="18"/>
                <w:szCs w:val="18"/>
                <w:color w:val="auto"/>
              </w:rPr>
              <w:t>31.1</w:t>
            </w:r>
          </w:p>
        </w:tc>
        <w:tc>
          <w:tcPr>
            <w:tcW w:w="9640" w:type="dxa"/>
            <w:vAlign w:val="bottom"/>
            <w:gridSpan w:val="2"/>
          </w:tcPr>
          <w:p>
            <w:pPr>
              <w:ind w:left="10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405"/>
        </w:trPr>
        <w:tc>
          <w:tcPr>
            <w:tcW w:w="1780" w:type="dxa"/>
            <w:vAlign w:val="bottom"/>
          </w:tcPr>
          <w:p>
            <w:pPr>
              <w:spacing w:after="0"/>
              <w:rPr>
                <w:sz w:val="20"/>
                <w:szCs w:val="20"/>
                <w:color w:val="auto"/>
              </w:rPr>
            </w:pPr>
            <w:r>
              <w:rPr>
                <w:rFonts w:ascii="Arial" w:cs="Arial" w:eastAsia="Arial" w:hAnsi="Arial"/>
                <w:sz w:val="18"/>
                <w:szCs w:val="18"/>
                <w:color w:val="auto"/>
              </w:rPr>
              <w:t>31.2</w:t>
            </w:r>
          </w:p>
        </w:tc>
        <w:tc>
          <w:tcPr>
            <w:tcW w:w="9640" w:type="dxa"/>
            <w:vAlign w:val="bottom"/>
            <w:gridSpan w:val="2"/>
          </w:tcPr>
          <w:p>
            <w:pPr>
              <w:ind w:left="10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391"/>
        </w:trPr>
        <w:tc>
          <w:tcPr>
            <w:tcW w:w="1780" w:type="dxa"/>
            <w:vAlign w:val="bottom"/>
          </w:tcPr>
          <w:p>
            <w:pPr>
              <w:spacing w:after="0"/>
              <w:rPr>
                <w:sz w:val="20"/>
                <w:szCs w:val="20"/>
                <w:color w:val="auto"/>
              </w:rPr>
            </w:pPr>
            <w:r>
              <w:rPr>
                <w:rFonts w:ascii="Arial" w:cs="Arial" w:eastAsia="Arial" w:hAnsi="Arial"/>
                <w:sz w:val="18"/>
                <w:szCs w:val="18"/>
                <w:color w:val="auto"/>
              </w:rPr>
              <w:t>32</w:t>
            </w:r>
          </w:p>
        </w:tc>
        <w:tc>
          <w:tcPr>
            <w:tcW w:w="9640" w:type="dxa"/>
            <w:vAlign w:val="bottom"/>
            <w:gridSpan w:val="2"/>
          </w:tcPr>
          <w:p>
            <w:pPr>
              <w:ind w:left="10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w:t>
            </w:r>
          </w:p>
        </w:tc>
      </w:tr>
      <w:tr>
        <w:trPr>
          <w:trHeight w:val="217"/>
        </w:trPr>
        <w:tc>
          <w:tcPr>
            <w:tcW w:w="1780" w:type="dxa"/>
            <w:vAlign w:val="bottom"/>
          </w:tcPr>
          <w:p>
            <w:pPr>
              <w:spacing w:after="0"/>
              <w:rPr>
                <w:sz w:val="18"/>
                <w:szCs w:val="18"/>
                <w:color w:val="auto"/>
              </w:rPr>
            </w:pPr>
          </w:p>
        </w:tc>
        <w:tc>
          <w:tcPr>
            <w:tcW w:w="9640" w:type="dxa"/>
            <w:vAlign w:val="bottom"/>
            <w:gridSpan w:val="2"/>
          </w:tcPr>
          <w:p>
            <w:pPr>
              <w:ind w:left="100"/>
              <w:spacing w:after="0"/>
              <w:rPr>
                <w:sz w:val="20"/>
                <w:szCs w:val="20"/>
                <w:color w:val="auto"/>
              </w:rPr>
            </w:pPr>
            <w:r>
              <w:rPr>
                <w:rFonts w:ascii="Arial" w:cs="Arial" w:eastAsia="Arial" w:hAnsi="Arial"/>
                <w:sz w:val="18"/>
                <w:szCs w:val="18"/>
                <w:color w:val="auto"/>
              </w:rPr>
              <w:t>2002</w:t>
            </w:r>
          </w:p>
        </w:tc>
      </w:tr>
      <w:tr>
        <w:trPr>
          <w:trHeight w:val="378"/>
        </w:trPr>
        <w:tc>
          <w:tcPr>
            <w:tcW w:w="1780" w:type="dxa"/>
            <w:vAlign w:val="bottom"/>
          </w:tcPr>
          <w:p>
            <w:pPr>
              <w:spacing w:after="0"/>
              <w:rPr>
                <w:sz w:val="24"/>
                <w:szCs w:val="24"/>
                <w:color w:val="auto"/>
              </w:rPr>
            </w:pPr>
          </w:p>
        </w:tc>
        <w:tc>
          <w:tcPr>
            <w:tcW w:w="9640" w:type="dxa"/>
            <w:vAlign w:val="bottom"/>
            <w:gridSpan w:val="2"/>
          </w:tcPr>
          <w:p>
            <w:pPr>
              <w:jc w:val="right"/>
              <w:ind w:right="5510"/>
              <w:spacing w:after="0"/>
              <w:rPr>
                <w:sz w:val="20"/>
                <w:szCs w:val="20"/>
                <w:color w:val="auto"/>
              </w:rPr>
            </w:pPr>
            <w:r>
              <w:rPr>
                <w:rFonts w:ascii="Arial" w:cs="Arial" w:eastAsia="Arial" w:hAnsi="Arial"/>
                <w:sz w:val="18"/>
                <w:szCs w:val="18"/>
                <w:color w:val="auto"/>
              </w:rPr>
              <w:t>46</w:t>
            </w:r>
          </w:p>
        </w:tc>
      </w:tr>
      <w:tr>
        <w:trPr>
          <w:trHeight w:val="213"/>
        </w:trPr>
        <w:tc>
          <w:tcPr>
            <w:tcW w:w="17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954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auto"/>
        </w:rPr>
        <w:t>SIGNATURES</w:t>
      </w:r>
    </w:p>
    <w:p>
      <w:pPr>
        <w:spacing w:after="0" w:line="18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59" w:lineRule="exact"/>
        <w:rPr>
          <w:sz w:val="20"/>
          <w:szCs w:val="20"/>
          <w:color w:val="auto"/>
        </w:rPr>
      </w:pPr>
    </w:p>
    <w:p>
      <w:pPr>
        <w:jc w:val="center"/>
        <w:ind w:left="5940"/>
        <w:spacing w:after="0"/>
        <w:rPr>
          <w:sz w:val="20"/>
          <w:szCs w:val="20"/>
          <w:color w:val="auto"/>
        </w:rPr>
      </w:pPr>
      <w:r>
        <w:rPr>
          <w:rFonts w:ascii="Arial" w:cs="Arial" w:eastAsia="Arial" w:hAnsi="Arial"/>
          <w:sz w:val="18"/>
          <w:szCs w:val="18"/>
          <w:color w:val="auto"/>
        </w:rPr>
        <w:t>Erie Indemnity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-1905</wp:posOffset>
            </wp:positionV>
            <wp:extent cx="347345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 w:lineRule="exact"/>
        <w:rPr>
          <w:sz w:val="20"/>
          <w:szCs w:val="20"/>
          <w:color w:val="auto"/>
        </w:rPr>
      </w:pPr>
    </w:p>
    <w:p>
      <w:pPr>
        <w:jc w:val="center"/>
        <w:ind w:left="5940"/>
        <w:spacing w:after="0"/>
        <w:rPr>
          <w:sz w:val="20"/>
          <w:szCs w:val="20"/>
          <w:color w:val="auto"/>
        </w:rPr>
      </w:pPr>
      <w:r>
        <w:rPr>
          <w:rFonts w:ascii="Arial" w:cs="Arial" w:eastAsia="Arial" w:hAnsi="Arial"/>
          <w:sz w:val="18"/>
          <w:szCs w:val="18"/>
          <w:color w:val="auto"/>
        </w:rPr>
        <w:t>(Registrant)</w:t>
      </w:r>
    </w:p>
    <w:p>
      <w:pPr>
        <w:spacing w:after="0" w:line="198"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Date: April 25, 2005</w:t>
      </w:r>
      <w:r>
        <w:rPr>
          <w:sz w:val="20"/>
          <w:szCs w:val="20"/>
          <w:color w:val="auto"/>
        </w:rPr>
        <w:tab/>
      </w:r>
      <w:r>
        <w:rPr>
          <w:rFonts w:ascii="Arial" w:cs="Arial" w:eastAsia="Arial" w:hAnsi="Arial"/>
          <w:sz w:val="17"/>
          <w:szCs w:val="17"/>
          <w:color w:val="auto"/>
        </w:rPr>
        <w:t>/s/ Jeffrey A. Ludrof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-1905</wp:posOffset>
            </wp:positionV>
            <wp:extent cx="347345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Jeffrey A. Ludrof, President &amp; CEO</w:t>
      </w:r>
    </w:p>
    <w:p>
      <w:pPr>
        <w:spacing w:after="0" w:line="198"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Philip A.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-1905</wp:posOffset>
            </wp:positionV>
            <wp:extent cx="347345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Philip A. Garcia, Executive Vice President &amp; CFO</w:t>
      </w:r>
    </w:p>
    <w:p>
      <w:pPr>
        <w:spacing w:after="0" w:line="17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240" w:top="949" w:right="5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10.83</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ERIE INSURANCE COMPANY and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ERIE INSURANCE COMPANY OF NEW YORK</w:t>
      </w:r>
    </w:p>
    <w:p>
      <w:pPr>
        <w:jc w:val="center"/>
        <w:spacing w:after="0" w:line="234" w:lineRule="auto"/>
        <w:rPr>
          <w:sz w:val="20"/>
          <w:szCs w:val="20"/>
          <w:color w:val="auto"/>
        </w:rPr>
      </w:pPr>
      <w:r>
        <w:rPr>
          <w:rFonts w:ascii="Arial" w:cs="Arial" w:eastAsia="Arial" w:hAnsi="Arial"/>
          <w:sz w:val="18"/>
          <w:szCs w:val="18"/>
          <w:b w:val="1"/>
          <w:bCs w:val="1"/>
          <w:color w:val="auto"/>
        </w:rPr>
        <w:t>Erie, Pennsylvania</w:t>
      </w:r>
    </w:p>
    <w:p>
      <w:pPr>
        <w:jc w:val="center"/>
        <w:spacing w:after="0" w:line="235" w:lineRule="auto"/>
        <w:rPr>
          <w:sz w:val="20"/>
          <w:szCs w:val="20"/>
          <w:color w:val="auto"/>
        </w:rPr>
      </w:pPr>
      <w:r>
        <w:rPr>
          <w:rFonts w:ascii="Arial" w:cs="Arial" w:eastAsia="Arial" w:hAnsi="Arial"/>
          <w:sz w:val="18"/>
          <w:szCs w:val="18"/>
          <w:b w:val="1"/>
          <w:bCs w:val="1"/>
          <w:color w:val="auto"/>
        </w:rPr>
        <w:t>AGGREGATE EXCESS OF LOSS REINSURANCE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ADDENDUM NO. 4</w:t>
      </w:r>
    </w:p>
    <w:p>
      <w:pPr>
        <w:spacing w:after="0" w:line="171"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Amendment to the REINSURANCE CONTRACT made the first day of January, 1998, between ERIE INSURANCE EXCHANGE, by and through its Attorney-in-Fact, ERIE INDEMNITY COMPANY, of Erie, Pennsylvania, (hereafter called the “REINSURER”), and ERIE INSURANCE COMPANY and its wholly owned subsidiary ERIE INSURANCE COMPANY OF NEW YORK, both of Erie, Pennsylvania (herein referred to collectively (or individually as the context requires) as the “COMPANY”)</w:t>
      </w:r>
    </w:p>
    <w:p>
      <w:pPr>
        <w:spacing w:after="0" w:line="161"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It is understood and agreed that, effective January 1, 2005, this Contract is amended by the deletion of Article 12 and by substitution of the following revised Article 12:</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 – Premium</w:t>
      </w:r>
    </w:p>
    <w:p>
      <w:pPr>
        <w:spacing w:after="0" w:line="193" w:lineRule="exact"/>
        <w:rPr>
          <w:sz w:val="20"/>
          <w:szCs w:val="20"/>
          <w:color w:val="auto"/>
        </w:rPr>
      </w:pPr>
    </w:p>
    <w:p>
      <w:pPr>
        <w:ind w:right="740"/>
        <w:spacing w:after="0" w:line="246" w:lineRule="auto"/>
        <w:rPr>
          <w:sz w:val="20"/>
          <w:szCs w:val="20"/>
          <w:color w:val="auto"/>
        </w:rPr>
      </w:pPr>
      <w:r>
        <w:rPr>
          <w:rFonts w:ascii="Arial" w:cs="Arial" w:eastAsia="Arial" w:hAnsi="Arial"/>
          <w:sz w:val="18"/>
          <w:szCs w:val="18"/>
          <w:color w:val="auto"/>
        </w:rPr>
        <w:t>The premium for this reinsurance shall be 1.50% of the subject Net Premiums earned by the COMPANY during any Annual Period this Reinsurance Contract remains in force, and shall be subject to a minimum premium of $3,000,000 for each Annual Period.</w:t>
      </w:r>
    </w:p>
    <w:p>
      <w:pPr>
        <w:spacing w:after="0" w:line="156"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The COMPANY shall pay to the REINSURER a deposit premium of $ 3,375,000 for each Annual Period which shall be payable in equal installments of $1,687,500 each on the first days of January and July during the period this Reinsurance Contract remains in force. Final adjustment of the premium for each Annual Period hereunder shall be made as soon as may be reasonably practicable after expiration of that Annual Period.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caused this Agreement to be executed by their duly authorized representatives.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Erie, Pennsylvania, this first day of December, 2004.</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160" w:type="dxa"/>
            <w:vAlign w:val="bottom"/>
            <w:vMerge w:val="restart"/>
          </w:tcPr>
          <w:p>
            <w:pPr>
              <w:spacing w:after="0"/>
              <w:rPr>
                <w:sz w:val="20"/>
                <w:szCs w:val="20"/>
                <w:color w:val="auto"/>
              </w:rPr>
            </w:pPr>
            <w:r>
              <w:rPr>
                <w:rFonts w:ascii="Arial" w:cs="Arial" w:eastAsia="Arial" w:hAnsi="Arial"/>
                <w:sz w:val="18"/>
                <w:szCs w:val="18"/>
                <w:color w:val="auto"/>
              </w:rPr>
              <w:t>ATTEST:</w:t>
            </w:r>
          </w:p>
        </w:tc>
        <w:tc>
          <w:tcPr>
            <w:tcW w:w="11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ERIE INSURANCE COMPANY</w:t>
            </w:r>
          </w:p>
        </w:tc>
        <w:tc>
          <w:tcPr>
            <w:tcW w:w="0" w:type="dxa"/>
            <w:vAlign w:val="bottom"/>
          </w:tcPr>
          <w:p>
            <w:pPr>
              <w:spacing w:after="0"/>
              <w:rPr>
                <w:sz w:val="1"/>
                <w:szCs w:val="1"/>
                <w:color w:val="auto"/>
              </w:rPr>
            </w:pPr>
          </w:p>
        </w:tc>
      </w:tr>
      <w:tr>
        <w:trPr>
          <w:trHeight w:val="188"/>
        </w:trPr>
        <w:tc>
          <w:tcPr>
            <w:tcW w:w="516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16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/s/ Pamela D Carullo</w:t>
            </w:r>
          </w:p>
        </w:tc>
        <w:tc>
          <w:tcPr>
            <w:tcW w:w="1120" w:type="dxa"/>
            <w:vAlign w:val="bottom"/>
          </w:tcPr>
          <w:p>
            <w:pPr>
              <w:spacing w:after="0"/>
              <w:rPr>
                <w:sz w:val="17"/>
                <w:szCs w:val="17"/>
                <w:color w:val="auto"/>
              </w:rPr>
            </w:pPr>
          </w:p>
        </w:tc>
        <w:tc>
          <w:tcPr>
            <w:tcW w:w="51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/s/ Jan R. Van Gorder</w:t>
            </w:r>
          </w:p>
        </w:tc>
        <w:tc>
          <w:tcPr>
            <w:tcW w:w="0" w:type="dxa"/>
            <w:vAlign w:val="bottom"/>
          </w:tcPr>
          <w:p>
            <w:pPr>
              <w:spacing w:after="0"/>
              <w:rPr>
                <w:sz w:val="1"/>
                <w:szCs w:val="1"/>
                <w:color w:val="auto"/>
              </w:rPr>
            </w:pPr>
          </w:p>
        </w:tc>
      </w:tr>
      <w:tr>
        <w:trPr>
          <w:trHeight w:val="411"/>
        </w:trPr>
        <w:tc>
          <w:tcPr>
            <w:tcW w:w="5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ERIE INSURANCE COMPANY</w:t>
            </w:r>
          </w:p>
        </w:tc>
        <w:tc>
          <w:tcPr>
            <w:tcW w:w="0" w:type="dxa"/>
            <w:vAlign w:val="bottom"/>
          </w:tcPr>
          <w:p>
            <w:pPr>
              <w:spacing w:after="0"/>
              <w:rPr>
                <w:sz w:val="1"/>
                <w:szCs w:val="1"/>
                <w:color w:val="auto"/>
              </w:rPr>
            </w:pPr>
          </w:p>
        </w:tc>
      </w:tr>
      <w:tr>
        <w:trPr>
          <w:trHeight w:val="217"/>
        </w:trPr>
        <w:tc>
          <w:tcPr>
            <w:tcW w:w="5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OF NEW YORK</w:t>
            </w:r>
          </w:p>
        </w:tc>
        <w:tc>
          <w:tcPr>
            <w:tcW w:w="0" w:type="dxa"/>
            <w:vAlign w:val="bottom"/>
          </w:tcPr>
          <w:p>
            <w:pPr>
              <w:spacing w:after="0"/>
              <w:rPr>
                <w:sz w:val="1"/>
                <w:szCs w:val="1"/>
                <w:color w:val="auto"/>
              </w:rPr>
            </w:pPr>
          </w:p>
        </w:tc>
      </w:tr>
      <w:tr>
        <w:trPr>
          <w:trHeight w:val="391"/>
        </w:trPr>
        <w:tc>
          <w:tcPr>
            <w:tcW w:w="5160" w:type="dxa"/>
            <w:vAlign w:val="bottom"/>
          </w:tcPr>
          <w:p>
            <w:pPr>
              <w:spacing w:after="0"/>
              <w:rPr>
                <w:sz w:val="20"/>
                <w:szCs w:val="20"/>
                <w:color w:val="auto"/>
              </w:rPr>
            </w:pPr>
            <w:r>
              <w:rPr>
                <w:rFonts w:ascii="Arial" w:cs="Arial" w:eastAsia="Arial" w:hAnsi="Arial"/>
                <w:sz w:val="18"/>
                <w:szCs w:val="18"/>
                <w:color w:val="auto"/>
              </w:rPr>
              <w:t>ATTEST:</w:t>
            </w:r>
          </w:p>
        </w:tc>
        <w:tc>
          <w:tcPr>
            <w:tcW w:w="11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16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/s/ Cori Coccarelli</w:t>
            </w:r>
          </w:p>
        </w:tc>
        <w:tc>
          <w:tcPr>
            <w:tcW w:w="1120" w:type="dxa"/>
            <w:vAlign w:val="bottom"/>
          </w:tcPr>
          <w:p>
            <w:pPr>
              <w:spacing w:after="0"/>
              <w:rPr>
                <w:sz w:val="17"/>
                <w:szCs w:val="17"/>
                <w:color w:val="auto"/>
              </w:rPr>
            </w:pPr>
          </w:p>
        </w:tc>
        <w:tc>
          <w:tcPr>
            <w:tcW w:w="51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/s/ Philip A. Garcia</w:t>
            </w:r>
          </w:p>
        </w:tc>
        <w:tc>
          <w:tcPr>
            <w:tcW w:w="0" w:type="dxa"/>
            <w:vAlign w:val="bottom"/>
          </w:tcPr>
          <w:p>
            <w:pPr>
              <w:spacing w:after="0"/>
              <w:rPr>
                <w:sz w:val="1"/>
                <w:szCs w:val="1"/>
                <w:color w:val="auto"/>
              </w:rPr>
            </w:pPr>
          </w:p>
        </w:tc>
      </w:tr>
      <w:tr>
        <w:trPr>
          <w:trHeight w:val="411"/>
        </w:trPr>
        <w:tc>
          <w:tcPr>
            <w:tcW w:w="5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ERIE INSURANCE EXCHANGE, by</w:t>
            </w:r>
          </w:p>
        </w:tc>
        <w:tc>
          <w:tcPr>
            <w:tcW w:w="0" w:type="dxa"/>
            <w:vAlign w:val="bottom"/>
          </w:tcPr>
          <w:p>
            <w:pPr>
              <w:spacing w:after="0"/>
              <w:rPr>
                <w:sz w:val="1"/>
                <w:szCs w:val="1"/>
                <w:color w:val="auto"/>
              </w:rPr>
            </w:pPr>
          </w:p>
        </w:tc>
      </w:tr>
      <w:tr>
        <w:trPr>
          <w:trHeight w:val="203"/>
        </w:trPr>
        <w:tc>
          <w:tcPr>
            <w:tcW w:w="5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140" w:type="dxa"/>
            <w:vAlign w:val="bottom"/>
          </w:tcPr>
          <w:p>
            <w:pPr>
              <w:spacing w:after="0" w:line="202" w:lineRule="exact"/>
              <w:rPr>
                <w:sz w:val="20"/>
                <w:szCs w:val="20"/>
                <w:color w:val="auto"/>
              </w:rPr>
            </w:pPr>
            <w:r>
              <w:rPr>
                <w:rFonts w:ascii="Arial" w:cs="Arial" w:eastAsia="Arial" w:hAnsi="Arial"/>
                <w:sz w:val="18"/>
                <w:szCs w:val="18"/>
                <w:color w:val="auto"/>
              </w:rPr>
              <w:t>ERIE INDEMNITY COMPANY,</w:t>
            </w:r>
          </w:p>
        </w:tc>
        <w:tc>
          <w:tcPr>
            <w:tcW w:w="0" w:type="dxa"/>
            <w:vAlign w:val="bottom"/>
          </w:tcPr>
          <w:p>
            <w:pPr>
              <w:spacing w:after="0"/>
              <w:rPr>
                <w:sz w:val="1"/>
                <w:szCs w:val="1"/>
                <w:color w:val="auto"/>
              </w:rPr>
            </w:pPr>
          </w:p>
        </w:tc>
      </w:tr>
      <w:tr>
        <w:trPr>
          <w:trHeight w:val="217"/>
        </w:trPr>
        <w:tc>
          <w:tcPr>
            <w:tcW w:w="5160" w:type="dxa"/>
            <w:vAlign w:val="bottom"/>
            <w:vMerge w:val="restart"/>
          </w:tcPr>
          <w:p>
            <w:pPr>
              <w:spacing w:after="0"/>
              <w:rPr>
                <w:sz w:val="20"/>
                <w:szCs w:val="20"/>
                <w:color w:val="auto"/>
              </w:rPr>
            </w:pPr>
            <w:r>
              <w:rPr>
                <w:rFonts w:ascii="Arial" w:cs="Arial" w:eastAsia="Arial" w:hAnsi="Arial"/>
                <w:sz w:val="18"/>
                <w:szCs w:val="18"/>
                <w:color w:val="auto"/>
              </w:rPr>
              <w:t>ATTEST:</w:t>
            </w:r>
          </w:p>
        </w:tc>
        <w:tc>
          <w:tcPr>
            <w:tcW w:w="11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Attorney-in-Fact</w:t>
            </w:r>
          </w:p>
        </w:tc>
        <w:tc>
          <w:tcPr>
            <w:tcW w:w="0" w:type="dxa"/>
            <w:vAlign w:val="bottom"/>
          </w:tcPr>
          <w:p>
            <w:pPr>
              <w:spacing w:after="0"/>
              <w:rPr>
                <w:sz w:val="1"/>
                <w:szCs w:val="1"/>
                <w:color w:val="auto"/>
              </w:rPr>
            </w:pPr>
          </w:p>
        </w:tc>
      </w:tr>
      <w:tr>
        <w:trPr>
          <w:trHeight w:val="188"/>
        </w:trPr>
        <w:tc>
          <w:tcPr>
            <w:tcW w:w="516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16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/s/ Pamela D. Carullo</w:t>
            </w:r>
          </w:p>
        </w:tc>
        <w:tc>
          <w:tcPr>
            <w:tcW w:w="1120" w:type="dxa"/>
            <w:vAlign w:val="bottom"/>
          </w:tcPr>
          <w:p>
            <w:pPr>
              <w:spacing w:after="0"/>
              <w:rPr>
                <w:sz w:val="17"/>
                <w:szCs w:val="17"/>
                <w:color w:val="auto"/>
              </w:rPr>
            </w:pPr>
          </w:p>
        </w:tc>
        <w:tc>
          <w:tcPr>
            <w:tcW w:w="51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/s/ Michael S. Zavasky</w:t>
            </w:r>
          </w:p>
        </w:tc>
        <w:tc>
          <w:tcPr>
            <w:tcW w:w="0" w:type="dxa"/>
            <w:vAlign w:val="bottom"/>
          </w:tcPr>
          <w:p>
            <w:pPr>
              <w:spacing w:after="0"/>
              <w:rPr>
                <w:sz w:val="1"/>
                <w:szCs w:val="1"/>
                <w:color w:val="auto"/>
              </w:rPr>
            </w:pPr>
          </w:p>
        </w:tc>
      </w:tr>
      <w:tr>
        <w:trPr>
          <w:trHeight w:val="412"/>
        </w:trPr>
        <w:tc>
          <w:tcPr>
            <w:tcW w:w="5160" w:type="dxa"/>
            <w:vAlign w:val="bottom"/>
          </w:tcPr>
          <w:p>
            <w:pPr>
              <w:spacing w:after="0"/>
              <w:rPr>
                <w:sz w:val="24"/>
                <w:szCs w:val="24"/>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color w:val="auto"/>
              </w:rPr>
              <w:t>48</w:t>
            </w:r>
          </w:p>
        </w:tc>
        <w:tc>
          <w:tcPr>
            <w:tcW w:w="5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27" w:right="239" w:bottom="1440" w:gutter="0" w:footer="0" w:header="0"/>
        </w:sectPr>
      </w:pPr>
    </w:p>
    <w:bookmarkStart w:id="49" w:name="page50"/>
    <w:bookmarkEnd w:id="49"/>
    <w:p>
      <w:pPr>
        <w:ind w:left="5160"/>
        <w:spacing w:after="0"/>
        <w:rPr>
          <w:sz w:val="20"/>
          <w:szCs w:val="20"/>
          <w:color w:val="auto"/>
        </w:rPr>
      </w:pPr>
      <w:r>
        <w:rPr>
          <w:rFonts w:ascii="Arial" w:cs="Arial" w:eastAsia="Arial" w:hAnsi="Arial"/>
          <w:sz w:val="18"/>
          <w:szCs w:val="18"/>
          <w:color w:val="auto"/>
        </w:rPr>
        <w:t>EXHIBIT 31.1</w:t>
      </w:r>
    </w:p>
    <w:p>
      <w:pPr>
        <w:spacing w:after="0" w:line="180"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CERTIFICATION OF CHIEF EXECUTIVE OFFICER</w:t>
      </w:r>
    </w:p>
    <w:p>
      <w:pPr>
        <w:jc w:val="center"/>
        <w:ind w:right="-19"/>
        <w:spacing w:after="0" w:line="234" w:lineRule="auto"/>
        <w:rPr>
          <w:sz w:val="20"/>
          <w:szCs w:val="20"/>
          <w:color w:val="auto"/>
        </w:rPr>
      </w:pPr>
      <w:r>
        <w:rPr>
          <w:rFonts w:ascii="Arial" w:cs="Arial" w:eastAsia="Arial" w:hAnsi="Arial"/>
          <w:sz w:val="18"/>
          <w:szCs w:val="18"/>
          <w:color w:val="auto"/>
        </w:rPr>
        <w:t>PURSUANT TO SECTION 302</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 THE SARBANES-OXLEY ACT OF 2002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Jeffrey A. Ludrof, Chief Executive Officer of Erie Indemnity Company, certify that:</w:t>
      </w:r>
    </w:p>
    <w:p>
      <w:pPr>
        <w:spacing w:after="0" w:line="212" w:lineRule="exact"/>
        <w:rPr>
          <w:sz w:val="20"/>
          <w:szCs w:val="20"/>
          <w:color w:val="auto"/>
        </w:rPr>
      </w:pPr>
    </w:p>
    <w:p>
      <w:pPr>
        <w:ind w:left="600" w:hanging="254"/>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Erie Indemnity Company;</w:t>
      </w:r>
    </w:p>
    <w:p>
      <w:pPr>
        <w:spacing w:after="0" w:line="198" w:lineRule="exact"/>
        <w:rPr>
          <w:rFonts w:ascii="Arial" w:cs="Arial" w:eastAsia="Arial" w:hAnsi="Arial"/>
          <w:sz w:val="18"/>
          <w:szCs w:val="18"/>
          <w:color w:val="auto"/>
        </w:rPr>
      </w:pPr>
    </w:p>
    <w:p>
      <w:pPr>
        <w:ind w:left="600" w:right="20" w:hanging="254"/>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8"/>
          <w:szCs w:val="18"/>
          <w:color w:val="auto"/>
        </w:rPr>
      </w:pPr>
    </w:p>
    <w:p>
      <w:pPr>
        <w:ind w:left="600" w:right="60" w:hanging="254"/>
        <w:spacing w:after="0" w:line="275" w:lineRule="auto"/>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Arial" w:cs="Arial" w:eastAsia="Arial" w:hAnsi="Arial"/>
          <w:sz w:val="17"/>
          <w:szCs w:val="17"/>
          <w:color w:val="auto"/>
        </w:rPr>
      </w:pPr>
    </w:p>
    <w:p>
      <w:pPr>
        <w:ind w:left="600" w:right="120" w:hanging="254"/>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13a-15(f) and 15d-15(f)) for the registrant and have:</w:t>
      </w:r>
    </w:p>
    <w:p>
      <w:pPr>
        <w:spacing w:after="0" w:line="202" w:lineRule="exact"/>
        <w:rPr>
          <w:rFonts w:ascii="Arial" w:cs="Arial" w:eastAsia="Arial" w:hAnsi="Arial"/>
          <w:sz w:val="18"/>
          <w:szCs w:val="18"/>
          <w:color w:val="auto"/>
        </w:rPr>
      </w:pPr>
    </w:p>
    <w:p>
      <w:pPr>
        <w:jc w:val="both"/>
        <w:ind w:left="960" w:right="160" w:hanging="277"/>
        <w:spacing w:after="0"/>
        <w:tabs>
          <w:tab w:leader="none" w:pos="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8"/>
          <w:szCs w:val="18"/>
          <w:color w:val="auto"/>
        </w:rPr>
      </w:pPr>
    </w:p>
    <w:p>
      <w:pPr>
        <w:ind w:left="960" w:right="400" w:hanging="277"/>
        <w:spacing w:after="0"/>
        <w:tabs>
          <w:tab w:leader="none" w:pos="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designated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8"/>
          <w:szCs w:val="18"/>
          <w:color w:val="auto"/>
        </w:rPr>
      </w:pPr>
    </w:p>
    <w:p>
      <w:pPr>
        <w:ind w:left="960" w:right="60" w:hanging="277"/>
        <w:spacing w:after="0"/>
        <w:tabs>
          <w:tab w:leader="none" w:pos="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8"/>
          <w:szCs w:val="18"/>
          <w:color w:val="auto"/>
        </w:rPr>
      </w:pPr>
    </w:p>
    <w:p>
      <w:pPr>
        <w:ind w:left="960" w:hanging="277"/>
        <w:spacing w:after="0"/>
        <w:tabs>
          <w:tab w:leader="none" w:pos="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2" w:lineRule="exact"/>
        <w:rPr>
          <w:rFonts w:ascii="Arial" w:cs="Arial" w:eastAsia="Arial" w:hAnsi="Arial"/>
          <w:sz w:val="18"/>
          <w:szCs w:val="18"/>
          <w:color w:val="auto"/>
        </w:rPr>
      </w:pPr>
    </w:p>
    <w:p>
      <w:pPr>
        <w:ind w:left="600" w:right="540" w:hanging="254"/>
        <w:spacing w:after="0" w:line="246"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196" w:lineRule="exact"/>
        <w:rPr>
          <w:rFonts w:ascii="Arial" w:cs="Arial" w:eastAsia="Arial" w:hAnsi="Arial"/>
          <w:sz w:val="18"/>
          <w:szCs w:val="18"/>
          <w:color w:val="auto"/>
        </w:rPr>
      </w:pPr>
    </w:p>
    <w:p>
      <w:pPr>
        <w:ind w:left="960" w:right="80" w:hanging="277"/>
        <w:spacing w:after="0" w:line="246" w:lineRule="auto"/>
        <w:tabs>
          <w:tab w:leader="none" w:pos="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960" w:right="360" w:hanging="277"/>
        <w:spacing w:after="0" w:line="246" w:lineRule="auto"/>
        <w:tabs>
          <w:tab w:leader="none" w:pos="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April 25, 2005</w:t>
      </w:r>
    </w:p>
    <w:p>
      <w:pPr>
        <w:spacing w:after="0" w:line="374"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Jeffrey A. Ludrof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-1905</wp:posOffset>
            </wp:positionV>
            <wp:extent cx="32588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Jeffrey A. Ludrof, President &amp; CEO</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949" w:right="259" w:bottom="1440" w:gutter="0" w:footer="0" w:header="0"/>
        </w:sectPr>
      </w:pPr>
    </w:p>
    <w:bookmarkStart w:id="50" w:name="page51"/>
    <w:bookmarkEnd w:id="50"/>
    <w:p>
      <w:pPr>
        <w:ind w:left="5160"/>
        <w:spacing w:after="0"/>
        <w:rPr>
          <w:sz w:val="20"/>
          <w:szCs w:val="20"/>
          <w:color w:val="auto"/>
        </w:rPr>
      </w:pPr>
      <w:r>
        <w:rPr>
          <w:rFonts w:ascii="Arial" w:cs="Arial" w:eastAsia="Arial" w:hAnsi="Arial"/>
          <w:sz w:val="18"/>
          <w:szCs w:val="18"/>
          <w:color w:val="auto"/>
        </w:rPr>
        <w:t>EXHIBIT 31.2</w:t>
      </w:r>
    </w:p>
    <w:p>
      <w:pPr>
        <w:spacing w:after="0" w:line="180"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CERTIFICATION OF CHIEF FINANCIAL OFFICER</w:t>
      </w:r>
    </w:p>
    <w:p>
      <w:pPr>
        <w:jc w:val="center"/>
        <w:ind w:right="-39"/>
        <w:spacing w:after="0" w:line="234" w:lineRule="auto"/>
        <w:rPr>
          <w:sz w:val="20"/>
          <w:szCs w:val="20"/>
          <w:color w:val="auto"/>
        </w:rPr>
      </w:pPr>
      <w:r>
        <w:rPr>
          <w:rFonts w:ascii="Arial" w:cs="Arial" w:eastAsia="Arial" w:hAnsi="Arial"/>
          <w:sz w:val="18"/>
          <w:szCs w:val="18"/>
          <w:color w:val="auto"/>
        </w:rPr>
        <w:t>PURSUANT TO SECTION 302</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OF THE SARBANES-OXLEY ACT OF 2002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Philip A. Garcia, Chief Financial Officer of Erie Indemnity Company, certify that:</w:t>
      </w:r>
    </w:p>
    <w:p>
      <w:pPr>
        <w:spacing w:after="0" w:line="212" w:lineRule="exact"/>
        <w:rPr>
          <w:sz w:val="20"/>
          <w:szCs w:val="20"/>
          <w:color w:val="auto"/>
        </w:rPr>
      </w:pPr>
    </w:p>
    <w:p>
      <w:pPr>
        <w:ind w:left="600" w:hanging="254"/>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Erie Indemnity Company;</w:t>
      </w:r>
    </w:p>
    <w:p>
      <w:pPr>
        <w:spacing w:after="0" w:line="198" w:lineRule="exact"/>
        <w:rPr>
          <w:rFonts w:ascii="Arial" w:cs="Arial" w:eastAsia="Arial" w:hAnsi="Arial"/>
          <w:sz w:val="18"/>
          <w:szCs w:val="18"/>
          <w:color w:val="auto"/>
        </w:rPr>
      </w:pPr>
    </w:p>
    <w:p>
      <w:pPr>
        <w:ind w:left="600" w:right="20" w:hanging="254"/>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8"/>
          <w:szCs w:val="18"/>
          <w:color w:val="auto"/>
        </w:rPr>
      </w:pPr>
    </w:p>
    <w:p>
      <w:pPr>
        <w:ind w:left="600" w:right="60" w:hanging="254"/>
        <w:spacing w:after="0" w:line="275" w:lineRule="auto"/>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Arial" w:cs="Arial" w:eastAsia="Arial" w:hAnsi="Arial"/>
          <w:sz w:val="17"/>
          <w:szCs w:val="17"/>
          <w:color w:val="auto"/>
        </w:rPr>
      </w:pPr>
    </w:p>
    <w:p>
      <w:pPr>
        <w:ind w:left="600" w:right="120" w:hanging="254"/>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13a-15(f) and 15d-15(f)) for the registrant and have:</w:t>
      </w:r>
    </w:p>
    <w:p>
      <w:pPr>
        <w:spacing w:after="0" w:line="202" w:lineRule="exact"/>
        <w:rPr>
          <w:rFonts w:ascii="Arial" w:cs="Arial" w:eastAsia="Arial" w:hAnsi="Arial"/>
          <w:sz w:val="18"/>
          <w:szCs w:val="18"/>
          <w:color w:val="auto"/>
        </w:rPr>
      </w:pPr>
    </w:p>
    <w:p>
      <w:pPr>
        <w:jc w:val="both"/>
        <w:ind w:left="940" w:right="180" w:hanging="257"/>
        <w:spacing w:after="0"/>
        <w:tabs>
          <w:tab w:leader="none" w:pos="94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8"/>
          <w:szCs w:val="18"/>
          <w:color w:val="auto"/>
        </w:rPr>
      </w:pPr>
    </w:p>
    <w:p>
      <w:pPr>
        <w:ind w:left="940" w:right="420" w:hanging="257"/>
        <w:spacing w:after="0"/>
        <w:tabs>
          <w:tab w:leader="none" w:pos="94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designated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8"/>
          <w:szCs w:val="18"/>
          <w:color w:val="auto"/>
        </w:rPr>
      </w:pPr>
    </w:p>
    <w:p>
      <w:pPr>
        <w:ind w:left="940" w:right="80" w:hanging="257"/>
        <w:spacing w:after="0"/>
        <w:tabs>
          <w:tab w:leader="none" w:pos="940" w:val="left"/>
        </w:tabs>
        <w:numPr>
          <w:ilvl w:val="1"/>
          <w:numId w:val="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8"/>
          <w:szCs w:val="18"/>
          <w:color w:val="auto"/>
        </w:rPr>
      </w:pPr>
    </w:p>
    <w:p>
      <w:pPr>
        <w:ind w:left="940" w:hanging="257"/>
        <w:spacing w:after="0"/>
        <w:tabs>
          <w:tab w:leader="none" w:pos="94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2" w:lineRule="exact"/>
        <w:rPr>
          <w:rFonts w:ascii="Arial" w:cs="Arial" w:eastAsia="Arial" w:hAnsi="Arial"/>
          <w:sz w:val="18"/>
          <w:szCs w:val="18"/>
          <w:color w:val="auto"/>
        </w:rPr>
      </w:pPr>
    </w:p>
    <w:p>
      <w:pPr>
        <w:ind w:left="600" w:right="540" w:hanging="254"/>
        <w:spacing w:after="0" w:line="246" w:lineRule="auto"/>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196" w:lineRule="exact"/>
        <w:rPr>
          <w:rFonts w:ascii="Arial" w:cs="Arial" w:eastAsia="Arial" w:hAnsi="Arial"/>
          <w:sz w:val="18"/>
          <w:szCs w:val="18"/>
          <w:color w:val="auto"/>
        </w:rPr>
      </w:pPr>
    </w:p>
    <w:p>
      <w:pPr>
        <w:ind w:left="940" w:right="80" w:hanging="257"/>
        <w:spacing w:after="0" w:line="246" w:lineRule="auto"/>
        <w:tabs>
          <w:tab w:leader="none" w:pos="940"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940" w:right="360" w:hanging="257"/>
        <w:spacing w:after="0" w:line="246" w:lineRule="auto"/>
        <w:tabs>
          <w:tab w:leader="none" w:pos="94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April 25, 2005</w:t>
      </w:r>
    </w:p>
    <w:p>
      <w:pPr>
        <w:spacing w:after="0" w:line="374"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Philip A.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-1905</wp:posOffset>
            </wp:positionV>
            <wp:extent cx="32588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Philip A. Garcia, Executive Vice President &amp; CFO</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949" w:right="259" w:bottom="1440" w:gutter="0" w:footer="0" w:header="0"/>
        </w:sectPr>
      </w:pPr>
    </w:p>
    <w:bookmarkStart w:id="51" w:name="page52"/>
    <w:bookmarkEnd w:id="51"/>
    <w:p>
      <w:pPr>
        <w:ind w:left="5240"/>
        <w:spacing w:after="0"/>
        <w:rPr>
          <w:sz w:val="20"/>
          <w:szCs w:val="20"/>
          <w:color w:val="auto"/>
        </w:rPr>
      </w:pPr>
      <w:r>
        <w:rPr>
          <w:rFonts w:ascii="Arial" w:cs="Arial" w:eastAsia="Arial" w:hAnsi="Arial"/>
          <w:sz w:val="18"/>
          <w:szCs w:val="18"/>
          <w:color w:val="auto"/>
        </w:rPr>
        <w:t>EXHIBIT 32</w:t>
      </w:r>
    </w:p>
    <w:p>
      <w:pPr>
        <w:spacing w:after="0" w:line="180"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CERTIFICATION PURSUANT TO</w:t>
      </w:r>
    </w:p>
    <w:p>
      <w:pPr>
        <w:jc w:val="center"/>
        <w:ind w:right="-39"/>
        <w:spacing w:after="0" w:line="234" w:lineRule="auto"/>
        <w:rPr>
          <w:sz w:val="20"/>
          <w:szCs w:val="20"/>
          <w:color w:val="auto"/>
        </w:rPr>
      </w:pPr>
      <w:r>
        <w:rPr>
          <w:rFonts w:ascii="Arial" w:cs="Arial" w:eastAsia="Arial" w:hAnsi="Arial"/>
          <w:sz w:val="18"/>
          <w:szCs w:val="18"/>
          <w:color w:val="auto"/>
        </w:rPr>
        <w:t>18 U.S.C. SECTION 1350,</w:t>
      </w:r>
    </w:p>
    <w:p>
      <w:pPr>
        <w:jc w:val="center"/>
        <w:ind w:right="-39"/>
        <w:spacing w:after="0" w:line="235" w:lineRule="auto"/>
        <w:rPr>
          <w:sz w:val="20"/>
          <w:szCs w:val="20"/>
          <w:color w:val="auto"/>
        </w:rPr>
      </w:pPr>
      <w:r>
        <w:rPr>
          <w:rFonts w:ascii="Arial" w:cs="Arial" w:eastAsia="Arial" w:hAnsi="Arial"/>
          <w:sz w:val="18"/>
          <w:szCs w:val="18"/>
          <w:color w:val="auto"/>
        </w:rPr>
        <w:t>AS ADOPTED PURSUANT TO</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906 OF THE SARBANES-OXLEY ACT OF 2002</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We, Jeffrey A. Ludrof, Chief Executive Officer of the Company, and Philip A. Garcia, Chief Financial Officer of the Company, certify, pursuant to</w:t>
      </w:r>
    </w:p>
    <w:p>
      <w:pPr>
        <w:spacing w:after="0" w:line="7" w:lineRule="exact"/>
        <w:rPr>
          <w:sz w:val="20"/>
          <w:szCs w:val="20"/>
          <w:color w:val="auto"/>
        </w:rPr>
      </w:pPr>
    </w:p>
    <w:p>
      <w:pPr>
        <w:ind w:left="160" w:hanging="152"/>
        <w:spacing w:after="0"/>
        <w:tabs>
          <w:tab w:leader="none" w:pos="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906 of the Sarbanes-Oxley Act of 2002, 18 U.S.C. § 1350, that:</w:t>
      </w:r>
    </w:p>
    <w:p>
      <w:pPr>
        <w:spacing w:after="0" w:line="211" w:lineRule="exact"/>
        <w:rPr>
          <w:rFonts w:ascii="Arial" w:cs="Arial" w:eastAsia="Arial" w:hAnsi="Arial"/>
          <w:sz w:val="18"/>
          <w:szCs w:val="18"/>
          <w:color w:val="auto"/>
        </w:rPr>
      </w:pPr>
    </w:p>
    <w:p>
      <w:pPr>
        <w:ind w:left="660" w:right="440" w:hanging="314"/>
        <w:spacing w:after="0" w:line="246"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March 31, 2005 (the “Report”) fully complies with the requirements of section 13(a) or 15(d) of the Securities Exchange Act of 1934 (15 U.S.C. 78m); and</w:t>
      </w:r>
    </w:p>
    <w:p>
      <w:pPr>
        <w:spacing w:after="0" w:line="183" w:lineRule="exact"/>
        <w:rPr>
          <w:rFonts w:ascii="Arial" w:cs="Arial" w:eastAsia="Arial" w:hAnsi="Arial"/>
          <w:sz w:val="18"/>
          <w:szCs w:val="18"/>
          <w:color w:val="auto"/>
        </w:rPr>
      </w:pPr>
    </w:p>
    <w:p>
      <w:pPr>
        <w:ind w:left="660" w:right="140" w:hanging="314"/>
        <w:spacing w:after="0" w:line="246"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Jeffrey A. Ludrof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190373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Jeffrey A. Ludrof</w:t>
      </w:r>
    </w:p>
    <w:p>
      <w:pPr>
        <w:spacing w:after="0"/>
        <w:rPr>
          <w:sz w:val="20"/>
          <w:szCs w:val="20"/>
          <w:color w:val="auto"/>
        </w:rPr>
      </w:pPr>
      <w:r>
        <w:rPr>
          <w:rFonts w:ascii="Arial" w:cs="Arial" w:eastAsia="Arial" w:hAnsi="Arial"/>
          <w:sz w:val="18"/>
          <w:szCs w:val="18"/>
          <w:color w:val="auto"/>
        </w:rPr>
        <w:t>President and Chief Executive Officer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 Philip A.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190373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Philip A. Garcia</w:t>
      </w: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April 25, 2005</w:t>
      </w:r>
    </w:p>
    <w:p>
      <w:pPr>
        <w:spacing w:after="0" w:line="18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Erie Indemnity Company and will be retained by Erie Indemnity Company and furnished to the Securities and Exchange Commission or its staff upon request.</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sectPr>
      <w:pgSz w:w="11900" w:h="16838" w:orient="portrait"/>
      <w:cols w:equalWidth="0" w:num="1">
        <w:col w:w="11380"/>
      </w:cols>
      <w:pgMar w:left="240" w:top="949"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1"/>
    </w:lvl>
    <w:lvl w:ilvl="1">
      <w:lvlJc w:val="left"/>
      <w:lvlText w:val="%2)"/>
      <w:numFmt w:val="lowerLetter"/>
      <w:start w:val="1"/>
    </w:lvl>
  </w:abstractNum>
  <w:abstractNum w:abstractNumId="3">
    <w:nsid w:val="238E1F29"/>
    <w:multiLevelType w:val="hybridMultilevel"/>
    <w:lvl w:ilvl="0">
      <w:lvlJc w:val="left"/>
      <w:lvlText w:val="%1."/>
      <w:numFmt w:val="decimal"/>
      <w:start w:val="1"/>
    </w:lvl>
    <w:lvl w:ilvl="1">
      <w:lvlJc w:val="left"/>
      <w:lvlText w:val="%2."/>
      <w:numFmt w:val="lowerLetter"/>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2019-12-14T03:13:25Z</dcterms:created>
  <dcterms:modified xsi:type="dcterms:W3CDTF">2019-12-14T03:13:25Z</dcterms:modified>
</cp:coreProperties>
</file>