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1" w:lineRule="exact"/>
        <w:rPr>
          <w:sz w:val="24"/>
          <w:szCs w:val="24"/>
          <w:color w:val="auto"/>
        </w:rPr>
      </w:pPr>
    </w:p>
    <w:p>
      <w:pPr>
        <w:jc w:val="center"/>
        <w:ind w:left="4160" w:right="1540" w:hanging="2614"/>
        <w:spacing w:after="0" w:line="265" w:lineRule="auto"/>
        <w:tabs>
          <w:tab w:leader="none" w:pos="1783"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2022</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Arial" w:cs="Arial" w:eastAsia="Arial" w:hAnsi="Arial"/>
          <w:sz w:val="16"/>
          <w:szCs w:val="16"/>
          <w:color w:val="auto"/>
        </w:rPr>
        <w:t>OR</w:t>
      </w:r>
    </w:p>
    <w:p>
      <w:pPr>
        <w:spacing w:after="0" w:line="18" w:lineRule="exact"/>
        <w:rPr>
          <w:rFonts w:ascii="MS PGothic" w:cs="MS PGothic" w:eastAsia="MS PGothic" w:hAnsi="MS PGothic"/>
          <w:sz w:val="18"/>
          <w:szCs w:val="18"/>
          <w:color w:val="auto"/>
        </w:rPr>
      </w:pPr>
    </w:p>
    <w:p>
      <w:pPr>
        <w:ind w:left="1620" w:hanging="24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0-24000</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19685</wp:posOffset>
            </wp:positionV>
            <wp:extent cx="3454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660" w:type="dxa"/>
        <w:tblCellMar>
          <w:top w:w="0" w:type="dxa"/>
          <w:left w:w="0" w:type="dxa"/>
          <w:bottom w:w="0" w:type="dxa"/>
          <w:right w:w="0" w:type="dxa"/>
        </w:tblCellMar>
      </w:tblPr>
      <w:tr>
        <w:trPr>
          <w:trHeight w:val="219"/>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0"/>
              </w:rPr>
              <w:t>Pennsylvania</w:t>
            </w:r>
          </w:p>
        </w:tc>
        <w:tc>
          <w:tcPr>
            <w:tcW w:w="1060" w:type="dxa"/>
            <w:vAlign w:val="bottom"/>
            <w:gridSpan w:val="2"/>
          </w:tcPr>
          <w:p>
            <w:pPr>
              <w:spacing w:after="0"/>
              <w:rPr>
                <w:sz w:val="19"/>
                <w:szCs w:val="19"/>
                <w:color w:val="auto"/>
              </w:rPr>
            </w:pPr>
          </w:p>
        </w:tc>
        <w:tc>
          <w:tcPr>
            <w:tcW w:w="1340" w:type="dxa"/>
            <w:vAlign w:val="bottom"/>
            <w:tcBorders>
              <w:bottom w:val="single" w:sz="8" w:color="auto"/>
            </w:tcBorders>
            <w:gridSpan w:val="2"/>
          </w:tcPr>
          <w:p>
            <w:pPr>
              <w:spacing w:after="0"/>
              <w:rPr>
                <w:sz w:val="19"/>
                <w:szCs w:val="19"/>
                <w:color w:val="auto"/>
              </w:rPr>
            </w:pPr>
          </w:p>
        </w:tc>
        <w:tc>
          <w:tcPr>
            <w:tcW w:w="304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6"/>
                <w:szCs w:val="16"/>
                <w:color w:val="auto"/>
                <w:w w:val="91"/>
              </w:rPr>
              <w:t>25-0466020</w:t>
            </w:r>
          </w:p>
        </w:tc>
      </w:tr>
      <w:tr>
        <w:trPr>
          <w:trHeight w:val="210"/>
        </w:trPr>
        <w:tc>
          <w:tcPr>
            <w:tcW w:w="6900" w:type="dxa"/>
            <w:vAlign w:val="bottom"/>
            <w:gridSpan w:val="6"/>
          </w:tcPr>
          <w:p>
            <w:pPr>
              <w:jc w:val="center"/>
              <w:ind w:right="2420"/>
              <w:spacing w:after="0"/>
              <w:rPr>
                <w:sz w:val="20"/>
                <w:szCs w:val="20"/>
                <w:color w:val="auto"/>
              </w:rPr>
            </w:pPr>
            <w:r>
              <w:rPr>
                <w:rFonts w:ascii="Arial" w:cs="Arial" w:eastAsia="Arial" w:hAnsi="Arial"/>
                <w:sz w:val="16"/>
                <w:szCs w:val="16"/>
                <w:color w:val="auto"/>
                <w:w w:val="93"/>
              </w:rPr>
              <w:t>(State or other jurisdiction of</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6"/>
              </w:rPr>
              <w:t>(IRS Employer</w:t>
            </w:r>
          </w:p>
        </w:tc>
      </w:tr>
      <w:tr>
        <w:trPr>
          <w:trHeight w:val="216"/>
        </w:trPr>
        <w:tc>
          <w:tcPr>
            <w:tcW w:w="6900" w:type="dxa"/>
            <w:vAlign w:val="bottom"/>
            <w:gridSpan w:val="6"/>
          </w:tcPr>
          <w:p>
            <w:pPr>
              <w:jc w:val="center"/>
              <w:ind w:right="2420"/>
              <w:spacing w:after="0"/>
              <w:rPr>
                <w:sz w:val="20"/>
                <w:szCs w:val="20"/>
                <w:color w:val="auto"/>
              </w:rPr>
            </w:pPr>
            <w:r>
              <w:rPr>
                <w:rFonts w:ascii="Arial" w:cs="Arial" w:eastAsia="Arial" w:hAnsi="Arial"/>
                <w:sz w:val="16"/>
                <w:szCs w:val="16"/>
                <w:color w:val="auto"/>
                <w:w w:val="94"/>
              </w:rPr>
              <w:t>incorporation or organization)</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6"/>
              </w:rPr>
              <w:t>Identification No.)</w:t>
            </w:r>
          </w:p>
        </w:tc>
      </w:tr>
      <w:tr>
        <w:trPr>
          <w:trHeight w:val="341"/>
        </w:trPr>
        <w:tc>
          <w:tcPr>
            <w:tcW w:w="23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100 Erie Insurance Place,</w:t>
            </w: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Erie,  Pennsylvania</w:t>
            </w:r>
          </w:p>
        </w:tc>
        <w:tc>
          <w:tcPr>
            <w:tcW w:w="1060" w:type="dxa"/>
            <w:vAlign w:val="bottom"/>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center"/>
              <w:ind w:right="1360"/>
              <w:spacing w:after="0"/>
              <w:rPr>
                <w:sz w:val="20"/>
                <w:szCs w:val="20"/>
                <w:color w:val="auto"/>
              </w:rPr>
            </w:pPr>
            <w:r>
              <w:rPr>
                <w:rFonts w:ascii="Arial" w:cs="Arial" w:eastAsia="Arial" w:hAnsi="Arial"/>
                <w:sz w:val="16"/>
                <w:szCs w:val="16"/>
                <w:color w:val="auto"/>
                <w:w w:val="89"/>
              </w:rPr>
              <w:t>16530</w:t>
            </w:r>
          </w:p>
        </w:tc>
      </w:tr>
      <w:tr>
        <w:trPr>
          <w:trHeight w:val="206"/>
        </w:trPr>
        <w:tc>
          <w:tcPr>
            <w:tcW w:w="6900" w:type="dxa"/>
            <w:vAlign w:val="bottom"/>
            <w:gridSpan w:val="6"/>
          </w:tcPr>
          <w:p>
            <w:pPr>
              <w:jc w:val="center"/>
              <w:ind w:right="2400"/>
              <w:spacing w:after="0"/>
              <w:rPr>
                <w:sz w:val="20"/>
                <w:szCs w:val="20"/>
                <w:color w:val="auto"/>
              </w:rPr>
            </w:pPr>
            <w:r>
              <w:rPr>
                <w:rFonts w:ascii="Arial" w:cs="Arial" w:eastAsia="Arial" w:hAnsi="Arial"/>
                <w:sz w:val="16"/>
                <w:szCs w:val="16"/>
                <w:color w:val="auto"/>
                <w:w w:val="94"/>
              </w:rPr>
              <w:t>(Address of principal executive offices)</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5"/>
              </w:rPr>
              <w:t>(Zip Code)</w:t>
            </w:r>
          </w:p>
        </w:tc>
      </w:tr>
      <w:tr>
        <w:trPr>
          <w:trHeight w:val="664"/>
        </w:trPr>
        <w:tc>
          <w:tcPr>
            <w:tcW w:w="230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814 870-2000</w:t>
            </w: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r>
        <w:trPr>
          <w:trHeight w:val="207"/>
        </w:trPr>
        <w:tc>
          <w:tcPr>
            <w:tcW w:w="2300" w:type="dxa"/>
            <w:vAlign w:val="bottom"/>
          </w:tcPr>
          <w:p>
            <w:pPr>
              <w:spacing w:after="0"/>
              <w:rPr>
                <w:sz w:val="17"/>
                <w:szCs w:val="17"/>
                <w:color w:val="auto"/>
              </w:rPr>
            </w:pPr>
          </w:p>
        </w:tc>
        <w:tc>
          <w:tcPr>
            <w:tcW w:w="4600" w:type="dxa"/>
            <w:vAlign w:val="bottom"/>
            <w:gridSpan w:val="5"/>
          </w:tcPr>
          <w:p>
            <w:pPr>
              <w:jc w:val="center"/>
              <w:ind w:left="599"/>
              <w:spacing w:after="0"/>
              <w:rPr>
                <w:sz w:val="20"/>
                <w:szCs w:val="20"/>
                <w:color w:val="auto"/>
              </w:rPr>
            </w:pPr>
            <w:r>
              <w:rPr>
                <w:rFonts w:ascii="Arial" w:cs="Arial" w:eastAsia="Arial" w:hAnsi="Arial"/>
                <w:sz w:val="16"/>
                <w:szCs w:val="16"/>
                <w:color w:val="auto"/>
                <w:w w:val="91"/>
              </w:rPr>
              <w:t>(Registrant’s telephone number, including area code)</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Class A common stock, stated value $0.0292 per share</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ERIE</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207"/>
        </w:trPr>
        <w:tc>
          <w:tcPr>
            <w:tcW w:w="4960" w:type="dxa"/>
            <w:vAlign w:val="bottom"/>
            <w:gridSpan w:val="2"/>
          </w:tcPr>
          <w:p>
            <w:pPr>
              <w:ind w:left="1740"/>
              <w:spacing w:after="0"/>
              <w:rPr>
                <w:sz w:val="20"/>
                <w:szCs w:val="20"/>
                <w:color w:val="auto"/>
              </w:rPr>
            </w:pPr>
            <w:r>
              <w:rPr>
                <w:rFonts w:ascii="Arial" w:cs="Arial" w:eastAsia="Arial" w:hAnsi="Arial"/>
                <w:sz w:val="16"/>
                <w:szCs w:val="16"/>
                <w:color w:val="auto"/>
              </w:rPr>
              <w:t>(Title of each class)</w:t>
            </w: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(Trading Symbol)</w:t>
            </w:r>
          </w:p>
        </w:tc>
        <w:tc>
          <w:tcPr>
            <w:tcW w:w="404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bl>
    <w:p>
      <w:pPr>
        <w:spacing w:after="0" w:line="330"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10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93"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6" w:lineRule="exact"/>
        <w:rPr>
          <w:sz w:val="24"/>
          <w:szCs w:val="24"/>
          <w:color w:val="auto"/>
        </w:rPr>
      </w:pPr>
    </w:p>
    <w:p>
      <w:pPr>
        <w:ind w:right="400"/>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213" w:lineRule="exact"/>
        <w:rPr>
          <w:sz w:val="24"/>
          <w:szCs w:val="24"/>
          <w:color w:val="auto"/>
        </w:rPr>
      </w:pPr>
    </w:p>
    <w:p>
      <w:pPr>
        <w:ind w:right="140"/>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9" w:right="339" w:bottom="1440" w:gutter="0" w:footer="0" w:header="0"/>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6">
            <w:col w:w="1620" w:space="720"/>
            <w:col w:w="1060" w:space="720"/>
            <w:col w:w="1620" w:space="720"/>
            <w:col w:w="1040" w:space="720"/>
            <w:col w:w="1380" w:space="480"/>
            <w:col w:w="1160"/>
          </w:cols>
          <w:pgMar w:left="320" w:top="229"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800" w:space="540"/>
            <w:col w:w="1060" w:space="720"/>
            <w:col w:w="1760" w:space="580"/>
            <w:col w:w="4780"/>
          </w:cols>
          <w:pgMar w:left="320" w:top="229" w:right="339" w:bottom="1440" w:gutter="0" w:footer="0" w:header="0"/>
          <w:type w:val="continuous"/>
        </w:sectPr>
      </w:pPr>
    </w:p>
    <w:p>
      <w:pPr>
        <w:spacing w:after="0" w:line="179"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ind w:right="220"/>
        <w:spacing w:after="0" w:line="22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9" w:lineRule="exact"/>
        <w:rPr>
          <w:sz w:val="24"/>
          <w:szCs w:val="24"/>
          <w:color w:val="auto"/>
        </w:rPr>
      </w:pPr>
    </w:p>
    <w:p>
      <w:pPr>
        <w:jc w:val="both"/>
        <w:ind w:right="140"/>
        <w:spacing w:after="0" w:line="269" w:lineRule="auto"/>
        <w:rPr>
          <w:sz w:val="20"/>
          <w:szCs w:val="20"/>
          <w:color w:val="auto"/>
        </w:rPr>
      </w:pPr>
      <w:r>
        <w:rPr>
          <w:rFonts w:ascii="Arial" w:cs="Arial" w:eastAsia="Arial" w:hAnsi="Arial"/>
          <w:sz w:val="16"/>
          <w:szCs w:val="16"/>
          <w:color w:val="auto"/>
        </w:rPr>
        <w:t>Aggregate market value of voting and non-voting common stock held by non-affiliates as of the last business day of the registrant's most recently completed second fiscal quarter: $4.9 billion of Class A non-voting common stock as of June 30, 2022. There is no active market for the Class B voting common stock. The Class B common stock is closely held by few shareholders.</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46,189,068 shares of Class A common stock and 2,542 shares of Class B common stock outstanding on February 17, 2023.</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4"/>
          <w:szCs w:val="24"/>
          <w:color w:val="auto"/>
        </w:rPr>
      </w:pPr>
    </w:p>
    <w:p>
      <w:pPr>
        <w:ind w:right="620"/>
        <w:spacing w:after="0" w:line="293" w:lineRule="auto"/>
        <w:rPr>
          <w:sz w:val="20"/>
          <w:szCs w:val="20"/>
          <w:color w:val="auto"/>
        </w:rPr>
      </w:pPr>
      <w:r>
        <w:rPr>
          <w:rFonts w:ascii="Arial" w:cs="Arial" w:eastAsia="Arial" w:hAnsi="Arial"/>
          <w:sz w:val="16"/>
          <w:szCs w:val="16"/>
          <w:color w:val="auto"/>
        </w:rPr>
        <w:t>Portions of Part III of this Form 10-K (Items 10, 11, 12, 13, and 14) are incorporated by reference to the information statement on Schedule 14C to be filed with the Securities and Exchange Commission no later than 120 days after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11"/>
          </w:tcPr>
          <w:p>
            <w:pPr>
              <w:jc w:val="center"/>
              <w:ind w:right="4800"/>
              <w:spacing w:after="0"/>
              <w:rPr>
                <w:sz w:val="20"/>
                <w:szCs w:val="20"/>
                <w:color w:val="auto"/>
              </w:rPr>
            </w:pPr>
            <w:r>
              <w:rPr>
                <w:rFonts w:ascii="Arial" w:cs="Arial" w:eastAsia="Arial" w:hAnsi="Arial"/>
                <w:sz w:val="20"/>
                <w:szCs w:val="20"/>
                <w:b w:val="1"/>
                <w:bCs w:val="1"/>
                <w:color w:val="auto"/>
              </w:rPr>
              <w:t>INDEX</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47"/>
        </w:trPr>
        <w:tc>
          <w:tcPr>
            <w:tcW w:w="20" w:type="dxa"/>
            <w:vAlign w:val="bottom"/>
          </w:tcPr>
          <w:p>
            <w:pPr>
              <w:spacing w:after="0"/>
              <w:rPr>
                <w:sz w:val="24"/>
                <w:szCs w:val="24"/>
                <w:color w:val="auto"/>
              </w:rPr>
            </w:pPr>
          </w:p>
        </w:tc>
        <w:tc>
          <w:tcPr>
            <w:tcW w:w="480" w:type="dxa"/>
            <w:vAlign w:val="bottom"/>
            <w:gridSpan w:val="4"/>
          </w:tcPr>
          <w:p>
            <w:pPr>
              <w:spacing w:after="0"/>
              <w:rPr>
                <w:sz w:val="20"/>
                <w:szCs w:val="20"/>
                <w:color w:val="auto"/>
              </w:rPr>
            </w:pPr>
            <w:r>
              <w:rPr>
                <w:rFonts w:ascii="Arial" w:cs="Arial" w:eastAsia="Arial" w:hAnsi="Arial"/>
                <w:sz w:val="18"/>
                <w:szCs w:val="18"/>
                <w:color w:val="auto"/>
                <w:w w:val="95"/>
              </w:rPr>
              <w:t>PART</w:t>
            </w:r>
          </w:p>
        </w:tc>
        <w:tc>
          <w:tcPr>
            <w:tcW w:w="720" w:type="dxa"/>
            <w:vAlign w:val="bottom"/>
          </w:tcPr>
          <w:p>
            <w:pPr>
              <w:spacing w:after="0"/>
              <w:rPr>
                <w:sz w:val="24"/>
                <w:szCs w:val="24"/>
                <w:color w:val="auto"/>
              </w:rPr>
            </w:pPr>
          </w:p>
        </w:tc>
        <w:tc>
          <w:tcPr>
            <w:tcW w:w="4080" w:type="dxa"/>
            <w:vAlign w:val="bottom"/>
            <w:gridSpan w:val="18"/>
          </w:tcPr>
          <w:p>
            <w:pPr>
              <w:spacing w:after="0"/>
              <w:rPr>
                <w:sz w:val="20"/>
                <w:szCs w:val="20"/>
                <w:color w:val="auto"/>
              </w:rPr>
            </w:pPr>
            <w:r>
              <w:rPr>
                <w:rFonts w:ascii="Arial" w:cs="Arial" w:eastAsia="Arial" w:hAnsi="Arial"/>
                <w:sz w:val="18"/>
                <w:szCs w:val="18"/>
                <w:color w:val="auto"/>
              </w:rPr>
              <w:t>ITEM NUMBER AND CAPTION</w:t>
            </w:r>
          </w:p>
        </w:tc>
        <w:tc>
          <w:tcPr>
            <w:tcW w:w="640" w:type="dxa"/>
            <w:vAlign w:val="bottom"/>
            <w:tcBorders>
              <w:top w:val="single" w:sz="8" w:color="auto"/>
            </w:tcBorders>
            <w:gridSpan w:val="3"/>
          </w:tcPr>
          <w:p>
            <w:pPr>
              <w:spacing w:after="0"/>
              <w:rPr>
                <w:sz w:val="24"/>
                <w:szCs w:val="24"/>
                <w:color w:val="auto"/>
              </w:rPr>
            </w:pPr>
          </w:p>
        </w:tc>
        <w:tc>
          <w:tcPr>
            <w:tcW w:w="4800" w:type="dxa"/>
            <w:vAlign w:val="bottom"/>
            <w:gridSpan w:val="8"/>
          </w:tcPr>
          <w:p>
            <w:pPr>
              <w:spacing w:after="0"/>
              <w:rPr>
                <w:sz w:val="24"/>
                <w:szCs w:val="24"/>
                <w:color w:val="auto"/>
              </w:rPr>
            </w:pPr>
          </w:p>
        </w:tc>
        <w:tc>
          <w:tcPr>
            <w:tcW w:w="500" w:type="dxa"/>
            <w:vAlign w:val="bottom"/>
            <w:gridSpan w:val="4"/>
          </w:tcPr>
          <w:p>
            <w:pPr>
              <w:spacing w:after="0"/>
              <w:rPr>
                <w:sz w:val="20"/>
                <w:szCs w:val="20"/>
                <w:color w:val="auto"/>
              </w:rPr>
            </w:pPr>
            <w:r>
              <w:rPr>
                <w:rFonts w:ascii="Arial" w:cs="Arial" w:eastAsia="Arial" w:hAnsi="Arial"/>
                <w:sz w:val="18"/>
                <w:szCs w:val="18"/>
                <w:color w:val="auto"/>
                <w:w w:val="95"/>
              </w:rPr>
              <w:t>PAGE</w:t>
            </w:r>
          </w:p>
        </w:tc>
      </w:tr>
      <w:tr>
        <w:trPr>
          <w:trHeight w:val="668"/>
        </w:trPr>
        <w:tc>
          <w:tcPr>
            <w:tcW w:w="20" w:type="dxa"/>
            <w:vAlign w:val="bottom"/>
          </w:tcPr>
          <w:p>
            <w:pPr>
              <w:spacing w:after="0"/>
              <w:rPr>
                <w:sz w:val="24"/>
                <w:szCs w:val="24"/>
                <w:color w:val="auto"/>
              </w:rPr>
            </w:pPr>
          </w:p>
        </w:tc>
        <w:tc>
          <w:tcPr>
            <w:tcW w:w="48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u w:val="single" w:color="auto"/>
                <w:color w:val="0000FF"/>
              </w:rPr>
              <w:t>I</w:t>
            </w:r>
          </w:p>
        </w:tc>
        <w:tc>
          <w:tcPr>
            <w:tcW w:w="72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0000FF"/>
                <w:w w:val="83"/>
              </w:rPr>
              <w:t>Item 1.</w:t>
            </w:r>
          </w:p>
        </w:tc>
        <w:tc>
          <w:tcPr>
            <w:tcW w:w="340" w:type="dxa"/>
            <w:vAlign w:val="bottom"/>
            <w:tcBorders>
              <w:top w:val="single" w:sz="8" w:color="auto"/>
            </w:tcBorders>
            <w:gridSpan w:val="4"/>
          </w:tcPr>
          <w:p>
            <w:pPr>
              <w:spacing w:after="0"/>
              <w:rPr>
                <w:sz w:val="24"/>
                <w:szCs w:val="24"/>
                <w:color w:val="auto"/>
              </w:rPr>
            </w:pPr>
          </w:p>
        </w:tc>
        <w:tc>
          <w:tcPr>
            <w:tcW w:w="1660" w:type="dxa"/>
            <w:vAlign w:val="bottom"/>
            <w:tcBorders>
              <w:top w:val="single" w:sz="8" w:color="auto"/>
            </w:tcBorders>
            <w:gridSpan w:val="7"/>
          </w:tcPr>
          <w:p>
            <w:pPr>
              <w:ind w:left="200"/>
              <w:spacing w:after="0"/>
              <w:rPr>
                <w:sz w:val="20"/>
                <w:szCs w:val="20"/>
                <w:color w:val="auto"/>
              </w:rPr>
            </w:pPr>
            <w:r>
              <w:rPr>
                <w:rFonts w:ascii="Arial" w:cs="Arial" w:eastAsia="Arial" w:hAnsi="Arial"/>
                <w:sz w:val="18"/>
                <w:szCs w:val="18"/>
                <w:color w:val="0000FF"/>
              </w:rPr>
              <w:t>Business</w:t>
            </w:r>
          </w:p>
        </w:tc>
        <w:tc>
          <w:tcPr>
            <w:tcW w:w="7020" w:type="dxa"/>
            <w:vAlign w:val="bottom"/>
            <w:gridSpan w:val="17"/>
          </w:tcPr>
          <w:p>
            <w:pPr>
              <w:spacing w:after="0"/>
              <w:rPr>
                <w:sz w:val="24"/>
                <w:szCs w:val="24"/>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0000FF"/>
              </w:rPr>
              <w:t>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6"/>
              </w:rPr>
              <w:t>Item 1A.</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Risk Factors</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6"/>
              </w:rPr>
              <w:t>Item 1B.</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Unresolved Staff Comments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1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Properties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Legal Proceedings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Mine Safety Disclosures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II</w:t>
            </w:r>
          </w:p>
        </w:tc>
        <w:tc>
          <w:tcPr>
            <w:tcW w:w="7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260" w:type="dxa"/>
            <w:vAlign w:val="bottom"/>
            <w:gridSpan w:val="3"/>
          </w:tcPr>
          <w:p>
            <w:pPr>
              <w:spacing w:after="0"/>
              <w:rPr>
                <w:sz w:val="24"/>
                <w:szCs w:val="24"/>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w w:val="95"/>
              </w:rPr>
              <w:t>Market for Registrant's Common Equity, Related Stockholder Matters and Issuer Purchases of Equity Securities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Selected Financial Data</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7.</w:t>
            </w:r>
          </w:p>
        </w:tc>
        <w:tc>
          <w:tcPr>
            <w:tcW w:w="8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16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5"/>
          </w:tcPr>
          <w:p>
            <w:pPr>
              <w:spacing w:after="0"/>
              <w:rPr>
                <w:sz w:val="20"/>
                <w:szCs w:val="20"/>
                <w:color w:val="auto"/>
              </w:rPr>
            </w:pPr>
            <w:r>
              <w:rPr>
                <w:rFonts w:ascii="Arial" w:cs="Arial" w:eastAsia="Arial" w:hAnsi="Arial"/>
                <w:sz w:val="18"/>
                <w:szCs w:val="18"/>
                <w:color w:val="0000FF"/>
              </w:rPr>
              <w:t>Item 7A.</w:t>
            </w: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37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8.</w:t>
            </w:r>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Financial Statements and Supplementary Data</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9.</w:t>
            </w:r>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6"/>
              </w:rPr>
              <w:t>Item 9A.</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Controls and Procedures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6"/>
              </w:rPr>
              <w:t>Item 9B.</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Other Information</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III</w:t>
            </w:r>
          </w:p>
        </w:tc>
        <w:tc>
          <w:tcPr>
            <w:tcW w:w="72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10.</w:t>
            </w:r>
          </w:p>
        </w:tc>
        <w:tc>
          <w:tcPr>
            <w:tcW w:w="220" w:type="dxa"/>
            <w:vAlign w:val="bottom"/>
          </w:tcPr>
          <w:p>
            <w:pPr>
              <w:spacing w:after="0"/>
              <w:rPr>
                <w:sz w:val="24"/>
                <w:szCs w:val="24"/>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Directors, Executive Officers and Corporate Governance</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Executive Compensation</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12.</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13.</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14.</w:t>
            </w:r>
          </w:p>
        </w:tc>
        <w:tc>
          <w:tcPr>
            <w:tcW w:w="220" w:type="dxa"/>
            <w:vAlign w:val="bottom"/>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Principal Accountant Fees and Services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rPr>
              <w:t>IV</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Exhibits and Financial Statement Schedules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16.</w:t>
            </w:r>
          </w:p>
        </w:tc>
        <w:tc>
          <w:tcPr>
            <w:tcW w:w="240" w:type="dxa"/>
            <w:vAlign w:val="bottom"/>
            <w:gridSpan w:val="2"/>
          </w:tcPr>
          <w:p>
            <w:pPr>
              <w:spacing w:after="0"/>
              <w:rPr>
                <w:sz w:val="18"/>
                <w:szCs w:val="18"/>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Form 10-K Summary</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4"/>
          </w:tcPr>
          <w:p>
            <w:pPr>
              <w:ind w:left="200"/>
              <w:spacing w:after="0"/>
              <w:rPr>
                <w:sz w:val="20"/>
                <w:szCs w:val="20"/>
                <w:color w:val="auto"/>
              </w:rPr>
            </w:pPr>
            <w:r>
              <w:rPr>
                <w:rFonts w:ascii="Arial" w:cs="Arial" w:eastAsia="Arial" w:hAnsi="Arial"/>
                <w:sz w:val="18"/>
                <w:szCs w:val="18"/>
                <w:color w:val="0000FF"/>
              </w:rPr>
              <w:t>Signatures</w:t>
            </w:r>
          </w:p>
        </w:tc>
        <w:tc>
          <w:tcPr>
            <w:tcW w:w="460" w:type="dxa"/>
            <w:vAlign w:val="bottom"/>
            <w:gridSpan w:val="3"/>
          </w:tcPr>
          <w:p>
            <w:pPr>
              <w:jc w:val="right"/>
              <w:spacing w:after="0"/>
              <w:rPr>
                <w:sz w:val="20"/>
                <w:szCs w:val="20"/>
                <w:color w:val="auto"/>
              </w:rPr>
            </w:pPr>
            <w:r>
              <w:rPr>
                <w:rFonts w:ascii="Arial" w:cs="Arial" w:eastAsia="Arial" w:hAnsi="Arial"/>
                <w:sz w:val="18"/>
                <w:szCs w:val="18"/>
                <w:color w:val="0000FF"/>
              </w:rPr>
              <w:t>84</w:t>
            </w:r>
          </w:p>
        </w:tc>
        <w:tc>
          <w:tcPr>
            <w:tcW w:w="4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20" w:type="dxa"/>
            <w:vAlign w:val="bottom"/>
            <w:gridSpan w:val="1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PART I</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The Exchange has wholly owned property and casualty subsidiaries including: Erie Insurance Company, Erie Insurance Company of New York, Erie Insurance Property &amp; Casualty Company and Flagship City Insurance Company, and a wholly owned life insurance company, Erie Family Life Insurance Company ("EFL").</w:t>
      </w:r>
    </w:p>
    <w:p>
      <w:pPr>
        <w:spacing w:after="0" w:line="18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not to exceed 25%, of the direct and affiliated assumed premiums written by the Exchange. The management fee rate is set at least annually by our Board of Directors.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2022 policy issuance and renewal expenses. The underwriting services we provide include underwriting and policy processing and comprised approximately 10% of our 2022 policy issuance and renewal expenses. The remaining services we provide include customer service and administrative support. We also provide information technology services that support all the functions listed above that comprised approximately 11% of our 2022 policy issuance and renewal expenses. Included in these expenses are allocations of costs for departments that support these policy issuance and renewal functions.</w:t>
      </w:r>
    </w:p>
    <w:p>
      <w:pPr>
        <w:spacing w:after="0" w:line="2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our primary purpose is to manage the affairs at the Exchange for the benefit of the subscribers (policyholders) through the policy issuance and renewal services and administrative services, the Exchange is our sole customer. Our earnings are largely generated from management fees based on the direct and affiliated assumed premiums written by the Exchange. We have no direct competition in providing these services to the Exchange.</w:t>
      </w:r>
    </w:p>
    <w:p>
      <w:pPr>
        <w:spacing w:after="0" w:line="18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Exchange generates revenue by insuring preferred and standard risks, with personal lines comprising 69% of the 2022 direct and affiliated assumed written premiums and commercial lines comprising the remaining 31%. The principal personal lines products are private passenger automobile and homeowners. The principal commercial lines products are commercial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multi-peril, commercial automobile and workers compensation. Historically, due to policy renewal and sales patterns, the Exchange's direct and affiliated assumed written premiums are greater in the second and third quarters than in the first and fourth quarters of the calendar year.</w:t>
      </w:r>
    </w:p>
    <w:p>
      <w:pPr>
        <w:spacing w:after="0" w:line="17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Part II, Item 8. "Financial Statements and Supplementary Data - Note 15, Concentrations of Credit Risk, of Notes to Financial Statements" contained within this report. See the risk factors related to our dependency on the growth and financial condition of the Exchange in Item 1A. "Risk Factors" contained within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 There are a limited number of companies that provide services under a reciprocal insurance exchange structure. We do not directly compete against other such companies, given we are appointed by the subscribers at the Exchange to provide these services.</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direct and affiliated assumed premiums written by the Exchange drive our management fee, which is our primary source of revenue. The property and casualty insurance industry is highly competitive. 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exists from large, well-capitalized national companies, some of which have broad distribution networks of employed or captive agents, by smaller regional insurers, and by large companies who market and sell personal lines products directly to consumers. Innovations by competitors or other market participants may also increase the level of competition in the industry. In addition, because the insurance products of the Exchange are marketed exclusively through independent insurance agents, the Exchange faces competition within its appointed agencies based upon ease of doing business, product, price, and service relationships.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 margins. Growth is a product of a company's ability to retain existing customers and to attract new customers, as well as movement in the average premium per policy.</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Exchange's business model is designed to provide the advantages of localized marketing and claims servicing with the economies of scale and low cost of operations from centralized support services. The Exchange also carefully selects the independent agencies that represent it and seeks to be the lead insurer with its agents in order to enhance the agency relationship and the likelihood of receiving the most desirable underwriting opportunities from its agents.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Exchange’s strategic focus as a reciprocal insurer is to employ a disciplined underwriting philosophy and to leverage its strong surplus position to generate higher risk adjusted investment returns. The goal is to produce acceptable returns, on a long-term basis, through careful risk selection, rational pricing and superior investment returns. This focus allows the Exchange to accomplish its mission of providing as near perfect protection, as near perfect service as is humanly possible at the lowest possible cost.</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Value Proposition</w:t>
      </w:r>
    </w:p>
    <w:p>
      <w:pPr>
        <w:ind w:right="280"/>
        <w:spacing w:after="0" w:line="271" w:lineRule="auto"/>
        <w:rPr>
          <w:sz w:val="20"/>
          <w:szCs w:val="20"/>
          <w:color w:val="auto"/>
        </w:rPr>
      </w:pPr>
      <w:r>
        <w:rPr>
          <w:rFonts w:ascii="Arial" w:cs="Arial" w:eastAsia="Arial" w:hAnsi="Arial"/>
          <w:sz w:val="17"/>
          <w:szCs w:val="17"/>
          <w:color w:val="auto"/>
        </w:rPr>
        <w:t>Our human capital management strategy, including initiatives to shape our workforce and workplace, is designed to attract, retain, and develop talent to ensure we are well positioned for the future. Our partnership with our employees is one of the cornerstones of our success.</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employee value proposition includes a culture that focuses on physical, financial, and emotional well-being. A 2022 employee survey, administered by Willis Towers Watson, indicated that our employees place a value of 84 out of 100 on their total rewards package, approximately 12 points above the industry benchmark. We offer competitive pay with a signature and affordable benefits package including options designed to meet the unique needs of our employees and their families. Employees have access to an employee assistance plan, emergency child and elder care providers, adoption assistance, and infertility assistance, among others. We hold a shared responsibility view of retirement planning whereby we provide tools and resources that employees are expected to use to achieve their retirement goals. We set ourselves apart by offering both a 401(k) savings plan and a noncontributory defined benefit pension plan.</w:t>
      </w:r>
    </w:p>
    <w:p>
      <w:pPr>
        <w:spacing w:after="0" w:line="2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encourage a work/life balance for all employees. During 2022, we began returning employees to the office and addressed the need to meet business requirements while recognizing the need for employee flexibility by offering a variety of hybrid working arrangements.</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An engaged workforce is necessary for accomplishing organizational objectives and our portfolio of employee experience initiatives demonstrates our commitment to provide employees an engaging environment throughout all stages of their careers. We offer professional development opportunities that are designed to prepare employees for future career growth. Employees have access to skills enhancement training and programs as well as a generous tuition reimbursement program for higher education. We also grow and develop our employees by offering talent mobility opportunities such as expanded leadership experience, job shadowing, cross-training, stretch assignments, and formal career development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&amp; Inclusion</w:t>
      </w:r>
    </w:p>
    <w:p>
      <w:pPr>
        <w:spacing w:after="0" w:line="12" w:lineRule="exact"/>
        <w:rPr>
          <w:sz w:val="20"/>
          <w:szCs w:val="20"/>
          <w:color w:val="auto"/>
        </w:rPr>
      </w:pPr>
    </w:p>
    <w:p>
      <w:pPr>
        <w:ind w:right="600"/>
        <w:spacing w:after="0" w:line="243" w:lineRule="auto"/>
        <w:rPr>
          <w:sz w:val="20"/>
          <w:szCs w:val="20"/>
          <w:color w:val="auto"/>
        </w:rPr>
      </w:pPr>
      <w:r>
        <w:rPr>
          <w:rFonts w:ascii="Arial" w:cs="Arial" w:eastAsia="Arial" w:hAnsi="Arial"/>
          <w:sz w:val="18"/>
          <w:szCs w:val="18"/>
          <w:color w:val="auto"/>
        </w:rPr>
        <w:t>Diversity, equity, and inclusion (“DEI”) is integral to our business success. Our strength is in our people and the more diverse our backgrounds and experiences, the stronger we are.</w:t>
      </w:r>
    </w:p>
    <w:p>
      <w:pPr>
        <w:spacing w:after="0" w:line="19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Our department of Diversity &amp; Community Development is led by the Chief Diversity Officer who reports directly to the Chief Executive Officer, affirming our commitment to DEI from executive leadership. Our DEI efforts are further supported by a dedicated team of professionals including a Vice President of Diversity, Equity, and Inclusion.</w:t>
      </w:r>
    </w:p>
    <w:p>
      <w:pPr>
        <w:spacing w:after="0" w:line="20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foster an inclusive workplace through the endorsement of nine affinity networks and five business resource groups. Affinity networks are employee-driven groups that focus on particular dimensions of diversity and are designed to foster greater awareness and a culture of inclusion across our company. Business resource groups address business issues using a DEI lens. Through these groups, we are taking a broader approach to problem-solving and innovation by aligning cross-functional teams of employees to our business strategy.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Workforce Metrics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human capital metrics as part of managing our business for the years ended December 31:</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vMerge w:val="restart"/>
          </w:tcPr>
          <w:p>
            <w:pPr>
              <w:spacing w:after="0"/>
              <w:rPr>
                <w:sz w:val="20"/>
                <w:szCs w:val="20"/>
                <w:color w:val="auto"/>
              </w:rPr>
            </w:pPr>
            <w:r>
              <w:rPr>
                <w:rFonts w:ascii="Arial" w:cs="Arial" w:eastAsia="Arial" w:hAnsi="Arial"/>
                <w:sz w:val="18"/>
                <w:szCs w:val="18"/>
                <w:color w:val="auto"/>
              </w:rPr>
              <w:t>Workforce size</w:t>
            </w:r>
          </w:p>
        </w:tc>
        <w:tc>
          <w:tcPr>
            <w:tcW w:w="1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80" w:type="dxa"/>
            <w:vAlign w:val="bottom"/>
          </w:tcPr>
          <w:p>
            <w:pPr>
              <w:ind w:left="120"/>
              <w:spacing w:after="0" w:line="235" w:lineRule="exact"/>
              <w:rPr>
                <w:sz w:val="20"/>
                <w:szCs w:val="20"/>
                <w:color w:val="auto"/>
              </w:rPr>
            </w:pPr>
            <w:r>
              <w:rPr>
                <w:rFonts w:ascii="Arial" w:cs="Arial" w:eastAsia="Arial" w:hAnsi="Arial"/>
                <w:sz w:val="18"/>
                <w:szCs w:val="18"/>
                <w:color w:val="auto"/>
              </w:rPr>
              <w:t xml:space="preserve">Full-time </w:t>
            </w:r>
            <w:r>
              <w:rPr>
                <w:rFonts w:ascii="Arial" w:cs="Arial" w:eastAsia="Arial" w:hAnsi="Arial"/>
                <w:sz w:val="23"/>
                <w:szCs w:val="23"/>
                <w:color w:val="auto"/>
                <w:vertAlign w:val="superscript"/>
              </w:rPr>
              <w:t>(1)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5,970</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5,805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4"/>
        </w:trPr>
        <w:tc>
          <w:tcPr>
            <w:tcW w:w="6680" w:type="dxa"/>
            <w:vAlign w:val="bottom"/>
          </w:tcPr>
          <w:p>
            <w:pPr>
              <w:ind w:left="120"/>
              <w:spacing w:after="0"/>
              <w:rPr>
                <w:sz w:val="20"/>
                <w:szCs w:val="20"/>
                <w:color w:val="auto"/>
              </w:rPr>
            </w:pPr>
            <w:r>
              <w:rPr>
                <w:rFonts w:ascii="Arial" w:cs="Arial" w:eastAsia="Arial" w:hAnsi="Arial"/>
                <w:sz w:val="18"/>
                <w:szCs w:val="18"/>
                <w:color w:val="auto"/>
              </w:rPr>
              <w:t>Part-time</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68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Temporary </w:t>
            </w:r>
            <w:r>
              <w:rPr>
                <w:rFonts w:ascii="Arial" w:cs="Arial" w:eastAsia="Arial" w:hAnsi="Arial"/>
                <w:sz w:val="23"/>
                <w:szCs w:val="23"/>
                <w:color w:val="auto"/>
                <w:vertAlign w:val="superscript"/>
              </w:rPr>
              <w:t>(2)</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45</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41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680" w:type="dxa"/>
            <w:vAlign w:val="bottom"/>
          </w:tcPr>
          <w:p>
            <w:pPr>
              <w:spacing w:after="0" w:line="230" w:lineRule="exact"/>
              <w:rPr>
                <w:sz w:val="20"/>
                <w:szCs w:val="20"/>
                <w:color w:val="auto"/>
              </w:rPr>
            </w:pPr>
            <w:r>
              <w:rPr>
                <w:rFonts w:ascii="Arial" w:cs="Arial" w:eastAsia="Arial" w:hAnsi="Arial"/>
                <w:sz w:val="18"/>
                <w:szCs w:val="18"/>
                <w:color w:val="auto"/>
              </w:rPr>
              <w:t xml:space="preserve">Turnover </w:t>
            </w:r>
            <w:r>
              <w:rPr>
                <w:rFonts w:ascii="Arial" w:cs="Arial" w:eastAsia="Arial" w:hAnsi="Arial"/>
                <w:sz w:val="23"/>
                <w:szCs w:val="23"/>
                <w:color w:val="auto"/>
                <w:vertAlign w:val="superscript"/>
              </w:rPr>
              <w:t>(3)</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11.2 %</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8.0 %</w:t>
            </w:r>
          </w:p>
        </w:tc>
        <w:tc>
          <w:tcPr>
            <w:tcW w:w="12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304"/>
        </w:trPr>
        <w:tc>
          <w:tcPr>
            <w:tcW w:w="6680" w:type="dxa"/>
            <w:vAlign w:val="bottom"/>
          </w:tcPr>
          <w:p>
            <w:pPr>
              <w:spacing w:after="0"/>
              <w:rPr>
                <w:sz w:val="20"/>
                <w:szCs w:val="20"/>
                <w:color w:val="auto"/>
              </w:rPr>
            </w:pPr>
            <w:r>
              <w:rPr>
                <w:rFonts w:ascii="Arial" w:cs="Arial" w:eastAsia="Arial" w:hAnsi="Arial"/>
                <w:sz w:val="18"/>
                <w:szCs w:val="18"/>
                <w:color w:val="auto"/>
              </w:rPr>
              <w:t xml:space="preserve">Average tenure </w:t>
            </w:r>
            <w:r>
              <w:rPr>
                <w:rFonts w:ascii="Arial" w:cs="Arial" w:eastAsia="Arial" w:hAnsi="Arial"/>
                <w:sz w:val="23"/>
                <w:szCs w:val="23"/>
                <w:color w:val="auto"/>
                <w:vertAlign w:val="superscript"/>
              </w:rPr>
              <w:t>(4)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11.7</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12.6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80" w:right="100" w:hanging="248"/>
        <w:spacing w:after="0" w:line="293"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50% of employees who provide claims and life insurance management services exclusively for the Exchange and its subsidiaries. The Exchange and its subsidiaries reimburse us monthly for the cost of these services.</w:t>
      </w:r>
    </w:p>
    <w:p>
      <w:pPr>
        <w:spacing w:after="0" w:line="11" w:lineRule="exact"/>
        <w:rPr>
          <w:rFonts w:ascii="Arial" w:cs="Arial" w:eastAsia="Arial" w:hAnsi="Arial"/>
          <w:sz w:val="14"/>
          <w:szCs w:val="14"/>
          <w:i w:val="1"/>
          <w:iCs w:val="1"/>
          <w:color w:val="auto"/>
        </w:rPr>
      </w:pPr>
    </w:p>
    <w:p>
      <w:pPr>
        <w:ind w:left="540" w:hanging="208"/>
        <w:spacing w:after="0"/>
        <w:tabs>
          <w:tab w:leader="none" w:pos="54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Temporary employees are hired for short-term work and paid directly by us.</w:t>
      </w:r>
    </w:p>
    <w:p>
      <w:pPr>
        <w:spacing w:after="0" w:line="68" w:lineRule="exact"/>
        <w:rPr>
          <w:rFonts w:ascii="Arial" w:cs="Arial" w:eastAsia="Arial" w:hAnsi="Arial"/>
          <w:sz w:val="14"/>
          <w:szCs w:val="14"/>
          <w:i w:val="1"/>
          <w:iCs w:val="1"/>
          <w:color w:val="auto"/>
        </w:rPr>
      </w:pPr>
    </w:p>
    <w:p>
      <w:pPr>
        <w:ind w:left="580" w:right="80" w:hanging="248"/>
        <w:spacing w:after="0" w:line="291"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The percentage of employees who left voluntarily or involuntarily, including retirements; calculated using the number of employees who exited, divided by the average headcount of the period.</w:t>
      </w:r>
    </w:p>
    <w:p>
      <w:pPr>
        <w:spacing w:after="0" w:line="1" w:lineRule="exact"/>
        <w:rPr>
          <w:rFonts w:ascii="Arial" w:cs="Arial" w:eastAsia="Arial" w:hAnsi="Arial"/>
          <w:sz w:val="14"/>
          <w:szCs w:val="14"/>
          <w:i w:val="1"/>
          <w:iCs w:val="1"/>
          <w:color w:val="auto"/>
        </w:rPr>
      </w:pPr>
    </w:p>
    <w:p>
      <w:pPr>
        <w:ind w:left="580" w:right="20" w:hanging="248"/>
        <w:spacing w:after="0" w:line="293"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The average number of years employees have been employed with the organization; calculated using the total number of years of employment, divided by average headcount of full-time and part-time employees for the period.</w:t>
      </w:r>
    </w:p>
    <w:p>
      <w:pPr>
        <w:spacing w:after="0" w:line="19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volatile talent market experienced during the pandemic continued to be a challenge in 2022. Our turnover rate increased to 11.2% in 2022 from 8.0% in 2021 and 5.3% in 2020. The largest portion of our turnover continues to be voluntary turnover, excluding retirements, which increased to 6.9% in 2022 from 4.8% in 2021 and 2.4% in 2020, but continues to remain lower</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than industry benchmark data. Employee retirements also contributed to the increased turnover rate as they increased to 3.6% in 2022 from 2.2% in 2021 and 2.0% in 2020. We continue to monitor turnover trends to determine the appropriate actions to ensure we are well positioned for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Most states have enacted legislation that regulates insurance holding company systems, defined as two or more affiliated persons, one or more of which is an insurer. Indemnity and the Exchange, and its wholly owned subsidiaries, meet the definition of an insurance holding company system.</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Exchange and its wholly owned subsidiaries at any time, and may require disclosure and/or prior approval of certain transactions with the insurers and us, as an insurance holding company.</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 100 Erie Insurance Place, Erie, PA 16530, or calling (800) 458-0811.</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risks have been divided into the following categories:</w:t>
      </w:r>
    </w:p>
    <w:p>
      <w:pPr>
        <w:spacing w:after="0" w:line="24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Risks related to Erie Insurance Exchange </w:t>
      </w:r>
      <w:r>
        <w:rPr>
          <w:rFonts w:ascii="Arial" w:cs="Arial" w:eastAsia="Arial" w:hAnsi="Arial"/>
          <w:sz w:val="18"/>
          <w:szCs w:val="18"/>
          <w:color w:val="auto"/>
        </w:rPr>
        <w:t>– risks related to our dependence on our relationship with the Exchange associated with management fees,</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growth, and financial condition, as the Exchange is our sole customer and principal source of revenue</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risks </w:t>
      </w:r>
      <w:r>
        <w:rPr>
          <w:rFonts w:ascii="Arial" w:cs="Arial" w:eastAsia="Arial" w:hAnsi="Arial"/>
          <w:sz w:val="18"/>
          <w:szCs w:val="18"/>
          <w:color w:val="auto"/>
        </w:rPr>
        <w:t>– risks stemming from events or circumstances that directly or indirectly affect our operations, including our operations as attorney-in-fact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Exchange</w:t>
      </w:r>
    </w:p>
    <w:p>
      <w:pPr>
        <w:spacing w:after="0" w:line="18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Market, Capital, and Liquidity risks </w:t>
      </w:r>
      <w:r>
        <w:rPr>
          <w:rFonts w:ascii="Arial" w:cs="Arial" w:eastAsia="Arial" w:hAnsi="Arial"/>
          <w:sz w:val="18"/>
          <w:szCs w:val="18"/>
          <w:color w:val="auto"/>
        </w:rPr>
        <w:t>– risks that may impact the values or results of our investment portfolio, ability to meet financial obligations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or obtain capital as necessary</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we have organized risks generally according to these categories in the discussion below, risks may have impacts in more than one category and are included where the impact is most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Erie Insurance Exchange</w:t>
      </w:r>
    </w:p>
    <w:p>
      <w:pPr>
        <w:spacing w:after="0" w:line="25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direct and affiliated assumed premiums written by the Exchange, revenues and profitability could be materially adversely affected.</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Pursuant to the subscriber's agreement with the subscribers at the Exchange, we may retain up to 25% of all direct and affiliated assumed premiums written by the Exchange. Therefore, management fee revenue from the Exchange is calculated by multiplying the management fee rate by the direct and affiliated assumed premiums written by the Exchange. Accordingly, any reduction in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 and affiliated assumed premiums written by the Exchange and/or the management fee rate would have a negative effect on our revenues and net income.</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management fee rate is determined by our Board of Directors and may not exceed 25% of the direct and affiliated assumed premiums written by the Exchange. The Board of Directors sets the management fee rate each December for the following year. At their discretion, the rate can be changed at any time.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w:t>
      </w:r>
    </w:p>
    <w:p>
      <w:pPr>
        <w:spacing w:after="0" w:line="19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Serving as the attorney-in-fact in the reciprocal insurance exchange structure results in the Exchange being our sole customer. The growth of the Exchange directly affects our management fee revenue, which is largely generated from management fees based on the direct and affiliated assumed premiums written by the Exchange. If the Exchange's ability to grow or renew policies were adversely impacted, the premium revenue of the Exchange would be adversely affected which would reduce our management fee revenue. The circumstances or events that might impair the Exchange's ability to grow include, but are not limited to, the items discussed below.</w:t>
      </w:r>
    </w:p>
    <w:p>
      <w:pPr>
        <w:spacing w:after="0" w:line="22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Unfavorable changes in macroeconomic conditions for any reason, including declining consumer confidence, inflation, high unemployment, lower demand for certain services, reduced personal income, and recession, among others, may lead the Exchange's customers to modify coverage, not renew policies, or even cancel policies, which could adversely affect the premium revenue of the Exchange, and consequently our management fee.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or offer lower rates, and the Exchange is unable to implement product improvements quickly enough to keep pace, its ability to grow and renew its business may be adversely impacted. In addition, due to the Exchange's premium concentration in the automobile and homeowners insurance markets, it may be more sensitive to trends that could affect auto and home insurance coverages and rates over time, for example changing vehicle usage, usage-based methods of determining premiums, ownership and driving patterns such as ride sharing or remote work, advancements in vehicle or home technology or safety features such as accident and loss prevention technologies, the development of autonomous vehicles, or residential occupancy patterns, among other factors. Innovations by competitors or other market participants may increase the level of competition in the industry. If the Exchange fails to respond to those innovations on a timely basis, its competitive position and results may be materially adversely affected.</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or place business with competing insurers, or if the Exchange is unsuccessful in attracting or retaining agencies in its distribution system or maintaining its relationships with those agencies, the Exchange's ability to grow and renew its business may be adversely impacted. More broadly, if independent agents face challenges sustaining their own business operations due to unfavorable economic conditions or staffing constraints, it could result in the sale or closure of their businesses, thereby reducing the agency force of the Exchange. Additionally, shifting consumer behaviors toward increased digital interactions may cause the insurance industry as a whole to migrate to a delivery system other than independent agencies.</w:t>
      </w:r>
    </w:p>
    <w:p>
      <w:pPr>
        <w:spacing w:after="0" w:line="21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Exchange maintains a brand recognized for customer service. The perceived performance, actions, conduct and behaviors of employees, independent insurance agency representatives, and third-party service providers may result in reputational harm to the Exchange's brand. Specific incidents which may cause harm include but are not limited to disputes, long customer wait times, errors in processing a claim, failure to protect sensitive customer data, and negative or inaccurate social media or traditional media communications. Likewise, an inability to match or exceed the service provided by competitors, which is increasingly relying on digital delivery and enhanced distribution technology, may impede the Exchange's ability to maintain and/or grow its customer base. If third-party service providers fail to perform as anticipated, the Exchange may experience operational difficulties, increased costs and reputational damage. If an extreme catastrophic event were to occur in a heavily concentrated geographic area of subscribers/policyholders, an extraordinarily high number of claims could have the potential to strain claims processing and affect the Exchange's ability to satisfy its customers. Also, we, or the Exchange, may fail to meet environmental, social, and governance (ESG) expectations of our customers or other interested parties. Failure to satisfy expectations in these areas may result in negative publicity or other adverse outcomes. Any reputational harm to the Exchange could have the potential to impair its ability to grow and renew its business.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As the attorney-in-fact in the reciprocal insurance exchange structure with the Exchange as our sole customer, we are dependent on the financial condition of the Exchange. If the Exchange were to fail to maintain acceptable financial strength ratings, its competitive position in the insurance industry would be adversely affected. If a rating downgrade led to customers not renewing or canceling policies, or impacted the Exchange's ability to attract new customers, the premium revenue of the Exchange would be adversely affected which would reduce our management fee revenue. The circumstances or events that might impair the Exchange's financial condition include, but are not limited to, the items discussed below.</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("Superior"). A.M. Best periodically reviews the Exchange’s ratings and changes their rating criteria; therefore, the Exchange's current rating may not be maintained in the future. A significant downgrade in the A.M. Best rating could reduce the competitive position of the Exchange, making it more difficult to attract profitable business in the highly competitive property and casualty insurance market and potentially result in reduced sales of its products and lower premium revenue.</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Additionally, a portion of the Exchange’s common stock and limited partnership portfolios are exposed to foreign exchange rate risk, or the potential loss in estimated fair value resulting from adverse changes in foreign currency exchange rates.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transactions between affiliates, risk management, and ESG practices. Such regulation and supervision are primarily for the benefit and protection of policyholders. Changes in applicable insurance laws, tax statutes, regulations, or changes in the way regulators administer those laws, tax statutes, or regulations could adversely impact the Exchange's business, cash flows, results of operations, financial condition, or operating environment and increase its exposure to loss or put it at a competitive disadvantage, which could result in reduced sales of its products and lower premium revenue.</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casualty insurers face a significant risk of litigation and regulatory investigations and actions in the ordinary course of operating their businesses including the risk of class action lawsuits. The Exchange and its subsidiaries have also been named as defendants in a number of pandemic-related lawsuits and, therefore, are subject to the risks and uncertainties of such litigation. Plaintiffs in class action and other lawsuits against the Exchange may seek large or indeterminate amounts of damages, including punitive and treble damages, which may remain unknown for substantial periods of time. The Exchange is also subject to various regulatory inquiries, such as information requests, subpoenas, and books and record examinations from state and federal regulators and authorities.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uncertainty of risks that emerge upon the occurrence of significant unexpected events, such as pandemics, or unexpected inflation caused by supply chain issues or otherwise, may cause additional challenges in the process of estimating loss and loss adjustment expense reserves or premiums to accommodate future claims and expenses. For example, the behavior of claimants and policyholders and the timing and amounts of claims settlements may change in unexpected ways. Furthermore, actions taken by governmental bodies, both legislative and regulatory, in reaction to significant unexpected events, and their related impacts, are hard to predict. The models that are used to determine appropriate premium levels, forecast future losses and expenses, estimate loss and loss adjustment expense reserves, and assess financial strength may be created or deployed in a manner that results in inaccurate predictions. This may result in changes to the Exchange's estimated level of loss and loss adjustment expense reserves or impact the adequacy of premiums to accommodate future claims and expenses.</w:t>
      </w:r>
    </w:p>
    <w:p>
      <w:pPr>
        <w:spacing w:after="0" w:line="22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As insurance industry practices and legal, judicial, social and other environmental conditions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adversely affect the Exchange's business by either extending coverage beyond its underwriting intent or by increasing the number or size of claims. If there were legislative action in response to a pandemic or other significant unexpected event that retroactively mandated coverage irrespective of terms, exclusions or other conditions included in policies, such as business interruption, that would otherwise preclude coverage, it could have a material impact on the financial condition, results of operations and cash flows of the Exchange.</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Exchange's insurance operations are exposed to claims arising out of catastrophes. Common natural catastrophic events include hurricanes, earthquakes, tornadoes, hail storms, and severe winter weather. The frequency and severity of these catastrophes is inherently unpredictable. Changing climate conditions have added to the unpredictability of the frequency and severity of natural disasters and have created additional uncertainty as to future trends and exposures. A single catastrophic occurrence or aggregation of multiple smaller occurrences within the geographical region of the Exchange or its assumed property reinsurance portfolio could adversely affect the financial condition of the Exchange. Man-made disasters such as terrorist attacks and riots could also cause losses from insurance claims related to the property and casualty insurance operations, which could adversely affect its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providing services to the Exchange are not controlled, our profitability could be materially adversely affected.</w:t>
      </w:r>
    </w:p>
    <w:p>
      <w:pPr>
        <w:spacing w:after="0" w:line="25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Pursuant to the subscriber's agreement, we perform policy issuance and renewal services for the subscribers at the Exchange and we serve as the attorney-in-fact on behalf of the Exchange with respect to its administrative services. The most significant costs we incur in providing policy issuance and renewal services are commissions, employee costs, and technology costs.</w:t>
      </w:r>
    </w:p>
    <w:p>
      <w:pPr>
        <w:spacing w:after="0" w:line="2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Commissions to independent agents are our largest expense.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 Our agent incentive bonuses include a profitability component. If claims frequency and loss expenses were to decrease significantly as a result of an unexpected event, such as a pandemic, the profitability component of our agent incentive bonuses would improve, and our agent compensation costs would increase. Our second largest expense is employee costs, including salaries, healthcare, pension, and other benefit costs. Regulatory developments, provider relationships, pandemics and demographic and economic factors that are beyond our control, such as inflation, are indicators that employee costs could increase which could reduce our profitability. The defined benefit pension plan we offer to our employees is affected by variable factors such as the interest rate used to discount pension liabilities, asset performance and changes in retirement patterns, which are beyond our control and any related future cost increases would reduce our profitability.</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Technological development is necessary to facilitate ease of doing business for employees, agents and customers. Our technological developments are focused on simplifying and improving the employee, agent and customer experiences, increasing efficiencies, redesigning products and addressing other potentially disruptive changes in the insurance industry. As we continue to develop technology initiatives in order to remain competitive, our profitability could be negatively impacted as we invest in system development. We may also experience increased technology costs as we re-design hybrid work models for our employees.</w:t>
      </w:r>
    </w:p>
    <w:p>
      <w:pPr>
        <w:spacing w:after="0" w:line="2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If we are unable to attract, develop, and retain talented executives, key managers, and employees our financial condition and results of operations could be adversely affected.</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success is largely dependent upon our ability to attract and retain talented executives and other key management. Talent is defined as people with the right skills, knowledge, abilities, character, and motivation. The loss of the services and leadership of certain key officers and the failure to plan for turnover or retirement or to attract and develop talented new executives and managers could prevent us from successfully communicating, implementing, and executing business strategies.</w:t>
      </w:r>
    </w:p>
    <w:p>
      <w:pPr>
        <w:spacing w:after="0" w:line="20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success also depends on our ability to attract, develop, and retain a talented employee base. The inability to staff all functions of our business with employees possessing the appropriate talent could have an adverse effect on our business performance. Additionally, failure to recognize, evaluate, and respond to changing workforce trends including current labor market conditions and new ways of managing in hybrid work environments, or failure to execute proactive retention and replacement strategies could also have an adverse effect on our business performance. Furthermore, failure to instill appropriate cultural expectations and behavioral norms within our employees, particularly in a hybrid work environment, could damage our reputation. Staffing appropriately talented employees for the handling of claims and servicing of customers, rendering of disciplined underwriting, and effective sales and marketing are critical to the core functions of our business. In addition, talented employees in the actuarial, finance, human resources, information technology, law, and risk management areas are also essential to support our core functions.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If we are unable to effectively maintain system availability or manage technology initiatives, we may experience adverse financial consequences and/or may be unable to compete effectively.</w:t>
      </w:r>
    </w:p>
    <w:p>
      <w:pPr>
        <w:spacing w:after="0" w:line="19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business is highly dependent upon the effectiveness of our technology and information systems which support key functions of our core business operations including processing applications and premium payments, providing customer support, performing actuarial and financial analysis, and maintaining key data. Additionally, the Exchange relies heavily on technology systems for processing claims. In order to support our business processes and strategic initiatives in a cost and resource efficient manner, we must maintain the effectiveness of existing technology systems and continue to identify and develop new, and enhance existing, technology systems. As we invest in the development of our systems, costs and completion times could exceed original estimates, and/or the project may not deliver the anticipated benefit or perform as expected. If we do not effectively and efficiently manage and upgrade our technology systems, our ability to serve our customers and implement our strategic initiatives could be adversely impacted.</w:t>
      </w:r>
    </w:p>
    <w:p>
      <w:pPr>
        <w:spacing w:after="0" w:line="19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Additionally, we depend on a large amount of data to price policies appropriately, track exposures, perform financial analysis, report to regulatory bodies, and ultimately make business decisions. Should this data be inaccurate or insufficient, risk exposure may be underestimated and/or poor business decisions may be made. This may in turn lead to adverse operational or financial performance and adverse customer or investor confidence.</w:t>
      </w:r>
    </w:p>
    <w:p>
      <w:pPr>
        <w:spacing w:after="0" w:line="1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If we experience difficulties with technology, data and network security, including those that could result from cyber attacks, third-party relationships or cloud-based relationships, our ability to conduct our business could be adversely impacted.</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business, we collect, use, store and where appropriate, disclose data concerning individuals and businesses. We also conduct business using third parties who may provide software, data storage, cloud-based computing and other technology services. We have on occasion experienced, and will continue to experience, cyber threats to our data and systems. Cyber threats can create significant risks such as destruction of systems or data, denial or interruption of service, disruption of transaction execution, loss or exposure of customer data, theft or exposure of our intellectual property, theft of funds or disruption of other important business functions. Our interactions with third parties may expose us to increased risk related to data security, service disruptions or effectiveness of our control system.</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are subject to numerous federal and state data privacy and security laws relating to the privacy and security of the nonpublic personal information of our customers, employees and others. The improper access, disclosure, misuse or mishandling of such information could result in legal liability, regulatory action and reputational damage. Third parties on whom we rely for certain business processing functions are also subject to these risks, and their failure to adhere to these laws and regulations could negatively impact us.</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number, complexity and sophistication of cyber threats continue to increase over time. While we maintain cyber liability insurance to mitigate the financial risk around cyber incidents, such insurance may not cover all costs associated with the consequences of information or systems being compromised, and such insurance may become prohibitively expensive to maintain. Additionally, while we have dedicated resources with security incident response capabilities, our response process may not be adequate, may fail to accurately assess the severity of an incident, may not respond quickly enough or may fail to sufficiently remediate an incident. As a result, we may suffer significant legal, reputational, or financial losses, which could adversely affect our business, cash flows, financial condition or results of operations.</w:t>
      </w:r>
    </w:p>
    <w:p>
      <w:pPr>
        <w:spacing w:after="0" w:line="219"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To date, we are not aware of any material cybersecurity breach with respect to our systems or data. Additionally, we are not aware of any cybersecurity breach experienced by anyone with whom we have a third-party relationship that has had a material impact on our systems or data.</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If events occurred causing interruption of our operations, facilities, systems or business functions, it could have a material adverse effect on our operations and financial results.</w:t>
      </w:r>
    </w:p>
    <w:p>
      <w:pPr>
        <w:spacing w:after="0" w:line="19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established business continuity and disaster recovery plans to provide for the continuation of core business operations in the event that normal business operations could not be performed due to catastrophic or other events, including pandemics. While we continue to test and assess our business continuity and disaster recovery plans to validate they meet the needs of our core business operations and address multiple business interruption events, there is no assurance that core business operations could be performed upon the occurrence of such an event. Employee absence, physical premises damage, systems failures or outages could compromise our ability to perform our business functions in a timely manner, which could harm our ability to conduct business and hurt our business and customer relationships. Our operational resiliency is also dependent on third-party personnel, infrastructure and systems on which we rely. Our operations and those of our third parties may become vulnerable to damage or disruption due to circumstances beyond our or their control, such as from catastrophic events, power anomalies or</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outages, natural disasters, pandemics, supply chain interruptions, network failures, and cyber attacks. Additionally, we are dependent on internet and telecommunications access and capabilities. Our workforce is largely concentrated in Erie, Pennsylvania. If a significant event affects the labor force in this area, it could impact the policy acquisition, underwriting, claims and/or support services provided to the policyholders and/or independent agents of the Exchange. Disruptions to our workforce or our operations for any reason could result in a material adverse effect on our business, cash flows, financial condition, or results of operations.</w:t>
      </w:r>
    </w:p>
    <w:p>
      <w:pPr>
        <w:spacing w:after="0" w:line="2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We are subject to applicable insurance laws, tax statutes, and regulations, as well as claims and legal proceedings, which, if determined unfavorably, could have a material adverse effect on our business, results of operations, or financial condition.</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face a significant risk of litigation and regulatory investigations and actions in the ordinary course of operating our businesses including the risk of class action lawsuits. We are, have been, or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 We are also subject to various regulatory inquiries, such as information requests, subpoenas, and books and record examinations from state and federal regulators and authorities. In addition, changes in the way regulators administer applicable laws, tax statutes, or regulations could adversely impact our business, cash flows, results of operations, or financial condition. It is also possible that changes in economic conditions and steps taken by federal, state and local governments in response to a pandemic or other significant events could cause an increase in taxes at the federal, state and local levels, which would adversely impact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Capital, and Liquidity risks</w:t>
      </w:r>
    </w:p>
    <w:p>
      <w:pPr>
        <w:spacing w:after="0" w:line="25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2022, our investment portfolio consisted of approximately 84% fixed maturity securities, with the remaining 16% invested in equity securities and other investments.</w:t>
      </w:r>
    </w:p>
    <w:p>
      <w:pPr>
        <w:spacing w:after="0" w:line="19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General economic conditions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our respective investment portfolios. This could reduce fair values of investments and generate significant unrealized losses or impairment charges which may adversely affect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the fixed income portfolio is subject to a number of risks including, but not limited to:</w:t>
      </w:r>
    </w:p>
    <w:p>
      <w:pPr>
        <w:spacing w:after="0" w:line="25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rate risk - the risk of adverse changes in the value of fixed income securities as a result of increases in market interest rates.</w:t>
      </w:r>
    </w:p>
    <w:p>
      <w:pPr>
        <w:spacing w:after="0" w:line="263" w:lineRule="exact"/>
        <w:rPr>
          <w:rFonts w:ascii="Arial" w:cs="Arial" w:eastAsia="Arial" w:hAnsi="Arial"/>
          <w:sz w:val="17"/>
          <w:szCs w:val="17"/>
          <w:color w:val="auto"/>
        </w:rPr>
      </w:pPr>
    </w:p>
    <w:p>
      <w:pPr>
        <w:jc w:val="both"/>
        <w:ind w:left="980" w:right="340" w:hanging="324"/>
        <w:spacing w:after="0" w:line="286"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Investment credit risk - the risk that the value of certain investments may decrease due to the deterioration in financial condition of, or the liquidity available to, one or more issuers of those securities or, in the case of structured securities, due to the deterioration of the loans or other assets that underlie the securities, which, in each case, also includes the risk of permanent loss.</w:t>
      </w:r>
    </w:p>
    <w:p>
      <w:pPr>
        <w:spacing w:after="0" w:line="192" w:lineRule="exact"/>
        <w:rPr>
          <w:rFonts w:ascii="Arial" w:cs="Arial" w:eastAsia="Arial" w:hAnsi="Arial"/>
          <w:sz w:val="17"/>
          <w:szCs w:val="17"/>
          <w:color w:val="auto"/>
        </w:rPr>
      </w:pPr>
    </w:p>
    <w:p>
      <w:pPr>
        <w:ind w:left="980" w:right="22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Sector/Concentration risk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213" w:lineRule="exact"/>
        <w:rPr>
          <w:rFonts w:ascii="Arial" w:cs="Arial" w:eastAsia="Arial" w:hAnsi="Arial"/>
          <w:sz w:val="18"/>
          <w:szCs w:val="18"/>
          <w:color w:val="auto"/>
        </w:rPr>
      </w:pPr>
    </w:p>
    <w:p>
      <w:pPr>
        <w:jc w:val="both"/>
        <w:ind w:left="980" w:right="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Liquidity risk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right="5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Reinvestment risk - the possibility that the cash flows produced by an investment will have to be reinvested at a reduced rate of return. Approximately 36% of our fixed maturity portfolio is expected to mature over the next three years.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equity securities have exposure to price risk. Equity markets, sectors, industries, and individual securities may also be subject to some of the same risks that affect our fixed income portfolio, as discussed above.</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of our fixed income and equity securities are subject to market volatility. To the extent that future market volatility negatively impacts our investments, our financial condition will be negatively impacted. We review the fixed income portfolio on a periodic basis to evaluate positions that are in an unrealized loss position to determine whether impairments are a result of credit loss or other factors. Inherent in management's evaluation of a security are assumptions and estimates about the operations of the issuer and its future earnings potential. As the process for determining impairments is highly subjective, changes in our assessments may have a material effect on our operating results and financial condition. See also Part II, Item 7A. "Quantitative and Qualitative Disclosures about Market Risk".</w:t>
      </w: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July 2017, the United Kingdom’s Financial Conduct Authority ("FCA"), which regulates the London Interbank Offered Rate (“LIBOR”), announced that it intends to phase out LIBOR by the end of 2021. After this date, the FCA would no longer require banks to make LIBOR submissions. Following discussions with the FCA and other official sector bodies, the Intercontinental Exchange Benchmark Administration announced in March 2021 the publication of certain USD LIBOR settings will continue through June 30, 2023. The Alternative Reference Rates Committee of the Federal Reserve Board (ARRC), a group of market participants convened to help ensure a successful transition away from LIBOR, has recommended the Secured Overnight Financing Rate (SOFR) as its preferred alternative reference rate and has proposed a transition plan and timeline designed to encourage the adoption of SOFR from LIBOR. Volume in SOFR-linked products progressed strongly in 2022, and SOFR is now the predominant floating rate used in newly issued fixed income transactions. However, most floating rate instruments outstanding still reference LIBOR and therefore will need to transition to an alternative rate.</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have identified our population of contracts that contain a LIBOR reference and have determined that our primary exposure is in fixed income securities within our investment portfolio. At December 31, 2022, approximately 17% of our investment portfolio includes securities with LIBOR exposure where the stated final maturity date extends beyond June 30, 2023. Many of our LIBOR indexed securities have fallback provisions that provide for an alternative reference rate when LIBOR ceases to exist. For securities governed by U.S. law without adequate fallback provisions already in place, federal legislation was passed in 2022 to provide a safe harbor for transition to the recommended alternative reference rate.</w:t>
      </w:r>
    </w:p>
    <w:p>
      <w:pPr>
        <w:spacing w:after="0" w:line="20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continually monitor the risks associated with the LIBOR transition which include identifying and monitoring our exposure to LIBOR, monitoring the market adoption of alternative reference rates and ensuring operational processes are updated to accommodate alternative rates. Due to the inherent uncertainty in financial markets, we are currently unable to predict the overall impact of LIBOR transition on our net investment income, fair market value and return on investments that contain a LIBOR reference.</w:t>
      </w: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Sufficient liquidity and capital levels are required to pay operating expenses, income taxes, and to provide the necessary resources to fund future growth opportunities, satisfy certain financial covenants, pay dividends on common stock, and repurchase common stock. Management estimates the appropriate level of capital necessary based upon current and projected results, which includes evaluating potential risks. Failure to accurately estimate our capital needs may have a material adverse effect on our financial condition until additional sources of capital can be obtained. Further, a deteriorating financial condition may create a negative perception of us by third parties, including investors, and financial institutions, which could impact our ability to access additional capital in the debt or equity markets. Volatility in the financial markets could also limit our ability to sell certain fixed income securities or cause such investments to sell at deep discounts.</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primary sources of liquidity are management fee revenue and cash flows generated from our investment portfolio. In the event these traditional sources of liquidity are not available, we may have to seek additional financing. Our access to funds will depend upon a number of factors including current market conditions, the availability of credit, market liquidity, and the timing of obtaining credit ratings. In deteriorating market conditions, there can be no assurance that we will obtain additional financing, or, if available, that the cost of financing will not substantially increase and affect our overall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Indemnity and the Exchange share a corporate home office campus in Erie, Pennsylvania, which comprises approximately 996,000 square feet.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lease two office buildings and one warehouse facility from third parties. We are charged rent for the related square footage we occupy.</w:t>
      </w: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Indemnity and the Exchange also operate 25 field offices in 12 states used to primarily support claims-related activities. The Exchange owns seven field offices and leases another 16 from third parties. Indemnity owns one field office and leases another from a third party. Commitments for properties leased from third parties expire periodically through 2027. We expect that most leases will be renewed or replaced upon expiration. Rental costs of shared facilities are allocated based upon usage or square footage occupied.</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 90% of our workforce had been working remotely from March 2020 through April 2022 due to the COVID-19 pandemic. We implemented a phased return of our workforce beginning in April 2022 and transitioned to a predominately hybrid format.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complaint seeks relief for alleged breaches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19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15"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This most recent complaint has the same allegation of breach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w:t>
      </w:r>
    </w:p>
    <w:p>
      <w:pPr>
        <w:spacing w:after="0" w:line="2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November 21, 2022, Indemnity filed a Petition for Rehearing requesting that the Third Circuit permit the appeal. By Order dated January 9, 2023, the Court granted the petition for rehearing and vacated the prior Order of October 7, 2022, denying permission to appeal. The appeal will now be heard before the Third Circuit.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Indemnity intends to vigorously defend against all of the allegations and requests for relief in the complaint.</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 claims and issues pertaining to the compensation practices that were the subject of the prior judgments.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additional information on contingencies, see Part II, Item 8. "Financial Statements and Supplementary Data - Note 16, Commitment and Contingencies, of Notes to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PART II</w:t>
      </w:r>
    </w:p>
    <w:p>
      <w:pPr>
        <w:spacing w:after="0" w:line="180" w:lineRule="exact"/>
        <w:rPr>
          <w:sz w:val="20"/>
          <w:szCs w:val="20"/>
          <w:color w:val="auto"/>
        </w:rPr>
      </w:pPr>
    </w:p>
    <w:p>
      <w:pPr>
        <w:ind w:left="900" w:right="160" w:hanging="890"/>
        <w:spacing w:after="0" w:line="282" w:lineRule="auto"/>
        <w:tabs>
          <w:tab w:leader="none" w:pos="8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8"/>
          <w:szCs w:val="8"/>
          <w:color w:val="auto"/>
        </w:rPr>
        <w:t>SM</w:t>
      </w:r>
      <w:r>
        <w:rPr>
          <w:rFonts w:ascii="Arial" w:cs="Arial" w:eastAsia="Arial" w:hAnsi="Arial"/>
          <w:sz w:val="18"/>
          <w:szCs w:val="18"/>
          <w:color w:val="auto"/>
        </w:rPr>
        <w:t xml:space="preserve"> LLC under the symbol "ERIE". No established trading market exists for the Class B voting common stock. Broadridge Corporate Issuer Solutions, Inc. serves as our transfer agent and registrar. As of February 17, 2023, there were approximately 527 shareholders of record for the Class A non-voting common stock and 9 shareholders of record for the Class B voting common stock.</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Supercomposite Insurance Industry Group Index. The Standard &amp; Poor's Supercomposite Insurance Industry Group Index is made up of 55 constituent members represented by property and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43650" cy="2451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436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6"/>
              </w:rPr>
              <w:t>2017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4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440" w:type="dxa"/>
            <w:vAlign w:val="bottom"/>
          </w:tcPr>
          <w:p>
            <w:pPr>
              <w:spacing w:after="0"/>
              <w:rPr>
                <w:sz w:val="15"/>
                <w:szCs w:val="15"/>
                <w:color w:val="auto"/>
              </w:rPr>
            </w:pPr>
          </w:p>
        </w:tc>
        <w:tc>
          <w:tcPr>
            <w:tcW w:w="480" w:type="dxa"/>
            <w:vAlign w:val="bottom"/>
          </w:tcPr>
          <w:p>
            <w:pPr>
              <w:jc w:val="center"/>
              <w:ind w:left="88"/>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5"/>
        </w:trPr>
        <w:tc>
          <w:tcPr>
            <w:tcW w:w="4980" w:type="dxa"/>
            <w:vAlign w:val="bottom"/>
            <w:vMerge w:val="restart"/>
          </w:tcPr>
          <w:p>
            <w:pPr>
              <w:spacing w:after="0"/>
              <w:rPr>
                <w:sz w:val="20"/>
                <w:szCs w:val="20"/>
                <w:color w:val="auto"/>
              </w:rPr>
            </w:pPr>
            <w:r>
              <w:rPr>
                <w:rFonts w:ascii="Arial" w:cs="Arial" w:eastAsia="Arial" w:hAnsi="Arial"/>
                <w:sz w:val="14"/>
                <w:szCs w:val="14"/>
                <w:color w:val="auto"/>
              </w:rPr>
              <w:t>Erie Indemnity Company Class A common stock</w:t>
            </w: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113</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143</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218</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174</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4"/>
              </w:rPr>
              <w:t>230</w:t>
            </w:r>
          </w:p>
        </w:tc>
        <w:tc>
          <w:tcPr>
            <w:tcW w:w="0" w:type="dxa"/>
            <w:vAlign w:val="bottom"/>
          </w:tcPr>
          <w:p>
            <w:pPr>
              <w:spacing w:after="0"/>
              <w:rPr>
                <w:sz w:val="1"/>
                <w:szCs w:val="1"/>
                <w:color w:val="auto"/>
              </w:rPr>
            </w:pPr>
          </w:p>
        </w:tc>
      </w:tr>
      <w:tr>
        <w:trPr>
          <w:trHeight w:val="197"/>
        </w:trPr>
        <w:tc>
          <w:tcPr>
            <w:tcW w:w="4980" w:type="dxa"/>
            <w:vAlign w:val="bottom"/>
          </w:tcPr>
          <w:p>
            <w:pPr>
              <w:spacing w:after="0"/>
              <w:rPr>
                <w:sz w:val="20"/>
                <w:szCs w:val="20"/>
                <w:color w:val="auto"/>
              </w:rPr>
            </w:pPr>
            <w:r>
              <w:rPr>
                <w:rFonts w:ascii="Arial" w:cs="Arial" w:eastAsia="Arial" w:hAnsi="Arial"/>
                <w:sz w:val="14"/>
                <w:szCs w:val="14"/>
                <w:color w:val="auto"/>
              </w:rPr>
              <w:t>Standard &amp; Poor's 500 Stock Index</w:t>
            </w:r>
          </w:p>
        </w:tc>
        <w:tc>
          <w:tcPr>
            <w:tcW w:w="260" w:type="dxa"/>
            <w:vAlign w:val="bottom"/>
          </w:tcPr>
          <w:p>
            <w:pPr>
              <w:spacing w:after="0"/>
              <w:rPr>
                <w:sz w:val="17"/>
                <w:szCs w:val="17"/>
                <w:color w:val="auto"/>
              </w:rPr>
            </w:pPr>
          </w:p>
        </w:tc>
        <w:tc>
          <w:tcPr>
            <w:tcW w:w="480" w:type="dxa"/>
            <w:vAlign w:val="bottom"/>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96</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126</w:t>
            </w:r>
          </w:p>
        </w:tc>
        <w:tc>
          <w:tcPr>
            <w:tcW w:w="4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149</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191</w:t>
            </w:r>
          </w:p>
        </w:tc>
        <w:tc>
          <w:tcPr>
            <w:tcW w:w="440" w:type="dxa"/>
            <w:vAlign w:val="bottom"/>
          </w:tcPr>
          <w:p>
            <w:pPr>
              <w:spacing w:after="0"/>
              <w:rPr>
                <w:sz w:val="17"/>
                <w:szCs w:val="17"/>
                <w:color w:val="auto"/>
              </w:rPr>
            </w:pP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4"/>
              </w:rPr>
              <w:t>157</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4"/>
                <w:szCs w:val="14"/>
                <w:color w:val="auto"/>
              </w:rPr>
              <w:t>Standard &amp; Poor's Supercomposite Insurance Industry Group Index</w:t>
            </w:r>
          </w:p>
        </w:tc>
        <w:tc>
          <w:tcPr>
            <w:tcW w:w="260" w:type="dxa"/>
            <w:vAlign w:val="bottom"/>
          </w:tcPr>
          <w:p>
            <w:pPr>
              <w:spacing w:after="0"/>
              <w:rPr>
                <w:sz w:val="17"/>
                <w:szCs w:val="17"/>
                <w:color w:val="auto"/>
              </w:rPr>
            </w:pPr>
          </w:p>
        </w:tc>
        <w:tc>
          <w:tcPr>
            <w:tcW w:w="480" w:type="dxa"/>
            <w:vAlign w:val="bottom"/>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90</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4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114</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440" w:type="dxa"/>
            <w:vAlign w:val="bottom"/>
          </w:tcPr>
          <w:p>
            <w:pPr>
              <w:spacing w:after="0"/>
              <w:rPr>
                <w:sz w:val="17"/>
                <w:szCs w:val="17"/>
                <w:color w:val="auto"/>
              </w:rPr>
            </w:pP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4"/>
              </w:rPr>
              <w:t>161</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00" w:hanging="328"/>
        <w:spacing w:after="0" w:line="293" w:lineRule="auto"/>
        <w:tabs>
          <w:tab w:leader="none" w:pos="717"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Assumes $100 invested at the close of trading, including reinvestment of dividends, on the last trading day preceding the first day of the fifth preceding fiscal year, in our Class A common stock, the Standard &amp; Poor's 500 Stock Index, and the Standard &amp; Poor's Supercomposite Insurance Industry Group Index.</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20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2011 for $150 million, which was authorized with no time limitation.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and average price of our outstanding Class A nonvoting common stock shares purchased during the quarter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 except per share data)</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w w:val="92"/>
              </w:rPr>
              <w:t>Total number of shares</w:t>
            </w:r>
          </w:p>
        </w:tc>
        <w:tc>
          <w:tcPr>
            <w:tcW w:w="160" w:type="dxa"/>
            <w:vAlign w:val="bottom"/>
          </w:tcPr>
          <w:p>
            <w:pPr>
              <w:spacing w:after="0"/>
              <w:rPr>
                <w:sz w:val="17"/>
                <w:szCs w:val="17"/>
                <w:color w:val="auto"/>
              </w:rPr>
            </w:pPr>
          </w:p>
        </w:tc>
        <w:tc>
          <w:tcPr>
            <w:tcW w:w="1920" w:type="dxa"/>
            <w:vAlign w:val="bottom"/>
            <w:gridSpan w:val="3"/>
            <w:vMerge w:val="restart"/>
          </w:tcPr>
          <w:p>
            <w:pPr>
              <w:ind w:left="60"/>
              <w:spacing w:after="0"/>
              <w:rPr>
                <w:sz w:val="20"/>
                <w:szCs w:val="20"/>
                <w:color w:val="auto"/>
              </w:rPr>
            </w:pPr>
            <w:r>
              <w:rPr>
                <w:rFonts w:ascii="Arial" w:cs="Arial" w:eastAsia="Arial" w:hAnsi="Arial"/>
                <w:sz w:val="18"/>
                <w:szCs w:val="18"/>
                <w:color w:val="auto"/>
              </w:rPr>
              <w:t>Average price paid per</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89"/>
              </w:rPr>
              <w:t>Dollar value of shares that</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180" w:type="dxa"/>
            <w:vAlign w:val="bottom"/>
          </w:tcPr>
          <w:p>
            <w:pPr>
              <w:spacing w:after="0"/>
              <w:rPr>
                <w:sz w:val="15"/>
                <w:szCs w:val="15"/>
                <w:color w:val="auto"/>
              </w:rPr>
            </w:pPr>
          </w:p>
        </w:tc>
        <w:tc>
          <w:tcPr>
            <w:tcW w:w="2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0"/>
              </w:rPr>
              <w:t>may yet be purchased under</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announced program</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the program</w:t>
            </w:r>
          </w:p>
        </w:tc>
        <w:tc>
          <w:tcPr>
            <w:tcW w:w="0" w:type="dxa"/>
            <w:vAlign w:val="bottom"/>
          </w:tcPr>
          <w:p>
            <w:pPr>
              <w:spacing w:after="0"/>
              <w:rPr>
                <w:sz w:val="1"/>
                <w:szCs w:val="1"/>
                <w:color w:val="auto"/>
              </w:rPr>
            </w:pPr>
          </w:p>
        </w:tc>
      </w:tr>
      <w:tr>
        <w:trPr>
          <w:trHeight w:val="298"/>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October 1–31, 2022</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Pr>
          <w:p>
            <w:pPr>
              <w:ind w:left="20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35"/>
        </w:trPr>
        <w:tc>
          <w:tcPr>
            <w:tcW w:w="25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November 1–30, 2022 </w:t>
            </w:r>
            <w:r>
              <w:rPr>
                <w:rFonts w:ascii="Arial" w:cs="Arial" w:eastAsia="Arial" w:hAnsi="Arial"/>
                <w:sz w:val="23"/>
                <w:szCs w:val="23"/>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254.47</w:t>
            </w:r>
          </w:p>
        </w:tc>
        <w:tc>
          <w:tcPr>
            <w:tcW w:w="16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December 1–31, 2022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2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254.47</w:t>
            </w:r>
          </w:p>
        </w:tc>
        <w:tc>
          <w:tcPr>
            <w:tcW w:w="160" w:type="dxa"/>
            <w:vAlign w:val="bottom"/>
          </w:tcPr>
          <w:p>
            <w:pPr>
              <w:spacing w:after="0"/>
              <w:rPr>
                <w:sz w:val="19"/>
                <w:szCs w:val="19"/>
                <w:color w:val="auto"/>
              </w:rPr>
            </w:pPr>
          </w:p>
        </w:tc>
        <w:tc>
          <w:tcPr>
            <w:tcW w:w="222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hanging="328"/>
        <w:spacing w:after="0" w:line="273" w:lineRule="auto"/>
        <w:tabs>
          <w:tab w:leader="none" w:pos="6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shares purchased on the open market to fund the rabbi trust for both the outside director deferred stock compensation plan (1,563 shares at an average price of $254.47 per share) and the incentive compensation deferral plan (272 shares at an average price of $254.47 per share).</w:t>
      </w:r>
    </w:p>
    <w:p>
      <w:pPr>
        <w:spacing w:after="0" w:line="200" w:lineRule="exact"/>
        <w:rPr>
          <w:sz w:val="20"/>
          <w:szCs w:val="20"/>
          <w:color w:val="auto"/>
        </w:rPr>
      </w:pPr>
    </w:p>
    <w:p>
      <w:pPr>
        <w:spacing w:after="0" w:line="3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Item 8. "Financial Statements and Supplementary Data – Note 10, Incentive and Deferred Compensation Plans, of Notes to Financial Statements" contained within this report for additional information on shares purchased outside of this program.</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6.</w:t>
        <w:tab/>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Page Number</w:t>
            </w:r>
          </w:p>
        </w:tc>
      </w:tr>
      <w:tr>
        <w:trPr>
          <w:trHeight w:val="161"/>
        </w:trPr>
        <w:tc>
          <w:tcPr>
            <w:tcW w:w="4140" w:type="dxa"/>
            <w:vAlign w:val="bottom"/>
            <w:gridSpan w:val="10"/>
          </w:tcPr>
          <w:p>
            <w:pPr>
              <w:spacing w:after="0" w:line="142" w:lineRule="exact"/>
              <w:rPr>
                <w:sz w:val="20"/>
                <w:szCs w:val="20"/>
                <w:color w:val="auto"/>
              </w:rPr>
            </w:pPr>
            <w:r>
              <w:rPr>
                <w:rFonts w:ascii="Arial" w:cs="Arial" w:eastAsia="Arial" w:hAnsi="Arial"/>
                <w:sz w:val="16"/>
                <w:szCs w:val="16"/>
                <w:color w:val="0000FF"/>
                <w:w w:val="93"/>
              </w:rPr>
              <w:t>Cautionary Statement Regarding Forward-Looking Information</w:t>
            </w:r>
          </w:p>
        </w:tc>
        <w:tc>
          <w:tcPr>
            <w:tcW w:w="5540" w:type="dxa"/>
            <w:vAlign w:val="bottom"/>
          </w:tcPr>
          <w:p>
            <w:pPr>
              <w:spacing w:after="0"/>
              <w:rPr>
                <w:sz w:val="14"/>
                <w:szCs w:val="14"/>
                <w:color w:val="auto"/>
              </w:rPr>
            </w:pPr>
          </w:p>
        </w:tc>
        <w:tc>
          <w:tcPr>
            <w:tcW w:w="1500" w:type="dxa"/>
            <w:vAlign w:val="bottom"/>
            <w:gridSpan w:val="2"/>
          </w:tcPr>
          <w:p>
            <w:pPr>
              <w:jc w:val="right"/>
              <w:spacing w:after="0" w:line="161" w:lineRule="exact"/>
              <w:rPr>
                <w:sz w:val="20"/>
                <w:szCs w:val="20"/>
                <w:color w:val="auto"/>
              </w:rPr>
            </w:pPr>
            <w:r>
              <w:rPr>
                <w:rFonts w:ascii="Arial" w:cs="Arial" w:eastAsia="Arial" w:hAnsi="Arial"/>
                <w:sz w:val="16"/>
                <w:szCs w:val="16"/>
                <w:color w:val="0000FF"/>
              </w:rPr>
              <w:t>17</w:t>
            </w:r>
          </w:p>
        </w:tc>
        <w:tc>
          <w:tcPr>
            <w:tcW w:w="20" w:type="dxa"/>
            <w:vAlign w:val="bottom"/>
          </w:tcPr>
          <w:p>
            <w:pPr>
              <w:spacing w:after="0"/>
              <w:rPr>
                <w:sz w:val="14"/>
                <w:szCs w:val="14"/>
                <w:color w:val="auto"/>
              </w:rPr>
            </w:pPr>
          </w:p>
        </w:tc>
      </w:tr>
      <w:tr>
        <w:trPr>
          <w:trHeight w:val="27"/>
        </w:trPr>
        <w:tc>
          <w:tcPr>
            <w:tcW w:w="1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6680" w:type="dxa"/>
            <w:vAlign w:val="bottom"/>
            <w:gridSpan w:val="2"/>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940" w:type="dxa"/>
            <w:vAlign w:val="bottom"/>
            <w:gridSpan w:val="6"/>
          </w:tcPr>
          <w:p>
            <w:pPr>
              <w:spacing w:after="0"/>
              <w:rPr>
                <w:sz w:val="20"/>
                <w:szCs w:val="20"/>
                <w:color w:val="auto"/>
              </w:rPr>
            </w:pPr>
            <w:r>
              <w:rPr>
                <w:rFonts w:ascii="Arial" w:cs="Arial" w:eastAsia="Arial" w:hAnsi="Arial"/>
                <w:sz w:val="16"/>
                <w:szCs w:val="16"/>
                <w:color w:val="0000FF"/>
                <w:w w:val="90"/>
              </w:rPr>
              <w:t>Recent Accounting Standards</w:t>
            </w:r>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18</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Arial" w:cs="Arial" w:eastAsia="Arial" w:hAnsi="Arial"/>
                <w:sz w:val="16"/>
                <w:szCs w:val="16"/>
                <w:color w:val="0000FF"/>
                <w:w w:val="89"/>
              </w:rPr>
              <w:t>Operating Overview</w:t>
            </w:r>
          </w:p>
        </w:tc>
        <w:tc>
          <w:tcPr>
            <w:tcW w:w="640" w:type="dxa"/>
            <w:vAlign w:val="bottom"/>
            <w:gridSpan w:val="3"/>
          </w:tcPr>
          <w:p>
            <w:pPr>
              <w:spacing w:after="0"/>
              <w:rPr>
                <w:sz w:val="17"/>
                <w:szCs w:val="17"/>
                <w:color w:val="auto"/>
              </w:rPr>
            </w:pPr>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sz w:val="20"/>
                <w:szCs w:val="20"/>
                <w:color w:val="auto"/>
              </w:rPr>
            </w:pPr>
            <w:r>
              <w:rPr>
                <w:rFonts w:ascii="Arial" w:cs="Arial" w:eastAsia="Arial" w:hAnsi="Arial"/>
                <w:sz w:val="16"/>
                <w:szCs w:val="16"/>
                <w:color w:val="0000FF"/>
                <w:w w:val="93"/>
              </w:rPr>
              <w:t>Critical Accounting Estimates</w:t>
            </w:r>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sz w:val="20"/>
                <w:szCs w:val="20"/>
                <w:color w:val="auto"/>
              </w:rPr>
            </w:pPr>
            <w:r>
              <w:rPr>
                <w:rFonts w:ascii="Arial" w:cs="Arial" w:eastAsia="Arial" w:hAnsi="Arial"/>
                <w:sz w:val="16"/>
                <w:szCs w:val="16"/>
                <w:color w:val="0000FF"/>
              </w:rPr>
              <w:t>Results of Operations</w:t>
            </w:r>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Arial" w:cs="Arial" w:eastAsia="Arial" w:hAnsi="Arial"/>
                <w:sz w:val="16"/>
                <w:szCs w:val="16"/>
                <w:color w:val="0000FF"/>
                <w:w w:val="92"/>
              </w:rPr>
              <w:t>Financial Condition</w:t>
            </w:r>
          </w:p>
        </w:tc>
        <w:tc>
          <w:tcPr>
            <w:tcW w:w="100" w:type="dxa"/>
            <w:vAlign w:val="bottom"/>
          </w:tcPr>
          <w:p>
            <w:pPr>
              <w:spacing w:after="0"/>
              <w:rPr>
                <w:sz w:val="17"/>
                <w:szCs w:val="17"/>
                <w:color w:val="auto"/>
              </w:rPr>
            </w:pPr>
          </w:p>
        </w:tc>
        <w:tc>
          <w:tcPr>
            <w:tcW w:w="8280" w:type="dxa"/>
            <w:vAlign w:val="bottom"/>
            <w:gridSpan w:val="7"/>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0000FF"/>
                <w:w w:val="90"/>
              </w:rPr>
              <w:t>Investments</w:t>
            </w:r>
          </w:p>
        </w:tc>
        <w:tc>
          <w:tcPr>
            <w:tcW w:w="380" w:type="dxa"/>
            <w:vAlign w:val="bottom"/>
          </w:tcPr>
          <w:p>
            <w:pPr>
              <w:spacing w:after="0"/>
              <w:rPr>
                <w:sz w:val="17"/>
                <w:szCs w:val="17"/>
                <w:color w:val="auto"/>
              </w:rPr>
            </w:pPr>
          </w:p>
        </w:tc>
        <w:tc>
          <w:tcPr>
            <w:tcW w:w="8380" w:type="dxa"/>
            <w:vAlign w:val="bottom"/>
            <w:gridSpan w:val="8"/>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Arial" w:cs="Arial" w:eastAsia="Arial" w:hAnsi="Arial"/>
                <w:sz w:val="16"/>
                <w:szCs w:val="16"/>
                <w:color w:val="0000FF"/>
                <w:w w:val="91"/>
              </w:rPr>
              <w:t>Shareholders' Equity</w:t>
            </w:r>
          </w:p>
        </w:tc>
        <w:tc>
          <w:tcPr>
            <w:tcW w:w="8200" w:type="dxa"/>
            <w:vAlign w:val="bottom"/>
            <w:gridSpan w:val="6"/>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00" w:type="dxa"/>
            <w:vAlign w:val="bottom"/>
            <w:gridSpan w:val="8"/>
          </w:tcPr>
          <w:p>
            <w:pPr>
              <w:spacing w:after="0"/>
              <w:rPr>
                <w:sz w:val="20"/>
                <w:szCs w:val="20"/>
                <w:color w:val="auto"/>
              </w:rPr>
            </w:pPr>
            <w:r>
              <w:rPr>
                <w:rFonts w:ascii="Arial" w:cs="Arial" w:eastAsia="Arial" w:hAnsi="Arial"/>
                <w:sz w:val="16"/>
                <w:szCs w:val="16"/>
                <w:color w:val="0000FF"/>
                <w:w w:val="92"/>
              </w:rPr>
              <w:t>Liquidity and Capital Resources</w:t>
            </w:r>
          </w:p>
        </w:tc>
        <w:tc>
          <w:tcPr>
            <w:tcW w:w="758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17"/>
                <w:szCs w:val="17"/>
                <w:color w:val="auto"/>
              </w:rPr>
            </w:pPr>
          </w:p>
        </w:tc>
      </w:tr>
      <w:tr>
        <w:trPr>
          <w:trHeight w:val="20"/>
        </w:trPr>
        <w:tc>
          <w:tcPr>
            <w:tcW w:w="2100" w:type="dxa"/>
            <w:vAlign w:val="bottom"/>
            <w:gridSpan w:val="8"/>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80" w:type="dxa"/>
            <w:vAlign w:val="bottom"/>
            <w:gridSpan w:val="11"/>
          </w:tcPr>
          <w:p>
            <w:pPr>
              <w:spacing w:after="0"/>
              <w:rPr>
                <w:sz w:val="20"/>
                <w:szCs w:val="20"/>
                <w:color w:val="auto"/>
              </w:rPr>
            </w:pPr>
            <w:r>
              <w:rPr>
                <w:rFonts w:ascii="Arial" w:cs="Arial" w:eastAsia="Arial" w:hAnsi="Arial"/>
                <w:sz w:val="16"/>
                <w:szCs w:val="16"/>
                <w:color w:val="0000FF"/>
              </w:rPr>
              <w:t>Transactions/Agreements with Related Parties</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36</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60" w:right="7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upon our relationship with the Erie Insurance Exchange ("Exchange") and the management fee under the agreement with the subscribers at the Exchange;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growth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dependence upon the independent agency system;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financial condition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Exchange's ability to maintain acceptable financial strength ratings;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litigation and regulatory 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emergence of significant unexpected events, including pandemics and inflation;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emerging claims and coverage issues in the industry;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providing policy issuance and renewal services to the Exchange under the subscriber's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ensure system availability and effectively manage technology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with technology or data security breaches, including cyber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 of pending and potential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liquidity needs and access capital.</w:t>
      </w:r>
    </w:p>
    <w:p>
      <w:pPr>
        <w:spacing w:after="0" w:line="23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Financial Statements" contained within this report for a discussion of recently adopted accounting standards and the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 Pennsylvania business corporation that since 1925 has been the managing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w:t>
      </w:r>
    </w:p>
    <w:p>
      <w:pPr>
        <w:spacing w:after="0" w:line="22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subscriber’s agreement for acting as attorney-in-fact in these two capacities, we earn a management fee. Management fee revenue is based upon all direct and affiliated assumed premiums written by the Exchange and the management fee rate, which is not to exceed 25%. Our Board of Directors establishes the management fee rate at least annually, generally in December for the following year.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management fee rate was set at 25% for 2022, 2021 and 2020. Our Board of Directors set the 2023 management fee rate again at 25%, its maximum level.</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earnings are primarily driven by the management fee revenue generated for the services we provide to the Exchange. 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2022 policy issuance and renewal expenses. The underwriting services we provide include underwriting and policy processing and comprised approximately 10% of our 2022 policy issuance and renewal expenses. The remaining services we provide include customer service and administrative support. We also provide information technology services that support all the functions listed above that comprised approximately 11% of our 2022 policy issuance and renewal expenses. Included in these expenses are allocations of costs for departments that support these policy issuance and renewal functions.</w:t>
      </w:r>
    </w:p>
    <w:p>
      <w:pPr>
        <w:spacing w:after="0" w:line="2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 2022, approximately 71% of the administrative services expenses are entirely attributable to the respective administrative functions (claims handling, life insurance management and investment management), while the remaining 29% of these expenses are allocations of costs for departments that support these administrative functions. The expenses we incur and related reimbursements we receive for administrative services are presented gross in our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69% of the 2022 direct and affiliated assumed written premiums and commercial lines comprising the remaining 31%. The principal personal lines products are private passenger automobile and homeowners. The principal commercial lines products are commercial multi-peril, commercial automobile and workers compensation.</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investment income from our fixed maturity and equity security portfolios. Our portfolio is managed with the objective of maximizing after-tax returns on a risk-adjusted basis. We actively evaluate the portfolios for securities in an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unrealized loss position and record impairment write-downs on investments in instances where we have the intent to sell or it's more likely than not that we would be required to sell the security. Impairments resulting from a credit loss are recognized in earnings with a corresponding allowance on the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Uncertainty resulting from current events, including but not limited to, post-pandemic conditions, supply chain disruptions and certain geopolitical concerns, have influenced various economic factors, including an elevated inflationary environment and rising interest rates over the past year. As these events continue to evolve, the ultimate impact and duration remain uncertain. The following sections provide a summary of the more relevant financial impacts, risk monitoring activities, and operational considerations for Indemnity and the Exchange.</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impact that the COVID-19 pandemic and post-pandemic inflation has on the premiums written by the Exchange, our sole customer, affects our management fee revenue. While reduced driving conditions resulting from the COVID-19 pandemic prompted the Exchange to implement personal and commercial auto rate reductions in 2020, higher severity from continued supply chain disruptions and inflation impacted rate decisions in 2021, resulting in increased average premiums per policy in 2022. There may also be other market and/or regulatory pressures that could impact the Exchange’s operations. Response to the COVID-19 pandemic and various recent geopolitical events have also had a significant impact on the global financial markets, including rising interest rates, which could impact future losses and impairments to the investment portfolio. We have provided additional disclosure of these impacted areas throughout our Management’s Discussion and Analysis that follows. A broader discussion of the potential future impacts has also been disclosed in Financial Condition and Liquidity and Capital Resources contained within this report, as well as Part I. Item 1A. "Risk Factors" contained within this report.</w:t>
      </w:r>
    </w:p>
    <w:p>
      <w:pPr>
        <w:spacing w:after="0" w:line="2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While we were not required to close our physical locations under the state mandated closure of nonessential services during the pandemic, out of concern for the health and safety of our employees, over 90% of our workforce had been working remotely from March 2020 through April 2022. We did not experience significant interruptions to our core business processes or systems and did not have significant changes to our financial close reporting processes or related internal controls as a result of remote work. We implemented a phased return of our workforce beginning in April 2022 and transitioned to a predominately hybrid format. Consistent with our process from the beginning of the pandemic, we prioritize the health and safety of our employees and will adjust as appropriate.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ind w:left="20"/>
              <w:spacing w:after="0"/>
              <w:rPr>
                <w:sz w:val="20"/>
                <w:szCs w:val="20"/>
                <w:color w:val="auto"/>
              </w:rPr>
            </w:pPr>
            <w:r>
              <w:rPr>
                <w:rFonts w:ascii="Arial" w:cs="Arial" w:eastAsia="Arial" w:hAnsi="Arial"/>
                <w:sz w:val="18"/>
                <w:szCs w:val="18"/>
                <w:color w:val="auto"/>
                <w:w w:val="88"/>
              </w:rPr>
              <w:t>Years ended December 31,</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Change</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425"/>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376,214</w:t>
            </w: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318,097</w:t>
            </w:r>
          </w:p>
        </w:tc>
        <w:tc>
          <w:tcPr>
            <w:tcW w:w="380" w:type="dxa"/>
            <w:vAlign w:val="bottom"/>
          </w:tcPr>
          <w:p>
            <w:pPr>
              <w:spacing w:after="0"/>
              <w:rPr>
                <w:sz w:val="24"/>
                <w:szCs w:val="24"/>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(5.9)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338,157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67,332</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w w:val="99"/>
              </w:rPr>
              <w:t>NM</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32,867</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2,009</w:t>
            </w: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4,132</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w w:val="99"/>
              </w:rPr>
              <w:t>NM</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3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w w:val="99"/>
              </w:rPr>
              <w:t>NM</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r>
      <w:tr>
        <w:trPr>
          <w:trHeight w:val="222"/>
        </w:trPr>
        <w:tc>
          <w:tcPr>
            <w:tcW w:w="436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376,452</w:t>
            </w: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376,404</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77,883</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78,544</w:t>
            </w:r>
          </w:p>
        </w:tc>
        <w:tc>
          <w:tcPr>
            <w:tcW w:w="3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75,211</w:t>
            </w:r>
          </w:p>
        </w:tc>
      </w:tr>
      <w:tr>
        <w:trPr>
          <w:trHeight w:val="223"/>
        </w:trPr>
        <w:tc>
          <w:tcPr>
            <w:tcW w:w="43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298,569</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297,860</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1.6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293,304</w:t>
            </w:r>
          </w:p>
        </w:tc>
      </w:tr>
      <w:tr>
        <w:trPr>
          <w:trHeight w:val="21"/>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4360" w:type="dxa"/>
            <w:vAlign w:val="bottom"/>
          </w:tcPr>
          <w:p>
            <w:pPr>
              <w:ind w:left="1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1.6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increased in 2022 compared to 2021 as growth in operating revenue outpaced the growth in operating expenses. Management fee revenue is based upon the management fee rate we charge and the direct and affiliated assumed premiums written by the Exchange. The management fee rate was 25% for 2022, 2021, and 2020. The direct and affiliated assumed premiums written by the Exchange increased 9.2% to $8.6 billion in 2022 and 3.3% to $7.9 billion in 2021.</w:t>
      </w:r>
    </w:p>
    <w:p>
      <w:pPr>
        <w:spacing w:after="0" w:line="21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Cost of operations for policy issuance and renewal services increased 7.0% to $1.8 billion in 2022 primarily due to higher scheduled commissions driven by direct and affiliated assumed written premium growth, as well as increased professional fees and technology costs, partially offset by decreased agent incentive compensation driven by higher claims severity and related loss costs experienced by the Exchange. Cost of operations for policy issuance and renewal services increased 5.6% to $1.7 billion in 2021 primarily due to higher commissions driven by direct and affiliated assumed written premium growth, increased technology costs, increased administrative and other costs, and higher agent incentive compensation from profitable growth.</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fee revenue for administrative services remained consistent at $58.3 million in 2022 compared to a decrease of 2.0% in 2021. The administrative services reimbursement revenue and corresponding cost of operations increased both total operating revenue and total operating expenses by $668.3 million in 2022 and $638.5 million in 2021, but had no net impact on operating income.</w:t>
      </w:r>
    </w:p>
    <w:p>
      <w:pPr>
        <w:spacing w:after="0" w:line="21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Total investment income decreased $66.7 million in 2022 primarily due to a decrease in net investment income as well as net realized and unrealized investment losses in 2022 compared to net gains in 2021. Total investment income increased $34.5 million in 2021 primarily due to an increase in net investment income. The changes in net investment income in both periods were driven by results in our limited partnership portfolio.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The extent to which economic conditions could impact the Exchange’s operations and our management fee was exacerbated with the COVID-19 pandemic and the post-pandemic economic environment. In particular, unanticipated increased inflation costs including medical cost inflation, building material cost inflation, auto repair and replacement cost inflation, and tort issues may impact adequacy of estimated loss reserves and future premium rates of the Exchange. The extent and duration of the impacts to economic conditions remain uncertain as post-pandemic conditions continue to evolve. If any of these items impacted the financial condition or operations of the Exchange, it could have an impact on our financial results. See Financial Condition, Liquidity and Capital Resources, and Part I, Item 1A. "Risk Factors" contained within this report for a discussion of potential impacts to our operations or those of the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portfolio of fixed maturity and equity security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 exist in the fair value of our investment portfolio and reported total investment income, which could have an adverse impact on our financial condition,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results of operations, and cash flows. Post-pandemic conditions and various recent geopolitical events have had a significant impact on the global financial markets. The value of our invested assets could be adversely impacted and there is potential for future losses and/or impairments on our investment portfolio resulting from continued supply chain disruptions, further inflationary pressures and rising interest rates.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Statements of Operations or Financial Position.</w:t>
      </w:r>
    </w:p>
    <w:p>
      <w:pPr>
        <w:spacing w:after="0" w:line="21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9"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We make estimates concerning the fair value of our investments using valuation techniques to derive the fair value of the fixed maturity and equity investments we hold. Fair value is the price that would be received to sell an asset in an orderly transaction between willing market participants at the measurement date.</w:t>
      </w:r>
    </w:p>
    <w:p>
      <w:pPr>
        <w:spacing w:after="0" w:line="2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 Our investments are categorized into a three-level fair value hierarchy which assigns a Level 1 for highly observable inputs and a Level 3 to unobservable inputs. We continually assess whether or not an active market exists for all of our investments and as of each reporting date we re-evaluate their classification in the fair value hierarchy.</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While estimates of the fair values of our investment portfolio are obtained from outside pricing services, we ultimately determine whether the inputs used are observable or unobservable.</w:t>
      </w:r>
    </w:p>
    <w:p>
      <w:pPr>
        <w:spacing w:after="0" w:line="21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of December 31, 2022, substantially all of the securities measured at fair value in our investment portfolio are classified as Level 2. Level 2 securities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At December 31, 2022, our investments classified as Level 3 were not significant.</w:t>
      </w:r>
    </w:p>
    <w:p>
      <w:pPr>
        <w:spacing w:after="0" w:line="171"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See Item 8. "Financial Statements and Supplementary Data - Note 5, Fair Value, of Notes to Financial Statements" contained within this report for additional details on the fair value measurement of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w:t>
      </w:r>
    </w:p>
    <w:p>
      <w:pPr>
        <w:spacing w:after="0" w:line="12" w:lineRule="exact"/>
        <w:rPr>
          <w:sz w:val="20"/>
          <w:szCs w:val="20"/>
          <w:color w:val="auto"/>
        </w:rPr>
      </w:pPr>
    </w:p>
    <w:p>
      <w:pPr>
        <w:jc w:val="both"/>
        <w:ind w:right="340"/>
        <w:spacing w:after="0" w:line="226" w:lineRule="auto"/>
        <w:rPr>
          <w:sz w:val="20"/>
          <w:szCs w:val="20"/>
          <w:color w:val="auto"/>
        </w:rPr>
      </w:pPr>
      <w:r>
        <w:rPr>
          <w:rFonts w:ascii="Arial" w:cs="Arial" w:eastAsia="Arial" w:hAnsi="Arial"/>
          <w:sz w:val="18"/>
          <w:szCs w:val="18"/>
          <w:color w:val="auto"/>
        </w:rPr>
        <w:t>During 2022, as a result of rising interest rates, unrealized losses in our fixed maturity portfolio increased significantly. We regularly monitor our fixed maturity and equity security portfolios for price changes and perform detailed reviews of securities in an unrealized loss position that may indicate that credit-related or other impairments exist. As of December 31, 2022, our intent to sell and credit-related impairments were not material to our financial condition or results of operations.</w:t>
      </w:r>
    </w:p>
    <w:p>
      <w:pPr>
        <w:spacing w:after="0" w:line="21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Financial Statements" contained within this report for additional details on impairments of available-for-sale securities.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 for Employees</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Although we are the sponsor of these postretirement plans and record the funded status of these plans, the Exchange and its subsidiaries reimburse us for approximately 58% of the annual benefit expense of these plans, which represents pension benefits for employees performing administrative services and an allocated share of costs for employees in departments that support the administrative functions.</w:t>
      </w: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2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15 years. This yield curve supported the selection of a 5.67% discount rate for the projected benefit obligation at December 31, 2022 and for the 2023 pension expense. The same methodology was used to develop the 3.16% and 2.96% discount rates used to determine the projected benefit obligation for 2021 and 2020, respectively, and the pension expense for 2022 and 2021, respectively. A 25 basis point decrease in the discount rate assumption, with other assumptions held constant, would increase pension cost in the following year by $3.6 million, of which our share would be approximately $1.5 million, and would increase the pension benefit obligation by $32.3 million.</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14 years.</w:t>
      </w: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expected long-term rate of return for the pension plan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While the expected long-term rate of return is generally less susceptible to annual revisions as there are typically no significant changes in the asset mix, we increased the expected return on asset assumption from 5.50% to 6.50% in 2023 based on the current asset allocation and considering a review of the key factors and expectations of future performance as well as the current market environment. A change of 25 basis points in the expected long-term rate of return assumption, with other assumptions held constant, would have an estimated $2.6 million impact on net pension benefit cost in the following year, of which our share would be approximately $1.1 million.</w:t>
      </w:r>
    </w:p>
    <w:p>
      <w:pPr>
        <w:spacing w:after="0" w:line="2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use a four-year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four-year period. The market-related asset experience during 2022 that related to the actual investment return being different from that assumed during the prior year was a loss of $358.6 million. Recognition of this loss will be deferred and recognized over a four-year period, consistent with the market-related asset value methodology. Once factored into the market-related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asset value, these experience gains and losses will be amortized over a period of 14 years, which is the remaining service period of the employee group.</w:t>
      </w:r>
    </w:p>
    <w:p>
      <w:pPr>
        <w:spacing w:after="0" w:line="26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expect our net pension benefit cost to decrease from $44.2 million in 2022 to income of $7.8 million in 2023 primarily due to higher discount rates and expected return on assets, partially offset by lower than expected asset returns during 2022. Our share of the net pension benefit costs after reimbursements was $18.6 million in 2022. We expect our share of the net pension benefit income to be approximately $3.3 million in 2023, of which expense of $11.5 million will be recorded in operating expense and income of $14.8 million will be recorded in other income.</w:t>
      </w:r>
    </w:p>
    <w:p>
      <w:pPr>
        <w:spacing w:after="0" w:line="213"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Item 8.</w:t>
      </w:r>
    </w:p>
    <w:p>
      <w:pPr>
        <w:spacing w:after="0" w:line="2"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"Financial Statements and Supplementary Data - Note 9, Postretirement Benefits, of Notes to Financial Statements" contained within this report for additional details on the pension plans.</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fee revenue</w:t>
      </w:r>
    </w:p>
    <w:p>
      <w:pPr>
        <w:spacing w:after="0" w:line="2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We have two performance obligations in the subscriber’s agreement, providing policy issuance and renewal services and acting as attorney-in-fact for the Exchange, as well as the service provider for its insurance subsidiaries, with respect to all administrative services. We earn management fees for acting as the attorney-in-fact for the subscribers at the Exchange in these two capacities and allocate our revenues between our performance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 rate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management fee is calculated by multiplying all direct and affiliated assumed premiums written by the Exchange by the management fee rate, which is determined by our Board of Directors at least annually. The management fee rate was set at 25%, the maximum rate, for 2022, 2021 and 2020.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and prior year transaction price allocation reviews resulted in minor changes in the allocation percentages between the two performance obligations in all periods, which did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allocation and disaggregation of revenue for our two performance obligations: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4"/>
          </w:tcPr>
          <w:p>
            <w:pPr>
              <w:ind w:left="20"/>
              <w:spacing w:after="0"/>
              <w:rPr>
                <w:sz w:val="20"/>
                <w:szCs w:val="20"/>
                <w:color w:val="auto"/>
              </w:rPr>
            </w:pPr>
            <w:r>
              <w:rPr>
                <w:rFonts w:ascii="Arial" w:cs="Arial" w:eastAsia="Arial" w:hAnsi="Arial"/>
                <w:sz w:val="18"/>
                <w:szCs w:val="18"/>
                <w:color w:val="auto"/>
                <w:w w:val="87"/>
              </w:rPr>
              <w:t>Years ended December 31,</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71"/>
        </w:trPr>
        <w:tc>
          <w:tcPr>
            <w:tcW w:w="4240" w:type="dxa"/>
            <w:vAlign w:val="bottom"/>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8"/>
              </w:rPr>
              <w:t>Direct and affiliated assumed premiums written by the</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160"/>
              <w:spacing w:after="0"/>
              <w:rPr>
                <w:sz w:val="20"/>
                <w:szCs w:val="20"/>
                <w:color w:val="auto"/>
              </w:rPr>
            </w:pPr>
            <w:r>
              <w:rPr>
                <w:rFonts w:ascii="Arial" w:cs="Arial" w:eastAsia="Arial" w:hAnsi="Arial"/>
                <w:sz w:val="18"/>
                <w:szCs w:val="18"/>
                <w:color w:val="auto"/>
              </w:rPr>
              <w:t>Exchange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8,595,960</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7,868,311</w:t>
            </w:r>
          </w:p>
        </w:tc>
        <w:tc>
          <w:tcPr>
            <w:tcW w:w="260" w:type="dxa"/>
            <w:vAlign w:val="bottom"/>
          </w:tcPr>
          <w:p>
            <w:pPr>
              <w:spacing w:after="0"/>
              <w:rPr>
                <w:sz w:val="21"/>
                <w:szCs w:val="21"/>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7,613,519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2,088,818</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1,912,000</w:t>
            </w:r>
          </w:p>
        </w:tc>
        <w:tc>
          <w:tcPr>
            <w:tcW w:w="2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1,842,472</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rPr>
              <w:t>Change in estimate for management fee returned on</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9"/>
                <w:szCs w:val="9"/>
                <w:color w:val="auto"/>
              </w:rPr>
              <w:t>(1)</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(972)</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1"/>
                <w:szCs w:val="21"/>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w w:val="99"/>
              </w:rPr>
              <w:t>NM</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55"/>
        </w:trPr>
        <w:tc>
          <w:tcPr>
            <w:tcW w:w="4240" w:type="dxa"/>
            <w:vAlign w:val="bottom"/>
          </w:tcPr>
          <w:p>
            <w:pPr>
              <w:spacing w:after="0" w:line="156" w:lineRule="exact"/>
              <w:rPr>
                <w:sz w:val="20"/>
                <w:szCs w:val="20"/>
                <w:color w:val="auto"/>
              </w:rPr>
            </w:pPr>
            <w:r>
              <w:rPr>
                <w:rFonts w:ascii="Arial" w:cs="Arial" w:eastAsia="Arial" w:hAnsi="Arial"/>
                <w:sz w:val="18"/>
                <w:szCs w:val="18"/>
                <w:color w:val="auto"/>
                <w:w w:val="94"/>
              </w:rPr>
              <w:t>Management fee revenue - policy issuance and renewal</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2,087,846</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1,913,166</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1,841,794</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Administrative services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4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8"/>
              </w:rPr>
              <w:t>Direct and affiliated assumed premiums written by the</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160"/>
              <w:spacing w:after="0"/>
              <w:rPr>
                <w:sz w:val="20"/>
                <w:szCs w:val="20"/>
                <w:color w:val="auto"/>
              </w:rPr>
            </w:pPr>
            <w:r>
              <w:rPr>
                <w:rFonts w:ascii="Arial" w:cs="Arial" w:eastAsia="Arial" w:hAnsi="Arial"/>
                <w:sz w:val="18"/>
                <w:szCs w:val="18"/>
                <w:color w:val="auto"/>
              </w:rPr>
              <w:t>Exchange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8,595,960</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7,868,311</w:t>
            </w:r>
          </w:p>
        </w:tc>
        <w:tc>
          <w:tcPr>
            <w:tcW w:w="260" w:type="dxa"/>
            <w:vAlign w:val="bottom"/>
          </w:tcPr>
          <w:p>
            <w:pPr>
              <w:spacing w:after="0"/>
              <w:rPr>
                <w:sz w:val="21"/>
                <w:szCs w:val="21"/>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7,613,519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60,172</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55,078</w:t>
            </w:r>
          </w:p>
        </w:tc>
        <w:tc>
          <w:tcPr>
            <w:tcW w:w="260" w:type="dxa"/>
            <w:vAlign w:val="bottom"/>
          </w:tcPr>
          <w:p>
            <w:pPr>
              <w:spacing w:after="0"/>
              <w:rPr>
                <w:sz w:val="19"/>
                <w:szCs w:val="19"/>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w w:val="91"/>
              </w:rPr>
              <w:t>(9.6)</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60,908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 xml:space="preserve">Change in contract liability </w:t>
            </w:r>
            <w:r>
              <w:rPr>
                <w:rFonts w:ascii="Arial" w:cs="Arial" w:eastAsia="Arial" w:hAnsi="Arial"/>
                <w:sz w:val="9"/>
                <w:szCs w:val="9"/>
                <w:color w:val="auto"/>
              </w:rPr>
              <w:t>(2)</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(1,865)</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3,195</w:t>
            </w:r>
          </w:p>
        </w:tc>
        <w:tc>
          <w:tcPr>
            <w:tcW w:w="260" w:type="dxa"/>
            <w:vAlign w:val="bottom"/>
          </w:tcPr>
          <w:p>
            <w:pPr>
              <w:spacing w:after="0"/>
              <w:rPr>
                <w:sz w:val="19"/>
                <w:szCs w:val="19"/>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w w:val="99"/>
              </w:rPr>
              <w:t>NM</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rPr>
              <w:t>Change in estimate for management fee returned on</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9"/>
                <w:szCs w:val="9"/>
                <w:color w:val="auto"/>
              </w:rPr>
              <w:t>(1)</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w w:val="99"/>
              </w:rPr>
              <w:t>NM</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Management fee revenue - administrative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58,323</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58,286</w:t>
            </w:r>
          </w:p>
        </w:tc>
        <w:tc>
          <w:tcPr>
            <w:tcW w:w="260" w:type="dxa"/>
            <w:vAlign w:val="bottom"/>
          </w:tcPr>
          <w:p>
            <w:pPr>
              <w:spacing w:after="0"/>
              <w:rPr>
                <w:sz w:val="19"/>
                <w:szCs w:val="19"/>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w w:val="91"/>
              </w:rPr>
              <w:t>(2.0)</w:t>
            </w: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59,463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Administrative services reimbursement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668,268</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638,483</w:t>
            </w:r>
          </w:p>
        </w:tc>
        <w:tc>
          <w:tcPr>
            <w:tcW w:w="2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609,435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revenue from administrative services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726,591</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696,769</w:t>
            </w:r>
          </w:p>
        </w:tc>
        <w:tc>
          <w:tcPr>
            <w:tcW w:w="2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4.2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668,898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58" w:lineRule="exact"/>
        <w:rPr>
          <w:sz w:val="20"/>
          <w:szCs w:val="20"/>
          <w:color w:val="auto"/>
        </w:rPr>
      </w:pPr>
    </w:p>
    <w:p>
      <w:pPr>
        <w:ind w:left="660" w:right="220" w:hanging="328"/>
        <w:spacing w:after="0" w:line="291" w:lineRule="auto"/>
        <w:tabs>
          <w:tab w:leader="none" w:pos="645"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 w:lineRule="exact"/>
        <w:rPr>
          <w:rFonts w:ascii="Arial" w:cs="Arial" w:eastAsia="Arial" w:hAnsi="Arial"/>
          <w:sz w:val="14"/>
          <w:szCs w:val="14"/>
          <w:i w:val="1"/>
          <w:iCs w:val="1"/>
          <w:color w:val="auto"/>
        </w:rPr>
      </w:pPr>
    </w:p>
    <w:p>
      <w:pPr>
        <w:ind w:left="660" w:right="280" w:hanging="328"/>
        <w:spacing w:after="0" w:line="293" w:lineRule="auto"/>
        <w:tabs>
          <w:tab w:leader="none" w:pos="64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 revenue - administrative services is recognized over time as the services are provided. See Item 8. "Financial Statements - Note 3, Revenue, of Notes to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 and affiliated assumed premiums written by the Exchange</w:t>
      </w:r>
    </w:p>
    <w:p>
      <w:pPr>
        <w:spacing w:after="0" w:line="2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Direct and affiliated assumed premiums include premiums written directly by the Exchange and premiums assumed from its wholly owned property and casualty subsidiaries. Direct and affiliated assumed premiums written by the Exchange increased 9.2% to $8.6 billion in 2022, from $7.9 billion in 2021, primarily driven by increased personal lines and commercial multi-peril premiums written. Year-over-year policies in force for all lines of business increased 3.6% in 2022 as the result of continuing strong policyholder retention and an increase in new policies written, compared to 3.2% in 2021. The year-over-year average premium per policy for all lines of business increased 5.4% at December 31, 2022, compared to 0.1% at December 31, 2021. The year-over-year average premium per policy at December 31, 2021 was impacted by the rate reductions for personal and commercial auto policies written between January 1, 2021 and June 30, 2021, in response to lower driving activity resulting from the COVID-19 pandemic.</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Premiums generated from new business increased 14.5% to $1.1 billion in 2022. Contributing to this change was a 10.4% increase in year-over-year average premium per policy on new business at December 31, 2022 and a 3.7% increase in new business policies written. Premiums generated from new business increased 13.2% to $965 million in 2021. New business policies written increased 9.0% in 2021 and year-over-year average premium per policy on new business increased 3.9% at December 31, 2021.</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Premiums generated from renewal business increased 8.5% to $7.5 billion in 2022, and increased 2.1% to $6.9 billion, in 2021. Underlying the trend in renewal business premiums was an increase in year-over-year policies in force of 3.6% and 2.4% in 2022 and 2021, respectively, driven by a slight increase in policy retention ratios, as well as a 4.7% increase in year-over-year average premium per policy at December 31, 2022, compared to a 0.3% decrease at December 31, 2021.</w:t>
      </w:r>
    </w:p>
    <w:p>
      <w:pPr>
        <w:spacing w:after="0" w:line="2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Exchange implements rate changes in order to meet loss cost expectations. In response to reduced driving conditions in 2020 resulting from the COVID-19 pandemic, the Exchange implemented $200 million in personal and commercial auto rate reductions on policies written between July 1, 2020 and June 30, 2021. These rate reductions resulted in a decrease to Exchange’s written premium of approximately $110 million and $90 million for 2021 and 2020, respectively. Claims frequency increased as driving activity returned to near pre-pandemic levels in 2021 and 2022. Inflation-driven severity increases in 2021 and 2022, combined with increasing claim frequency, impacted 2022 underwriting results, and may impact future rate decisions.</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the Exchange writes policies with annual terms only, rate actions take 12 months to be fully recognized in written premium and 24 months to be recognized in earned premiums. Since rate changes are realized at renewal, it takes 12 months to implement a rate change to all policyholders and another 12 months to earn the increased or decreased premiums in full. As a result, certain rate changes approved in 2021 were reflected in 2022, and a portion of the rate actions approved in 2022 will be reflected in 2023. Furthermore, the Exchange writes certain personal auto policies with a rate locking feature, which generally extends the amount of time it takes for rate actions to be recognized. The Exchange continuously evaluates pricing and product offerings to meet consumer demands.</w:t>
      </w:r>
    </w:p>
    <w:p>
      <w:pPr>
        <w:spacing w:after="0" w:line="230"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8.4% to $6.0 billion in 2022, from $5.5 billion in 2021, driven by a 4.4% increase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lines year-over-year average premium per policy and a 3.9% increase in total personal lines policies in force. Total personal lines policies in force increased 3.1% in 2021 and year-over-year average premium per policy decreased 0.6% at December 31, 2021.</w:t>
      </w:r>
    </w:p>
    <w:p>
      <w:pPr>
        <w:spacing w:after="0" w:line="204"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i w:val="1"/>
          <w:iCs w:val="1"/>
          <w:color w:val="auto"/>
        </w:rPr>
        <w:t xml:space="preserve">Commercial lines </w:t>
      </w:r>
      <w:r>
        <w:rPr>
          <w:rFonts w:ascii="Arial" w:cs="Arial" w:eastAsia="Arial" w:hAnsi="Arial"/>
          <w:sz w:val="18"/>
          <w:szCs w:val="18"/>
          <w:color w:val="auto"/>
        </w:rPr>
        <w:t>– Total commercial lines premiums written increased 11.2% to $2.6 billion in 2022, compared to 2021, driven by a 9.0%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commercial lines year-over-year average premium per policy and a 2.0% increase in total commercial lines policies in force. Total commercial lines premiums written increased 5.4% in 2021, compared to 2020, driven by a 3.6% increase in total commercial lines policies in force and a 1.7% increase in the total commercial lines year-over-year average premium per policy.</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Future trends-premium revenue </w:t>
      </w:r>
      <w:r>
        <w:rPr>
          <w:rFonts w:ascii="Arial" w:cs="Arial" w:eastAsia="Arial" w:hAnsi="Arial"/>
          <w:sz w:val="18"/>
          <w:szCs w:val="18"/>
          <w:color w:val="auto"/>
        </w:rPr>
        <w:t>– Through a careful agency selection process, the Exchange plans to continue its effort to expand the size of its agency</w:t>
      </w:r>
      <w:r>
        <w:rPr>
          <w:rFonts w:ascii="Arial" w:cs="Arial" w:eastAsia="Arial" w:hAnsi="Arial"/>
          <w:sz w:val="18"/>
          <w:szCs w:val="18"/>
          <w:i w:val="1"/>
          <w:iCs w:val="1"/>
          <w:color w:val="auto"/>
        </w:rPr>
        <w:t xml:space="preserve"> </w:t>
      </w:r>
      <w:r>
        <w:rPr>
          <w:rFonts w:ascii="Arial" w:cs="Arial" w:eastAsia="Arial" w:hAnsi="Arial"/>
          <w:sz w:val="18"/>
          <w:szCs w:val="18"/>
          <w:color w:val="auto"/>
        </w:rPr>
        <w:t>force to increase market penetration in existing operating territories to contribute to future growth.</w:t>
      </w:r>
    </w:p>
    <w:p>
      <w:pPr>
        <w:spacing w:after="0" w:line="19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Changes in premium levels attributable to the growth in policies in force directly affect the profitability of the Exchange and have a direct bearing on our management fee. Our continued focus on underwriting discipline and the maturing of pricing sophistication models have contributed to the Exchange's steady policy retention ratios. The continued growth of its policy base is dependent upon the Exchange's ability to retain existing and attract new subscribers/policyholders. A lack of new policy growth or the inability to retain existing customers could have an adverse effect on the Exchange's premium level growth, and consequently our management fee.</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Changes in premium levels attributable to rate changes also directly affect the profitability of the Exchange and have a direct bearing on our management fee. Pricing actions contemplated or taken by the Exchange are subject to various regulatory requirements of the states in which it operates. The pricing actions already implemented, or to be implemented, have an effect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the market competitiveness of the Exchange's insurance products. Such pricing actions, and those of the Exchange's competitors, could affect the ability of the Exchange's agents to retain and attract new business; additionally, exposure reductions and/or changes in mix of business as a result of post-pandemic economic conditions or other significant unexpected events could impact the average direct and affiliated assumed premium written by the Exchange, as customers may reduce coverages. Future premiums could also be impacted by changes resulting from the continued inflationary trends and potential regulatory changes resulting from the COVID-19 pandemic, among others. The extent of the impact to the Exchange's premiums and our management fee cannot be estimated with a high degree of certainty at this time given the ongoing developments related to supply chain disruptions and current inflationary trends. See also Part I, Item 1A. "Risk Factors" contained within this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1"/>
        </w:trPr>
        <w:tc>
          <w:tcPr>
            <w:tcW w:w="28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Arial" w:cs="Arial" w:eastAsia="Arial" w:hAnsi="Arial"/>
                <w:sz w:val="18"/>
                <w:szCs w:val="18"/>
                <w:color w:val="auto"/>
                <w:w w:val="89"/>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372"/>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Management fee revenue - policy issuance and renewal</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2"/>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2,087,846</w:t>
            </w: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1,913,166</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1,841,794</w:t>
            </w: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25,687</w:t>
            </w: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24,042</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25,797</w:t>
            </w:r>
          </w:p>
        </w:tc>
      </w:tr>
      <w:tr>
        <w:trPr>
          <w:trHeight w:val="222"/>
        </w:trPr>
        <w:tc>
          <w:tcPr>
            <w:tcW w:w="2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2,113,533</w:t>
            </w: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1,937,208</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1,867,591</w:t>
            </w: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Cost of policy issuance and renewal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1,795,642</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1,677,397</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1,588,897</w:t>
            </w: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7"/>
              </w:rPr>
              <w:t>Operating income -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317,891</w:t>
            </w: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259,811</w:t>
            </w:r>
          </w:p>
        </w:tc>
        <w:tc>
          <w:tcPr>
            <w:tcW w:w="1340" w:type="dxa"/>
            <w:vAlign w:val="bottom"/>
            <w:gridSpan w:val="2"/>
          </w:tcPr>
          <w:p>
            <w:pPr>
              <w:jc w:val="right"/>
              <w:ind w:right="310"/>
              <w:spacing w:after="0"/>
              <w:rPr>
                <w:sz w:val="20"/>
                <w:szCs w:val="20"/>
                <w:color w:val="auto"/>
              </w:rPr>
            </w:pPr>
            <w:r>
              <w:rPr>
                <w:rFonts w:ascii="Arial" w:cs="Arial" w:eastAsia="Arial" w:hAnsi="Arial"/>
                <w:sz w:val="18"/>
                <w:szCs w:val="18"/>
                <w:color w:val="auto"/>
              </w:rPr>
              <w:t>(6.8) %</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278,694</w:t>
            </w:r>
          </w:p>
        </w:tc>
      </w:tr>
      <w:tr>
        <w:trPr>
          <w:trHeight w:val="21"/>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issuance and renewal services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allocate a portion of the management fee, which currently equates to 24.3% of the direct and affiliated assumed premiums written by the Exchange, for providing policy issuance and renewal services. The allocation of management fee for these services was 24.3% and 24.2% in 2021 and 2020, respectively.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Service agreement revenue primarily consists of service charges we collect from subscribers/policyholders for providing multiple payment plans on policies written by the Exchange and its property and casualty subsidiaries and also includes late payment and policy reinstatement fees. The service charges are fixed dollar amounts per billed installment. In July 2021, we also began receiving service agreement revenue from the Exchange for the use of shared office space, which increased service agreement revenue by $2.0 million in 2022 compared to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auto"/>
              </w:rPr>
              <w:t>Cost of policy issuance and renewal services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2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Arial" w:cs="Arial" w:eastAsia="Arial" w:hAnsi="Arial"/>
                <w:sz w:val="18"/>
                <w:szCs w:val="18"/>
                <w:color w:val="auto"/>
                <w:w w:val="89"/>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26"/>
        </w:trPr>
        <w:tc>
          <w:tcPr>
            <w:tcW w:w="4620" w:type="dxa"/>
            <w:vAlign w:val="bottom"/>
            <w:gridSpan w:val="2"/>
          </w:tcPr>
          <w:p>
            <w:pPr>
              <w:ind w:left="60"/>
              <w:spacing w:after="0"/>
              <w:rPr>
                <w:sz w:val="20"/>
                <w:szCs w:val="20"/>
                <w:color w:val="auto"/>
              </w:rPr>
            </w:pPr>
            <w:r>
              <w:rPr>
                <w:rFonts w:ascii="Arial" w:cs="Arial" w:eastAsia="Arial" w:hAnsi="Arial"/>
                <w:sz w:val="18"/>
                <w:szCs w:val="18"/>
                <w:i w:val="1"/>
                <w:iCs w:val="1"/>
                <w:color w:val="auto"/>
              </w:rPr>
              <w:t>Commissions: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1,179,569</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1,108,426</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1,051,272</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commissions</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Non-commission expense: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Underwriting and policy processing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171,625</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165,183</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160,646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198,157</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185,096</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173,827</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Sales and advertising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52,511</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53,212</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Customer service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34,333</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36,720</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34,638</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151,958</w:t>
            </w: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129,461</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115,302</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616,073</w:t>
            </w: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568,971</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537,625</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cost of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1,795,642</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1,677,397</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1,588,897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i w:val="1"/>
          <w:iCs w:val="1"/>
          <w:color w:val="auto"/>
        </w:rPr>
        <w:t xml:space="preserve">Commissions </w:t>
      </w:r>
      <w:r>
        <w:rPr>
          <w:rFonts w:ascii="Arial" w:cs="Arial" w:eastAsia="Arial" w:hAnsi="Arial"/>
          <w:sz w:val="17"/>
          <w:szCs w:val="17"/>
          <w:color w:val="auto"/>
        </w:rPr>
        <w:t>– Commissions increased $71.1 million in 2022 compared to 2021, primarily driven by the growth in direct and affiliated assumed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partially offset by a decrease in agent incentive compensation. The profitability component of agent incentive compensation decreased due to higher claims severity and related loss costs in 2022. Commissions increased $57.2 million in 2021 compared to 2020 resulting from higher direct and affiliated assumed written premium, primarily in lines of business that pay a higher commission rate. To a lesser extent, there was also an increase in agent incentive compensation in 2021 compared to 2020 related to profitable growth.</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 xml:space="preserve">Non-commission expense </w:t>
      </w:r>
      <w:r>
        <w:rPr>
          <w:rFonts w:ascii="Arial" w:cs="Arial" w:eastAsia="Arial" w:hAnsi="Arial"/>
          <w:sz w:val="17"/>
          <w:szCs w:val="17"/>
          <w:color w:val="auto"/>
        </w:rPr>
        <w:t>– Non-commission expense increased $47.1 million in 2022 compared to 2021. Underwriting and policy processing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$6.4 million primarily due to increased underwriting report, printing, and personnel costs. Information technology costs increased $13.1 million primarily due to increased hardware and software costs and professional fees, partially offset by decreased personnel costs. Sales and advertising costs increased $7.5 million primarily due to increased advertising and agent-related expenses. Administrative and other expenses increased $22.5 million primarily due to an increase in personnel costs related to compensation and increased professional fees.</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2021, non-commission expense increased $31.3 million compared to 2020. Underwriting and policy processing costs increased $4.5 million primarily due to increased personnel costs and underwriting report costs. Information technology costs increased $11.3 million primarily due to increased hardware and software costs and personnel costs. Administrative and other expenses increased $14.2 million primarily due to increased professional fees and building and equipment depreciation. Personnel costs in all categories were impacted by higher medical costs compared to the prior year as the COVID-19 pandemic reduced elective procedures in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Administrative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57"/>
        </w:trPr>
        <w:tc>
          <w:tcPr>
            <w:tcW w:w="18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right"/>
              <w:ind w:right="930"/>
              <w:spacing w:after="0"/>
              <w:rPr>
                <w:sz w:val="20"/>
                <w:szCs w:val="20"/>
                <w:color w:val="auto"/>
              </w:rPr>
            </w:pPr>
            <w:r>
              <w:rPr>
                <w:rFonts w:ascii="Arial" w:cs="Arial" w:eastAsia="Arial" w:hAnsi="Arial"/>
                <w:sz w:val="18"/>
                <w:szCs w:val="18"/>
                <w:color w:val="auto"/>
                <w:w w:val="89"/>
              </w:rPr>
              <w:t>Years ended December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425"/>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Management fee revenue - administrative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58,323</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0.1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58,286</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(2.0)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59,463</w:t>
            </w: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668,268</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638,483</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609,435</w:t>
            </w:r>
          </w:p>
        </w:tc>
      </w:tr>
      <w:tr>
        <w:trPr>
          <w:trHeight w:val="222"/>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Total revenue allocated to administrative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726,591</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696,769</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668,898</w:t>
            </w: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Administrative services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Claims handling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576,799</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5.5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546,962</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525,072</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Investment management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36,795</w:t>
            </w:r>
          </w:p>
        </w:tc>
        <w:tc>
          <w:tcPr>
            <w:tcW w:w="760" w:type="dxa"/>
            <w:vAlign w:val="bottom"/>
          </w:tcPr>
          <w:p>
            <w:pPr>
              <w:jc w:val="center"/>
              <w:ind w:left="290"/>
              <w:spacing w:after="0"/>
              <w:rPr>
                <w:sz w:val="20"/>
                <w:szCs w:val="20"/>
                <w:color w:val="auto"/>
              </w:rPr>
            </w:pPr>
            <w:r>
              <w:rPr>
                <w:rFonts w:ascii="Arial" w:cs="Arial" w:eastAsia="Arial" w:hAnsi="Arial"/>
                <w:sz w:val="18"/>
                <w:szCs w:val="18"/>
                <w:color w:val="auto"/>
                <w:w w:val="91"/>
              </w:rPr>
              <w:t>(5.3)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38,862</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36,835</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54,674</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3.8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52,659</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47,528</w:t>
            </w:r>
          </w:p>
        </w:tc>
      </w:tr>
      <w:tr>
        <w:trPr>
          <w:trHeight w:val="223"/>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Operating income - administrative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58,323</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7"/>
              </w:rPr>
              <w:t>0.1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58,286</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(2.0) %</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59,463</w:t>
            </w:r>
          </w:p>
        </w:tc>
      </w:tr>
      <w:tr>
        <w:trPr>
          <w:trHeight w:val="21"/>
        </w:trPr>
        <w:tc>
          <w:tcPr>
            <w:tcW w:w="1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We allocate a portion of the management fee, which currently equates to 0.7% of the direct and affiliated assumed premiums written by the Exchange, to the administrative services. The allocation of management fee for these services was 0.7% and 0.8% in 2021 and 2020, respectively.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administrative services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our investment operations is as follows for the years ended December 31: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28,585</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91"/>
              </w:rPr>
              <w:t>(54.0)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62,177</w:t>
            </w:r>
          </w:p>
        </w:tc>
        <w:tc>
          <w:tcPr>
            <w:tcW w:w="1360" w:type="dxa"/>
            <w:vAlign w:val="bottom"/>
          </w:tcPr>
          <w:p>
            <w:pPr>
              <w:ind w:left="580"/>
              <w:spacing w:after="0"/>
              <w:rPr>
                <w:sz w:val="20"/>
                <w:szCs w:val="20"/>
                <w:color w:val="auto"/>
              </w:rPr>
            </w:pPr>
            <w:r>
              <w:rPr>
                <w:rFonts w:ascii="Arial" w:cs="Arial" w:eastAsia="Arial" w:hAnsi="Arial"/>
                <w:sz w:val="18"/>
                <w:szCs w:val="18"/>
                <w:color w:val="auto"/>
              </w:rPr>
              <w:t>NM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29,753</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Net realized and unrealized investment (losses) gains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(27,286)</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4,946</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w w:val="98"/>
              </w:rPr>
              <w:t>Net impairment (losses) recoveries recognized in earnings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360" w:type="dxa"/>
            <w:vAlign w:val="bottom"/>
          </w:tcPr>
          <w:p>
            <w:pPr>
              <w:ind w:left="5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r>
      <w:tr>
        <w:trPr>
          <w:trHeight w:val="223"/>
        </w:trPr>
        <w:tc>
          <w:tcPr>
            <w:tcW w:w="4600" w:type="dxa"/>
            <w:vAlign w:val="bottom"/>
          </w:tcPr>
          <w:p>
            <w:pPr>
              <w:ind w:left="120"/>
              <w:spacing w:after="0"/>
              <w:rPr>
                <w:sz w:val="20"/>
                <w:szCs w:val="20"/>
                <w:color w:val="auto"/>
              </w:rPr>
            </w:pPr>
            <w:r>
              <w:rPr>
                <w:rFonts w:ascii="Arial" w:cs="Arial" w:eastAsia="Arial" w:hAnsi="Arial"/>
                <w:sz w:val="18"/>
                <w:szCs w:val="18"/>
                <w:color w:val="auto"/>
              </w:rPr>
              <w:t>Total investment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91"/>
              </w:rPr>
              <w:t>(99.1)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67,332</w:t>
            </w:r>
          </w:p>
        </w:tc>
        <w:tc>
          <w:tcPr>
            <w:tcW w:w="1360" w:type="dxa"/>
            <w:vAlign w:val="bottom"/>
          </w:tcPr>
          <w:p>
            <w:pPr>
              <w:ind w:left="580"/>
              <w:spacing w:after="0"/>
              <w:rPr>
                <w:sz w:val="20"/>
                <w:szCs w:val="20"/>
                <w:color w:val="auto"/>
              </w:rPr>
            </w:pPr>
            <w:r>
              <w:rPr>
                <w:rFonts w:ascii="Arial" w:cs="Arial" w:eastAsia="Arial" w:hAnsi="Arial"/>
                <w:sz w:val="18"/>
                <w:szCs w:val="18"/>
                <w:color w:val="auto"/>
              </w:rPr>
              <w:t>NM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1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Net investment income includes interest and dividends on our fixed maturity and equity security portfolios and the results of our limited partnership investments, net of investment expenses. Net investment income decreased $33.6 million in 2022, compared to 2021, and increased $32.4 million in 2021, compared to 2020, primarily due to equity in (losses) earnings of limited partnerships. Net investment income includes equity in losses of limited partnerships of $10.4 million in 2022, equity in earnings of limited partnerships of $31.7 million in 2021, and equity in losses of limited partnerships of $0.6 million in 2020.</w:t>
      </w:r>
    </w:p>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January 2023, the general partner of one of our private equity limited partnerships informed us of a significant decrease in the fair value of one of their underlying investments. The unrealized loss is estimated to be $11 million and will be recorded in net investment income (loss) in our first quarter 2023 financial statements consistent with our policy of recording limited partnership results on a quarter lag.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and unrealized investment (losses) gains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breakdown of our net realized and unrealized investment (losses) gains is as follows for the years ended December 31:</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09"/>
        </w:trPr>
        <w:tc>
          <w:tcPr>
            <w:tcW w:w="7040" w:type="dxa"/>
            <w:vAlign w:val="bottom"/>
          </w:tcPr>
          <w:p>
            <w:pPr>
              <w:spacing w:after="0"/>
              <w:rPr>
                <w:sz w:val="20"/>
                <w:szCs w:val="20"/>
                <w:color w:val="auto"/>
              </w:rPr>
            </w:pPr>
            <w:r>
              <w:rPr>
                <w:rFonts w:ascii="Arial" w:cs="Arial" w:eastAsia="Arial" w:hAnsi="Arial"/>
                <w:sz w:val="18"/>
                <w:szCs w:val="18"/>
                <w:color w:val="auto"/>
              </w:rPr>
              <w:t>Securities sold: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(14,050)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5,131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r>
      <w:tr>
        <w:trPr>
          <w:trHeight w:val="229"/>
        </w:trPr>
        <w:tc>
          <w:tcPr>
            <w:tcW w:w="704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Equity securities change in fair value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5,525</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Miscellaneous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color w:val="auto"/>
              </w:rPr>
              <w:t>Net realized and unrealized investment (losses) gains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Net realized and unrealized losses of $27.3 million in 2022 were primarily due to disposals of available-for-sale securities and market value adjustments on equity securities. Net realized and unrealized gains of $4.9 million in 2021 were primarily due to disposals of available-for-sale securities, while gains of $6.4 million in 2020 were primarily due to market value adjustments on equity securities and sales of available-for-sale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recoveries recognized in earnings</w:t>
      </w:r>
    </w:p>
    <w:p>
      <w:pPr>
        <w:spacing w:after="0" w:line="23"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Net impairment losses of $0.7 million in 2022 were related to available-for-sale securities and include $0.5 million of credit impairment losses and $0.2 million of securities in an unrealized loss position where we had intent to sell prior to recovery of our amortized cost basis. Net impairment recoveries of $0.2 million in 2021 were primarily the result of a change in the current expected credit loss allowance related to our agent loans. Net impairment losses recognized on available-for-sale securities in 2020 include $2.3 million of securities in an unrealized loss position where we had intent to sell prior to recovery of our amortized cost basis and $0.7 million of credit impairment losses. The remaining 2020 impairments include the change in the current expected credit loss allowance related to our agent loans. The COVID-19 pandemic's impact on financial markets contributed to higher impairment losses on our available-for-sale securities during 2020 compared to other years presented.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of Erie Insurance Exchange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Serving in the capacity of attorney-in-fact for the Exchange, we are dependent on the growth and financial condition of the Exchange, who is our sole customer. The strength of the Exchange and its wholly owned subsidiaries is rated annually by A.M. Best Company through assessing its financial stability and ability to pay claims. The ratings are generally based upon factors relevant to policyholders and are not directed toward return to investors. The Exchange and each of its property and casualty subsidiaries are rated A+ "Superior", the second highest financial strength rating, which is assigned to companies that have achieved superior overall performance when compared to the standards established by A.M. Best and have a superior ability to meet obligations to policyholders over the long term. On August 9, 2022, the outlook for the financial strength rating was affirmed as stable. As of December 31, 2022, only approximately 12% of insurance groups, in which the Exchange is included, are rated A+ or higher.</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subsidiaries grew 9.2% to $8.6 billion in 2022 from $7.9 billion in 2021. These premiums, along with investment income, are the major sources of cash that support the operations of the Exchange. Policyholders' surplus, determined under statutory accounting principles, was $10.1 billion and $11.7 billion at December 31, 2022 and 2021, respectively. The Exchange and its wholly owned property and casualty subsidiaries' year-over-year policy retention ratio continues to be high at 90.5% at December 31, 2022 and 90.1% at December 31, 2021.</w:t>
      </w:r>
    </w:p>
    <w:p>
      <w:pPr>
        <w:spacing w:after="0" w:line="20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have prepared our financial statements considering the financial strength of the Exchange based on its A.M. Best rating and strong level of surplus. While policyholders' surplus declined by $1.6 billion from 2021 driven by higher loss costs and realized and unrealized investment losses resulting from post-pandemic economic conditions, we continue to monitor these conditions and believe that the Exchange falls within established risk tolerances. However, see Part I, Item 1A. "Risk Factors" for possible outcomes that could impact that determination.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investment portfolio is managed with the objective of maximizing after-tax returns on a risk-adjusted basis. The following table presents the carrying value of our investments as of December 31:</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to total</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to total</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Fixed maturities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894,661</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84 %</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946,085</w:t>
            </w:r>
          </w:p>
        </w:tc>
        <w:tc>
          <w:tcPr>
            <w:tcW w:w="122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72,560</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87,743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 xml:space="preserve">Agent loans </w:t>
            </w:r>
            <w:r>
              <w:rPr>
                <w:rFonts w:ascii="Arial" w:cs="Arial" w:eastAsia="Arial" w:hAnsi="Arial"/>
                <w:sz w:val="9"/>
                <w:szCs w:val="9"/>
                <w:color w:val="auto"/>
              </w:rPr>
              <w:t>(1)</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69,476</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66,368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30,511</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36,846</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r>
      <w:tr>
        <w:trPr>
          <w:trHeight w:val="223"/>
        </w:trPr>
        <w:tc>
          <w:tcPr>
            <w:tcW w:w="4800" w:type="dxa"/>
            <w:vAlign w:val="bottom"/>
          </w:tcPr>
          <w:p>
            <w:pPr>
              <w:ind w:left="30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1,067,208</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1,137,042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 of agent loans is included in the line item "Prepaid expenses and other current assets" in the Statements of Financial Position.</w:t>
      </w: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continually review our investment portfolio for impairment and determine whether the impairment is a result of credit loss or other factors. We individually analyze all positions with an emphasis on those in a significant unrealized loss position. If we have the intent to sell or it's more likely than not that we would be required to sell the security before recovery of the amortized cost basis, the entire impairment is recognized in earnings.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Impairment resulting from credit loss is recognized in earnings with a corresponding allowance on the balance sheet. We believe our investment valuation philosophy and accounting practices result in appropriate and timely measurement of fair value and recognition of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Fixed maturities are carried at fair value with unrealized gains and losses, net of deferred taxes, included in shareholders' equity. Net unrealized losses on fixed maturities, net of deferred taxes, totaled $52.5 million at December 31, 2022, compared to net unrealized gains of $6.2 million at December 31, 2021. The increase in investment portfolio positions with unrealized losses contributed to an increase in our deferred tax assets. Our evaluation of deferred tax assets and the need for a valuation allowance included available tax planning strategies that could be implemented, if necessary, to support the realizability of deferred tax assets. We believe those tax strategies are feasible and prudent.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a breakdown of the fair value of our fixed maturity portfolio by industry sector and rating as of December 31, 2022: </w:t>
      </w:r>
      <w:r>
        <w:rPr>
          <w:rFonts w:ascii="Arial" w:cs="Arial" w:eastAsia="Arial" w:hAnsi="Arial"/>
          <w:sz w:val="22"/>
          <w:szCs w:val="22"/>
          <w:i w:val="1"/>
          <w:iCs w:val="1"/>
          <w:color w:val="auto"/>
          <w:vertAlign w:val="superscript"/>
        </w:rPr>
        <w:t>(1)</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7"/>
              </w:rPr>
              <w:t>Non-</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2"/>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investment</w:t>
            </w:r>
          </w:p>
        </w:tc>
        <w:tc>
          <w:tcPr>
            <w:tcW w:w="38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Fair</w:t>
            </w:r>
          </w:p>
        </w:tc>
      </w:tr>
      <w:tr>
        <w:trPr>
          <w:trHeight w:val="230"/>
        </w:trPr>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AAA</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AA</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A</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BBB</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grade</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Basic materials</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6,048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10,493</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2,850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12,605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12,285</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15,300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43,040</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4,876</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12,164</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70,397</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36,073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123,510</w:t>
            </w: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3,780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22,622</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5,903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32,305</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95,076</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115,064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13,629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223,769</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10,102</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16,297</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20,393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46,792</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132,698</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173,793</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20,938</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12,863</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340,292</w:t>
            </w: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1,866</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5,287</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19,973</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13,241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40,367</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3,378</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26,954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3,322</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w:t>
            </w:r>
          </w:p>
        </w:tc>
      </w:tr>
      <w:tr>
        <w:trPr>
          <w:trHeight w:val="223"/>
        </w:trPr>
        <w:tc>
          <w:tcPr>
            <w:tcW w:w="32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134,564</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181,519</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163,330</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300,900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114,348</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894,661</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68" w:lineRule="exact"/>
        <w:rPr>
          <w:rFonts w:ascii="Arial" w:cs="Arial" w:eastAsia="Arial" w:hAnsi="Arial"/>
          <w:sz w:val="14"/>
          <w:szCs w:val="14"/>
          <w:i w:val="1"/>
          <w:iCs w:val="1"/>
          <w:color w:val="auto"/>
        </w:rPr>
      </w:pPr>
    </w:p>
    <w:p>
      <w:pPr>
        <w:ind w:left="640" w:hanging="308"/>
        <w:spacing w:after="0"/>
        <w:tabs>
          <w:tab w:leader="none" w:pos="6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residential and commercial mortgage-backed securities, collateralized debt obligations, and asset-backed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Equity securities primarily include nonredeemable preferred stocks and are carried at fair value in the Statements of Financial Position with all changes in unrealized gains and losses reflected in the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analysis of the fair value of our equity securities by sector as of December 31: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Financial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61,084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71,722</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6,448</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3,314</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68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72,560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87,743</w:t>
            </w: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benefit plans</w:t>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funded status of our postretirement benefit plans is recognized in the Statements of Financial Position, with a corresponding adjustment to accumulated other comprehensive income (loss), net of tax. At December 31, 2022, shareholders' equity amounts related to these postretirement plans increased by $76.5 million, net of tax, of which $6.9 million represents amortization of the prior service cost and net actuarial loss and $69.6 million represents the current period actuarial gain. The 2022 actuarial gain was driven by the higher discount rate, offset by lower than expected return on plan assets. At December 31, 2021, shareholders' equity amounts related to these postretirement plans increased by $70.0 million, net of tax, of which $13.9 million represents amortization of the prior service cost and net actuarial loss and $56.1 million represents the current period actuarial gain. The 2021 actuarial gain was primarily due to higher than expected return on plan assets. Although we are the sponsor of these postretirement plans and record the funded status of these plans, the Exchange and its subsidiaries reimburse us for approximately 58% of the annual benefit expense of these plans, which represents pension benefits for employees performing administrative services and an allocated share of costs for employees in departments that support the administrative functions.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monitor the sufficiency of our liquidity and capital resources given the potential impact of recent geopolitical events and ongoing post-pandemic conditions, including rising interest rates and inflationary costs. While we did not see a significant impact on our sources or uses of cash in 2022, future disruptions in the markets could occur which may affect our liquidity position. If our normal operating and investing cash activities were to become insufficient to meet future funding requirements, we believe we have sufficient access to liquidity through our cash position, liquid marketable securities and our $100 million line of credit that does not expire until October 2026. See broader discussions of potential risks to our operations in the Operating Overview and Part I, Item 1A. "Risk Factors" contained within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1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certain obligations and commitments to make future payments under various agreements. Cash requirements within the next twelve months include accounts payable, accrued liabilities, and other current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various contractual obligations and commitments include:</w:t>
      </w:r>
    </w:p>
    <w:p>
      <w:pPr>
        <w:spacing w:after="0" w:line="252" w:lineRule="exact"/>
        <w:rPr>
          <w:sz w:val="20"/>
          <w:szCs w:val="20"/>
          <w:color w:val="auto"/>
        </w:rPr>
      </w:pPr>
    </w:p>
    <w:p>
      <w:pPr>
        <w:ind w:left="500" w:right="20" w:hanging="330"/>
        <w:spacing w:after="0" w:line="259"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 We have a funded noncontributory defined benefit pension plan covering substantially all employees and an unfunded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plan ("SERP") for certain members of executive and senior management. See Part II, Item 8. "Financial Statements and Supplementary Data – Note 9. Postretirement Benefits, of Notes to Financial Statements" for the funding policy for our defined benefit pension plan and accumulated benefit obligation for our unfunded SERP.</w:t>
      </w:r>
    </w:p>
    <w:p>
      <w:pPr>
        <w:spacing w:after="0" w:line="213" w:lineRule="exact"/>
        <w:rPr>
          <w:rFonts w:ascii="Arial" w:cs="Arial" w:eastAsia="Arial" w:hAnsi="Arial"/>
          <w:sz w:val="18"/>
          <w:szCs w:val="18"/>
          <w:color w:val="auto"/>
        </w:rPr>
      </w:pPr>
    </w:p>
    <w:p>
      <w:pPr>
        <w:jc w:val="both"/>
        <w:ind w:left="500" w:right="140" w:hanging="330"/>
        <w:spacing w:after="0" w:line="311"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 We have two deferred compensation plans for our executives, senior vice presidents, and other selected officers and two</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plans for our outside directors. See Part II, Item 8. "Financial Statements and Supplementary Data – Note 10. Incentive and Deferred Compensation Plans, of Notes to Financial Statements" for additional details of these obligations and estimated future payments.</w:t>
      </w:r>
    </w:p>
    <w:p>
      <w:pPr>
        <w:spacing w:after="0" w:line="175" w:lineRule="exact"/>
        <w:rPr>
          <w:rFonts w:ascii="Arial" w:cs="Arial" w:eastAsia="Arial" w:hAnsi="Arial"/>
          <w:sz w:val="16"/>
          <w:szCs w:val="16"/>
          <w:color w:val="auto"/>
        </w:rPr>
      </w:pPr>
    </w:p>
    <w:p>
      <w:pPr>
        <w:ind w:left="500" w:right="120" w:hanging="330"/>
        <w:spacing w:after="0" w:line="273" w:lineRule="auto"/>
        <w:tabs>
          <w:tab w:leader="none" w:pos="49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Other commitments </w:t>
      </w:r>
      <w:r>
        <w:rPr>
          <w:rFonts w:ascii="Arial" w:cs="Arial" w:eastAsia="Arial" w:hAnsi="Arial"/>
          <w:sz w:val="17"/>
          <w:szCs w:val="17"/>
          <w:color w:val="auto"/>
        </w:rPr>
        <w:t>– We have commitments for approximately $438 million which include agreements for various services, including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support and maintenance obligations, operating leases for equipment, vehicles, and real estate, and other obligations in the ordinary course of business. We expect to make future cash payments according to the contract terms. These agreements are enforceable and legally binding and specify fixed amounts or minimum quantities to be purchased. Some agreements may contain cancellation provisions, some of which may require us to pay a termination fee. Over half of these commitments are due in the next 12 months. We are reimbursed from the Exchange and its subsidiaries for the portion of these costs related to administrative services.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current cash, cash equivalents and marketable securities and cash generated from operations will be sufficient to meet our current and future cash requirements.</w:t>
      </w:r>
    </w:p>
    <w:p>
      <w:pPr>
        <w:spacing w:after="0" w:line="19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Volatility in the financial markets presents challenges to us as we occasionally access our investment portfolio as a source of cash. Some of our fixed income investments, despite being publicly traded, may be illiquid. Volatility in these markets could impair our ability to sell certain fixed income securities or cause such securities to sell at deep discounts. We believe we have sufficient liquidity to meet our needs from sources other than the liquidation of securities.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cash flow information for the years ended December 31:</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366,152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402,794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89"/>
              </w:rPr>
              <w:t>342,595</w:t>
            </w: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(106,922)</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(185,490)</w:t>
            </w:r>
          </w:p>
        </w:tc>
        <w:tc>
          <w:tcPr>
            <w:tcW w:w="400" w:type="dxa"/>
            <w:vAlign w:val="bottom"/>
          </w:tcPr>
          <w:p>
            <w:pPr>
              <w:spacing w:after="0"/>
              <w:rPr>
                <w:sz w:val="19"/>
                <w:szCs w:val="19"/>
                <w:color w:val="auto"/>
              </w:rPr>
            </w:pPr>
          </w:p>
        </w:tc>
        <w:tc>
          <w:tcPr>
            <w:tcW w:w="1180" w:type="dxa"/>
            <w:vAlign w:val="bottom"/>
          </w:tcPr>
          <w:p>
            <w:pPr>
              <w:jc w:val="center"/>
              <w:ind w:left="330"/>
              <w:spacing w:after="0"/>
              <w:rPr>
                <w:sz w:val="20"/>
                <w:szCs w:val="20"/>
                <w:color w:val="auto"/>
              </w:rPr>
            </w:pPr>
            <w:r>
              <w:rPr>
                <w:rFonts w:ascii="Arial" w:cs="Arial" w:eastAsia="Arial" w:hAnsi="Arial"/>
                <w:sz w:val="18"/>
                <w:szCs w:val="18"/>
                <w:color w:val="auto"/>
                <w:w w:val="93"/>
              </w:rPr>
              <w:t>(243,225)</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(300,842)</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(274,869)</w:t>
            </w:r>
          </w:p>
        </w:tc>
      </w:tr>
      <w:tr>
        <w:trPr>
          <w:trHeight w:val="223"/>
        </w:trPr>
        <w:tc>
          <w:tcPr>
            <w:tcW w:w="6420" w:type="dxa"/>
            <w:vAlign w:val="bottom"/>
          </w:tcPr>
          <w:p>
            <w:pPr>
              <w:ind w:left="200"/>
              <w:spacing w:after="0"/>
              <w:rPr>
                <w:sz w:val="20"/>
                <w:szCs w:val="20"/>
                <w:color w:val="auto"/>
              </w:rPr>
            </w:pPr>
            <w:r>
              <w:rPr>
                <w:rFonts w:ascii="Arial" w:cs="Arial" w:eastAsia="Arial" w:hAnsi="Arial"/>
                <w:sz w:val="18"/>
                <w:szCs w:val="18"/>
                <w:color w:val="auto"/>
              </w:rPr>
              <w:t>Net (decrease) increase in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22,462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(175,499)</w:t>
            </w:r>
          </w:p>
        </w:tc>
      </w:tr>
      <w:tr>
        <w:trPr>
          <w:trHeight w:val="21"/>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Net cash provided by operating activities was $366.2 million in 2022, compared to $402.8 million in 2021 and $342.6 million in 2020. Decreased cash provided by operating activities in 2022 was primarily due to increases in cash paid for agent commissions of $75.9 million due to higher scheduled commissions driven by premium growth, administrative services expenses paid of $35.0 million and pension contributions of $25.0 million. Partially offsetting this decrease in cash provided by operating activities was an increase in management fees received of $118.9 million driven by growth in direct and affiliated assumed premiums written by the Exchange, compared to 2021. Increased cash provided by operating activities in 2021 was primarily due to an increase in management fees received driven by growth in direct and affiliated assumed premiums written by the Exchange of $94.6 million and an increase in administrative service reimbursements received of $46.9 million. Partially offsetting the increase in cash provided by operating activities was an increase in cash paid for agent commissions of $37.4 million due to higher scheduled commission driven by premium growth, an increase in administrative services expenses paid of $33.8 million and an increase in agent bonuses of $15.4 million, compared to 2020.</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Net cash used in investing activities totaled $106.9 million in 2022, compared to $185.5 million in 2021 and $243.2 million in 2020. In 2022, net cash used in investing activities was primarily driven by fixed asset purchases of $67.2 million, which were mostly related to software and home office renovations. Additionally, purchases of investments exceeded proceeds generated from sales and maturities/calls of investments. In 2021, net cash used in investing activities was mainly driven by fixed asset purchases of $148.8 million, which included the purchase of the home office from the Exchange. To a lesser extent, purchases of investments exceeded proceeds generated from sales and maturities/calls of investments. In 2020, net cash used in investing activities was primarily driven by purchases of investments exceeding proceeds generated from sales and maturities/calls of investments.</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Net cash used in financing activities totaled $300.8 million in 2022, compared to $194.8 million in 2021 and $274.9 million in 2020. The increase in cash used in 2022, compared to 2021, was primarily due to the repayment of the remaining $93.2 million balance on the term loan in 2022. The decrease in cash used in 2021, compared to 2020, was due to a decrease in dividends paid to shareholders of $80.1 million. In addition to the normal quarterly dividends paid in 2020, the Board also declared a special one-time cash dividend of $2.00 on each Class A share and $300 on each Class B share totaling $93.1 million, which was paid in December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for both normal and extreme risk events, including the current post-pandemic economic environment. Should an extreme risk event result in a cash requirement exceeding normal cash flows, we have the ability to meet our future funding requirements through various alternatives available to us.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Outside of our normal operating and investing cash activities, future funding requirements could be met through: 1) unpledged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total approximately $128.8 million at December 31, 2022, 2) $100 million available bank revolving line of credit, and 3) liquidation of unpledged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held in our investment portfolio, including equity securities and investment grade bonds which totaled approximately $738.3 million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Volatility in the financial markets could impair our ability to sell certain fixed income securities or cause such securities to sell at deep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discounts. Additionally, we have the ability to curtail or modify discretionary cash outlays such as those related to shareholder dividends and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repurchase activities.</w:t>
      </w:r>
    </w:p>
    <w:p>
      <w:pPr>
        <w:spacing w:after="0" w:line="2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December 31, 2022, we have access to a $100 million bank revolving line of credit with a $25 million letter of credit sublimit that expires on October 29, 2026. As of December 31, 2022, a total of $99.1 million remains available under the facility due to $0.9 million outstanding letters of credit, which reduce the availability for letters of credit to $24.1 million. We had no borrowings outstanding on our line of credit as of December 31, 2022. Investments with a fair value of $114.6 million were pledged as collateral on the line of credit at December 31, 2022. These investments have no trading restrictions and are reported as available-for-sale securities and cash and cash equivalents in the Statement of Financial Position. The bank requires compliance with certain covenants, which include leverage ratios and debt restrictions. We were in compliance with our bank covenants at December 31, 2022.</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our entire group of companies. It ensures implementation of risk responses to mitigate potential impacts. See Part I, Item 1A. "Risk Factors" contained in this report for a list of risk factors.</w:t>
      </w:r>
    </w:p>
    <w:p>
      <w:pPr>
        <w:spacing w:after="0" w:line="2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Our Board of Directors has a process in place to monitor management’s oversight of cybersecurity. This is done primarily through regular reports to its Risk Committee as well as reports to the full Board of Directors. Management reports on our cybersecurity risk management program, including our risk evaluation and the results of independent third-party security assessments, and our efforts to manage cyber related risks.</w:t>
      </w:r>
    </w:p>
    <w:p>
      <w:pPr>
        <w:spacing w:after="0" w:line="2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employ a company-wide cybersecurity program of technical, administrative and physical controls intended to reduce the risk of cyber threats and protect our information, as well as documented processes to determine and make appropriate disclosures regarding potential material threats and incidents. Our cybersecurity philosophy and approach align to the National Institute of Standards and Technology Cybersecurity Framework and its core elements to identify, protect, detect, respond and recover from the various forms of cyber threats. Our practices include, but are not limited to, cybersecurity protocols and controls, system monitoring and detection, communication of incidents to appropriate management, third-party risk management, including assessments of emerging threats and vulnerabilities, and ongoing privacy and cybersecurity training for employees and contractors concerning cyber risk. We periodically assess the effectiveness of our cybersecurity efforts including independent validation and verification and security assessments conducted by independent third parties.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TRANSACTIONS/AGREEMENTS WITH RELATED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Board of Directors has a broad oversight responsibility over our intercompany relationships with the Exchange. As a consequence, our Board of Directors may be required to make decisions or take actions that may not be solely in the interest of our shareholders, such as setting the management fee rate paid by the Exchange to us and ratifying any other significant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System</w:t>
      </w:r>
    </w:p>
    <w:p>
      <w:pPr>
        <w:spacing w:after="0" w:line="2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Subscriber's and services agreements</w:t>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serve as attorney-in-fact for the subscribers at the Exchange, a reciprocal insurance exchange. Each applicant for insurance to a reciprocal insurance exchange signs a subscriber's agreement that contains an appointment of an attorney-in-fact. Through the designation of attorney-in-fact, we are required to provide policy issuance and renewal services and act as the attorney-in-fact for the Exchange with respect to all administrative services, as discussed previously. Pursuant to the subscriber's agreement, we earn a management fee for these services calculated as a percentage of the direct and affiliated assumed premiums written by the Exchange. By virtue of its legal structure as a reciprocal insurer, the Exchange does not have any employees or officers. Therefore, it enters into contractual relationships by and through the attorney-in-fact. The Exchange's insurance subsidiaries also utilize Indemnity for all administrative services in accordance with the service agreements between each of the subsidiaries and Indemnity.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Shared facilities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Exchange and its subsidiaries have a service agreement with Indemnity to use space in Indemnity-owned properties. See Part II, Item 8. "Financial Statements and Supplementary Data - Note 14. Related Party, of Notes to Financial Statements" for additional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allocation of costs affects our financial condition and that of the Exchange and its wholly owned subsidiaries. Management's role is to determine that allocations are consistently made in accordance with the subscriber's agreement with the subscribers at the Exchange, intercompany service agreements, and applicable insurance laws and regulations. Allocation of costs under these various agreements requires judgment and interpretation, and such allocations are performed using a consistent methodology, which is intended to adhere to the terms and intentions of the underlying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significant receivables from the Exchange and its affiliates that result in a concentration of credit risk. Net receivables from the Exchange and other affiliates were $524.9 million, or 23.4% of total assets, at December 31, 2022 and $479.1 million, or 21.4% of total assets, at December 31, 2021. These receivables include management fees due for policy issuance and renewal services performed by us under the subscriber's agreement, and certain costs we incur acting as the attorney-in-fact on behalf of the Exchange as well as the service provider for its insurance subsidiaries with respect to all administrative services, as discussed previously. These receivables from the Exchange and other affiliates are settled monthly. We continually monitor the financial strength of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tab/>
        <w:t>QUANTITATIVE AND QUALITATIVE DISCLOSURES ABOUT MARKET RISK</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volatility in the financial markets and uncertainty resulting from current events and post-pandemic conditions, resulting in continued supply chain disruptions and certain geopolitical events, have influenced various economic factors, including an elevated inflationary environment and rising interest rates. As these events continue to evolve, the ultimate impact and duration remain uncertain. We could experience future losses and/or impairments to the portfolio given the above impacts on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invest primarily in fixed maturity investments, which comprised 84% of our invested assets at December 31, 2022.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quarterly to ensure that it remains in the targeted range.</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interest-sensitive instruments resulting from one or more selected hypothetical changes in interest rates and other market rates or prices over a selected period. The following pro forma information is presented assuming a 100-basis point parallel increase in interest rates across the yield curve at December 31 of each year and reflects the estimated effect on the fair value of our fixed maturity portfolio.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At December 31,</w:t>
            </w:r>
          </w:p>
        </w:tc>
        <w:tc>
          <w:tcPr>
            <w:tcW w:w="110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r>
      <w:tr>
        <w:trPr>
          <w:trHeight w:val="222"/>
        </w:trPr>
        <w:tc>
          <w:tcPr>
            <w:tcW w:w="4800" w:type="dxa"/>
            <w:vAlign w:val="bottom"/>
          </w:tcPr>
          <w:p>
            <w:pPr>
              <w:ind w:left="20"/>
              <w:spacing w:after="0"/>
              <w:rPr>
                <w:sz w:val="20"/>
                <w:szCs w:val="20"/>
                <w:color w:val="auto"/>
              </w:rPr>
            </w:pPr>
            <w:r>
              <w:rPr>
                <w:rFonts w:ascii="Arial" w:cs="Arial" w:eastAsia="Arial" w:hAnsi="Arial"/>
                <w:sz w:val="18"/>
                <w:szCs w:val="18"/>
                <w:color w:val="auto"/>
              </w:rPr>
              <w:t>Fair value of fixed maturity portfolio</w:t>
            </w:r>
          </w:p>
        </w:tc>
        <w:tc>
          <w:tcPr>
            <w:tcW w:w="28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894,661</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946,085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Fair value assuming 100-basis point rise in interest rates</w:t>
            </w:r>
          </w:p>
        </w:tc>
        <w:tc>
          <w:tcPr>
            <w:tcW w:w="3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868,919</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921,642</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Effective duration (as a percentage)</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864"/>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4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While the fixed maturity portfolio is sensitive to interest rates, the future principal cash flows that will be received by contractual maturity date are presented below at December 31, 2022 and 2021. Actual cash flows may differ from those stated as a result of calls, prepayments, or defaults.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repayments of principal by maturity date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55"/>
        </w:trPr>
        <w:tc>
          <w:tcPr>
            <w:tcW w:w="7700" w:type="dxa"/>
            <w:vAlign w:val="bottom"/>
          </w:tcPr>
          <w:p>
            <w:pPr>
              <w:spacing w:after="0"/>
              <w:rPr>
                <w:sz w:val="20"/>
                <w:szCs w:val="20"/>
                <w:color w:val="auto"/>
              </w:rPr>
            </w:pPr>
            <w:r>
              <w:rPr>
                <w:rFonts w:ascii="Arial" w:cs="Arial" w:eastAsia="Arial" w:hAnsi="Arial"/>
                <w:sz w:val="18"/>
                <w:szCs w:val="18"/>
                <w:color w:val="auto"/>
              </w:rPr>
              <w:t>Fixed maturities:</w:t>
            </w: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December 31, 2022</w:t>
            </w:r>
          </w:p>
        </w:tc>
      </w:tr>
      <w:tr>
        <w:trPr>
          <w:trHeight w:val="222"/>
        </w:trPr>
        <w:tc>
          <w:tcPr>
            <w:tcW w:w="7700" w:type="dxa"/>
            <w:vAlign w:val="bottom"/>
          </w:tcPr>
          <w:p>
            <w:pPr>
              <w:ind w:left="120"/>
              <w:spacing w:after="0"/>
              <w:rPr>
                <w:sz w:val="20"/>
                <w:szCs w:val="20"/>
                <w:color w:val="auto"/>
              </w:rPr>
            </w:pPr>
            <w:r>
              <w:rPr>
                <w:rFonts w:ascii="Arial" w:cs="Arial" w:eastAsia="Arial" w:hAnsi="Arial"/>
                <w:sz w:val="18"/>
                <w:szCs w:val="18"/>
                <w:color w:val="auto"/>
              </w:rPr>
              <w:t>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24,561</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104,164</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125,785</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79,745</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116,571</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500,905</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951,731</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894,661</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55"/>
        </w:trPr>
        <w:tc>
          <w:tcPr>
            <w:tcW w:w="7700" w:type="dxa"/>
            <w:vAlign w:val="bottom"/>
          </w:tcPr>
          <w:p>
            <w:pPr>
              <w:spacing w:after="0"/>
              <w:rPr>
                <w:sz w:val="20"/>
                <w:szCs w:val="20"/>
                <w:color w:val="auto"/>
              </w:rPr>
            </w:pPr>
            <w:r>
              <w:rPr>
                <w:rFonts w:ascii="Arial" w:cs="Arial" w:eastAsia="Arial" w:hAnsi="Arial"/>
                <w:sz w:val="18"/>
                <w:szCs w:val="18"/>
                <w:color w:val="auto"/>
              </w:rPr>
              <w:t>Fixed maturities:</w:t>
            </w: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December 31, 2021</w:t>
            </w:r>
          </w:p>
        </w:tc>
      </w:tr>
      <w:tr>
        <w:trPr>
          <w:trHeight w:val="222"/>
        </w:trPr>
        <w:tc>
          <w:tcPr>
            <w:tcW w:w="7700" w:type="dxa"/>
            <w:vAlign w:val="bottom"/>
          </w:tcPr>
          <w:p>
            <w:pPr>
              <w:ind w:left="120"/>
              <w:spacing w:after="0"/>
              <w:rPr>
                <w:sz w:val="20"/>
                <w:szCs w:val="20"/>
                <w:color w:val="auto"/>
              </w:rPr>
            </w:pPr>
            <w:r>
              <w:rPr>
                <w:rFonts w:ascii="Arial" w:cs="Arial" w:eastAsia="Arial" w:hAnsi="Arial"/>
                <w:sz w:val="18"/>
                <w:szCs w:val="18"/>
                <w:color w:val="auto"/>
              </w:rPr>
              <w:t>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38,122</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89,184</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131,577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108,165</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71,375</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472,350</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910,773</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946,085</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objective is to earn competitive returns by investing in a diversified portfolio of securities. Our portfolios of fixed maturity securities, equity securities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portfolio in total. We do not hedge the credit risk inherent in our fixed maturity and equity securities investments.</w:t>
      </w:r>
    </w:p>
    <w:p>
      <w:pPr>
        <w:spacing w:after="0" w:line="2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The following tables show our fixed maturity investments by rating</w:t>
            </w:r>
            <w:r>
              <w:rPr>
                <w:rFonts w:ascii="Arial" w:cs="Arial" w:eastAsia="Arial" w:hAnsi="Arial"/>
                <w:sz w:val="9"/>
                <w:szCs w:val="9"/>
                <w:i w:val="1"/>
                <w:iCs w:val="1"/>
                <w:color w:val="auto"/>
              </w:rPr>
              <w:t>(1)</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At December 31, 2022</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w w:val="94"/>
              </w:rPr>
              <w:t>Amortized cost</w:t>
            </w:r>
          </w:p>
        </w:tc>
        <w:tc>
          <w:tcPr>
            <w:tcW w:w="34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Fair value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Percent of total</w:t>
            </w:r>
          </w:p>
        </w:tc>
      </w:tr>
      <w:tr>
        <w:trPr>
          <w:trHeight w:val="222"/>
        </w:trPr>
        <w:tc>
          <w:tcPr>
            <w:tcW w:w="6340" w:type="dxa"/>
            <w:vAlign w:val="bottom"/>
          </w:tcPr>
          <w:p>
            <w:pPr>
              <w:ind w:left="20"/>
              <w:spacing w:after="0"/>
              <w:rPr>
                <w:sz w:val="20"/>
                <w:szCs w:val="20"/>
                <w:color w:val="auto"/>
              </w:rPr>
            </w:pPr>
            <w:r>
              <w:rPr>
                <w:rFonts w:ascii="Arial" w:cs="Arial" w:eastAsia="Arial" w:hAnsi="Arial"/>
                <w:sz w:val="18"/>
                <w:szCs w:val="18"/>
                <w:color w:val="auto"/>
              </w:rPr>
              <w:t>AAA, AA, A</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518,088</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479,413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BBB</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318,801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300,900</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Total 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836,889</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780,313</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22"/>
        </w:trPr>
        <w:tc>
          <w:tcPr>
            <w:tcW w:w="6340" w:type="dxa"/>
            <w:vAlign w:val="bottom"/>
          </w:tcPr>
          <w:p>
            <w:pPr>
              <w:ind w:left="20"/>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45,784</w:t>
            </w:r>
          </w:p>
        </w:tc>
        <w:tc>
          <w:tcPr>
            <w:tcW w:w="34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41,978</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66,574</w:t>
            </w:r>
          </w:p>
        </w:tc>
        <w:tc>
          <w:tcPr>
            <w:tcW w:w="34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62,530</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CCC, CC, C, and below</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11,888</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9,840</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Total non-investment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124,246</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114,348</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961,135</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894,661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4"/>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w w:val="95"/>
              </w:rPr>
              <w:t>At December 31, 2021</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Amortized cost</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Fair value</w:t>
            </w:r>
          </w:p>
        </w:tc>
        <w:tc>
          <w:tcPr>
            <w:tcW w:w="1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Percent of total</w:t>
            </w:r>
          </w:p>
        </w:tc>
      </w:tr>
      <w:tr>
        <w:trPr>
          <w:trHeight w:val="222"/>
        </w:trPr>
        <w:tc>
          <w:tcPr>
            <w:tcW w:w="6340" w:type="dxa"/>
            <w:vAlign w:val="bottom"/>
          </w:tcPr>
          <w:p>
            <w:pPr>
              <w:ind w:left="40"/>
              <w:spacing w:after="0"/>
              <w:rPr>
                <w:sz w:val="20"/>
                <w:szCs w:val="20"/>
                <w:color w:val="auto"/>
              </w:rPr>
            </w:pPr>
            <w:r>
              <w:rPr>
                <w:rFonts w:ascii="Arial" w:cs="Arial" w:eastAsia="Arial" w:hAnsi="Arial"/>
                <w:sz w:val="18"/>
                <w:szCs w:val="18"/>
                <w:color w:val="auto"/>
              </w:rPr>
              <w:t>AAA, AA, A</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506,271</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508,610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r>
      <w:tr>
        <w:trPr>
          <w:trHeight w:val="230"/>
        </w:trPr>
        <w:tc>
          <w:tcPr>
            <w:tcW w:w="6340" w:type="dxa"/>
            <w:vAlign w:val="bottom"/>
          </w:tcPr>
          <w:p>
            <w:pPr>
              <w:ind w:left="40"/>
              <w:spacing w:after="0"/>
              <w:rPr>
                <w:sz w:val="20"/>
                <w:szCs w:val="20"/>
                <w:color w:val="auto"/>
              </w:rPr>
            </w:pPr>
            <w:r>
              <w:rPr>
                <w:rFonts w:ascii="Arial" w:cs="Arial" w:eastAsia="Arial" w:hAnsi="Arial"/>
                <w:sz w:val="18"/>
                <w:szCs w:val="18"/>
                <w:color w:val="auto"/>
              </w:rPr>
              <w:t>BBB</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299,270</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Arial" w:cs="Arial" w:eastAsia="Arial" w:hAnsi="Arial"/>
                <w:sz w:val="18"/>
                <w:szCs w:val="18"/>
                <w:color w:val="auto"/>
              </w:rPr>
              <w:t>Total 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801,952</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807,880</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tcPr>
          <w:p>
            <w:pPr>
              <w:spacing w:after="0"/>
              <w:rPr>
                <w:sz w:val="19"/>
                <w:szCs w:val="19"/>
                <w:color w:val="auto"/>
              </w:rPr>
            </w:pPr>
          </w:p>
        </w:tc>
      </w:tr>
      <w:tr>
        <w:trPr>
          <w:trHeight w:val="222"/>
        </w:trPr>
        <w:tc>
          <w:tcPr>
            <w:tcW w:w="6340" w:type="dxa"/>
            <w:vAlign w:val="bottom"/>
          </w:tcPr>
          <w:p>
            <w:pPr>
              <w:ind w:left="40"/>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45,541</w:t>
            </w:r>
          </w:p>
        </w:tc>
        <w:tc>
          <w:tcPr>
            <w:tcW w:w="34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46,922</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6340" w:type="dxa"/>
            <w:vAlign w:val="bottom"/>
          </w:tcPr>
          <w:p>
            <w:pPr>
              <w:ind w:left="4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76,144</w:t>
            </w:r>
          </w:p>
        </w:tc>
        <w:tc>
          <w:tcPr>
            <w:tcW w:w="34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76,913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6340" w:type="dxa"/>
            <w:vAlign w:val="bottom"/>
          </w:tcPr>
          <w:p>
            <w:pPr>
              <w:ind w:left="40"/>
              <w:spacing w:after="0"/>
              <w:rPr>
                <w:sz w:val="20"/>
                <w:szCs w:val="20"/>
                <w:color w:val="auto"/>
              </w:rPr>
            </w:pPr>
            <w:r>
              <w:rPr>
                <w:rFonts w:ascii="Arial" w:cs="Arial" w:eastAsia="Arial" w:hAnsi="Arial"/>
                <w:sz w:val="18"/>
                <w:szCs w:val="18"/>
                <w:color w:val="auto"/>
              </w:rPr>
              <w:t>CCC, CC, C, and below</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14,642</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14,370</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Arial" w:cs="Arial" w:eastAsia="Arial" w:hAnsi="Arial"/>
                <w:sz w:val="18"/>
                <w:szCs w:val="18"/>
                <w:color w:val="auto"/>
              </w:rPr>
              <w:t>Total non-investment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136,327</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138,205</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r>
      <w:tr>
        <w:trPr>
          <w:trHeight w:val="223"/>
        </w:trPr>
        <w:tc>
          <w:tcPr>
            <w:tcW w:w="634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938,279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946,085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80" w:hanging="330"/>
        <w:spacing w:after="0"/>
        <w:tabs>
          <w:tab w:leader="none" w:pos="68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3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also exposed to a concentration of credit risk with the Exchange. See the "Transactions/Agreements with Related Parties, Intercompany Receivables" section of Item 7. "Management's Discussion and Analysis of Financial Condition and Results of Operations" contained within this report for further discussion of this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Periods of volatility in the financial markets can create conditions where fixed maturity investments, despite being publicly traded, can become illiquid.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However, we actively manage the maturity profile of our fixed maturity portfolio such that scheduled repayments of principal occur on a regular basis.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portfolio of equity securities, which primarily includes nonredeemable preferred stock, is carried on the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Page Number</w:t>
            </w:r>
          </w:p>
        </w:tc>
      </w:tr>
      <w:tr>
        <w:trPr>
          <w:trHeight w:val="161"/>
        </w:trPr>
        <w:tc>
          <w:tcPr>
            <w:tcW w:w="5320" w:type="dxa"/>
            <w:vAlign w:val="bottom"/>
            <w:gridSpan w:val="5"/>
          </w:tcPr>
          <w:p>
            <w:pPr>
              <w:spacing w:after="0" w:line="142" w:lineRule="exact"/>
              <w:rPr>
                <w:sz w:val="20"/>
                <w:szCs w:val="20"/>
                <w:color w:val="auto"/>
              </w:rPr>
            </w:pPr>
            <w:r>
              <w:rPr>
                <w:rFonts w:ascii="Arial" w:cs="Arial" w:eastAsia="Arial" w:hAnsi="Arial"/>
                <w:sz w:val="16"/>
                <w:szCs w:val="16"/>
                <w:color w:val="0000FF"/>
              </w:rPr>
              <w:t xml:space="preserve">Report of Independent Registered Public Accounting Firm (PCAOB ID: </w:t>
            </w:r>
            <w:r>
              <w:rPr>
                <w:rFonts w:ascii="Arial" w:cs="Arial" w:eastAsia="Arial" w:hAnsi="Arial"/>
                <w:sz w:val="16"/>
                <w:szCs w:val="16"/>
                <w:color w:val="3051F2"/>
              </w:rPr>
              <w:t>42</w:t>
            </w:r>
            <w:r>
              <w:rPr>
                <w:rFonts w:ascii="Arial" w:cs="Arial" w:eastAsia="Arial" w:hAnsi="Arial"/>
                <w:sz w:val="16"/>
                <w:szCs w:val="16"/>
                <w:u w:val="single" w:color="auto"/>
                <w:color w:val="0000FF"/>
              </w:rPr>
              <w:t>)</w:t>
            </w:r>
          </w:p>
        </w:tc>
        <w:tc>
          <w:tcPr>
            <w:tcW w:w="4360" w:type="dxa"/>
            <w:vAlign w:val="bottom"/>
            <w:gridSpan w:val="3"/>
          </w:tcPr>
          <w:p>
            <w:pPr>
              <w:spacing w:after="0"/>
              <w:rPr>
                <w:sz w:val="14"/>
                <w:szCs w:val="14"/>
                <w:color w:val="auto"/>
              </w:rPr>
            </w:pPr>
          </w:p>
        </w:tc>
        <w:tc>
          <w:tcPr>
            <w:tcW w:w="1500" w:type="dxa"/>
            <w:vAlign w:val="bottom"/>
            <w:gridSpan w:val="2"/>
          </w:tcPr>
          <w:p>
            <w:pPr>
              <w:jc w:val="right"/>
              <w:spacing w:after="0" w:line="14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27"/>
        </w:trPr>
        <w:tc>
          <w:tcPr>
            <w:tcW w:w="33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160" w:type="dxa"/>
            <w:vAlign w:val="bottom"/>
            <w:gridSpan w:val="3"/>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680" w:type="dxa"/>
            <w:vAlign w:val="bottom"/>
            <w:gridSpan w:val="8"/>
          </w:tcPr>
          <w:p>
            <w:pPr>
              <w:spacing w:after="0"/>
              <w:rPr>
                <w:sz w:val="20"/>
                <w:szCs w:val="20"/>
                <w:color w:val="auto"/>
              </w:rPr>
            </w:pPr>
            <w:r>
              <w:rPr>
                <w:rFonts w:ascii="Arial" w:cs="Arial" w:eastAsia="Arial" w:hAnsi="Arial"/>
                <w:sz w:val="16"/>
                <w:szCs w:val="16"/>
                <w:color w:val="0000FF"/>
              </w:rPr>
              <w:t>Statements of Operations for the Years Ended December 31, 2022, 2021 and 2020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42</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160" w:type="dxa"/>
            <w:vAlign w:val="bottom"/>
            <w:gridSpan w:val="7"/>
          </w:tcPr>
          <w:p>
            <w:pPr>
              <w:spacing w:after="0"/>
              <w:rPr>
                <w:sz w:val="20"/>
                <w:szCs w:val="20"/>
                <w:color w:val="auto"/>
              </w:rPr>
            </w:pPr>
            <w:r>
              <w:rPr>
                <w:rFonts w:ascii="Arial" w:cs="Arial" w:eastAsia="Arial" w:hAnsi="Arial"/>
                <w:sz w:val="16"/>
                <w:szCs w:val="16"/>
                <w:color w:val="0000FF"/>
                <w:w w:val="90"/>
              </w:rPr>
              <w:t>Statements of Comprehensive Income for the Years Ended December 31, 2022, 2021 and 2020</w:t>
            </w:r>
          </w:p>
        </w:tc>
        <w:tc>
          <w:tcPr>
            <w:tcW w:w="35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43</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160" w:type="dxa"/>
            <w:vAlign w:val="bottom"/>
            <w:gridSpan w:val="2"/>
          </w:tcPr>
          <w:p>
            <w:pPr>
              <w:spacing w:after="0"/>
              <w:rPr>
                <w:sz w:val="20"/>
                <w:szCs w:val="20"/>
                <w:color w:val="auto"/>
              </w:rPr>
            </w:pPr>
            <w:r>
              <w:rPr>
                <w:rFonts w:ascii="Arial" w:cs="Arial" w:eastAsia="Arial" w:hAnsi="Arial"/>
                <w:sz w:val="16"/>
                <w:szCs w:val="16"/>
                <w:color w:val="0000FF"/>
                <w:w w:val="91"/>
              </w:rPr>
              <w:t>Statements of Financial Position - December 31, 2022 and 2021</w:t>
            </w:r>
          </w:p>
        </w:tc>
        <w:tc>
          <w:tcPr>
            <w:tcW w:w="2000" w:type="dxa"/>
            <w:vAlign w:val="bottom"/>
            <w:gridSpan w:val="5"/>
          </w:tcPr>
          <w:p>
            <w:pPr>
              <w:spacing w:after="0"/>
              <w:rPr>
                <w:sz w:val="17"/>
                <w:szCs w:val="17"/>
                <w:color w:val="auto"/>
              </w:rPr>
            </w:pPr>
          </w:p>
        </w:tc>
        <w:tc>
          <w:tcPr>
            <w:tcW w:w="35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44</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sz w:val="20"/>
                <w:szCs w:val="20"/>
                <w:color w:val="auto"/>
              </w:rPr>
            </w:pPr>
            <w:r>
              <w:rPr>
                <w:rFonts w:ascii="Arial" w:cs="Arial" w:eastAsia="Arial" w:hAnsi="Arial"/>
                <w:sz w:val="16"/>
                <w:szCs w:val="16"/>
                <w:color w:val="0000FF"/>
                <w:w w:val="90"/>
              </w:rPr>
              <w:t>Statements of Shareholders' Equity for the Years ended December 31, 2022, 2021 and 2020</w:t>
            </w:r>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sz w:val="20"/>
                <w:szCs w:val="20"/>
                <w:color w:val="auto"/>
              </w:rPr>
            </w:pPr>
            <w:r>
              <w:rPr>
                <w:rFonts w:ascii="Arial" w:cs="Arial" w:eastAsia="Arial" w:hAnsi="Arial"/>
                <w:sz w:val="16"/>
                <w:szCs w:val="16"/>
                <w:color w:val="0000FF"/>
                <w:w w:val="99"/>
              </w:rPr>
              <w:t>Statements of Cash Flows for the Years ended December 31, 2022, 2021 and 2020</w:t>
            </w:r>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60" w:type="dxa"/>
            <w:vAlign w:val="bottom"/>
          </w:tcPr>
          <w:p>
            <w:pPr>
              <w:spacing w:after="0"/>
              <w:rPr>
                <w:sz w:val="20"/>
                <w:szCs w:val="20"/>
                <w:color w:val="auto"/>
              </w:rPr>
            </w:pPr>
            <w:r>
              <w:rPr>
                <w:rFonts w:ascii="Arial" w:cs="Arial" w:eastAsia="Arial" w:hAnsi="Arial"/>
                <w:sz w:val="16"/>
                <w:szCs w:val="16"/>
                <w:color w:val="0000FF"/>
                <w:w w:val="90"/>
              </w:rPr>
              <w:t>Notes to Financial Statements - December 31, 2022</w:t>
            </w:r>
          </w:p>
        </w:tc>
        <w:tc>
          <w:tcPr>
            <w:tcW w:w="1960" w:type="dxa"/>
            <w:vAlign w:val="bottom"/>
            <w:gridSpan w:val="4"/>
          </w:tcPr>
          <w:p>
            <w:pPr>
              <w:spacing w:after="0"/>
              <w:rPr>
                <w:sz w:val="17"/>
                <w:szCs w:val="17"/>
                <w:color w:val="auto"/>
              </w:rPr>
            </w:pPr>
          </w:p>
        </w:tc>
        <w:tc>
          <w:tcPr>
            <w:tcW w:w="436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0E32E1"/>
              </w:rPr>
              <w:t>47</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Erie Indemnity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statements of financial position of Erie Indemnity Company (the Company) as of December 31, 2022 and 2021, the related statements of operations, comprehensive income,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70"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auto"/>
        </w:rPr>
        <w:t>Proportional Cost Allocation</w:t>
      </w:r>
    </w:p>
    <w:p>
      <w:pPr>
        <w:spacing w:after="0" w:line="36"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For the year ended December 31, 2022, the Company’s administrative services reimbursement revenue totaled</w:t>
      </w:r>
    </w:p>
    <w:p>
      <w:pPr>
        <w:spacing w:after="0" w:line="23" w:lineRule="exact"/>
        <w:rPr>
          <w:sz w:val="20"/>
          <w:szCs w:val="20"/>
          <w:color w:val="auto"/>
        </w:rPr>
      </w:pPr>
    </w:p>
    <w:p>
      <w:pPr>
        <w:jc w:val="both"/>
        <w:ind w:left="1860" w:right="1040" w:hanging="1839"/>
        <w:spacing w:after="0" w:line="287" w:lineRule="auto"/>
        <w:tabs>
          <w:tab w:leader="none" w:pos="184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$668.3 million. The Company’s primary function, as attorney-in-fact, is to perform certain services on behalf of the subscribers at the Erie Insurance Exchange (Exchange) and its insurance subsidiaries, in accordance with the subscriber’s agreement and the service agreements with each of the Exchange’s insurance subsidiaries. As explained in Note 2 of the financial statements, pursuant to the approved subscriber’s agreement and service agreements, administrative services, which include costs associated with claims handling services, life insurance related operating activities, investment management, and operating overhead incurred by the Company on behalf of the Exchange and its insurance subsidiaries, are reimbursed to the Company at cost and recorded as administrative services reimbursement revenue, based on the nature of the cost or relevant utilization statistic.</w:t>
      </w:r>
    </w:p>
    <w:p>
      <w:pPr>
        <w:spacing w:after="0" w:line="197" w:lineRule="exact"/>
        <w:rPr>
          <w:sz w:val="20"/>
          <w:szCs w:val="20"/>
          <w:color w:val="auto"/>
        </w:rPr>
      </w:pPr>
    </w:p>
    <w:p>
      <w:pPr>
        <w:jc w:val="both"/>
        <w:ind w:left="1860" w:right="1040"/>
        <w:spacing w:after="0" w:line="263" w:lineRule="auto"/>
        <w:rPr>
          <w:sz w:val="20"/>
          <w:szCs w:val="20"/>
          <w:color w:val="auto"/>
        </w:rPr>
      </w:pPr>
      <w:r>
        <w:rPr>
          <w:rFonts w:ascii="Arial" w:cs="Arial" w:eastAsia="Arial" w:hAnsi="Arial"/>
          <w:sz w:val="18"/>
          <w:szCs w:val="18"/>
          <w:color w:val="auto"/>
        </w:rPr>
        <w:t>Auditing management’s proportional cost allocations was complex due to the multiple costs that are allocated, the extensiveness of the allocation process, and the degree of auditor judgement needed to design the nature and extent of audit procedures required to address the matter.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3"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7"/>
          <w:szCs w:val="17"/>
          <w:color w:val="auto"/>
        </w:rPr>
        <w:t>Company’s proportional cost allocations process. This included, among others, testing management’s review</w:t>
      </w:r>
    </w:p>
    <w:p>
      <w:pPr>
        <w:spacing w:after="0" w:line="9" w:lineRule="exact"/>
        <w:rPr>
          <w:sz w:val="20"/>
          <w:szCs w:val="20"/>
          <w:color w:val="auto"/>
        </w:rPr>
      </w:pPr>
    </w:p>
    <w:p>
      <w:pPr>
        <w:ind w:left="1860" w:right="1040" w:hanging="1839"/>
        <w:spacing w:after="0" w:line="260" w:lineRule="auto"/>
        <w:tabs>
          <w:tab w:leader="none" w:pos="184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controls over the determination of the utilization statistics and ultimate allocation of costs to the Exchange and its insurance subsidiaries.</w:t>
      </w:r>
    </w:p>
    <w:p>
      <w:pPr>
        <w:spacing w:after="0" w:line="212" w:lineRule="exact"/>
        <w:rPr>
          <w:sz w:val="20"/>
          <w:szCs w:val="20"/>
          <w:color w:val="auto"/>
        </w:rPr>
      </w:pPr>
    </w:p>
    <w:p>
      <w:pPr>
        <w:jc w:val="both"/>
        <w:ind w:left="1860" w:right="1040"/>
        <w:spacing w:after="0" w:line="254" w:lineRule="auto"/>
        <w:rPr>
          <w:sz w:val="20"/>
          <w:szCs w:val="20"/>
          <w:color w:val="auto"/>
        </w:rPr>
      </w:pPr>
      <w:r>
        <w:rPr>
          <w:rFonts w:ascii="Arial" w:cs="Arial" w:eastAsia="Arial" w:hAnsi="Arial"/>
          <w:sz w:val="18"/>
          <w:szCs w:val="18"/>
          <w:color w:val="auto"/>
        </w:rPr>
        <w:t>To test the Company’s proportional cost allocations, our procedures included, among others, evaluating that the costs included in the allocations are in accordance with the subscriber’s agreement and the service agreements with each of the Exchange’s insurance subsidiaries. We tested the completeness and accuracy of the costs subjected to allocation through testing the reconciliation of the costs recorded in the source systems to the costs that are allocated, testing a sample of cost allocations, and testing the reconciliation of the cost allocation output to the general ledger. We evaluated the allocation of costs to the Exchange and its insurance subsidiaries with the costs allocated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Operating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Management fee revenue - policy issuance and renewal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2,087,846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1,913,166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1,841,794</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Management fee revenue - administrative services</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58,323</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58,286</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59,463</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Administrative services reimbursement revenue</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668,268</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638,483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609,435</w:t>
            </w: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Service agreement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25,687</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24,042</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25,797</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2,840,124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2,633,977</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2,536,489</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2" w:right="3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60" w:right="1480"/>
        <w:spacing w:after="0" w:line="281" w:lineRule="auto"/>
        <w:rPr>
          <w:sz w:val="20"/>
          <w:szCs w:val="20"/>
          <w:color w:val="auto"/>
        </w:rPr>
      </w:pPr>
      <w:r>
        <w:rPr>
          <w:rFonts w:ascii="Arial" w:cs="Arial" w:eastAsia="Arial" w:hAnsi="Arial"/>
          <w:sz w:val="17"/>
          <w:szCs w:val="17"/>
          <w:color w:val="auto"/>
        </w:rPr>
        <w:t>Cost of operations - policy issuance and renewal services Cost of operations - administrative services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Operating income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realized and unrealized investment (losses) gains</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impairment (losses) recoveries recognized in earnings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investment income</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1,795,642</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1,677,397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1,588,897</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668,268</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638,483</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609,435</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2,463,910</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2,315,880</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2,198,332</w:t>
            </w:r>
          </w:p>
        </w:tc>
      </w:tr>
      <w:tr>
        <w:trPr>
          <w:trHeight w:val="224"/>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376,214</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318,097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338,157</w:t>
            </w:r>
          </w:p>
        </w:tc>
      </w:tr>
      <w:tr>
        <w:trPr>
          <w:trHeight w:val="673"/>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28,585</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62,177</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29,753</w:t>
            </w:r>
          </w:p>
        </w:tc>
      </w:tr>
      <w:tr>
        <w:trPr>
          <w:trHeight w:val="229"/>
        </w:trPr>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(27,286)</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4,946</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632</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67,332</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r>
      <w:tr>
        <w:trPr>
          <w:trHeight w:val="425"/>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4,132</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1,615</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r>
      <w:tr>
        <w:trPr>
          <w:trHeight w:val="222"/>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376,452</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376,404</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368,515</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77,883</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78,544</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75,211</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298,569</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297,860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293,304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720"/>
            <w:col w:w="4740"/>
          </w:cols>
          <w:pgMar w:left="320" w:top="122" w:right="359" w:bottom="1440" w:gutter="0" w:footer="0" w:header="0"/>
          <w:type w:val="continuous"/>
        </w:sectPr>
      </w:pP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 – basic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Class A common stock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 – basic and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962</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959</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Weighted average shares outstanding – Basic</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46,188,916</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46,188,806</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46,188,659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52,297,990</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52,307,302</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52,313,360</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4"/>
        </w:trPr>
        <w:tc>
          <w:tcPr>
            <w:tcW w:w="6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298,569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297,860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293,304</w:t>
            </w:r>
          </w:p>
        </w:tc>
      </w:tr>
      <w:tr>
        <w:trPr>
          <w:trHeight w:val="444"/>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580" w:type="dxa"/>
            <w:vAlign w:val="bottom"/>
          </w:tcPr>
          <w:p>
            <w:pPr>
              <w:ind w:left="160"/>
              <w:spacing w:after="0"/>
              <w:rPr>
                <w:sz w:val="20"/>
                <w:szCs w:val="20"/>
                <w:color w:val="auto"/>
              </w:rPr>
            </w:pPr>
            <w:r>
              <w:rPr>
                <w:rFonts w:ascii="Arial" w:cs="Arial" w:eastAsia="Arial" w:hAnsi="Arial"/>
                <w:sz w:val="18"/>
                <w:szCs w:val="18"/>
                <w:color w:val="auto"/>
              </w:rPr>
              <w:t>Change in unrealized holding (losses) gains on available-for-sale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(58,692)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(17,112)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18,738</w:t>
            </w:r>
          </w:p>
        </w:tc>
      </w:tr>
      <w:tr>
        <w:trPr>
          <w:trHeight w:val="230"/>
        </w:trPr>
        <w:tc>
          <w:tcPr>
            <w:tcW w:w="6580" w:type="dxa"/>
            <w:vAlign w:val="bottom"/>
          </w:tcPr>
          <w:p>
            <w:pPr>
              <w:ind w:left="160"/>
              <w:spacing w:after="0"/>
              <w:rPr>
                <w:sz w:val="20"/>
                <w:szCs w:val="20"/>
                <w:color w:val="auto"/>
              </w:rPr>
            </w:pPr>
            <w:r>
              <w:rPr>
                <w:rFonts w:ascii="Arial" w:cs="Arial" w:eastAsia="Arial" w:hAnsi="Arial"/>
                <w:sz w:val="18"/>
                <w:szCs w:val="18"/>
                <w:color w:val="auto"/>
              </w:rPr>
              <w:t>Pension and other postretirement plans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76,566</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69,967</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19,987</w:t>
            </w:r>
          </w:p>
        </w:tc>
      </w:tr>
      <w:tr>
        <w:trPr>
          <w:trHeight w:val="223"/>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Total other comprehensive income, net of tax</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17,874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52,855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38,725</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316,443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350,715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332,029</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STATEMENTS OF FINANCIAL POSITION</w:t>
      </w:r>
    </w:p>
    <w:p>
      <w:pPr>
        <w:spacing w:after="0" w:line="9"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At December 31, 2022 and 2021</w:t>
      </w:r>
    </w:p>
    <w:p>
      <w:pPr>
        <w:spacing w:after="0" w:line="9" w:lineRule="exact"/>
        <w:rPr>
          <w:sz w:val="20"/>
          <w:szCs w:val="20"/>
          <w:color w:val="auto"/>
        </w:rPr>
      </w:pPr>
    </w:p>
    <w:p>
      <w:pPr>
        <w:jc w:val="center"/>
        <w:ind w:left="3460"/>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Current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Receivables from Erie Insurance Exchange and affiliates, net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expenses and other current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investment income</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current assets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Available-for-sale securities,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Fixed assets,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Agent loans,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income taxes,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assets</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assets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Liabilities and shareholders' equity</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Current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Commissions payable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bonuses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 payable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 liability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executive compensation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portion of long-term borrowings</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current liabilities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Defined benefit pension plans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Long-term borrowings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Contract liability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executive compensation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income taxes,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long-term liabilities</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liabilities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ind w:left="420" w:hanging="161"/>
        <w:spacing w:after="0" w:line="234" w:lineRule="auto"/>
        <w:rPr>
          <w:sz w:val="20"/>
          <w:szCs w:val="20"/>
          <w:color w:val="auto"/>
        </w:rPr>
      </w:pPr>
      <w:r>
        <w:rPr>
          <w:rFonts w:ascii="Arial" w:cs="Arial" w:eastAsia="Arial" w:hAnsi="Arial"/>
          <w:sz w:val="18"/>
          <w:szCs w:val="18"/>
          <w:color w:val="auto"/>
        </w:rPr>
        <w:t>Class A common stock, stated value $0.0292 per share; 74,996,930 shares authorized; 68,299,200 shares issued; 46,189,068 shares outstanding</w:t>
      </w:r>
    </w:p>
    <w:p>
      <w:pPr>
        <w:spacing w:after="0" w:line="14" w:lineRule="exact"/>
        <w:rPr>
          <w:sz w:val="20"/>
          <w:szCs w:val="20"/>
          <w:color w:val="auto"/>
        </w:rPr>
      </w:pPr>
    </w:p>
    <w:p>
      <w:pPr>
        <w:ind w:left="420" w:right="100" w:hanging="161"/>
        <w:spacing w:after="0" w:line="235" w:lineRule="auto"/>
        <w:rPr>
          <w:sz w:val="20"/>
          <w:szCs w:val="20"/>
          <w:color w:val="auto"/>
        </w:rPr>
      </w:pPr>
      <w:r>
        <w:rPr>
          <w:rFonts w:ascii="Arial" w:cs="Arial" w:eastAsia="Arial" w:hAnsi="Arial"/>
          <w:sz w:val="18"/>
          <w:szCs w:val="18"/>
          <w:color w:val="auto"/>
        </w:rPr>
        <w:t>Class B common stock, convertible at a rate of 2,400 Class A shares for one Class B share, stated value $70 per share; 3,070 shares authorized; 2,542 shares issued and outstanding</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paid-in-capital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other comprehensive loss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Retained earnings</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contributed capital and retained earnings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Treasury stock, at cost; 22,110,132 shares held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compensation</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shareholders' equity</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668"/>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142,090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183,702</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24,267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38,396</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524,937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479,123</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79,201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56,206</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8,301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r>
      <w:tr>
        <w:trPr>
          <w:trHeight w:val="224"/>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778,796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763,730</w:t>
            </w:r>
          </w:p>
        </w:tc>
      </w:tr>
      <w:tr>
        <w:trPr>
          <w:trHeight w:val="390"/>
        </w:trPr>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870,394</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907,689</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72,560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87,743</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413,874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374,802</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60,537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58,683</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43,295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49,265</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2,239,456</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2,242,057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300,028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270,746</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95,166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120,437</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165,915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138,317</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55,419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51,693</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36,547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34,935</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12,637</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r>
      <w:tr>
        <w:trPr>
          <w:trHeight w:val="224"/>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665,111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630,863</w:t>
            </w:r>
          </w:p>
        </w:tc>
      </w:tr>
      <w:tr>
        <w:trPr>
          <w:trHeight w:val="390"/>
        </w:trPr>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51,224</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130,383</w:t>
            </w:r>
          </w:p>
        </w:tc>
      </w:tr>
      <w:tr>
        <w:trPr>
          <w:trHeight w:val="229"/>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91,734</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17,895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17,686</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13,724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14,571</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14,075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29,019</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r>
      <w:tr>
        <w:trPr>
          <w:trHeight w:val="223"/>
        </w:trPr>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791,048</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899,579</w:t>
            </w:r>
          </w:p>
        </w:tc>
      </w:tr>
      <w:tr>
        <w:trPr>
          <w:trHeight w:val="790"/>
        </w:trPr>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1,992</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418"/>
        </w:trPr>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16,481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16,496</w:t>
            </w:r>
          </w:p>
        </w:tc>
      </w:tr>
      <w:tr>
        <w:trPr>
          <w:trHeight w:val="229"/>
        </w:trPr>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(25,288)</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2,583,261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2,495,190</w:t>
            </w:r>
          </w:p>
        </w:tc>
      </w:tr>
      <w:tr>
        <w:trPr>
          <w:trHeight w:val="222"/>
        </w:trPr>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2,594,498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2,488,568</w:t>
            </w:r>
          </w:p>
        </w:tc>
      </w:tr>
      <w:tr>
        <w:trPr>
          <w:trHeight w:val="230"/>
        </w:trPr>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(1,168,949)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(1,167,828)</w:t>
            </w:r>
          </w:p>
        </w:tc>
      </w:tr>
      <w:tr>
        <w:trPr>
          <w:trHeight w:val="230"/>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22,859</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21,738</w:t>
            </w:r>
          </w:p>
        </w:tc>
      </w:tr>
      <w:tr>
        <w:trPr>
          <w:trHeight w:val="223"/>
        </w:trPr>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1,448,408</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1,342,478</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2,239,456</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2,242,057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16" w:lineRule="exact"/>
        <w:rPr>
          <w:sz w:val="20"/>
          <w:szCs w:val="20"/>
          <w:color w:val="auto"/>
        </w:rPr>
      </w:pPr>
    </w:p>
    <w:p>
      <w:pPr>
        <w:sectPr>
          <w:pgSz w:w="11900" w:h="16838" w:orient="portrait"/>
          <w:cols w:equalWidth="0" w:num="2">
            <w:col w:w="7800" w:space="140"/>
            <w:col w:w="3240"/>
          </w:cols>
          <w:pgMar w:left="320" w:top="122" w:right="399" w:bottom="1440" w:gutter="0" w:footer="0" w:header="0"/>
        </w:sectPr>
      </w:pP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4"/>
              </w:rPr>
              <w:t>Accumulated other</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Class B</w:t>
            </w:r>
          </w:p>
        </w:tc>
        <w:tc>
          <w:tcPr>
            <w:tcW w:w="12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comprehensive</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w w:val="96"/>
              </w:rPr>
              <w:t>Retained earnings</w:t>
            </w:r>
          </w:p>
        </w:tc>
        <w:tc>
          <w:tcPr>
            <w:tcW w:w="12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w w:val="95"/>
              </w:rPr>
              <w:t>Treasury stock</w:t>
            </w:r>
          </w:p>
        </w:tc>
        <w:tc>
          <w:tcPr>
            <w:tcW w:w="14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Deferred</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Total shareholders'</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7"/>
              </w:rPr>
              <w:t>common stock</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8"/>
              </w:rPr>
              <w:t>paid-in-capital</w:t>
            </w:r>
          </w:p>
        </w:tc>
        <w:tc>
          <w:tcPr>
            <w:tcW w:w="140" w:type="dxa"/>
            <w:vAlign w:val="bottom"/>
          </w:tcPr>
          <w:p>
            <w:pPr>
              <w:spacing w:after="0"/>
              <w:rPr>
                <w:sz w:val="15"/>
                <w:szCs w:val="15"/>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3"/>
              </w:rPr>
              <w:t>(loss) income</w:t>
            </w: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w w:val="96"/>
              </w:rPr>
              <w:t>compensation</w:t>
            </w:r>
          </w:p>
        </w:tc>
        <w:tc>
          <w:tcPr>
            <w:tcW w:w="26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2019</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(116,868)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2,377,558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(1,158,910)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12,820</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1,133,253</w:t>
            </w:r>
          </w:p>
        </w:tc>
        <w:tc>
          <w:tcPr>
            <w:tcW w:w="0" w:type="dxa"/>
            <w:vAlign w:val="bottom"/>
          </w:tcPr>
          <w:p>
            <w:pPr>
              <w:spacing w:after="0"/>
              <w:rPr>
                <w:sz w:val="1"/>
                <w:szCs w:val="1"/>
                <w:color w:val="auto"/>
              </w:rPr>
            </w:pPr>
          </w:p>
        </w:tc>
      </w:tr>
      <w:tr>
        <w:trPr>
          <w:trHeight w:val="197"/>
        </w:trPr>
        <w:tc>
          <w:tcPr>
            <w:tcW w:w="2200" w:type="dxa"/>
            <w:vAlign w:val="bottom"/>
          </w:tcPr>
          <w:p>
            <w:pPr>
              <w:spacing w:after="0" w:line="197" w:lineRule="exact"/>
              <w:rPr>
                <w:sz w:val="20"/>
                <w:szCs w:val="20"/>
                <w:color w:val="auto"/>
              </w:rPr>
            </w:pPr>
            <w:r>
              <w:rPr>
                <w:rFonts w:ascii="Arial" w:cs="Arial" w:eastAsia="Arial" w:hAnsi="Arial"/>
                <w:sz w:val="14"/>
                <w:szCs w:val="14"/>
                <w:color w:val="auto"/>
              </w:rPr>
              <w:t xml:space="preserve">Cumulative effect adjustment </w:t>
            </w:r>
            <w:r>
              <w:rPr>
                <w:rFonts w:ascii="Arial" w:cs="Arial" w:eastAsia="Arial" w:hAnsi="Arial"/>
                <w:sz w:val="18"/>
                <w:szCs w:val="18"/>
                <w:color w:val="auto"/>
                <w:vertAlign w:val="superscript"/>
              </w:rPr>
              <w:t>(1)</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293,304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293,304</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38,725</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38,725</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Arial" w:cs="Arial" w:eastAsia="Arial" w:hAnsi="Arial"/>
                <w:sz w:val="14"/>
                <w:szCs w:val="14"/>
                <w:color w:val="auto"/>
              </w:rPr>
              <w:t>Class A $5.93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(273,902)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(273,902)</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Arial" w:cs="Arial" w:eastAsia="Arial" w:hAnsi="Arial"/>
                <w:sz w:val="14"/>
                <w:szCs w:val="14"/>
                <w:color w:val="auto"/>
              </w:rPr>
              <w:t>Class B $889.50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(2)</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(5,465)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5,465</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2020</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(78,143)</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2,393,624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(1,163,670)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17,580</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1,188,048</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297,860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297,860</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52,855</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52,855</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Arial" w:cs="Arial" w:eastAsia="Arial" w:hAnsi="Arial"/>
                <w:sz w:val="14"/>
                <w:szCs w:val="14"/>
                <w:color w:val="auto"/>
              </w:rPr>
              <w:t>Class A $4.215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(194,687)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(194,687)</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Arial" w:cs="Arial" w:eastAsia="Arial" w:hAnsi="Arial"/>
                <w:sz w:val="14"/>
                <w:szCs w:val="14"/>
                <w:color w:val="auto"/>
              </w:rPr>
              <w:t>Class B $632.25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(2)</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(5,131)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5,131</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2021</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2,495,190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(1,167,828)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1,342,478</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298,569</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298,569</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17,874</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17,874</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20"/>
              <w:spacing w:after="0"/>
              <w:rPr>
                <w:sz w:val="20"/>
                <w:szCs w:val="20"/>
                <w:color w:val="auto"/>
              </w:rPr>
            </w:pPr>
            <w:r>
              <w:rPr>
                <w:rFonts w:ascii="Arial" w:cs="Arial" w:eastAsia="Arial" w:hAnsi="Arial"/>
                <w:sz w:val="14"/>
                <w:szCs w:val="14"/>
                <w:color w:val="auto"/>
              </w:rPr>
              <w:t>Class A $4.52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(208,775)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(208,775)</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Arial" w:cs="Arial" w:eastAsia="Arial" w:hAnsi="Arial"/>
                <w:sz w:val="14"/>
                <w:szCs w:val="14"/>
                <w:color w:val="auto"/>
              </w:rPr>
              <w:t>Class B $678.00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(2)</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(2,975)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2,975</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2022</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(7,414)</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2,583,261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(1,168,949)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22,859</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1,448,408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The cumulative effect adjustment in 2020 is related to the implementation of credit loss allowance accounting guidance effective January 1, 2020. See Note 2, "Significant Accounting Policies."</w:t>
      </w:r>
    </w:p>
    <w:p>
      <w:pPr>
        <w:spacing w:after="0" w:line="66" w:lineRule="exact"/>
        <w:rPr>
          <w:rFonts w:ascii="Arial" w:cs="Arial" w:eastAsia="Arial" w:hAnsi="Arial"/>
          <w:sz w:val="13"/>
          <w:szCs w:val="13"/>
          <w:i w:val="1"/>
          <w:iCs w:val="1"/>
          <w:color w:val="auto"/>
        </w:rPr>
      </w:pPr>
    </w:p>
    <w:p>
      <w:pPr>
        <w:ind w:left="260" w:right="60" w:hanging="252"/>
        <w:spacing w:after="0" w:line="255" w:lineRule="auto"/>
        <w:tabs>
          <w:tab w:leader="none" w:pos="195"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Net purchases of treasury stock in 2020, 2021 and 2022 include the repurchase of our Class A common stock in the open market that were subsequently distributed to satisfy stock-based compensation awards. See Note 10, "Incentive and Deferred Compensation Plans".</w:t>
      </w:r>
    </w:p>
    <w:p>
      <w:pPr>
        <w:spacing w:after="0" w:line="33" w:lineRule="exact"/>
        <w:rPr>
          <w:rFonts w:ascii="Arial" w:cs="Arial" w:eastAsia="Arial" w:hAnsi="Arial"/>
          <w:sz w:val="13"/>
          <w:szCs w:val="13"/>
          <w:i w:val="1"/>
          <w:iCs w:val="1"/>
          <w:color w:val="auto"/>
        </w:rPr>
      </w:pPr>
    </w:p>
    <w:p>
      <w:pPr>
        <w:ind w:left="260" w:right="60" w:hanging="252"/>
        <w:spacing w:after="0" w:line="255" w:lineRule="auto"/>
        <w:tabs>
          <w:tab w:leader="none" w:pos="195"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Distributions of our Class A shares were made from the rabbi trust to a retired director and an incentive compensation deferral plan participant in both 2020 and 2021, and to four incentive compensation deferral plan participants in 2022. See Note 10, "Incentive and Deferred Compensation Plans".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Management fee received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2,100,989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1,982,092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1,887,537</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Administrative services reimbursements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668,857</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634,300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587,347</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Service agreement revenue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25,515</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24,014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25,797</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Net investment income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40,161</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45,830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35,740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Commissions paid to agents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(1,042,158)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(966,285)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(928,864)</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Agents bonuses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(136,403)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(123,583)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(108,227)</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Salaries and wages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(208,575)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(204,279)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(188,070)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Pension contribution and employee benefits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(68,433)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(32,836)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(33,098)</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General operating expenses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(263,524)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(235,294)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(253,545)</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Administrative services expenses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(667,524)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(632,530)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(598,753)</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(80,619)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(84,494)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(82,576)</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7120" w:type="dxa"/>
            <w:vAlign w:val="bottom"/>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366,152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402,794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342,595</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2" w:right="359" w:bottom="1440" w:gutter="0" w:footer="0" w:header="0"/>
        </w:sect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investments: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investments: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 sales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 maturities/calls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fixed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disposal of fixed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to agents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Collections on agent loans</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 to shareholders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short-term borrowings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short-term borrowings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long-term borrowings</w:t>
      </w:r>
    </w:p>
    <w:p>
      <w:pPr>
        <w:spacing w:after="0" w:line="31"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43" w:lineRule="exact"/>
        <w:rPr>
          <w:sz w:val="20"/>
          <w:szCs w:val="20"/>
          <w:color w:val="auto"/>
        </w:rPr>
      </w:pPr>
    </w:p>
    <w:p>
      <w:pPr>
        <w:ind w:left="60" w:right="2640"/>
        <w:spacing w:after="0" w:line="344" w:lineRule="auto"/>
        <w:rPr>
          <w:sz w:val="20"/>
          <w:szCs w:val="20"/>
          <w:color w:val="auto"/>
        </w:rPr>
      </w:pPr>
      <w:r>
        <w:rPr>
          <w:rFonts w:ascii="Arial" w:cs="Arial" w:eastAsia="Arial" w:hAnsi="Arial"/>
          <w:sz w:val="15"/>
          <w:szCs w:val="15"/>
          <w:color w:val="auto"/>
        </w:rPr>
        <w:t>Net (decrease) increase in cash and cash equivalents Cash and cash equivalents, beginning of year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 end of year</w:t>
      </w:r>
    </w:p>
    <w:p>
      <w:pPr>
        <w:spacing w:after="0" w:line="239" w:lineRule="exact"/>
        <w:rPr>
          <w:sz w:val="20"/>
          <w:szCs w:val="20"/>
          <w:color w:val="auto"/>
        </w:rPr>
      </w:pPr>
    </w:p>
    <w:p>
      <w:pPr>
        <w:ind w:left="180" w:right="2680" w:hanging="120"/>
        <w:spacing w:after="0" w:line="322" w:lineRule="auto"/>
        <w:rPr>
          <w:sz w:val="20"/>
          <w:szCs w:val="20"/>
          <w:color w:val="auto"/>
        </w:rPr>
      </w:pPr>
      <w:r>
        <w:rPr>
          <w:rFonts w:ascii="Arial" w:cs="Arial" w:eastAsia="Arial" w:hAnsi="Arial"/>
          <w:sz w:val="15"/>
          <w:szCs w:val="15"/>
          <w:b w:val="1"/>
          <w:bCs w:val="1"/>
          <w:color w:val="auto"/>
        </w:rPr>
        <w:t xml:space="preserve">Supplemental disclosure of noncash transactions </w:t>
      </w:r>
      <w:r>
        <w:rPr>
          <w:rFonts w:ascii="Arial" w:cs="Arial" w:eastAsia="Arial" w:hAnsi="Arial"/>
          <w:sz w:val="15"/>
          <w:szCs w:val="15"/>
          <w:color w:val="auto"/>
        </w:rPr>
        <w:t>Liability incurred to purchase fixed assets</w:t>
      </w:r>
    </w:p>
    <w:p>
      <w:pPr>
        <w:spacing w:after="0" w:line="1" w:lineRule="exact"/>
        <w:rPr>
          <w:sz w:val="20"/>
          <w:szCs w:val="20"/>
          <w:color w:val="auto"/>
        </w:rPr>
      </w:pPr>
    </w:p>
    <w:p>
      <w:pPr>
        <w:ind w:left="180" w:right="1460"/>
        <w:spacing w:after="0" w:line="358" w:lineRule="auto"/>
        <w:rPr>
          <w:sz w:val="20"/>
          <w:szCs w:val="20"/>
          <w:color w:val="auto"/>
        </w:rPr>
      </w:pPr>
      <w:r>
        <w:rPr>
          <w:rFonts w:ascii="Arial" w:cs="Arial" w:eastAsia="Arial" w:hAnsi="Arial"/>
          <w:sz w:val="16"/>
          <w:szCs w:val="16"/>
          <w:color w:val="auto"/>
        </w:rPr>
        <w:t>Operating lease assets obtained in exchange for lease liabilities Transfer of investments from other investments to equity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(465,071)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(380,017)</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(396,014)</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(58,191)</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(79,518)</w:t>
            </w:r>
          </w:p>
        </w:tc>
      </w:tr>
      <w:tr>
        <w:trPr>
          <w:trHeight w:val="230"/>
        </w:trPr>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458"/>
        </w:trPr>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295,996</w:t>
            </w:r>
          </w:p>
        </w:tc>
        <w:tc>
          <w:tcPr>
            <w:tcW w:w="3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150,153</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101,718</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130,401</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184,820</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118,852</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20,456</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64,118</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70,405</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1,076</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(67,204)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(148,800)</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(55,528)</w:t>
            </w:r>
          </w:p>
        </w:tc>
      </w:tr>
      <w:tr>
        <w:trPr>
          <w:trHeight w:val="229"/>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(10,098)</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8,523</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9,379</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(243,225)</w:t>
            </w:r>
          </w:p>
        </w:tc>
      </w:tr>
      <w:tr>
        <w:trPr>
          <w:trHeight w:val="654"/>
        </w:trPr>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(206,772)</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(192,801)</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(272,902)</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w:t>
            </w:r>
          </w:p>
        </w:tc>
        <w:tc>
          <w:tcPr>
            <w:tcW w:w="3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(300,842)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(274,869)</w:t>
            </w:r>
          </w:p>
        </w:tc>
      </w:tr>
      <w:tr>
        <w:trPr>
          <w:trHeight w:val="425"/>
        </w:trPr>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(41,612)</w:t>
            </w:r>
          </w:p>
        </w:tc>
        <w:tc>
          <w:tcPr>
            <w:tcW w:w="3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22,462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(175,499)</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183,702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161,240</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336,739</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142,090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183,702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161,240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4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26,386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14,214</w:t>
            </w:r>
          </w:p>
        </w:tc>
      </w:tr>
      <w:tr>
        <w:trPr>
          <w:trHeight w:val="229"/>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4,943</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13,041</w:t>
            </w:r>
          </w:p>
        </w:tc>
      </w:tr>
    </w:tbl>
    <w:p>
      <w:pPr>
        <w:spacing w:after="0" w:line="289" w:lineRule="exact"/>
        <w:rPr>
          <w:sz w:val="20"/>
          <w:szCs w:val="20"/>
          <w:color w:val="auto"/>
        </w:rPr>
      </w:pPr>
    </w:p>
    <w:p>
      <w:pPr>
        <w:sectPr>
          <w:pgSz w:w="11900" w:h="16838" w:orient="portrait"/>
          <w:cols w:equalWidth="0" w:num="2">
            <w:col w:w="6460" w:space="720"/>
            <w:col w:w="4040"/>
          </w:cols>
          <w:pgMar w:left="320" w:top="122" w:right="3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 See Note 17, "Supplementary Data on Cash Flows", for additional supplemental cash flow information.</w:t>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19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of the direct and affiliated assumed premiums written by the Exchange.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2022 policy issuance and renewal expenses. The underwriting services we provide include underwriting and policy processing and comprised approximately 10% of our 2022 policy issuance and renewal expenses. The remaining services we provide include customer service and administrative support. We also provide information technology services that support all the functions listed above that comprised approximately 11% of our 2022 policy issuance and renewal expenses. Included in these expenses are allocations of costs for departments that support these policy issuance and renewal functions.</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Exchange, by virtue of its legal structure as a reciprocal insurer,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Note 15, "Concentrations of Credit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March 2020, the outbreak of COVID-19 was declared a global pandemic. Post-pandemic conditions have created an inflationary environment which may impact the adequacy of estimated loss reserves and future premium rates of the Exchange in addition to overall financial market volatility, which may impact our investment results. The uncertainty of the current economic environment continues to evolve. We are unable to predict the duration or extent of the financial impacts.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conformity with U.S. generally accepted accounting principles ("GAAP").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We adopted Accounting Standards Update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which applies to our receivable from Erie Insurance Exchange and affiliates, agent loans, and investments, on January 1, 2020. The guidance requires financial assets measured at amortized cost to be presented at the net amount expected to be collected through the use of a new forward-looking current expected credit loss model and credit losses relating to available-for-sale debt securities to be recognized through an allowance for credit losses.</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assets measured at amortized cost for which a current expected credit loss allowance was required, we adopted the guidance using the modified-retrospective approach. At January 1, 2020, we recorded current expected credit loss allowances related to agent loans of $0.8 million and receivables from Erie Insurance Exchange and affiliates of $0.6 million. This resulted in the recording of a cumulative effect adjustment, net of taxes, to retained earnings of $1.1 million. Our available-for-sale investments are not measured at amortized cost, and therefore do not require the use of a current expected credit loss model. Any credit losses, however, are required to be recorded as an allowance for credit losses rather than a reduction of the carrying value of the asset. For available-for-sale securities, we adopted the guidance using the prospective approach and recorded an initial allowance for credit losses of $0.6 million at March 31, 2020.</w:t>
      </w:r>
    </w:p>
    <w:p>
      <w:pPr>
        <w:spacing w:after="0" w:line="2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Cash, money market accounts and other short-term, highly liquid investments with a maturity of three months or less at the date of purchase, are considered cash and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color w:val="auto"/>
        </w:rPr>
        <w:t xml:space="preserve">Available-for-sale securities </w:t>
      </w:r>
      <w:r>
        <w:rPr>
          <w:rFonts w:ascii="Arial" w:cs="Arial" w:eastAsia="Arial" w:hAnsi="Arial"/>
          <w:sz w:val="17"/>
          <w:szCs w:val="17"/>
          <w:color w:val="auto"/>
        </w:rPr>
        <w:t>– Fixed maturity debt securities and redeemable preferred stock are classified as available-for-sale and reported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with unrealized investment gains and losses, net of income taxes, recognized in other comprehensive income. Available-for-sale securities with a remaining maturity of 12 months or less and any security that we intend to sell as of the reporting date are classified as current assets.</w:t>
      </w:r>
    </w:p>
    <w:p>
      <w:pPr>
        <w:spacing w:after="0" w:line="20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Available-for-sale securities in an unrealized loss position are evaluated to determine whether the impairment is a result of credit loss or other factors. If we have the intent to sell or it's more likely than not that we would be required to sell the security before recovery of the amortized cost basis, the entire impairment is recognized in earnings. Securities that have experienced a decline in fair value that we do not intend to sell, and that we will not be required to sell before recovery, are evaluated to determine if the decline in fair value is credit related. Impairment resulting from a credit loss is recognized in earnings with a corresponding allowance on the balance sheet. Future recoveries of credit loss result in an adjustment to the allowance and earnings in the period the credit conditions improve.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If the qualitative review indicates credit impairment, the allowance for credit loss is measured as the amount that the security’s amortized cost exceeds the present value of cash flows expected to be collected and is limited to the amount that fair value is below amortized cost.</w:t>
      </w:r>
    </w:p>
    <w:p>
      <w:pPr>
        <w:spacing w:after="0" w:line="199"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 Equity securities primarily include non-redeemable preferred stocks and are reported at fair value with changes in fair value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in net realized and unrealized investment gains (losses). Securities that we intend to sell as of the reporting date are classified as current assets.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Realized gains and losses and investment income </w:t>
      </w:r>
      <w:r>
        <w:rPr>
          <w:rFonts w:ascii="Arial" w:cs="Arial" w:eastAsia="Arial" w:hAnsi="Arial"/>
          <w:sz w:val="18"/>
          <w:szCs w:val="18"/>
          <w:color w:val="auto"/>
        </w:rPr>
        <w:t>– Realized gains and losses on sales of available-for-sale and equity securities are recognized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specific identification method and reported in net realized and unrealized investment gains (losses). Interest income is recognized as earned and includes amortization of premium and accretion of discount. Income is recognized based on the constant effective yield method, which includes periodically updated prepayment assumptions obtained from third party data sources on our prepaying securities. The effective yield for prepaying securities is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recalculated on a retrospective basis. Dividend income is recognized at the ex-dividend date. Interest and dividend income and the results of our limited partnership investments are reported as net investment income. We do not record an allowance for credit losses on accrued investment income as any amount deemed uncollectible is reversed from interest income in the period the expected payment defaults.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Deferred tax assets and liabilities are recorded for temporary differences between the tax basis of assets and liabilities and the reported amounts in the financial statements, using the statutory tax rates in effect for the year in which the differences are expected to settle or be realized.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assets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Fixed assets are stated at cost less accumulated depreciation and amortization. Fixed assets are primarily comprised of software, which includes internally used capitalized software and development costs, as well as building and building improvements, equipment, furniture and fixtures, and leasehold improvements. Assets in use are depreciated using the straight-line method over the estimated useful life except for leasehold improvements, which are depreciated over the shorter of their economic useful life or the lease term. Software is depreciated over periods ranging from 3-7 years, buildings and building improvements are depreciated over 20-45 years, equipment is depreciated over 3-10 years, and furniture and fixtures are depreciated over 7 years. We review long-lived assets for impairment whenever events or changes indicate that the carrying value may not be recoverable. Under these circumstances, if the fair value were less than the carrying amount of the asset, we would recognize a loss for the difference. We capitalize applicable interest charges incurred during the construction period of significant long-term building projects as part of the historical cost of the asset.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loans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Agent loans, the majority of which are senior secured, are carried at unpaid principal balance net of a current expected credit loss allowance with interest recorded in investment income as earned. The allowance is estimated using available loss history and/or external loss rates based on comparable loan losses and considers current market conditions and forecasted information. Changes to the allowance are recognized in earnings as adjustments to net impairment recoveries (losses). The current portion of agent loans is recorded in prepaid expenses and other current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Other assets primarily include limited partnership investments which are recorded using the equity method of accounting. Other assets also include operating lease assets and other long-term prepaid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liability</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more significant agent bonus plan is based upon an individual agency's property and casualty underwriting profitability and also includes a component for growth in agency property and casualty premiums if the agency's underwriting profitability targets for the book of business are met. The estimated liability for this agent bonus plan is based upon the performance over 36 months, and is modeled on a monthly basis using actual underwriting results for the two prior years and current year-to-date actual results and forecasted results for the remainder of the year. Our second agent bonus plan is based on an agency's one-year underwriting profitability and uses a similar model but considers actual and forecasted results for a calendar year only. At December 31 of each year, we use actual data available and record an accrual based upon the expected payment amount. These costs are included in cost of operations - policy issuance and renewal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earn management fees from the Exchange under the subscriber’s agreement for services provided. Pursuant to the subscriber’s agreement, we may retain up to 25% of all direct and affiliated assumed premiums written by the Exchange. The management fee rate is set at least annually by our Board of Directors. The management fee revenue is calculated by multiplying the management fee rate by the direct and affiliated assumed premiums written by the Exchange and is allocated between the two performance obligations we have under the subscriber's agreement. The first performance obligation is to provide policy issuance and renewal services. The second performance obligation is acting as the attorney-in-fact with respect to the administrative services.</w:t>
      </w:r>
    </w:p>
    <w:p>
      <w:pPr>
        <w:spacing w:after="0" w:line="2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Management fee revenue allocated to the policy issuance and renewal services is recognized at the time of policy issuance or renewal, because it is at the time of policy issuance or renewal when the economic benefit of the service we provide (the substantially completed policy issuance or renewal service) and the control of the promised asset (the executed insurance policy) transfers to the customer.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Management fee revenue allocated to the second performance obligation relates to us acting as the attorney-in-fact on behalf of the Exchange, as well as the service provider for its insurance subsidiaries, with respect to the administrative services and is recognized over a four-year period representing the time over which the economic benefit of the services provided (i.e. management of the administrative services) transfers to the customer.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Common overhead expenses and certain service department costs incurred by us on behalf of the Exchange and its insurance subsidiaries are reimbursed by the proper entity based upon relevant utilization statistics specifically measured to accomplish proportional allocations, which we believe are reasonable. In 2022, approximately 71% of the administrative services expenses are entirely attributable to the respective administrative functions (claims handling, life insurance management and investment management), while the remaining 29% of these expenses are allocations of costs for departments that support these administrative functions. The expenses we incur and related reimbursements we receive for administrative services are presented gross in our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Service agreement revenue primarily consists of service charges we collect from policyholders for providing multiple payment plans on policies written by the Exchange and its property and casualty subsidiaries. Service charges, which are flat dollar charges for each installment billed beyond the first installment, are recognized as revenue when bills are rendered to the policyholder. Service agreement revenue also includes late payment and policy reinstatement fees, which are also recognized as revenue when bills are rendered to the policyholder. We also have a service agreement with the Exchange for the use of shared office space. Revenue related to this agreement is recognized at the time the space is used based on relevant utilization statistics.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majority of our revenue is derived from the subscriber’s agreement between us and the subscribers (policyholders) at the Exchange. Pursuant to the subscriber’s agreement, we earn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Exchange, as well as the service provider for its insurance subsidiaries, with respect to all administrative services.</w:t>
      </w:r>
    </w:p>
    <w:p>
      <w:pPr>
        <w:spacing w:after="0" w:line="1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Exchange, by virtue of its legal structure as a reciprocal insurer,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Statements of Financial Position. For the years ended December 31, 2022, 2021, and 2020, we recognized revenue of $34.9 million, $36.9 million, and $35.9 million, respectively, that was included in the contract liability balance at the beginning of the respective periods. The administrative services expenses we incur and the related reimbursements we receive are recorded gross in the Statements of Operations.</w:t>
      </w:r>
    </w:p>
    <w:p>
      <w:pPr>
        <w:spacing w:after="0" w:line="1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with annual terms only, cash collections generally occur within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by our two performance obligations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color w:val="auto"/>
                <w:w w:val="97"/>
              </w:rPr>
              <w:t>Management fee revenue - policy issuance and renewal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2,087,846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1,913,166</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1,841,794</w:t>
            </w:r>
          </w:p>
        </w:tc>
        <w:tc>
          <w:tcPr>
            <w:tcW w:w="20" w:type="dxa"/>
            <w:vAlign w:val="bottom"/>
          </w:tcPr>
          <w:p>
            <w:pPr>
              <w:spacing w:after="0"/>
              <w:rPr>
                <w:sz w:val="19"/>
                <w:szCs w:val="19"/>
                <w:color w:val="auto"/>
              </w:rPr>
            </w:pPr>
          </w:p>
        </w:tc>
      </w:tr>
      <w:tr>
        <w:trPr>
          <w:trHeight w:val="357"/>
        </w:trPr>
        <w:tc>
          <w:tcPr>
            <w:tcW w:w="5100" w:type="dxa"/>
            <w:vAlign w:val="bottom"/>
          </w:tcPr>
          <w:p>
            <w:pPr>
              <w:ind w:left="40"/>
              <w:spacing w:after="0"/>
              <w:rPr>
                <w:sz w:val="20"/>
                <w:szCs w:val="20"/>
                <w:color w:val="auto"/>
              </w:rPr>
            </w:pPr>
            <w:r>
              <w:rPr>
                <w:rFonts w:ascii="Arial" w:cs="Arial" w:eastAsia="Arial" w:hAnsi="Arial"/>
                <w:sz w:val="18"/>
                <w:szCs w:val="18"/>
                <w:color w:val="auto"/>
              </w:rPr>
              <w:t>Management fee revenue - administrative services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58,323</w:t>
            </w:r>
          </w:p>
        </w:tc>
        <w:tc>
          <w:tcPr>
            <w:tcW w:w="4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58,286</w:t>
            </w: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59,463</w:t>
            </w:r>
          </w:p>
        </w:tc>
        <w:tc>
          <w:tcPr>
            <w:tcW w:w="20" w:type="dxa"/>
            <w:vAlign w:val="bottom"/>
          </w:tcPr>
          <w:p>
            <w:pPr>
              <w:spacing w:after="0"/>
              <w:rPr>
                <w:sz w:val="24"/>
                <w:szCs w:val="24"/>
                <w:color w:val="auto"/>
              </w:rPr>
            </w:pP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Administrative services reimbursement revenue</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668,268</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638,483</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609,435</w:t>
            </w:r>
          </w:p>
        </w:tc>
        <w:tc>
          <w:tcPr>
            <w:tcW w:w="20" w:type="dxa"/>
            <w:vAlign w:val="bottom"/>
          </w:tcPr>
          <w:p>
            <w:pPr>
              <w:spacing w:after="0"/>
              <w:rPr>
                <w:sz w:val="20"/>
                <w:szCs w:val="20"/>
                <w:color w:val="auto"/>
              </w:rPr>
            </w:pPr>
          </w:p>
        </w:tc>
      </w:tr>
      <w:tr>
        <w:trPr>
          <w:trHeight w:val="223"/>
        </w:trPr>
        <w:tc>
          <w:tcPr>
            <w:tcW w:w="5100" w:type="dxa"/>
            <w:vAlign w:val="bottom"/>
          </w:tcPr>
          <w:p>
            <w:pPr>
              <w:ind w:left="160"/>
              <w:spacing w:after="0"/>
              <w:rPr>
                <w:sz w:val="20"/>
                <w:szCs w:val="20"/>
                <w:color w:val="auto"/>
              </w:rPr>
            </w:pPr>
            <w:r>
              <w:rPr>
                <w:rFonts w:ascii="Arial" w:cs="Arial" w:eastAsia="Arial" w:hAnsi="Arial"/>
                <w:sz w:val="18"/>
                <w:szCs w:val="18"/>
                <w:color w:val="auto"/>
              </w:rPr>
              <w:t>Total revenue from administrative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726,591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696,769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668,898</w:t>
            </w:r>
          </w:p>
        </w:tc>
        <w:tc>
          <w:tcPr>
            <w:tcW w:w="20" w:type="dxa"/>
            <w:vAlign w:val="bottom"/>
          </w:tcPr>
          <w:p>
            <w:pPr>
              <w:spacing w:after="0"/>
              <w:rPr>
                <w:sz w:val="19"/>
                <w:szCs w:val="19"/>
                <w:color w:val="auto"/>
              </w:rPr>
            </w:pPr>
          </w:p>
        </w:tc>
      </w:tr>
      <w:tr>
        <w:trPr>
          <w:trHeight w:val="844"/>
        </w:trPr>
        <w:tc>
          <w:tcPr>
            <w:tcW w:w="510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12, "Capital Stock".</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10, "Incentive and Deferred Compensation Plans".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common stock:</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vMerge w:val="restart"/>
          </w:tcPr>
          <w:p>
            <w:pPr>
              <w:ind w:left="420"/>
              <w:spacing w:after="0"/>
              <w:rPr>
                <w:sz w:val="20"/>
                <w:szCs w:val="20"/>
                <w:color w:val="auto"/>
              </w:rPr>
            </w:pPr>
            <w:r>
              <w:rPr>
                <w:rFonts w:ascii="Arial" w:cs="Arial" w:eastAsia="Arial" w:hAnsi="Arial"/>
                <w:sz w:val="14"/>
                <w:szCs w:val="14"/>
                <w:color w:val="auto"/>
              </w:rPr>
              <w:t>For the years ended December 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i w:val="1"/>
                <w:iCs w:val="1"/>
                <w:color w:val="auto"/>
              </w:rPr>
              <w:t>per share data)</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3"/>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Arial" w:cs="Arial" w:eastAsia="Arial" w:hAnsi="Arial"/>
                <w:sz w:val="14"/>
                <w:szCs w:val="14"/>
                <w:color w:val="auto"/>
                <w:w w:val="88"/>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6"/>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Arial" w:cs="Arial" w:eastAsia="Arial" w:hAnsi="Arial"/>
                <w:sz w:val="14"/>
                <w:szCs w:val="14"/>
                <w:color w:val="auto"/>
                <w:w w:val="88"/>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6"/>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Weighted shares</w:t>
            </w:r>
          </w:p>
        </w:tc>
        <w:tc>
          <w:tcPr>
            <w:tcW w:w="780" w:type="dxa"/>
            <w:vAlign w:val="bottom"/>
            <w:tcBorders>
              <w:top w:val="single" w:sz="8" w:color="auto"/>
            </w:tcBorders>
            <w:gridSpan w:val="2"/>
          </w:tcPr>
          <w:p>
            <w:pPr>
              <w:jc w:val="right"/>
              <w:ind w:right="8"/>
              <w:spacing w:after="0" w:line="12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3"/>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43"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43"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2"/>
                <w:szCs w:val="12"/>
                <w:color w:val="auto"/>
              </w:rPr>
            </w:pPr>
          </w:p>
        </w:tc>
        <w:tc>
          <w:tcPr>
            <w:tcW w:w="600" w:type="dxa"/>
            <w:vAlign w:val="bottom"/>
          </w:tcPr>
          <w:p>
            <w:pPr>
              <w:jc w:val="right"/>
              <w:ind w:right="68"/>
              <w:spacing w:after="0" w:line="143" w:lineRule="exact"/>
              <w:rPr>
                <w:sz w:val="20"/>
                <w:szCs w:val="20"/>
                <w:color w:val="auto"/>
              </w:rPr>
            </w:pPr>
            <w:r>
              <w:rPr>
                <w:rFonts w:ascii="Arial" w:cs="Arial" w:eastAsia="Arial" w:hAnsi="Arial"/>
                <w:sz w:val="14"/>
                <w:szCs w:val="14"/>
                <w:color w:val="auto"/>
                <w:w w:val="94"/>
              </w:rPr>
              <w:t>amount</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color w:val="auto"/>
                <w:w w:val="92"/>
              </w:rPr>
              <w:t>(numerator)</w:t>
            </w: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color w:val="auto"/>
                <w:w w:val="95"/>
              </w:rPr>
              <w:t>(numerator)</w:t>
            </w: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color w:val="auto"/>
                <w:w w:val="95"/>
              </w:rPr>
              <w:t>(numerator)</w:t>
            </w: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 Basic EPS: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20"/>
                <w:szCs w:val="20"/>
                <w:color w:val="auto"/>
              </w:rPr>
            </w:pPr>
            <w:r>
              <w:rPr>
                <w:rFonts w:ascii="Arial" w:cs="Arial" w:eastAsia="Arial" w:hAnsi="Arial"/>
                <w:sz w:val="14"/>
                <w:szCs w:val="14"/>
                <w:color w:val="auto"/>
                <w:w w:val="96"/>
              </w:rPr>
              <w:t>Income available to</w:t>
            </w:r>
          </w:p>
        </w:tc>
        <w:tc>
          <w:tcPr>
            <w:tcW w:w="740" w:type="dxa"/>
            <w:vAlign w:val="bottom"/>
          </w:tcPr>
          <w:p>
            <w:pPr>
              <w:ind w:left="40"/>
              <w:spacing w:after="0"/>
              <w:rPr>
                <w:sz w:val="20"/>
                <w:szCs w:val="20"/>
                <w:color w:val="auto"/>
              </w:rPr>
            </w:pPr>
            <w:r>
              <w:rPr>
                <w:rFonts w:ascii="Arial" w:cs="Arial" w:eastAsia="Arial" w:hAnsi="Arial"/>
                <w:sz w:val="14"/>
                <w:szCs w:val="14"/>
                <w:color w:val="auto"/>
              </w:rPr>
              <w:t>Class A</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296,125</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46,188,916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295,421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46,188,806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290,902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46,188,659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82"/>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rPr>
              <w:t>Dilutive effect of stock-based</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8,274</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17,696</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23,901</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18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rPr>
              <w:t>Assumed conversion of Class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2,444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2,439</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180" w:type="dxa"/>
            <w:vAlign w:val="bottom"/>
          </w:tcPr>
          <w:p>
            <w:pPr>
              <w:ind w:left="160"/>
              <w:spacing w:after="0"/>
              <w:rPr>
                <w:sz w:val="20"/>
                <w:szCs w:val="20"/>
                <w:color w:val="auto"/>
              </w:rPr>
            </w:pPr>
            <w:r>
              <w:rPr>
                <w:rFonts w:ascii="Arial" w:cs="Arial" w:eastAsia="Arial" w:hAnsi="Arial"/>
                <w:sz w:val="14"/>
                <w:szCs w:val="14"/>
                <w:color w:val="auto"/>
              </w:rPr>
              <w:t>B shares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 Diluted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color w:val="auto"/>
              </w:rPr>
              <w:t>Income available to Class A</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stockholders on Class A</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298,569</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52,297,990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297,860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52,307,302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293,304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52,313,360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6"/>
        </w:trPr>
        <w:tc>
          <w:tcPr>
            <w:tcW w:w="1180" w:type="dxa"/>
            <w:vAlign w:val="bottom"/>
          </w:tcPr>
          <w:p>
            <w:pPr>
              <w:ind w:left="160"/>
              <w:spacing w:after="0"/>
              <w:rPr>
                <w:sz w:val="20"/>
                <w:szCs w:val="20"/>
                <w:color w:val="auto"/>
              </w:rPr>
            </w:pPr>
            <w:r>
              <w:rPr>
                <w:rFonts w:ascii="Arial" w:cs="Arial" w:eastAsia="Arial" w:hAnsi="Arial"/>
                <w:sz w:val="14"/>
                <w:szCs w:val="14"/>
                <w:color w:val="auto"/>
                <w:w w:val="91"/>
              </w:rPr>
              <w:t>equivalent shares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Basic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Income available to Class B</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2,444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2,439</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Diluted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Income available to Class B</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2,444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2,438</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carried at fair value</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149" w:lineRule="exact"/>
        <w:rPr>
          <w:sz w:val="20"/>
          <w:szCs w:val="20"/>
          <w:color w:val="auto"/>
        </w:rPr>
      </w:pPr>
    </w:p>
    <w:p>
      <w:pPr>
        <w:ind w:left="660" w:right="3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reporting entity can access at the measurement 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December 31, 2022, nearly all of our available-for-sale and equity securities were priced using a third party pricing service.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fair value measurements on a recurring basis by asset class and level of input as of:</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gridSpan w:val="3"/>
          </w:tcPr>
          <w:p>
            <w:pPr>
              <w:jc w:val="right"/>
              <w:ind w:right="679"/>
              <w:spacing w:after="0"/>
              <w:rPr>
                <w:sz w:val="20"/>
                <w:szCs w:val="20"/>
                <w:color w:val="auto"/>
              </w:rPr>
            </w:pPr>
            <w:r>
              <w:rPr>
                <w:rFonts w:ascii="Arial" w:cs="Arial" w:eastAsia="Arial" w:hAnsi="Arial"/>
                <w:sz w:val="16"/>
                <w:szCs w:val="16"/>
                <w:color w:val="auto"/>
              </w:rPr>
              <w:t>December 31, 2022</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Level 1</w:t>
            </w:r>
          </w:p>
        </w:tc>
        <w:tc>
          <w:tcPr>
            <w:tcW w:w="30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color w:val="auto"/>
              </w:rPr>
              <w:t>Level 2</w:t>
            </w:r>
          </w:p>
        </w:tc>
        <w:tc>
          <w:tcPr>
            <w:tcW w:w="3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1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553,382</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549,696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102,537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102,537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66,054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55,144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150,415</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146,231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22,273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22,273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894,661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875,881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Financial services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61,084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57,305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Utilities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5,708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Energy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3,576</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3,576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Consumer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1,854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Communications sector</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Total equity securities</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72,560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68,781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40" w:type="dxa"/>
            <w:vAlign w:val="bottom"/>
          </w:tcPr>
          <w:p>
            <w:pPr>
              <w:ind w:left="20"/>
              <w:spacing w:after="0"/>
              <w:rPr>
                <w:sz w:val="20"/>
                <w:szCs w:val="20"/>
                <w:color w:val="auto"/>
              </w:rPr>
            </w:pPr>
            <w:r>
              <w:rPr>
                <w:rFonts w:ascii="Arial" w:cs="Arial" w:eastAsia="Arial" w:hAnsi="Arial"/>
                <w:sz w:val="16"/>
                <w:szCs w:val="16"/>
                <w:color w:val="auto"/>
              </w:rPr>
              <w:t>Total</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967,221</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944,662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3"/>
          </w:tcPr>
          <w:p>
            <w:pPr>
              <w:jc w:val="right"/>
              <w:ind w:right="679"/>
              <w:spacing w:after="0"/>
              <w:rPr>
                <w:sz w:val="20"/>
                <w:szCs w:val="20"/>
                <w:color w:val="auto"/>
              </w:rPr>
            </w:pPr>
            <w:r>
              <w:rPr>
                <w:rFonts w:ascii="Arial" w:cs="Arial" w:eastAsia="Arial" w:hAnsi="Arial"/>
                <w:sz w:val="16"/>
                <w:szCs w:val="16"/>
                <w:color w:val="auto"/>
              </w:rPr>
              <w:t>December 31, 2021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Level 1</w:t>
            </w:r>
          </w:p>
        </w:tc>
        <w:tc>
          <w:tcPr>
            <w:tcW w:w="30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color w:val="auto"/>
              </w:rPr>
              <w:t>Level 2</w:t>
            </w:r>
          </w:p>
        </w:tc>
        <w:tc>
          <w:tcPr>
            <w:tcW w:w="3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1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573,165</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567,909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115,462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115,462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89,324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73,596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139,922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131,108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23,920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23,920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946,085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916,287</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Financial services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71,722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1,624</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68,015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Utilities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6,259</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6,259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Energy sector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6,448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6,438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6"/>
                <w:szCs w:val="16"/>
                <w:color w:val="auto"/>
              </w:rPr>
              <w:t>Consumer sector</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Total equity securities</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87,743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84,026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Total</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1,033,828</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1,000,313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720" w:type="dxa"/>
            <w:vAlign w:val="bottom"/>
            <w:vMerge w:val="restart"/>
          </w:tcPr>
          <w:p>
            <w:pPr>
              <w:jc w:val="right"/>
              <w:ind w:right="57"/>
              <w:spacing w:after="0"/>
              <w:rPr>
                <w:sz w:val="20"/>
                <w:szCs w:val="20"/>
                <w:color w:val="auto"/>
              </w:rPr>
            </w:pPr>
            <w:r>
              <w:rPr>
                <w:rFonts w:ascii="Arial" w:cs="Arial" w:eastAsia="Arial" w:hAnsi="Arial"/>
                <w:sz w:val="18"/>
                <w:szCs w:val="18"/>
                <w:color w:val="auto"/>
              </w:rPr>
              <w:t>54</w:t>
            </w:r>
          </w:p>
        </w:tc>
        <w:tc>
          <w:tcPr>
            <w:tcW w:w="2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2"/>
        </w:trPr>
        <w:tc>
          <w:tcPr>
            <w:tcW w:w="41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review the fair value hierarchy classifications each reporting period. Transfers between hierarchy levels may occur due to changes in available market observable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2022 Year-to-Date Change: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Arial" w:cs="Arial" w:eastAsia="Arial" w:hAnsi="Arial"/>
                <w:sz w:val="14"/>
                <w:szCs w:val="14"/>
                <w:color w:val="auto"/>
                <w:w w:val="96"/>
              </w:rPr>
              <w:t>Beginning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3"/>
              <w:spacing w:after="0"/>
              <w:rPr>
                <w:sz w:val="20"/>
                <w:szCs w:val="20"/>
                <w:color w:val="auto"/>
              </w:rPr>
            </w:pPr>
            <w:r>
              <w:rPr>
                <w:rFonts w:ascii="Arial" w:cs="Arial" w:eastAsia="Arial" w:hAnsi="Arial"/>
                <w:sz w:val="14"/>
                <w:szCs w:val="14"/>
                <w:color w:val="auto"/>
                <w:w w:val="94"/>
              </w:rPr>
              <w:t>Included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Arial" w:cs="Arial" w:eastAsia="Arial" w:hAnsi="Arial"/>
                <w:sz w:val="14"/>
                <w:szCs w:val="14"/>
                <w:color w:val="auto"/>
                <w:w w:val="89"/>
              </w:rPr>
              <w:t>balance at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03"/>
              <w:spacing w:after="0" w:line="149" w:lineRule="exact"/>
              <w:rPr>
                <w:sz w:val="20"/>
                <w:szCs w:val="20"/>
                <w:color w:val="auto"/>
              </w:rPr>
            </w:pPr>
            <w:r>
              <w:rPr>
                <w:rFonts w:ascii="Arial" w:cs="Arial" w:eastAsia="Arial" w:hAnsi="Arial"/>
                <w:sz w:val="14"/>
                <w:szCs w:val="14"/>
                <w:color w:val="auto"/>
                <w:w w:val="94"/>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2"/>
                <w:szCs w:val="12"/>
                <w:color w:val="auto"/>
              </w:rPr>
            </w:pPr>
          </w:p>
        </w:tc>
        <w:tc>
          <w:tcPr>
            <w:tcW w:w="800" w:type="dxa"/>
            <w:vAlign w:val="bottom"/>
          </w:tcPr>
          <w:p>
            <w:pPr>
              <w:jc w:val="center"/>
              <w:ind w:right="105"/>
              <w:spacing w:after="0" w:line="149" w:lineRule="exact"/>
              <w:rPr>
                <w:sz w:val="20"/>
                <w:szCs w:val="20"/>
                <w:color w:val="auto"/>
              </w:rPr>
            </w:pPr>
            <w:r>
              <w:rPr>
                <w:rFonts w:ascii="Arial" w:cs="Arial" w:eastAsia="Arial" w:hAnsi="Arial"/>
                <w:sz w:val="14"/>
                <w:szCs w:val="14"/>
                <w:color w:val="auto"/>
                <w:w w:val="91"/>
              </w:rPr>
              <w:t>Transfers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Ending balance at</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Arial" w:cs="Arial" w:eastAsia="Arial" w:hAnsi="Arial"/>
                <w:sz w:val="14"/>
                <w:szCs w:val="14"/>
                <w:color w:val="auto"/>
                <w:w w:val="93"/>
              </w:rPr>
              <w:t>December 31,</w:t>
            </w:r>
          </w:p>
        </w:tc>
        <w:tc>
          <w:tcPr>
            <w:tcW w:w="180" w:type="dxa"/>
            <w:vAlign w:val="bottom"/>
          </w:tcPr>
          <w:p>
            <w:pPr>
              <w:spacing w:after="0"/>
              <w:rPr>
                <w:sz w:val="12"/>
                <w:szCs w:val="12"/>
                <w:color w:val="auto"/>
              </w:rPr>
            </w:pPr>
          </w:p>
        </w:tc>
        <w:tc>
          <w:tcPr>
            <w:tcW w:w="800" w:type="dxa"/>
            <w:vAlign w:val="bottom"/>
          </w:tcPr>
          <w:p>
            <w:pPr>
              <w:jc w:val="right"/>
              <w:ind w:right="81"/>
              <w:spacing w:after="0" w:line="149" w:lineRule="exact"/>
              <w:rPr>
                <w:sz w:val="20"/>
                <w:szCs w:val="20"/>
                <w:color w:val="auto"/>
              </w:rPr>
            </w:pPr>
            <w:r>
              <w:rPr>
                <w:rFonts w:ascii="Arial" w:cs="Arial" w:eastAsia="Arial" w:hAnsi="Arial"/>
                <w:sz w:val="14"/>
                <w:szCs w:val="14"/>
                <w:color w:val="auto"/>
                <w:w w:val="91"/>
              </w:rPr>
              <w:t>Included in</w:t>
            </w:r>
          </w:p>
        </w:tc>
        <w:tc>
          <w:tcPr>
            <w:tcW w:w="200" w:type="dxa"/>
            <w:vAlign w:val="bottom"/>
          </w:tcPr>
          <w:p>
            <w:pPr>
              <w:spacing w:after="0"/>
              <w:rPr>
                <w:sz w:val="12"/>
                <w:szCs w:val="12"/>
                <w:color w:val="auto"/>
              </w:rPr>
            </w:pPr>
          </w:p>
        </w:tc>
        <w:tc>
          <w:tcPr>
            <w:tcW w:w="1100" w:type="dxa"/>
            <w:vAlign w:val="bottom"/>
          </w:tcPr>
          <w:p>
            <w:pPr>
              <w:jc w:val="center"/>
              <w:ind w:right="103"/>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color w:val="auto"/>
                <w:w w:val="84"/>
              </w:rPr>
              <w:t>Purchases</w:t>
            </w:r>
          </w:p>
        </w:tc>
        <w:tc>
          <w:tcPr>
            <w:tcW w:w="240" w:type="dxa"/>
            <w:vAlign w:val="bottom"/>
          </w:tcPr>
          <w:p>
            <w:pPr>
              <w:spacing w:after="0"/>
              <w:rPr>
                <w:sz w:val="12"/>
                <w:szCs w:val="12"/>
                <w:color w:val="auto"/>
              </w:rPr>
            </w:pPr>
          </w:p>
        </w:tc>
        <w:tc>
          <w:tcPr>
            <w:tcW w:w="700" w:type="dxa"/>
            <w:vAlign w:val="bottom"/>
            <w:vMerge w:val="restart"/>
          </w:tcPr>
          <w:p>
            <w:pPr>
              <w:jc w:val="right"/>
              <w:ind w:right="220"/>
              <w:spacing w:after="0"/>
              <w:rPr>
                <w:sz w:val="20"/>
                <w:szCs w:val="20"/>
                <w:color w:val="auto"/>
              </w:rPr>
            </w:pPr>
            <w:r>
              <w:rPr>
                <w:rFonts w:ascii="Arial" w:cs="Arial" w:eastAsia="Arial" w:hAnsi="Arial"/>
                <w:sz w:val="14"/>
                <w:szCs w:val="14"/>
                <w:color w:val="auto"/>
              </w:rPr>
              <w:t>Sales</w:t>
            </w: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7"/>
              </w:rPr>
              <w:t>into</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w w:val="96"/>
              </w:rPr>
              <w:t>2021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w w:val="92"/>
              </w:rPr>
              <w:t>earnings</w:t>
            </w:r>
            <w:r>
              <w:rPr>
                <w:rFonts w:ascii="Arial" w:cs="Arial" w:eastAsia="Arial" w:hAnsi="Arial"/>
                <w:sz w:val="9"/>
                <w:szCs w:val="9"/>
                <w:color w:val="auto"/>
                <w:w w:val="92"/>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2"/>
              </w:rPr>
              <w:t>income</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2"/>
              <w:spacing w:after="0" w:line="202" w:lineRule="exact"/>
              <w:rPr>
                <w:sz w:val="20"/>
                <w:szCs w:val="20"/>
                <w:color w:val="auto"/>
              </w:rPr>
            </w:pPr>
            <w:r>
              <w:rPr>
                <w:rFonts w:ascii="Arial" w:cs="Arial" w:eastAsia="Arial" w:hAnsi="Arial"/>
                <w:sz w:val="14"/>
                <w:szCs w:val="14"/>
                <w:color w:val="auto"/>
                <w:w w:val="90"/>
              </w:rPr>
              <w:t>Level 3</w:t>
            </w:r>
            <w:r>
              <w:rPr>
                <w:rFonts w:ascii="Arial" w:cs="Arial" w:eastAsia="Arial" w:hAnsi="Arial"/>
                <w:sz w:val="18"/>
                <w:szCs w:val="18"/>
                <w:color w:val="auto"/>
                <w:w w:val="90"/>
                <w:vertAlign w:val="superscript"/>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5"/>
              <w:spacing w:after="0" w:line="202" w:lineRule="exact"/>
              <w:rPr>
                <w:sz w:val="20"/>
                <w:szCs w:val="20"/>
                <w:color w:val="auto"/>
              </w:rPr>
            </w:pPr>
            <w:r>
              <w:rPr>
                <w:rFonts w:ascii="Arial" w:cs="Arial" w:eastAsia="Arial" w:hAnsi="Arial"/>
                <w:sz w:val="23"/>
                <w:szCs w:val="23"/>
                <w:color w:val="auto"/>
                <w:w w:val="98"/>
                <w:vertAlign w:val="subscript"/>
              </w:rPr>
              <w:t>3</w:t>
            </w:r>
            <w:r>
              <w:rPr>
                <w:rFonts w:ascii="Arial" w:cs="Arial" w:eastAsia="Arial" w:hAnsi="Arial"/>
                <w:sz w:val="8"/>
                <w:szCs w:val="8"/>
                <w:color w:val="auto"/>
                <w:w w:val="98"/>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5,256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6,290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9,689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(12,304)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Commercial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6"/>
                <w:szCs w:val="16"/>
                <w:color w:val="auto"/>
              </w:rPr>
              <w:t>15,728</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(1,060)</w:t>
            </w:r>
          </w:p>
        </w:tc>
        <w:tc>
          <w:tcPr>
            <w:tcW w:w="20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(1,132)</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(3,825)</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11,494</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Arial" w:cs="Arial" w:eastAsia="Arial" w:hAnsi="Arial"/>
                <w:sz w:val="16"/>
                <w:szCs w:val="16"/>
                <w:color w:val="auto"/>
              </w:rPr>
              <w:t>(10,295)</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10,910</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Residential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6"/>
                <w:szCs w:val="16"/>
                <w:color w:val="auto"/>
              </w:rPr>
              <w:t>8,814</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(693)</w:t>
            </w:r>
          </w:p>
        </w:tc>
        <w:tc>
          <w:tcPr>
            <w:tcW w:w="20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(1,951)</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4,887</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(10,229)</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39,452</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Arial" w:cs="Arial" w:eastAsia="Arial" w:hAnsi="Arial"/>
                <w:sz w:val="16"/>
                <w:szCs w:val="16"/>
                <w:color w:val="auto"/>
              </w:rPr>
              <w:t>(36,096)</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4,184</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29,798</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(1,751)</w:t>
            </w:r>
          </w:p>
        </w:tc>
        <w:tc>
          <w:tcPr>
            <w:tcW w:w="2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(3,520)</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11,177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(18,864)</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60,635</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(58,695)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2,083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3,779</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31,881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60,635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(58,695)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22,559</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2021 Year-to-Date Change: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color w:val="auto"/>
                <w:w w:val="96"/>
              </w:rPr>
              <w:t>Beginning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color w:val="auto"/>
                <w:w w:val="94"/>
              </w:rPr>
              <w:t>Included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2"/>
              <w:spacing w:after="0" w:line="141" w:lineRule="exact"/>
              <w:rPr>
                <w:sz w:val="20"/>
                <w:szCs w:val="20"/>
                <w:color w:val="auto"/>
              </w:rPr>
            </w:pPr>
            <w:r>
              <w:rPr>
                <w:rFonts w:ascii="Arial" w:cs="Arial" w:eastAsia="Arial" w:hAnsi="Arial"/>
                <w:sz w:val="14"/>
                <w:szCs w:val="14"/>
                <w:color w:val="auto"/>
                <w:w w:val="89"/>
              </w:rPr>
              <w:t>balance at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02"/>
              <w:spacing w:after="0" w:line="141" w:lineRule="exact"/>
              <w:rPr>
                <w:sz w:val="20"/>
                <w:szCs w:val="20"/>
                <w:color w:val="auto"/>
              </w:rPr>
            </w:pPr>
            <w:r>
              <w:rPr>
                <w:rFonts w:ascii="Arial" w:cs="Arial" w:eastAsia="Arial" w:hAnsi="Arial"/>
                <w:sz w:val="14"/>
                <w:szCs w:val="14"/>
                <w:color w:val="auto"/>
                <w:w w:val="94"/>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01"/>
              <w:spacing w:after="0" w:line="141" w:lineRule="exact"/>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2"/>
                <w:szCs w:val="12"/>
                <w:color w:val="auto"/>
              </w:rPr>
            </w:pPr>
          </w:p>
        </w:tc>
        <w:tc>
          <w:tcPr>
            <w:tcW w:w="800" w:type="dxa"/>
            <w:vAlign w:val="bottom"/>
          </w:tcPr>
          <w:p>
            <w:pPr>
              <w:jc w:val="center"/>
              <w:ind w:right="104"/>
              <w:spacing w:after="0" w:line="141" w:lineRule="exact"/>
              <w:rPr>
                <w:sz w:val="20"/>
                <w:szCs w:val="20"/>
                <w:color w:val="auto"/>
              </w:rPr>
            </w:pPr>
            <w:r>
              <w:rPr>
                <w:rFonts w:ascii="Arial" w:cs="Arial" w:eastAsia="Arial" w:hAnsi="Arial"/>
                <w:sz w:val="14"/>
                <w:szCs w:val="14"/>
                <w:color w:val="auto"/>
                <w:w w:val="91"/>
              </w:rPr>
              <w:t>Transfers</w:t>
            </w:r>
          </w:p>
        </w:tc>
        <w:tc>
          <w:tcPr>
            <w:tcW w:w="118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2"/>
              </w:rPr>
              <w:t>Ending balance at</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December 31,</w:t>
            </w:r>
          </w:p>
        </w:tc>
        <w:tc>
          <w:tcPr>
            <w:tcW w:w="180" w:type="dxa"/>
            <w:vAlign w:val="bottom"/>
          </w:tcPr>
          <w:p>
            <w:pPr>
              <w:spacing w:after="0"/>
              <w:rPr>
                <w:sz w:val="12"/>
                <w:szCs w:val="12"/>
                <w:color w:val="auto"/>
              </w:rPr>
            </w:pPr>
          </w:p>
        </w:tc>
        <w:tc>
          <w:tcPr>
            <w:tcW w:w="800" w:type="dxa"/>
            <w:vAlign w:val="bottom"/>
          </w:tcPr>
          <w:p>
            <w:pPr>
              <w:jc w:val="right"/>
              <w:ind w:right="81"/>
              <w:spacing w:after="0" w:line="149" w:lineRule="exact"/>
              <w:rPr>
                <w:sz w:val="20"/>
                <w:szCs w:val="20"/>
                <w:color w:val="auto"/>
              </w:rPr>
            </w:pPr>
            <w:r>
              <w:rPr>
                <w:rFonts w:ascii="Arial" w:cs="Arial" w:eastAsia="Arial" w:hAnsi="Arial"/>
                <w:sz w:val="14"/>
                <w:szCs w:val="14"/>
                <w:color w:val="auto"/>
                <w:w w:val="91"/>
              </w:rPr>
              <w:t>Included in</w:t>
            </w:r>
          </w:p>
        </w:tc>
        <w:tc>
          <w:tcPr>
            <w:tcW w:w="200" w:type="dxa"/>
            <w:vAlign w:val="bottom"/>
          </w:tcPr>
          <w:p>
            <w:pPr>
              <w:spacing w:after="0"/>
              <w:rPr>
                <w:sz w:val="12"/>
                <w:szCs w:val="12"/>
                <w:color w:val="auto"/>
              </w:rPr>
            </w:pPr>
          </w:p>
        </w:tc>
        <w:tc>
          <w:tcPr>
            <w:tcW w:w="110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7"/>
              </w:rPr>
              <w:t>into</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6"/>
              </w:rPr>
              <w:t>2020</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line="202" w:lineRule="exact"/>
              <w:rPr>
                <w:sz w:val="20"/>
                <w:szCs w:val="20"/>
                <w:color w:val="auto"/>
              </w:rPr>
            </w:pPr>
            <w:r>
              <w:rPr>
                <w:rFonts w:ascii="Arial" w:cs="Arial" w:eastAsia="Arial" w:hAnsi="Arial"/>
                <w:sz w:val="14"/>
                <w:szCs w:val="14"/>
                <w:color w:val="auto"/>
                <w:w w:val="87"/>
              </w:rPr>
              <w:t>earnings</w:t>
            </w:r>
            <w:r>
              <w:rPr>
                <w:rFonts w:ascii="Arial" w:cs="Arial" w:eastAsia="Arial" w:hAnsi="Arial"/>
                <w:sz w:val="18"/>
                <w:szCs w:val="18"/>
                <w:color w:val="auto"/>
                <w:w w:val="87"/>
                <w:vertAlign w:val="superscript"/>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2"/>
              </w:rPr>
              <w:t>income</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84"/>
              </w:rPr>
              <w:t>Purchases</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Sales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Level 3</w:t>
            </w:r>
            <w:r>
              <w:rPr>
                <w:rFonts w:ascii="Arial" w:cs="Arial" w:eastAsia="Arial" w:hAnsi="Arial"/>
                <w:sz w:val="9"/>
                <w:szCs w:val="9"/>
                <w:color w:val="auto"/>
                <w:w w:val="96"/>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4"/>
              <w:spacing w:after="0" w:line="202" w:lineRule="exact"/>
              <w:rPr>
                <w:sz w:val="20"/>
                <w:szCs w:val="20"/>
                <w:color w:val="auto"/>
              </w:rPr>
            </w:pPr>
            <w:r>
              <w:rPr>
                <w:rFonts w:ascii="Arial" w:cs="Arial" w:eastAsia="Arial" w:hAnsi="Arial"/>
                <w:sz w:val="23"/>
                <w:szCs w:val="23"/>
                <w:color w:val="auto"/>
                <w:w w:val="98"/>
                <w:vertAlign w:val="subscript"/>
              </w:rPr>
              <w:t>3</w:t>
            </w:r>
            <w:r>
              <w:rPr>
                <w:rFonts w:ascii="Arial" w:cs="Arial" w:eastAsia="Arial" w:hAnsi="Arial"/>
                <w:sz w:val="8"/>
                <w:szCs w:val="8"/>
                <w:color w:val="auto"/>
                <w:w w:val="98"/>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5,825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5,502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(7,782)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5,256</w:t>
            </w: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Commercial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6"/>
                <w:szCs w:val="16"/>
                <w:color w:val="auto"/>
              </w:rPr>
              <w:t>19,462</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(375)</w:t>
            </w:r>
          </w:p>
        </w:tc>
        <w:tc>
          <w:tcPr>
            <w:tcW w:w="2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(782)</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3,073</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(5,378)</w:t>
            </w:r>
          </w:p>
        </w:tc>
        <w:tc>
          <w:tcPr>
            <w:tcW w:w="2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11,933</w:t>
            </w:r>
          </w:p>
        </w:tc>
        <w:tc>
          <w:tcPr>
            <w:tcW w:w="20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6"/>
                <w:szCs w:val="16"/>
                <w:color w:val="auto"/>
              </w:rPr>
              <w:t>(12,205)</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15,728</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Residential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6"/>
                <w:szCs w:val="16"/>
                <w:color w:val="auto"/>
              </w:rPr>
              <w:t>937</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576</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(2,229)</w:t>
            </w:r>
          </w:p>
        </w:tc>
        <w:tc>
          <w:tcPr>
            <w:tcW w:w="2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12,692</w:t>
            </w:r>
          </w:p>
        </w:tc>
        <w:tc>
          <w:tcPr>
            <w:tcW w:w="20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6"/>
                <w:szCs w:val="16"/>
                <w:color w:val="auto"/>
              </w:rPr>
              <w:t>(3,088)</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8,814</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Other debt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2,588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(1,756)</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26,224</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12,489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(11,120)</w:t>
            </w:r>
          </w:p>
        </w:tc>
        <w:tc>
          <w:tcPr>
            <w:tcW w:w="20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28,915</w:t>
            </w:r>
          </w:p>
        </w:tc>
        <w:tc>
          <w:tcPr>
            <w:tcW w:w="20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(25,581)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29,798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2,183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(1,095)</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31,098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(26,676)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31,881</w:t>
            </w: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as net investment income and net realized and unrealized investment (losses) gains for each of the periods presented above.</w:t>
      </w:r>
    </w:p>
    <w:p>
      <w:pPr>
        <w:spacing w:after="0" w:line="55" w:lineRule="exact"/>
        <w:rPr>
          <w:rFonts w:ascii="Arial" w:cs="Arial" w:eastAsia="Arial" w:hAnsi="Arial"/>
          <w:sz w:val="14"/>
          <w:szCs w:val="14"/>
          <w:i w:val="1"/>
          <w:iCs w:val="1"/>
          <w:color w:val="auto"/>
        </w:rPr>
      </w:pPr>
    </w:p>
    <w:p>
      <w:pPr>
        <w:ind w:left="640" w:hanging="308"/>
        <w:spacing w:after="0"/>
        <w:tabs>
          <w:tab w:leader="none" w:pos="6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not carried at fair value</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following table presents the carrying values and fair values of financial instruments categorized as Level 3 in the fair value hierarchy that are recorded at carrying value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4"/>
          </w:tcPr>
          <w:p>
            <w:pPr>
              <w:ind w:left="660"/>
              <w:spacing w:after="0"/>
              <w:rPr>
                <w:sz w:val="20"/>
                <w:szCs w:val="20"/>
                <w:color w:val="auto"/>
              </w:rPr>
            </w:pPr>
            <w:r>
              <w:rPr>
                <w:rFonts w:ascii="Arial" w:cs="Arial" w:eastAsia="Arial" w:hAnsi="Arial"/>
                <w:sz w:val="16"/>
                <w:szCs w:val="16"/>
                <w:color w:val="auto"/>
              </w:rPr>
              <w:t>December 31, 2022</w:t>
            </w:r>
          </w:p>
        </w:tc>
        <w:tc>
          <w:tcPr>
            <w:tcW w:w="160" w:type="dxa"/>
            <w:vAlign w:val="bottom"/>
          </w:tcPr>
          <w:p>
            <w:pPr>
              <w:spacing w:after="0"/>
              <w:rPr>
                <w:sz w:val="17"/>
                <w:szCs w:val="17"/>
                <w:color w:val="auto"/>
              </w:rPr>
            </w:pPr>
          </w:p>
        </w:tc>
        <w:tc>
          <w:tcPr>
            <w:tcW w:w="2800" w:type="dxa"/>
            <w:vAlign w:val="bottom"/>
            <w:gridSpan w:val="3"/>
          </w:tcPr>
          <w:p>
            <w:pPr>
              <w:jc w:val="right"/>
              <w:ind w:right="759"/>
              <w:spacing w:after="0"/>
              <w:rPr>
                <w:sz w:val="20"/>
                <w:szCs w:val="20"/>
                <w:color w:val="auto"/>
              </w:rPr>
            </w:pPr>
            <w:r>
              <w:rPr>
                <w:rFonts w:ascii="Arial" w:cs="Arial" w:eastAsia="Arial" w:hAnsi="Arial"/>
                <w:sz w:val="16"/>
                <w:szCs w:val="16"/>
                <w:color w:val="auto"/>
              </w:rPr>
              <w:t>December 31, 2021</w:t>
            </w:r>
          </w:p>
        </w:tc>
      </w:tr>
      <w:tr>
        <w:trPr>
          <w:trHeight w:val="21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w w:val="96"/>
              </w:rPr>
              <w:t>Carrying Value</w:t>
            </w:r>
          </w:p>
        </w:tc>
        <w:tc>
          <w:tcPr>
            <w:tcW w:w="3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Fair Value</w:t>
            </w:r>
          </w:p>
        </w:tc>
        <w:tc>
          <w:tcPr>
            <w:tcW w:w="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w w:val="96"/>
              </w:rPr>
              <w:t>Carrying Value</w:t>
            </w:r>
          </w:p>
        </w:tc>
        <w:tc>
          <w:tcPr>
            <w:tcW w:w="300" w:type="dxa"/>
            <w:vAlign w:val="bottom"/>
          </w:tcPr>
          <w:p>
            <w:pPr>
              <w:spacing w:after="0"/>
              <w:rPr>
                <w:sz w:val="18"/>
                <w:szCs w:val="18"/>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Fair Value</w:t>
            </w:r>
          </w:p>
        </w:tc>
      </w:tr>
      <w:tr>
        <w:trPr>
          <w:trHeight w:val="219"/>
        </w:trPr>
        <w:tc>
          <w:tcPr>
            <w:tcW w:w="5220" w:type="dxa"/>
            <w:vAlign w:val="bottom"/>
          </w:tcPr>
          <w:p>
            <w:pPr>
              <w:spacing w:after="0" w:line="219" w:lineRule="exact"/>
              <w:rPr>
                <w:sz w:val="20"/>
                <w:szCs w:val="20"/>
                <w:color w:val="auto"/>
              </w:rPr>
            </w:pPr>
            <w:r>
              <w:rPr>
                <w:rFonts w:ascii="Arial" w:cs="Arial" w:eastAsia="Arial" w:hAnsi="Arial"/>
                <w:sz w:val="16"/>
                <w:szCs w:val="16"/>
                <w:color w:val="auto"/>
              </w:rPr>
              <w:t xml:space="preserve">Agent loans </w:t>
            </w:r>
            <w:r>
              <w:rPr>
                <w:rFonts w:ascii="Arial" w:cs="Arial" w:eastAsia="Arial" w:hAnsi="Arial"/>
                <w:sz w:val="21"/>
                <w:szCs w:val="21"/>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69,476</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62,954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66,368</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68,957</w:t>
            </w:r>
          </w:p>
        </w:tc>
      </w:tr>
      <w:tr>
        <w:trPr>
          <w:trHeight w:val="206"/>
        </w:trPr>
        <w:tc>
          <w:tcPr>
            <w:tcW w:w="5220" w:type="dxa"/>
            <w:vAlign w:val="bottom"/>
          </w:tcPr>
          <w:p>
            <w:pPr>
              <w:spacing w:after="0"/>
              <w:rPr>
                <w:sz w:val="20"/>
                <w:szCs w:val="20"/>
                <w:color w:val="auto"/>
              </w:rPr>
            </w:pPr>
            <w:r>
              <w:rPr>
                <w:rFonts w:ascii="Arial" w:cs="Arial" w:eastAsia="Arial" w:hAnsi="Arial"/>
                <w:sz w:val="16"/>
                <w:szCs w:val="16"/>
                <w:color w:val="auto"/>
              </w:rPr>
              <w:t>Long-term borrowings</w:t>
            </w: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94,070</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103,981</w:t>
            </w:r>
          </w:p>
        </w:tc>
      </w:tr>
    </w:tbl>
    <w:p>
      <w:pPr>
        <w:spacing w:after="0" w:line="122"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discount rate used to calculate fair value at December 31, 2022 is reflective of an increase in the BB+ financial yield curve from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See Note 5, "Fair Value" for additional fair value disclosures. The following tables summarize the cost and fair value, net of credit loss allowance, of our available-for-sale securities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3"/>
          </w:tcPr>
          <w:p>
            <w:pPr>
              <w:jc w:val="right"/>
              <w:ind w:right="1019"/>
              <w:spacing w:after="0"/>
              <w:rPr>
                <w:sz w:val="20"/>
                <w:szCs w:val="20"/>
                <w:color w:val="auto"/>
              </w:rPr>
            </w:pPr>
            <w:r>
              <w:rPr>
                <w:rFonts w:ascii="Arial" w:cs="Arial" w:eastAsia="Arial" w:hAnsi="Arial"/>
                <w:sz w:val="16"/>
                <w:szCs w:val="16"/>
                <w:color w:val="auto"/>
              </w:rPr>
              <w:t>December 31, 2022</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Amortized cost</w:t>
            </w:r>
          </w:p>
        </w:tc>
        <w:tc>
          <w:tcPr>
            <w:tcW w:w="1780" w:type="dxa"/>
            <w:vAlign w:val="bottom"/>
            <w:gridSpan w:val="2"/>
            <w:vMerge w:val="restart"/>
          </w:tcPr>
          <w:p>
            <w:pPr>
              <w:ind w:left="160"/>
              <w:spacing w:after="0"/>
              <w:rPr>
                <w:sz w:val="20"/>
                <w:szCs w:val="20"/>
                <w:color w:val="auto"/>
              </w:rPr>
            </w:pPr>
            <w:r>
              <w:rPr>
                <w:rFonts w:ascii="Arial" w:cs="Arial" w:eastAsia="Arial" w:hAnsi="Arial"/>
                <w:sz w:val="16"/>
                <w:szCs w:val="16"/>
                <w:color w:val="auto"/>
                <w:w w:val="97"/>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71" w:lineRule="exact"/>
              <w:rPr>
                <w:sz w:val="20"/>
                <w:szCs w:val="20"/>
                <w:color w:val="auto"/>
              </w:rPr>
            </w:pPr>
            <w:r>
              <w:rPr>
                <w:rFonts w:ascii="Arial" w:cs="Arial" w:eastAsia="Arial" w:hAnsi="Arial"/>
                <w:sz w:val="16"/>
                <w:szCs w:val="16"/>
                <w:color w:val="auto"/>
                <w:w w:val="92"/>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71" w:lineRule="exact"/>
              <w:rPr>
                <w:sz w:val="20"/>
                <w:szCs w:val="20"/>
                <w:color w:val="auto"/>
              </w:rPr>
            </w:pPr>
            <w:r>
              <w:rPr>
                <w:rFonts w:ascii="Arial" w:cs="Arial" w:eastAsia="Arial" w:hAnsi="Arial"/>
                <w:sz w:val="16"/>
                <w:szCs w:val="16"/>
                <w:color w:val="auto"/>
                <w:w w:val="98"/>
              </w:rPr>
              <w:t>Estimated fair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losses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588,536</w:t>
            </w:r>
          </w:p>
        </w:tc>
        <w:tc>
          <w:tcPr>
            <w:tcW w:w="70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35,811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553,382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107,730</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5,204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102,537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73,855</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157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7,958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66,054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166,412</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16,069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150,415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Other debt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24,602</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2,329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Arial" w:cs="Arial" w:eastAsia="Arial" w:hAnsi="Arial"/>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961,135</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67,371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894,661</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3"/>
          </w:tcPr>
          <w:p>
            <w:pPr>
              <w:jc w:val="right"/>
              <w:ind w:right="1019"/>
              <w:spacing w:after="0"/>
              <w:rPr>
                <w:sz w:val="20"/>
                <w:szCs w:val="20"/>
                <w:color w:val="auto"/>
              </w:rPr>
            </w:pPr>
            <w:r>
              <w:rPr>
                <w:rFonts w:ascii="Arial" w:cs="Arial" w:eastAsia="Arial" w:hAnsi="Arial"/>
                <w:sz w:val="16"/>
                <w:szCs w:val="16"/>
                <w:color w:val="auto"/>
              </w:rPr>
              <w:t>December 31, 2021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Amortized cost</w:t>
            </w:r>
          </w:p>
        </w:tc>
        <w:tc>
          <w:tcPr>
            <w:tcW w:w="1780" w:type="dxa"/>
            <w:vAlign w:val="bottom"/>
            <w:gridSpan w:val="2"/>
            <w:vMerge w:val="restart"/>
          </w:tcPr>
          <w:p>
            <w:pPr>
              <w:ind w:left="160"/>
              <w:spacing w:after="0"/>
              <w:rPr>
                <w:sz w:val="20"/>
                <w:szCs w:val="20"/>
                <w:color w:val="auto"/>
              </w:rPr>
            </w:pPr>
            <w:r>
              <w:rPr>
                <w:rFonts w:ascii="Arial" w:cs="Arial" w:eastAsia="Arial" w:hAnsi="Arial"/>
                <w:sz w:val="16"/>
                <w:szCs w:val="16"/>
                <w:color w:val="auto"/>
                <w:w w:val="97"/>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71" w:lineRule="exact"/>
              <w:rPr>
                <w:sz w:val="20"/>
                <w:szCs w:val="20"/>
                <w:color w:val="auto"/>
              </w:rPr>
            </w:pPr>
            <w:r>
              <w:rPr>
                <w:rFonts w:ascii="Arial" w:cs="Arial" w:eastAsia="Arial" w:hAnsi="Arial"/>
                <w:sz w:val="16"/>
                <w:szCs w:val="16"/>
                <w:color w:val="auto"/>
                <w:w w:val="92"/>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71" w:lineRule="exact"/>
              <w:rPr>
                <w:sz w:val="20"/>
                <w:szCs w:val="20"/>
                <w:color w:val="auto"/>
              </w:rPr>
            </w:pPr>
            <w:r>
              <w:rPr>
                <w:rFonts w:ascii="Arial" w:cs="Arial" w:eastAsia="Arial" w:hAnsi="Arial"/>
                <w:sz w:val="16"/>
                <w:szCs w:val="16"/>
                <w:color w:val="auto"/>
                <w:w w:val="98"/>
              </w:rPr>
              <w:t>Estimated fair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losses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565,997</w:t>
            </w:r>
          </w:p>
        </w:tc>
        <w:tc>
          <w:tcPr>
            <w:tcW w:w="70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9,663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2,495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573,165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115,344</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456</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115,462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88,636</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777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89,324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140,217</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1,007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1,302</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139,922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23,859</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U.S. Treasury</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4,226</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Arial" w:cs="Arial" w:eastAsia="Arial" w:hAnsi="Arial"/>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938,279</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946,085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amortized cost and estimated fair value of available-for-sale securities at December 31, 2022 are shown below by remaining contractual term to maturity. Expected maturities may differ from contractual maturities because borrowers may have the right to call or prepay obligations with or without call or prepayment penalties.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in one year or less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one year through five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five years through ten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ten years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Total available-for-sale securities, net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2700" w:type="dxa"/>
            <w:vAlign w:val="bottom"/>
            <w:gridSpan w:val="3"/>
          </w:tcPr>
          <w:p>
            <w:pPr>
              <w:jc w:val="right"/>
              <w:ind w:right="739"/>
              <w:spacing w:after="0"/>
              <w:rPr>
                <w:sz w:val="20"/>
                <w:szCs w:val="20"/>
                <w:color w:val="auto"/>
              </w:rPr>
            </w:pPr>
            <w:r>
              <w:rPr>
                <w:rFonts w:ascii="Arial" w:cs="Arial" w:eastAsia="Arial" w:hAnsi="Arial"/>
                <w:sz w:val="16"/>
                <w:szCs w:val="16"/>
                <w:color w:val="auto"/>
              </w:rPr>
              <w:t>December 31, 2022</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Amortized</w:t>
            </w:r>
          </w:p>
        </w:tc>
        <w:tc>
          <w:tcPr>
            <w:tcW w:w="38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Estimated</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cost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fair value</w:t>
            </w:r>
          </w:p>
        </w:tc>
      </w:tr>
      <w:tr>
        <w:trPr>
          <w:trHeight w:val="206"/>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24,580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24,089</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427,919</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403,985</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198,287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186,693</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310,349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279,894</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961,135</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894,661</w:t>
            </w:r>
          </w:p>
        </w:tc>
      </w:tr>
      <w:tr>
        <w:trPr>
          <w:trHeight w:val="23"/>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00" w:space="720"/>
            <w:col w:w="2920"/>
          </w:cols>
          <w:pgMar w:left="320" w:top="122" w:right="339" w:bottom="1440" w:gutter="0" w:footer="0" w:header="0"/>
          <w:type w:val="continuous"/>
        </w:sectPr>
      </w:pPr>
    </w:p>
    <w:p>
      <w:pPr>
        <w:spacing w:after="0" w:line="92" w:lineRule="exact"/>
        <w:rPr>
          <w:sz w:val="20"/>
          <w:szCs w:val="20"/>
          <w:color w:val="auto"/>
        </w:rPr>
      </w:pPr>
    </w:p>
    <w:p>
      <w:pPr>
        <w:ind w:left="660" w:right="140" w:hanging="328"/>
        <w:spacing w:after="0" w:line="293" w:lineRule="auto"/>
        <w:tabs>
          <w:tab w:leader="none" w:pos="648"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contractual maturities of our available-for-sale securities are included in the table. However, given our intent to sell certain impaired securities, these securities are classified as current assets in our Statement of Financial Position at December 31, 2022.</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below securities have been evaluated and determined to be temporary declines in fair value for which we expect to recover our entire principal plus interest. The following tables present available-for-sale securities based on length of time in a gross unrealized loss position as of:</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w w:val="96"/>
              </w:rPr>
              <w:t>December 31, 2022</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color w:val="auto"/>
                <w:w w:val="98"/>
              </w:rPr>
              <w:t>Less than 12 months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12 months or longer</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17"/>
                <w:szCs w:val="17"/>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Fair</w:t>
            </w: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Unrealized</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value</w:t>
            </w:r>
          </w:p>
        </w:tc>
        <w:tc>
          <w:tcPr>
            <w:tcW w:w="2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color w:val="auto"/>
              </w:rPr>
              <w:t>losses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397,511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21,371</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121,094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14,440</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518,605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35,811</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44,823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55,335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100,158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41,139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15,864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57,003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7,958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109,499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31,465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140,964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Other debt securities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15,682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22,273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608,654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839,003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67,371</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6"/>
        </w:trPr>
        <w:tc>
          <w:tcPr>
            <w:tcW w:w="3760" w:type="dxa"/>
            <w:vAlign w:val="bottom"/>
            <w:vMerge w:val="restart"/>
          </w:tcPr>
          <w:p>
            <w:pPr>
              <w:spacing w:after="0"/>
              <w:rPr>
                <w:sz w:val="20"/>
                <w:szCs w:val="20"/>
                <w:color w:val="auto"/>
              </w:rPr>
            </w:pPr>
            <w:r>
              <w:rPr>
                <w:rFonts w:ascii="Arial" w:cs="Arial" w:eastAsia="Arial" w:hAnsi="Arial"/>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525,805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31,904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215,742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25,205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741,547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57,109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82,849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97,456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3"/>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608,654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839,003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67,371</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w w:val="96"/>
              </w:rPr>
              <w:t>December 31, 2021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w w:val="99"/>
              </w:rPr>
              <w:t>Less than 12 months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color w:val="auto"/>
              </w:rPr>
              <w:t>12 months or longer</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Fair</w:t>
            </w: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Unrealized</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value</w:t>
            </w:r>
          </w:p>
        </w:tc>
        <w:tc>
          <w:tcPr>
            <w:tcW w:w="2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color w:val="auto"/>
              </w:rPr>
              <w:t>losses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179,281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12,494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191,775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64,270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73,640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28,001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28,918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89,460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89,901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14,576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14,576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U.S. Treasury</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7"/>
        </w:trPr>
        <w:tc>
          <w:tcPr>
            <w:tcW w:w="3760" w:type="dxa"/>
            <w:vAlign w:val="bottom"/>
            <w:vMerge w:val="restart"/>
          </w:tcPr>
          <w:p>
            <w:pPr>
              <w:spacing w:after="0"/>
              <w:rPr>
                <w:sz w:val="20"/>
                <w:szCs w:val="20"/>
                <w:color w:val="auto"/>
              </w:rPr>
            </w:pPr>
            <w:r>
              <w:rPr>
                <w:rFonts w:ascii="Arial" w:cs="Arial" w:eastAsia="Arial" w:hAnsi="Arial"/>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330,697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3,801</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17,112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347,809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45,279</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51,389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3"/>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loss allowance on investments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current expected credit loss allowance on agent loans was $1.0 million at both December 31, 2022 and December 31, 2021. The current expected credit loss on available-for-sale securities was $0.2 million at December 31, 2022 and less than $0.1 million at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(loss), net of expenses, was generated from the following portfolios for the years ended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209"/>
        </w:trPr>
        <w:tc>
          <w:tcPr>
            <w:tcW w:w="73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31,913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23,795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22,631</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3,904</w:t>
            </w:r>
          </w:p>
        </w:tc>
        <w:tc>
          <w:tcPr>
            <w:tcW w:w="3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4,321</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4,147</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Limited partnerships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(10,446)</w:t>
            </w:r>
          </w:p>
        </w:tc>
        <w:tc>
          <w:tcPr>
            <w:tcW w:w="3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31,701</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Cash equivalents and 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4,510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3,609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r>
      <w:tr>
        <w:trPr>
          <w:trHeight w:val="209"/>
        </w:trPr>
        <w:tc>
          <w:tcPr>
            <w:tcW w:w="7340" w:type="dxa"/>
            <w:vAlign w:val="bottom"/>
          </w:tcPr>
          <w:p>
            <w:pPr>
              <w:ind w:left="120"/>
              <w:spacing w:after="0"/>
              <w:rPr>
                <w:sz w:val="20"/>
                <w:szCs w:val="20"/>
                <w:color w:val="auto"/>
              </w:rPr>
            </w:pPr>
            <w:r>
              <w:rPr>
                <w:rFonts w:ascii="Arial" w:cs="Arial" w:eastAsia="Arial" w:hAnsi="Arial"/>
                <w:sz w:val="16"/>
                <w:szCs w:val="16"/>
                <w:color w:val="auto"/>
              </w:rPr>
              <w:t>Total investment income</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29,881</w:t>
            </w:r>
          </w:p>
        </w:tc>
        <w:tc>
          <w:tcPr>
            <w:tcW w:w="3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63,426</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31,214</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Less: investment expenses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1,296</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1,249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r>
      <w:tr>
        <w:trPr>
          <w:trHeight w:val="213"/>
        </w:trPr>
        <w:tc>
          <w:tcPr>
            <w:tcW w:w="7340" w:type="dxa"/>
            <w:vAlign w:val="bottom"/>
          </w:tcPr>
          <w:p>
            <w:pPr>
              <w:ind w:left="120"/>
              <w:spacing w:after="0"/>
              <w:rPr>
                <w:sz w:val="20"/>
                <w:szCs w:val="20"/>
                <w:color w:val="auto"/>
              </w:rPr>
            </w:pPr>
            <w:r>
              <w:rPr>
                <w:rFonts w:ascii="Arial" w:cs="Arial" w:eastAsia="Arial" w:hAnsi="Arial"/>
                <w:sz w:val="16"/>
                <w:szCs w:val="16"/>
                <w:color w:val="auto"/>
              </w:rPr>
              <w:t>Net investment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28,585</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62,177</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29,753</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include equity in (losses) earnings of limited partnerships, which includes both realized gains (losses) and unrealized valuation changes, in "Net investment income" in our Statements of Operations. In January 2023, the general partner of one of our private equity limited partnerships informed us of a significant decrease in the fair value of one of their underlying investments. The unrealized loss is estimated to be $11 million and will be recorded in net investment income (loss) in our first quarter 2023 financial statements consistent with our policy of recording limited partnership results on a quarter lag. Our limited partnership investments are included in the line item "Other assets" in the Statements of Financial Position. We have made no new significant limited partnership commitments since 2006, and the balance of limited partnership investments is expected to decline over time as additional distributions are received.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and unrealized investment (losses) gains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(losses) gains on investments were as follows for the years ended December 31:</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6"/>
        </w:trPr>
        <w:tc>
          <w:tcPr>
            <w:tcW w:w="73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Gross realized gains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1,169</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6,884</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3,920</w:t>
            </w: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Gross realized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(1,753)</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w:t>
            </w:r>
          </w:p>
        </w:tc>
      </w:tr>
      <w:tr>
        <w:trPr>
          <w:trHeight w:val="209"/>
        </w:trPr>
        <w:tc>
          <w:tcPr>
            <w:tcW w:w="7340" w:type="dxa"/>
            <w:vAlign w:val="bottom"/>
          </w:tcPr>
          <w:p>
            <w:pPr>
              <w:ind w:left="340"/>
              <w:spacing w:after="0"/>
              <w:rPr>
                <w:sz w:val="20"/>
                <w:szCs w:val="20"/>
                <w:color w:val="auto"/>
              </w:rPr>
            </w:pPr>
            <w:r>
              <w:rPr>
                <w:rFonts w:ascii="Arial" w:cs="Arial" w:eastAsia="Arial" w:hAnsi="Arial"/>
                <w:sz w:val="16"/>
                <w:szCs w:val="16"/>
                <w:color w:val="auto"/>
              </w:rPr>
              <w:t>Net realized (losses) gains on available-for-sale securities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(14,050)</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5,131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r>
      <w:tr>
        <w:trPr>
          <w:trHeight w:val="210"/>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(13,238)</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5,056</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Miscellaneous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340" w:type="dxa"/>
            <w:vAlign w:val="bottom"/>
          </w:tcPr>
          <w:p>
            <w:pPr>
              <w:spacing w:after="0"/>
              <w:rPr>
                <w:sz w:val="20"/>
                <w:szCs w:val="20"/>
                <w:color w:val="auto"/>
              </w:rPr>
            </w:pPr>
            <w:r>
              <w:rPr>
                <w:rFonts w:ascii="Arial" w:cs="Arial" w:eastAsia="Arial" w:hAnsi="Arial"/>
                <w:sz w:val="16"/>
                <w:szCs w:val="16"/>
                <w:color w:val="auto"/>
              </w:rPr>
              <w:t>Net realized and unrealized investment (losses) gains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(27,286)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4,946</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6,392</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portion of net unrealized (losses) gains recognized during the reporting period related to equity securities held at the reporting date is calculated as follows for the years ended December 31:</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6"/>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Net (losses) gains recognized during the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(13,238)</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5,056</w:t>
            </w:r>
          </w:p>
        </w:tc>
      </w:tr>
      <w:tr>
        <w:trPr>
          <w:trHeight w:val="219"/>
        </w:trPr>
        <w:tc>
          <w:tcPr>
            <w:tcW w:w="7340" w:type="dxa"/>
            <w:vAlign w:val="bottom"/>
          </w:tcPr>
          <w:p>
            <w:pPr>
              <w:ind w:left="200"/>
              <w:spacing w:after="0"/>
              <w:rPr>
                <w:sz w:val="20"/>
                <w:szCs w:val="20"/>
                <w:color w:val="auto"/>
              </w:rPr>
            </w:pPr>
            <w:r>
              <w:rPr>
                <w:rFonts w:ascii="Arial" w:cs="Arial" w:eastAsia="Arial" w:hAnsi="Arial"/>
                <w:sz w:val="16"/>
                <w:szCs w:val="16"/>
                <w:color w:val="auto"/>
              </w:rPr>
              <w:t>Less: net losses recognized on securities sold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13"/>
        </w:trPr>
        <w:tc>
          <w:tcPr>
            <w:tcW w:w="7340" w:type="dxa"/>
            <w:vAlign w:val="bottom"/>
          </w:tcPr>
          <w:p>
            <w:pPr>
              <w:spacing w:after="0"/>
              <w:rPr>
                <w:sz w:val="20"/>
                <w:szCs w:val="20"/>
                <w:color w:val="auto"/>
              </w:rPr>
            </w:pPr>
            <w:r>
              <w:rPr>
                <w:rFonts w:ascii="Arial" w:cs="Arial" w:eastAsia="Arial" w:hAnsi="Arial"/>
                <w:sz w:val="16"/>
                <w:szCs w:val="16"/>
                <w:color w:val="auto"/>
              </w:rPr>
              <w:t>Net unrealized (losses) gains recognized on securities held at reporting date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(11,372)</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5,525</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recoveries recognized in earnings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Impairments on available-for-sale securities and agent loans were as follows for the years ended December 31:</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r>
      <w:tr>
        <w:trPr>
          <w:trHeight w:val="196"/>
        </w:trPr>
        <w:tc>
          <w:tcPr>
            <w:tcW w:w="57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Intent to sell</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(167)</w:t>
            </w:r>
          </w:p>
        </w:tc>
        <w:tc>
          <w:tcPr>
            <w:tcW w:w="13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Credit (impaired) recovered</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(500)</w:t>
            </w: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r>
      <w:tr>
        <w:trPr>
          <w:trHeight w:val="210"/>
        </w:trPr>
        <w:tc>
          <w:tcPr>
            <w:tcW w:w="572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112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(667)</w:t>
            </w:r>
          </w:p>
        </w:tc>
        <w:tc>
          <w:tcPr>
            <w:tcW w:w="13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(2,981)</w:t>
            </w:r>
          </w:p>
        </w:tc>
      </w:tr>
      <w:tr>
        <w:trPr>
          <w:trHeight w:val="219"/>
        </w:trPr>
        <w:tc>
          <w:tcPr>
            <w:tcW w:w="5720" w:type="dxa"/>
            <w:vAlign w:val="bottom"/>
          </w:tcPr>
          <w:p>
            <w:pPr>
              <w:spacing w:after="0"/>
              <w:rPr>
                <w:sz w:val="20"/>
                <w:szCs w:val="20"/>
                <w:color w:val="auto"/>
              </w:rPr>
            </w:pPr>
            <w:r>
              <w:rPr>
                <w:rFonts w:ascii="Arial" w:cs="Arial" w:eastAsia="Arial" w:hAnsi="Arial"/>
                <w:sz w:val="16"/>
                <w:szCs w:val="16"/>
                <w:color w:val="auto"/>
              </w:rPr>
              <w:t>Agent loans - expected credit recoveries (losses)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Net impairment (losses) recoveries recognized in earnings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(667)</w:t>
            </w:r>
          </w:p>
        </w:tc>
        <w:tc>
          <w:tcPr>
            <w:tcW w:w="13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w:t>
            </w: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w:t>
            </w:r>
          </w:p>
        </w:tc>
      </w:tr>
      <w:tr>
        <w:trPr>
          <w:trHeight w:val="21"/>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939"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Fixed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fixed assets by category as of December 31:</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2021</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Software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312,126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259,586</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Land, buildings, and building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213,263</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211,624</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43,430</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42,295</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21,794</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21,694</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Projects in progress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63,317</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34,569</w:t>
            </w:r>
          </w:p>
        </w:tc>
      </w:tr>
      <w:tr>
        <w:trPr>
          <w:trHeight w:val="222"/>
        </w:trPr>
        <w:tc>
          <w:tcPr>
            <w:tcW w:w="6740" w:type="dxa"/>
            <w:vAlign w:val="bottom"/>
          </w:tcPr>
          <w:p>
            <w:pPr>
              <w:ind w:left="120"/>
              <w:spacing w:after="0"/>
              <w:rPr>
                <w:sz w:val="20"/>
                <w:szCs w:val="20"/>
                <w:color w:val="auto"/>
              </w:rPr>
            </w:pPr>
            <w:r>
              <w:rPr>
                <w:rFonts w:ascii="Arial" w:cs="Arial" w:eastAsia="Arial" w:hAnsi="Arial"/>
                <w:sz w:val="18"/>
                <w:szCs w:val="18"/>
                <w:color w:val="auto"/>
              </w:rPr>
              <w:t>Total fixed assets, gross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655,323</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571,110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(241,449)</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(196,308)</w:t>
            </w:r>
          </w:p>
        </w:tc>
      </w:tr>
      <w:tr>
        <w:trPr>
          <w:trHeight w:val="223"/>
        </w:trPr>
        <w:tc>
          <w:tcPr>
            <w:tcW w:w="6740" w:type="dxa"/>
            <w:vAlign w:val="bottom"/>
          </w:tcPr>
          <w:p>
            <w:pPr>
              <w:ind w:left="120"/>
              <w:spacing w:after="0"/>
              <w:rPr>
                <w:sz w:val="20"/>
                <w:szCs w:val="20"/>
                <w:color w:val="auto"/>
              </w:rPr>
            </w:pPr>
            <w:r>
              <w:rPr>
                <w:rFonts w:ascii="Arial" w:cs="Arial" w:eastAsia="Arial" w:hAnsi="Arial"/>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413,874</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374,802</w:t>
            </w:r>
          </w:p>
        </w:tc>
      </w:tr>
      <w:tr>
        <w:trPr>
          <w:trHeight w:val="21"/>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Software increased primarily due to the renewal of desktop and mainframe software licenses as well as internally developed software projects completed and placed in service.</w:t>
      </w:r>
    </w:p>
    <w:p>
      <w:pPr>
        <w:spacing w:after="0" w:line="1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Projects in progress include certain computer software and software developments costs for internal use that are not yet subject to amortization as well as home office renovations that are not yet subject to depreciation. The increase in projects in progress is primarily due to an increase in software development costs.</w:t>
      </w:r>
    </w:p>
    <w:p>
      <w:pPr>
        <w:spacing w:after="0" w:line="21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Depreciation and amortization of fixed assets totaled $45.9 million, $37.2 million and $21.2 million for the years ended December 31, 2022, 2021 and 2020, respectively, and is included in cost of operations - policy issuance and renewal services.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Credit Facility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2016, we entered into a credit agreement for a $100 million senior secured draw term loan credit facility ("Credit Facility") for the acquisition of real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property and construction of an office building that now serves as part of our principal headquarters. On January 1, 2019, the Credit Facility converted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fully-amortized term loan with monthly payments of principal and interest at a fixed rate of 4.35% over a period of 28 years. In May 2022, we repaid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remaining $93.2 million balance on the term loan. In conjunction with the payoff, pledged collateral was released and we accelerated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related to unamortized loan origination and commitment fees which is included in interest expense in the Statement of Operations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Line of Credit</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access to a $100 million bank revolving line of credit with a $25 million letter of credit sublimit that expires on October 29, 2026. In May 2022, we borrowed on the line of credit to support the payoff of the term loan. As of December 31, 2022, outstanding borrowings on the line of credit have been repaid and a total of $99.1 million remains available under the facility due to $0.9 million outstanding letters of credit, which reduce the availability for letters of credit to $24.1 million. Investments with a fair value of $114.6 million were pledged as collateral on the line of credit at December 31, 2022. These investments have no trading restrictions and are reported as available-for-sale securities and cash and cash equivalents on our Statement of Financial Position as of December 31, 2022. The bank requires compliance with certain covenants, which include leverage ratios and debt restrictions for our line of credit. We are in compliance with all covenants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are the sponsor of these postretirement plans and record the funded status of these plans, the Exchange and its subsidiaries reimburse us for approximately 58% of the annual benefit expense of these plans, which represents pension benefits for employees performing administrative services and an allocated share of costs for employees in departments that support the administrative functions. For our funded pension plan, amounts are settled in cash for the portion of pension costs allocated to the Exchange and its subsidiaries. For our unfunded SERP, we pay the obligations when due and amounts are settled in cash between entities when there is a payout.</w:t>
      </w:r>
    </w:p>
    <w:p>
      <w:pPr>
        <w:sectPr>
          <w:pgSz w:w="11900" w:h="16838" w:orient="portrait"/>
          <w:cols w:equalWidth="0" w:num="1">
            <w:col w:w="11240"/>
          </w:cols>
          <w:pgMar w:left="320" w:top="122"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Pension plan cost includes the following components for the years ended December 31:</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 for benefits earned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 on benefit obligation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Prior service cost 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actuarial loss amortization</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Pension plan cost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50,242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43,492</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39,764</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36,824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37,578</w:t>
            </w:r>
          </w:p>
        </w:tc>
      </w:tr>
      <w:tr>
        <w:trPr>
          <w:trHeight w:val="230"/>
        </w:trPr>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(54,557)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(50,275)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(49,411)</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1,443</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7,320</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16,106</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44,212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57,124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6320" w:space="260"/>
            <w:col w:w="4660"/>
          </w:cols>
          <w:pgMar w:left="320" w:top="122" w:right="339" w:bottom="1440" w:gutter="0" w:footer="0" w:header="0"/>
          <w:type w:val="continuous"/>
        </w:sectPr>
      </w:pPr>
    </w:p>
    <w:p>
      <w:pPr>
        <w:spacing w:after="0" w:line="103" w:lineRule="exact"/>
        <w:rPr>
          <w:sz w:val="20"/>
          <w:szCs w:val="20"/>
          <w:color w:val="auto"/>
        </w:rPr>
      </w:pPr>
    </w:p>
    <w:p>
      <w:pPr>
        <w:ind w:left="660" w:right="220" w:hanging="328"/>
        <w:spacing w:after="0" w:line="334" w:lineRule="auto"/>
        <w:tabs>
          <w:tab w:leader="none" w:pos="684"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Pension plan costs represent the total cost before reimbursements to Indemnity from the Exchange and its subsidiaries. The components of pension plan costs other than the service cost components are included in the line item "Other income (expense)" in the Statements of Operations after reimbursements from the Exchange and its subsidiaries.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Actuarial assumptions</w:t>
      </w:r>
    </w:p>
    <w:p>
      <w:pPr>
        <w:spacing w:after="0" w:line="23"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The following table describes the assumptions at December 31 used to measure the year-end obligations and the net periodic benefit costs for the subsequent year: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00" w:type="dxa"/>
            <w:vAlign w:val="bottom"/>
            <w:gridSpan w:val="2"/>
          </w:tcPr>
          <w:p>
            <w:pPr>
              <w:ind w:left="5320"/>
              <w:spacing w:after="0"/>
              <w:rPr>
                <w:sz w:val="20"/>
                <w:szCs w:val="20"/>
                <w:color w:val="auto"/>
              </w:rPr>
            </w:pPr>
            <w:r>
              <w:rPr>
                <w:rFonts w:ascii="Arial" w:cs="Arial" w:eastAsia="Arial" w:hAnsi="Arial"/>
                <w:sz w:val="18"/>
                <w:szCs w:val="18"/>
                <w:color w:val="auto"/>
                <w:w w:val="89"/>
              </w:rPr>
              <w:t>2022</w:t>
            </w:r>
          </w:p>
        </w:tc>
        <w:tc>
          <w:tcPr>
            <w:tcW w:w="1600" w:type="dxa"/>
            <w:vAlign w:val="bottom"/>
          </w:tcPr>
          <w:p>
            <w:pPr>
              <w:ind w:left="1220"/>
              <w:spacing w:after="0"/>
              <w:rPr>
                <w:sz w:val="20"/>
                <w:szCs w:val="20"/>
                <w:color w:val="auto"/>
              </w:rPr>
            </w:pPr>
            <w:r>
              <w:rPr>
                <w:rFonts w:ascii="Arial" w:cs="Arial" w:eastAsia="Arial" w:hAnsi="Arial"/>
                <w:sz w:val="18"/>
                <w:szCs w:val="18"/>
                <w:color w:val="auto"/>
                <w:w w:val="89"/>
              </w:rPr>
              <w:t>2021</w:t>
            </w:r>
          </w:p>
        </w:tc>
        <w:tc>
          <w:tcPr>
            <w:tcW w:w="880" w:type="dxa"/>
            <w:vAlign w:val="bottom"/>
          </w:tcPr>
          <w:p>
            <w:pPr>
              <w:spacing w:after="0"/>
              <w:rPr>
                <w:sz w:val="20"/>
                <w:szCs w:val="20"/>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rPr>
              <w:t>2020</w:t>
            </w:r>
          </w:p>
        </w:tc>
        <w:tc>
          <w:tcPr>
            <w:tcW w:w="1300" w:type="dxa"/>
            <w:vAlign w:val="bottom"/>
          </w:tcPr>
          <w:p>
            <w:pPr>
              <w:ind w:left="340"/>
              <w:spacing w:after="0"/>
              <w:rPr>
                <w:sz w:val="20"/>
                <w:szCs w:val="20"/>
                <w:color w:val="auto"/>
              </w:rPr>
            </w:pPr>
            <w:r>
              <w:rPr>
                <w:rFonts w:ascii="Arial" w:cs="Arial" w:eastAsia="Arial" w:hAnsi="Arial"/>
                <w:sz w:val="18"/>
                <w:szCs w:val="18"/>
                <w:color w:val="auto"/>
              </w:rPr>
              <w:t>2019</w:t>
            </w: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Employee pension plan:</w:t>
            </w:r>
          </w:p>
        </w:tc>
        <w:tc>
          <w:tcPr>
            <w:tcW w:w="9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Discount rate</w:t>
            </w:r>
          </w:p>
        </w:tc>
        <w:tc>
          <w:tcPr>
            <w:tcW w:w="1600" w:type="dxa"/>
            <w:vAlign w:val="bottom"/>
          </w:tcPr>
          <w:p>
            <w:pPr>
              <w:ind w:left="20"/>
              <w:spacing w:after="0"/>
              <w:rPr>
                <w:sz w:val="20"/>
                <w:szCs w:val="20"/>
                <w:color w:val="auto"/>
              </w:rPr>
            </w:pPr>
            <w:r>
              <w:rPr>
                <w:rFonts w:ascii="Arial" w:cs="Arial" w:eastAsia="Arial" w:hAnsi="Arial"/>
                <w:sz w:val="18"/>
                <w:szCs w:val="18"/>
                <w:color w:val="auto"/>
              </w:rPr>
              <w:t>5.67 %</w:t>
            </w:r>
          </w:p>
        </w:tc>
        <w:tc>
          <w:tcPr>
            <w:tcW w:w="880" w:type="dxa"/>
            <w:vAlign w:val="bottom"/>
          </w:tcPr>
          <w:p>
            <w:pPr>
              <w:spacing w:after="0"/>
              <w:rPr>
                <w:sz w:val="20"/>
                <w:szCs w:val="20"/>
                <w:color w:val="auto"/>
              </w:rPr>
            </w:pPr>
            <w:r>
              <w:rPr>
                <w:rFonts w:ascii="Arial" w:cs="Arial" w:eastAsia="Arial" w:hAnsi="Arial"/>
                <w:sz w:val="18"/>
                <w:szCs w:val="18"/>
                <w:color w:val="auto"/>
              </w:rPr>
              <w:t>3.16 %</w:t>
            </w:r>
          </w:p>
        </w:tc>
        <w:tc>
          <w:tcPr>
            <w:tcW w:w="1600" w:type="dxa"/>
            <w:vAlign w:val="bottom"/>
          </w:tcPr>
          <w:p>
            <w:pPr>
              <w:ind w:left="720"/>
              <w:spacing w:after="0"/>
              <w:rPr>
                <w:sz w:val="20"/>
                <w:szCs w:val="20"/>
                <w:color w:val="auto"/>
              </w:rPr>
            </w:pPr>
            <w:r>
              <w:rPr>
                <w:rFonts w:ascii="Arial" w:cs="Arial" w:eastAsia="Arial" w:hAnsi="Arial"/>
                <w:sz w:val="18"/>
                <w:szCs w:val="18"/>
                <w:color w:val="auto"/>
              </w:rPr>
              <w:t>2.96 %</w:t>
            </w: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3.59 %</w:t>
            </w:r>
          </w:p>
        </w:tc>
      </w:tr>
      <w:tr>
        <w:trPr>
          <w:trHeight w:val="224"/>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Expected return on assets</w:t>
            </w:r>
          </w:p>
        </w:tc>
        <w:tc>
          <w:tcPr>
            <w:tcW w:w="1600" w:type="dxa"/>
            <w:vAlign w:val="bottom"/>
          </w:tcPr>
          <w:p>
            <w:pPr>
              <w:ind w:left="20"/>
              <w:spacing w:after="0"/>
              <w:rPr>
                <w:sz w:val="20"/>
                <w:szCs w:val="20"/>
                <w:color w:val="auto"/>
              </w:rPr>
            </w:pPr>
            <w:r>
              <w:rPr>
                <w:rFonts w:ascii="Arial" w:cs="Arial" w:eastAsia="Arial" w:hAnsi="Arial"/>
                <w:sz w:val="18"/>
                <w:szCs w:val="18"/>
                <w:color w:val="auto"/>
              </w:rPr>
              <w:t>5.50</w:t>
            </w:r>
          </w:p>
        </w:tc>
        <w:tc>
          <w:tcPr>
            <w:tcW w:w="880" w:type="dxa"/>
            <w:vAlign w:val="bottom"/>
          </w:tcPr>
          <w:p>
            <w:pPr>
              <w:spacing w:after="0"/>
              <w:rPr>
                <w:sz w:val="20"/>
                <w:szCs w:val="20"/>
                <w:color w:val="auto"/>
              </w:rPr>
            </w:pPr>
            <w:r>
              <w:rPr>
                <w:rFonts w:ascii="Arial" w:cs="Arial" w:eastAsia="Arial" w:hAnsi="Arial"/>
                <w:sz w:val="18"/>
                <w:szCs w:val="18"/>
                <w:color w:val="auto"/>
              </w:rPr>
              <w:t>5.50</w:t>
            </w:r>
          </w:p>
        </w:tc>
        <w:tc>
          <w:tcPr>
            <w:tcW w:w="1600" w:type="dxa"/>
            <w:vAlign w:val="bottom"/>
          </w:tcPr>
          <w:p>
            <w:pPr>
              <w:ind w:left="720"/>
              <w:spacing w:after="0"/>
              <w:rPr>
                <w:sz w:val="20"/>
                <w:szCs w:val="20"/>
                <w:color w:val="auto"/>
              </w:rPr>
            </w:pPr>
            <w:r>
              <w:rPr>
                <w:rFonts w:ascii="Arial" w:cs="Arial" w:eastAsia="Arial" w:hAnsi="Arial"/>
                <w:sz w:val="18"/>
                <w:szCs w:val="18"/>
                <w:color w:val="auto"/>
              </w:rPr>
              <w:t>6.00</w:t>
            </w:r>
          </w:p>
        </w:tc>
        <w:tc>
          <w:tcPr>
            <w:tcW w:w="1300" w:type="dxa"/>
            <w:vAlign w:val="bottom"/>
          </w:tcPr>
          <w:p>
            <w:pPr>
              <w:ind w:left="760"/>
              <w:spacing w:after="0"/>
              <w:rPr>
                <w:sz w:val="20"/>
                <w:szCs w:val="20"/>
                <w:color w:val="auto"/>
              </w:rPr>
            </w:pPr>
            <w:r>
              <w:rPr>
                <w:rFonts w:ascii="Arial" w:cs="Arial" w:eastAsia="Arial" w:hAnsi="Arial"/>
                <w:sz w:val="18"/>
                <w:szCs w:val="18"/>
                <w:color w:val="auto"/>
              </w:rPr>
              <w:t>6.00</w:t>
            </w:r>
          </w:p>
        </w:tc>
      </w:tr>
      <w:tr>
        <w:trPr>
          <w:trHeight w:val="235"/>
        </w:trPr>
        <w:tc>
          <w:tcPr>
            <w:tcW w:w="5700" w:type="dxa"/>
            <w:vAlign w:val="bottom"/>
            <w:gridSpan w:val="2"/>
          </w:tcPr>
          <w:p>
            <w:pPr>
              <w:ind w:left="120"/>
              <w:spacing w:after="0" w:line="235" w:lineRule="exact"/>
              <w:rPr>
                <w:sz w:val="20"/>
                <w:szCs w:val="20"/>
                <w:color w:val="auto"/>
              </w:rPr>
            </w:pPr>
            <w:r>
              <w:rPr>
                <w:rFonts w:ascii="Arial" w:cs="Arial" w:eastAsia="Arial" w:hAnsi="Arial"/>
                <w:sz w:val="18"/>
                <w:szCs w:val="18"/>
                <w:color w:val="auto"/>
              </w:rPr>
              <w:t xml:space="preserve">Rate of compensation increase </w:t>
            </w:r>
            <w:r>
              <w:rPr>
                <w:rFonts w:ascii="Arial" w:cs="Arial" w:eastAsia="Arial" w:hAnsi="Arial"/>
                <w:sz w:val="23"/>
                <w:szCs w:val="23"/>
                <w:color w:val="auto"/>
                <w:vertAlign w:val="superscript"/>
              </w:rPr>
              <w:t>(1)</w:t>
            </w:r>
          </w:p>
        </w:tc>
        <w:tc>
          <w:tcPr>
            <w:tcW w:w="1600" w:type="dxa"/>
            <w:vAlign w:val="bottom"/>
          </w:tcPr>
          <w:p>
            <w:pPr>
              <w:ind w:left="20"/>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600" w:type="dxa"/>
            <w:vAlign w:val="bottom"/>
          </w:tcPr>
          <w:p>
            <w:pPr>
              <w:ind w:left="720"/>
              <w:spacing w:after="0"/>
              <w:rPr>
                <w:sz w:val="20"/>
                <w:szCs w:val="20"/>
                <w:color w:val="auto"/>
              </w:rPr>
            </w:pPr>
            <w:r>
              <w:rPr>
                <w:rFonts w:ascii="Arial" w:cs="Arial" w:eastAsia="Arial" w:hAnsi="Arial"/>
                <w:sz w:val="18"/>
                <w:szCs w:val="18"/>
                <w:color w:val="auto"/>
              </w:rPr>
              <w:t>3.21</w:t>
            </w:r>
          </w:p>
        </w:tc>
        <w:tc>
          <w:tcPr>
            <w:tcW w:w="1300" w:type="dxa"/>
            <w:vAlign w:val="bottom"/>
          </w:tcPr>
          <w:p>
            <w:pPr>
              <w:ind w:left="760"/>
              <w:spacing w:after="0"/>
              <w:rPr>
                <w:sz w:val="20"/>
                <w:szCs w:val="20"/>
                <w:color w:val="auto"/>
              </w:rPr>
            </w:pPr>
            <w:r>
              <w:rPr>
                <w:rFonts w:ascii="Arial" w:cs="Arial" w:eastAsia="Arial" w:hAnsi="Arial"/>
                <w:sz w:val="18"/>
                <w:szCs w:val="18"/>
                <w:color w:val="auto"/>
              </w:rPr>
              <w:t>3.21</w:t>
            </w:r>
          </w:p>
        </w:tc>
      </w:tr>
      <w:tr>
        <w:trPr>
          <w:trHeight w:val="224"/>
        </w:trPr>
        <w:tc>
          <w:tcPr>
            <w:tcW w:w="5700" w:type="dxa"/>
            <w:vAlign w:val="bottom"/>
            <w:gridSpan w:val="2"/>
          </w:tcPr>
          <w:p>
            <w:pPr>
              <w:spacing w:after="0"/>
              <w:rPr>
                <w:sz w:val="20"/>
                <w:szCs w:val="20"/>
                <w:color w:val="auto"/>
              </w:rPr>
            </w:pPr>
            <w:r>
              <w:rPr>
                <w:rFonts w:ascii="Arial" w:cs="Arial" w:eastAsia="Arial" w:hAnsi="Arial"/>
                <w:sz w:val="18"/>
                <w:szCs w:val="18"/>
                <w:color w:val="auto"/>
              </w:rPr>
              <w:t>SERP:</w:t>
            </w: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5"/>
        </w:trPr>
        <w:tc>
          <w:tcPr>
            <w:tcW w:w="5700" w:type="dxa"/>
            <w:vAlign w:val="bottom"/>
            <w:gridSpan w:val="2"/>
          </w:tcPr>
          <w:p>
            <w:pPr>
              <w:ind w:left="120"/>
              <w:spacing w:after="0" w:line="235" w:lineRule="exact"/>
              <w:rPr>
                <w:sz w:val="20"/>
                <w:szCs w:val="20"/>
                <w:color w:val="auto"/>
              </w:rPr>
            </w:pPr>
            <w:r>
              <w:rPr>
                <w:rFonts w:ascii="Arial" w:cs="Arial" w:eastAsia="Arial" w:hAnsi="Arial"/>
                <w:sz w:val="18"/>
                <w:szCs w:val="18"/>
                <w:color w:val="auto"/>
              </w:rPr>
              <w:t xml:space="preserve">Discount rate – pre-retirement/post-retirement </w:t>
            </w:r>
            <w:r>
              <w:rPr>
                <w:rFonts w:ascii="Arial" w:cs="Arial" w:eastAsia="Arial" w:hAnsi="Arial"/>
                <w:sz w:val="23"/>
                <w:szCs w:val="23"/>
                <w:color w:val="auto"/>
                <w:vertAlign w:val="superscript"/>
              </w:rPr>
              <w:t>(2)</w:t>
            </w:r>
          </w:p>
        </w:tc>
        <w:tc>
          <w:tcPr>
            <w:tcW w:w="1600" w:type="dxa"/>
            <w:vAlign w:val="bottom"/>
          </w:tcPr>
          <w:p>
            <w:pPr>
              <w:ind w:left="20"/>
              <w:spacing w:after="0"/>
              <w:rPr>
                <w:sz w:val="20"/>
                <w:szCs w:val="20"/>
                <w:color w:val="auto"/>
              </w:rPr>
            </w:pPr>
            <w:r>
              <w:rPr>
                <w:rFonts w:ascii="Arial" w:cs="Arial" w:eastAsia="Arial" w:hAnsi="Arial"/>
                <w:sz w:val="18"/>
                <w:szCs w:val="18"/>
                <w:color w:val="auto"/>
              </w:rPr>
              <w:t>5.46</w:t>
            </w:r>
          </w:p>
        </w:tc>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600" w:type="dxa"/>
            <w:vAlign w:val="bottom"/>
          </w:tcPr>
          <w:p>
            <w:pPr>
              <w:ind w:left="720"/>
              <w:spacing w:after="0"/>
              <w:rPr>
                <w:sz w:val="20"/>
                <w:szCs w:val="20"/>
                <w:color w:val="auto"/>
              </w:rPr>
            </w:pPr>
            <w:r>
              <w:rPr>
                <w:rFonts w:ascii="Arial" w:cs="Arial" w:eastAsia="Arial" w:hAnsi="Arial"/>
                <w:sz w:val="18"/>
                <w:szCs w:val="18"/>
                <w:color w:val="auto"/>
              </w:rPr>
              <w:t>2.86</w:t>
            </w:r>
          </w:p>
        </w:tc>
        <w:tc>
          <w:tcPr>
            <w:tcW w:w="1300" w:type="dxa"/>
            <w:vAlign w:val="bottom"/>
          </w:tcPr>
          <w:p>
            <w:pPr>
              <w:ind w:left="600"/>
              <w:spacing w:after="0"/>
              <w:rPr>
                <w:sz w:val="20"/>
                <w:szCs w:val="20"/>
                <w:color w:val="auto"/>
              </w:rPr>
            </w:pPr>
            <w:r>
              <w:rPr>
                <w:rFonts w:ascii="Arial" w:cs="Arial" w:eastAsia="Arial" w:hAnsi="Arial"/>
                <w:sz w:val="18"/>
                <w:szCs w:val="18"/>
                <w:color w:val="auto"/>
                <w:w w:val="90"/>
              </w:rPr>
              <w:t>3.59/3.09</w:t>
            </w:r>
          </w:p>
        </w:tc>
      </w:tr>
      <w:tr>
        <w:trPr>
          <w:trHeight w:val="230"/>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Rate of compensation increase</w:t>
            </w:r>
          </w:p>
        </w:tc>
        <w:tc>
          <w:tcPr>
            <w:tcW w:w="1600" w:type="dxa"/>
            <w:vAlign w:val="bottom"/>
          </w:tcPr>
          <w:p>
            <w:pPr>
              <w:ind w:left="20"/>
              <w:spacing w:after="0"/>
              <w:rPr>
                <w:sz w:val="20"/>
                <w:szCs w:val="20"/>
                <w:color w:val="auto"/>
              </w:rPr>
            </w:pPr>
            <w:r>
              <w:rPr>
                <w:rFonts w:ascii="Arial" w:cs="Arial" w:eastAsia="Arial" w:hAnsi="Arial"/>
                <w:sz w:val="18"/>
                <w:szCs w:val="18"/>
                <w:color w:val="auto"/>
              </w:rPr>
              <w:t>5.00</w:t>
            </w:r>
          </w:p>
        </w:tc>
        <w:tc>
          <w:tcPr>
            <w:tcW w:w="880" w:type="dxa"/>
            <w:vAlign w:val="bottom"/>
          </w:tcPr>
          <w:p>
            <w:pPr>
              <w:spacing w:after="0"/>
              <w:rPr>
                <w:sz w:val="20"/>
                <w:szCs w:val="20"/>
                <w:color w:val="auto"/>
              </w:rPr>
            </w:pPr>
            <w:r>
              <w:rPr>
                <w:rFonts w:ascii="Arial" w:cs="Arial" w:eastAsia="Arial" w:hAnsi="Arial"/>
                <w:sz w:val="18"/>
                <w:szCs w:val="18"/>
                <w:color w:val="auto"/>
              </w:rPr>
              <w:t>5.00</w:t>
            </w:r>
          </w:p>
        </w:tc>
        <w:tc>
          <w:tcPr>
            <w:tcW w:w="1600" w:type="dxa"/>
            <w:vAlign w:val="bottom"/>
          </w:tcPr>
          <w:p>
            <w:pPr>
              <w:ind w:left="720"/>
              <w:spacing w:after="0"/>
              <w:rPr>
                <w:sz w:val="20"/>
                <w:szCs w:val="20"/>
                <w:color w:val="auto"/>
              </w:rPr>
            </w:pPr>
            <w:r>
              <w:rPr>
                <w:rFonts w:ascii="Arial" w:cs="Arial" w:eastAsia="Arial" w:hAnsi="Arial"/>
                <w:sz w:val="18"/>
                <w:szCs w:val="18"/>
                <w:color w:val="auto"/>
              </w:rPr>
              <w:t>5.00</w:t>
            </w:r>
          </w:p>
        </w:tc>
        <w:tc>
          <w:tcPr>
            <w:tcW w:w="1300" w:type="dxa"/>
            <w:vAlign w:val="bottom"/>
          </w:tcPr>
          <w:p>
            <w:pPr>
              <w:ind w:left="760"/>
              <w:spacing w:after="0"/>
              <w:rPr>
                <w:sz w:val="20"/>
                <w:szCs w:val="20"/>
                <w:color w:val="auto"/>
              </w:rPr>
            </w:pPr>
            <w:r>
              <w:rPr>
                <w:rFonts w:ascii="Arial" w:cs="Arial" w:eastAsia="Arial" w:hAnsi="Arial"/>
                <w:sz w:val="18"/>
                <w:szCs w:val="18"/>
                <w:color w:val="auto"/>
              </w:rPr>
              <w:t>5.00</w:t>
            </w:r>
          </w:p>
        </w:tc>
      </w:tr>
    </w:tbl>
    <w:p>
      <w:pPr>
        <w:spacing w:after="0" w:line="305" w:lineRule="exact"/>
        <w:rPr>
          <w:sz w:val="20"/>
          <w:szCs w:val="20"/>
          <w:color w:val="auto"/>
        </w:rPr>
      </w:pPr>
    </w:p>
    <w:p>
      <w:pPr>
        <w:ind w:left="660" w:right="300" w:hanging="328"/>
        <w:spacing w:after="0" w:line="293" w:lineRule="auto"/>
        <w:tabs>
          <w:tab w:leader="none" w:pos="648"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rate of compensation increase for the employee plan is age-graded. An equivalent single compensation increase rate of 3.21% in 2022, 2021 and 2020 would produce similar results.</w:t>
      </w:r>
    </w:p>
    <w:p>
      <w:pPr>
        <w:spacing w:after="0" w:line="11" w:lineRule="exact"/>
        <w:rPr>
          <w:rFonts w:ascii="Arial" w:cs="Arial" w:eastAsia="Arial" w:hAnsi="Arial"/>
          <w:sz w:val="14"/>
          <w:szCs w:val="14"/>
          <w:i w:val="1"/>
          <w:iCs w:val="1"/>
          <w:color w:val="auto"/>
        </w:rPr>
      </w:pPr>
    </w:p>
    <w:p>
      <w:pPr>
        <w:ind w:left="660" w:right="360" w:hanging="328"/>
        <w:spacing w:after="0" w:line="273" w:lineRule="auto"/>
        <w:tabs>
          <w:tab w:leader="none" w:pos="648"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 2020, the SERP discount rate methodology was revised to utilize SERP specific cash outflows independent of the employee pension plan discount rate, eliminating a difference between pre-retirement and post-retirement rates.</w:t>
      </w:r>
    </w:p>
    <w:p>
      <w:pPr>
        <w:spacing w:after="0" w:line="200" w:lineRule="exact"/>
        <w:rPr>
          <w:sz w:val="20"/>
          <w:szCs w:val="20"/>
          <w:color w:val="auto"/>
        </w:rPr>
      </w:pPr>
    </w:p>
    <w:p>
      <w:pPr>
        <w:spacing w:after="0" w:line="3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economic assumptions that have the most impact on the postretirement benefits expense are the discount rate and the long-term rate of return on plan assets. The discount rate assumption used to determine the benefit obligation for all periods presented was based upon a yield curve developed from corporate bond yield information.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w:t>
      </w:r>
    </w:p>
    <w:p>
      <w:pPr>
        <w:sectPr>
          <w:pgSz w:w="11900" w:h="16838" w:orient="portrait"/>
          <w:cols w:equalWidth="0" w:num="1">
            <w:col w:w="11240"/>
          </w:cols>
          <w:pgMar w:left="320" w:top="122"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class is then combined by considering correlations between asset classes and the volatilities of each asset class to produce a reasonable range of asset return results within which our expected long-term rate of return assumption falls.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Funding policy/funded status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funding policy is generally to contribute an amount equal to the greater of the target normal cost for the plan year, or the amount necessary to fund the plan to 100%. Accordingly, we made a $25 million contribution during 2022. We expect to contribute an estimated $95 million in 2023. Actual contributions may vary from the current estimate depending on changes in assumptions, regulatory requirements and funding decisions, or due to future plan changes. The following table sets forth the funded status of the pension plans and the amounts recognized in the Statements of Financial Position at December 31:</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(53,948)</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(132,411)</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Arial" w:cs="Arial" w:eastAsia="Arial" w:hAnsi="Arial"/>
                <w:sz w:val="18"/>
                <w:szCs w:val="18"/>
                <w:color w:val="auto"/>
              </w:rPr>
              <w:t xml:space="preserve">Pension liabilities – due within one year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620" w:type="dxa"/>
            <w:vAlign w:val="bottom"/>
            <w:vMerge w:val="continue"/>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(2,724)</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Pension liabilities – due after one year</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(51,224)</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(130,383)</w:t>
            </w:r>
          </w:p>
        </w:tc>
        <w:tc>
          <w:tcPr>
            <w:tcW w:w="0" w:type="dxa"/>
            <w:vAlign w:val="bottom"/>
          </w:tcPr>
          <w:p>
            <w:pPr>
              <w:spacing w:after="0"/>
              <w:rPr>
                <w:sz w:val="1"/>
                <w:szCs w:val="1"/>
                <w:color w:val="auto"/>
              </w:rPr>
            </w:pPr>
          </w:p>
        </w:tc>
      </w:tr>
      <w:tr>
        <w:trPr>
          <w:trHeight w:val="223"/>
        </w:trPr>
        <w:tc>
          <w:tcPr>
            <w:tcW w:w="7620" w:type="dxa"/>
            <w:vAlign w:val="bottom"/>
          </w:tcPr>
          <w:p>
            <w:pPr>
              <w:ind w:left="12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(53,948)</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The current portion of pension liabilities is included in accounts payable and accrued liabilities.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obligations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5"/>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7620" w:type="dxa"/>
            <w:vAlign w:val="bottom"/>
          </w:tcPr>
          <w:p>
            <w:pPr>
              <w:spacing w:after="0"/>
              <w:rPr>
                <w:sz w:val="20"/>
                <w:szCs w:val="20"/>
                <w:color w:val="auto"/>
              </w:rPr>
            </w:pPr>
            <w:r>
              <w:rPr>
                <w:rFonts w:ascii="Arial" w:cs="Arial" w:eastAsia="Arial" w:hAnsi="Arial"/>
                <w:sz w:val="18"/>
                <w:szCs w:val="18"/>
                <w:b w:val="1"/>
                <w:bCs w:val="1"/>
                <w:color w:val="auto"/>
              </w:rPr>
              <w:t>Projected benefit obligation,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1,272,654</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1,246,159</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50,242</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53,041</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Interest cost on benefit obligation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39,764</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36,824</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Plan amendments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1,620</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4,059</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Actuarial gain</w:t>
            </w:r>
          </w:p>
        </w:tc>
        <w:tc>
          <w:tcPr>
            <w:tcW w:w="3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(448,330)</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(38,400)</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(32,136)</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(29,029)</w:t>
            </w: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883,814</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1,272,654</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762,180</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1,037,820</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Projected benefit obligations decreased $388.8 million at December 31, 2022 compared to December 31, 2021 primarily due to the higher discount rate used to measure the future benefit obligations. The discount rate for the employee pension plan increased to 5.67% in 2022 from 3.16% in 2021.</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Both the defined benefit pension plan and SERP had projected benefit obligations in excess of plan assets at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5"/>
        </w:trPr>
        <w:tc>
          <w:tcPr>
            <w:tcW w:w="7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764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883,814</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1,272,654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829,866</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1,140,243</w:t>
            </w:r>
          </w:p>
        </w:tc>
      </w:tr>
      <w:tr>
        <w:trPr>
          <w:trHeight w:val="783"/>
        </w:trPr>
        <w:tc>
          <w:tcPr>
            <w:tcW w:w="7640" w:type="dxa"/>
            <w:vAlign w:val="bottom"/>
          </w:tcPr>
          <w:p>
            <w:pPr>
              <w:spacing w:after="0"/>
              <w:rPr>
                <w:sz w:val="20"/>
                <w:szCs w:val="20"/>
                <w:color w:val="auto"/>
              </w:rPr>
            </w:pPr>
            <w:r>
              <w:rPr>
                <w:rFonts w:ascii="Arial" w:cs="Arial" w:eastAsia="Arial" w:hAnsi="Arial"/>
                <w:sz w:val="18"/>
                <w:szCs w:val="18"/>
                <w:color w:val="auto"/>
              </w:rPr>
              <w:t>The SERP had accumulated benefit obligations in excess of plan assets at December 31: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8"/>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7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76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21,577</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29,190</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beginning and ending balances of the fair value of plan assets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5"/>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7620" w:type="dxa"/>
            <w:vAlign w:val="bottom"/>
          </w:tcPr>
          <w:p>
            <w:pPr>
              <w:spacing w:after="0"/>
              <w:rPr>
                <w:sz w:val="20"/>
                <w:szCs w:val="20"/>
                <w:color w:val="auto"/>
              </w:rPr>
            </w:pPr>
            <w:r>
              <w:rPr>
                <w:rFonts w:ascii="Arial" w:cs="Arial" w:eastAsia="Arial" w:hAnsi="Arial"/>
                <w:sz w:val="18"/>
                <w:szCs w:val="18"/>
                <w:b w:val="1"/>
                <w:bCs w:val="1"/>
                <w:color w:val="auto"/>
              </w:rPr>
              <w:t>Fair value of plan assets,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1,140,243</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1,081,061</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(304,005)</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86,966</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25,764</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(32,136)</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(29,029)</w:t>
            </w: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829,866</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1,140,243</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(income) loss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Net actuarial (gain) loss and prior service cost included in accumulated other comprehensive (income) loss that were not yet recognized as components of net benefit costs were as follows at December 31:</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5"/>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(69,564)</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27,524</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0"/>
              </w:rPr>
              <w:t>12,378</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12,201</w:t>
            </w:r>
          </w:p>
        </w:tc>
      </w:tr>
      <w:tr>
        <w:trPr>
          <w:trHeight w:val="223"/>
        </w:trPr>
        <w:tc>
          <w:tcPr>
            <w:tcW w:w="7620" w:type="dxa"/>
            <w:vAlign w:val="bottom"/>
          </w:tcPr>
          <w:p>
            <w:pPr>
              <w:ind w:left="120"/>
              <w:spacing w:after="0"/>
              <w:rPr>
                <w:sz w:val="20"/>
                <w:szCs w:val="20"/>
                <w:color w:val="auto"/>
              </w:rPr>
            </w:pPr>
            <w:r>
              <w:rPr>
                <w:rFonts w:ascii="Arial" w:cs="Arial" w:eastAsia="Arial" w:hAnsi="Arial"/>
                <w:sz w:val="18"/>
                <w:szCs w:val="18"/>
                <w:color w:val="auto"/>
              </w:rPr>
              <w:t>Net amount not yet recognized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(57,186)</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39,725</w:t>
            </w: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pension plans were as follows for the years ended December 31:</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ectPr>
          <w:pgSz w:w="11900" w:h="16838" w:orient="portrait"/>
          <w:cols w:equalWidth="0" w:num="1">
            <w:col w:w="11080"/>
          </w:cols>
          <w:pgMar w:left="320" w:top="122" w:right="499" w:bottom="1440" w:gutter="0" w:footer="0" w:header="0"/>
        </w:sect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actuarial gain arising during the year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actuarial loss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prior service cost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(1)</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recognized in other comprehensive income</w:t>
      </w:r>
    </w:p>
    <w:p>
      <w:pPr>
        <w:spacing w:after="0" w:line="18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3"/>
          <w:szCs w:val="13"/>
          <w:i w:val="1"/>
          <w:iCs w:val="1"/>
          <w:color w:val="auto"/>
        </w:rPr>
        <w:t>(1)</w:t>
        <w:tab/>
        <w:t>Plan amendments relate to new SERP participants.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(89,768)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(75,091)</w:t>
            </w:r>
          </w:p>
        </w:tc>
      </w:tr>
      <w:tr>
        <w:trPr>
          <w:trHeight w:val="230"/>
        </w:trPr>
        <w:tc>
          <w:tcPr>
            <w:tcW w:w="3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(7,320)</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(16,106)</w:t>
            </w:r>
          </w:p>
        </w:tc>
      </w:tr>
      <w:tr>
        <w:trPr>
          <w:trHeight w:val="229"/>
        </w:trPr>
        <w:tc>
          <w:tcPr>
            <w:tcW w:w="3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(1,443)</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1,620</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(96,911)</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79" w:lineRule="exact"/>
        <w:rPr>
          <w:sz w:val="20"/>
          <w:szCs w:val="20"/>
          <w:color w:val="auto"/>
        </w:rPr>
      </w:pPr>
    </w:p>
    <w:p>
      <w:pPr>
        <w:sectPr>
          <w:pgSz w:w="11900" w:h="16838" w:orient="portrait"/>
          <w:cols w:equalWidth="0" w:num="2">
            <w:col w:w="6940" w:space="720"/>
            <w:col w:w="3420"/>
          </w:cols>
          <w:pgMar w:left="320" w:top="12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allocation</w:t>
      </w:r>
    </w:p>
    <w:p>
      <w:pPr>
        <w:spacing w:after="0" w:line="1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an exchange traded fund, and a separate account that are dedicated exclusively to the management of employee benefit plan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allocations for the portfolio are as follows for the years ended December 31:</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Target asset</w:t>
            </w:r>
          </w:p>
        </w:tc>
        <w:tc>
          <w:tcPr>
            <w:tcW w:w="380" w:type="dxa"/>
            <w:vAlign w:val="bottom"/>
          </w:tcPr>
          <w:p>
            <w:pPr>
              <w:spacing w:after="0"/>
              <w:rPr>
                <w:sz w:val="17"/>
                <w:szCs w:val="17"/>
                <w:color w:val="auto"/>
              </w:rPr>
            </w:pPr>
          </w:p>
        </w:tc>
        <w:tc>
          <w:tcPr>
            <w:tcW w:w="1840" w:type="dxa"/>
            <w:vAlign w:val="bottom"/>
          </w:tcPr>
          <w:p>
            <w:pPr>
              <w:jc w:val="center"/>
              <w:ind w:right="390"/>
              <w:spacing w:after="0"/>
              <w:rPr>
                <w:sz w:val="20"/>
                <w:szCs w:val="20"/>
                <w:color w:val="auto"/>
              </w:rPr>
            </w:pPr>
            <w:r>
              <w:rPr>
                <w:rFonts w:ascii="Arial" w:cs="Arial" w:eastAsia="Arial" w:hAnsi="Arial"/>
                <w:sz w:val="18"/>
                <w:szCs w:val="18"/>
                <w:color w:val="auto"/>
                <w:w w:val="83"/>
              </w:rPr>
              <w:t>Target asset</w:t>
            </w:r>
          </w:p>
        </w:tc>
        <w:tc>
          <w:tcPr>
            <w:tcW w:w="1920" w:type="dxa"/>
            <w:vAlign w:val="bottom"/>
          </w:tcPr>
          <w:p>
            <w:pPr>
              <w:jc w:val="center"/>
              <w:ind w:right="110"/>
              <w:spacing w:after="0"/>
              <w:rPr>
                <w:sz w:val="20"/>
                <w:szCs w:val="20"/>
                <w:color w:val="auto"/>
              </w:rPr>
            </w:pPr>
            <w:r>
              <w:rPr>
                <w:rFonts w:ascii="Arial" w:cs="Arial" w:eastAsia="Arial" w:hAnsi="Arial"/>
                <w:sz w:val="18"/>
                <w:szCs w:val="18"/>
                <w:color w:val="auto"/>
                <w:w w:val="89"/>
              </w:rPr>
              <w:t>Actual asset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Actual asset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allocation</w:t>
            </w: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4"/>
              </w:rPr>
              <w:t>allocation</w:t>
            </w:r>
          </w:p>
        </w:tc>
        <w:tc>
          <w:tcPr>
            <w:tcW w:w="1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allocation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allocation</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auto"/>
              </w:rPr>
              <w:t>Asset allocation:</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9"/>
              </w:rPr>
              <w:t>2021</w:t>
            </w:r>
          </w:p>
        </w:tc>
        <w:tc>
          <w:tcPr>
            <w:tcW w:w="1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1880" w:type="dxa"/>
            <w:vAlign w:val="bottom"/>
            <w:gridSpan w:val="2"/>
          </w:tcPr>
          <w:p>
            <w:pPr>
              <w:jc w:val="right"/>
              <w:ind w:right="195"/>
              <w:spacing w:after="0"/>
              <w:rPr>
                <w:sz w:val="20"/>
                <w:szCs w:val="20"/>
                <w:color w:val="auto"/>
              </w:rPr>
            </w:pPr>
            <w:r>
              <w:rPr>
                <w:rFonts w:ascii="Arial" w:cs="Arial" w:eastAsia="Arial" w:hAnsi="Arial"/>
                <w:sz w:val="18"/>
                <w:szCs w:val="18"/>
                <w:color w:val="auto"/>
              </w:rPr>
              <w:t xml:space="preserve">27 % </w:t>
            </w:r>
            <w:r>
              <w:rPr>
                <w:rFonts w:ascii="Arial" w:cs="Arial" w:eastAsia="Arial" w:hAnsi="Arial"/>
                <w:sz w:val="18"/>
                <w:szCs w:val="18"/>
                <w:color w:val="auto"/>
                <w:vertAlign w:val="superscript"/>
              </w:rPr>
              <w:t>(1)</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27 %</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27 %</w:t>
            </w: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21"/>
        </w:trPr>
        <w:tc>
          <w:tcPr>
            <w:tcW w:w="3920" w:type="dxa"/>
            <w:vAlign w:val="bottom"/>
            <w:vMerge w:val="restart"/>
          </w:tcPr>
          <w:p>
            <w:pPr>
              <w:ind w:left="200"/>
              <w:spacing w:after="0"/>
              <w:rPr>
                <w:sz w:val="20"/>
                <w:szCs w:val="20"/>
                <w:color w:val="auto"/>
              </w:rPr>
            </w:pPr>
            <w:r>
              <w:rPr>
                <w:rFonts w:ascii="Arial" w:cs="Arial" w:eastAsia="Arial" w:hAnsi="Arial"/>
                <w:sz w:val="18"/>
                <w:szCs w:val="18"/>
                <w:color w:val="auto"/>
              </w:rPr>
              <w:t>Non-U.S. equity securities</w:t>
            </w:r>
          </w:p>
        </w:tc>
        <w:tc>
          <w:tcPr>
            <w:tcW w:w="1500" w:type="dxa"/>
            <w:vAlign w:val="bottom"/>
            <w:vMerge w:val="restart"/>
          </w:tcPr>
          <w:p>
            <w:pPr>
              <w:jc w:val="right"/>
              <w:ind w:right="130"/>
              <w:spacing w:after="0"/>
              <w:rPr>
                <w:sz w:val="20"/>
                <w:szCs w:val="20"/>
                <w:color w:val="auto"/>
              </w:rPr>
            </w:pPr>
            <w:r>
              <w:rPr>
                <w:rFonts w:ascii="Arial" w:cs="Arial" w:eastAsia="Arial" w:hAnsi="Arial"/>
                <w:sz w:val="18"/>
                <w:szCs w:val="18"/>
                <w:color w:val="auto"/>
              </w:rPr>
              <w:t>18</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(2)</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18</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19</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vMerge w:val="continue"/>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200"/>
              <w:spacing w:after="0"/>
              <w:rPr>
                <w:sz w:val="20"/>
                <w:szCs w:val="20"/>
                <w:color w:val="auto"/>
              </w:rPr>
            </w:pPr>
            <w:r>
              <w:rPr>
                <w:rFonts w:ascii="Arial" w:cs="Arial" w:eastAsia="Arial" w:hAnsi="Arial"/>
                <w:sz w:val="18"/>
                <w:szCs w:val="18"/>
                <w:color w:val="auto"/>
              </w:rPr>
              <w:t>Total equity securities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21"/>
        </w:trPr>
        <w:tc>
          <w:tcPr>
            <w:tcW w:w="3920" w:type="dxa"/>
            <w:vAlign w:val="bottom"/>
            <w:vMerge w:val="restart"/>
          </w:tcPr>
          <w:p>
            <w:pPr>
              <w:ind w:left="120"/>
              <w:spacing w:after="0"/>
              <w:rPr>
                <w:sz w:val="20"/>
                <w:szCs w:val="20"/>
                <w:color w:val="auto"/>
              </w:rPr>
            </w:pPr>
            <w:r>
              <w:rPr>
                <w:rFonts w:ascii="Arial" w:cs="Arial" w:eastAsia="Arial" w:hAnsi="Arial"/>
                <w:sz w:val="18"/>
                <w:szCs w:val="18"/>
                <w:color w:val="auto"/>
              </w:rPr>
              <w:t>Debt securities</w:t>
            </w:r>
          </w:p>
        </w:tc>
        <w:tc>
          <w:tcPr>
            <w:tcW w:w="1500" w:type="dxa"/>
            <w:vAlign w:val="bottom"/>
            <w:vMerge w:val="restart"/>
          </w:tcPr>
          <w:p>
            <w:pPr>
              <w:jc w:val="right"/>
              <w:ind w:right="130"/>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(3)</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54</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53</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3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20" w:type="dxa"/>
            <w:vAlign w:val="bottom"/>
            <w:vMerge w:val="restart"/>
          </w:tcPr>
          <w:p>
            <w:pPr>
              <w:ind w:left="120"/>
              <w:spacing w:after="0"/>
              <w:rPr>
                <w:sz w:val="20"/>
                <w:szCs w:val="20"/>
                <w:color w:val="auto"/>
              </w:rPr>
            </w:pPr>
            <w:r>
              <w:rPr>
                <w:rFonts w:ascii="Arial" w:cs="Arial" w:eastAsia="Arial" w:hAnsi="Arial"/>
                <w:sz w:val="18"/>
                <w:szCs w:val="18"/>
                <w:color w:val="auto"/>
              </w:rPr>
              <w:t>Other</w:t>
            </w:r>
          </w:p>
        </w:tc>
        <w:tc>
          <w:tcPr>
            <w:tcW w:w="150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(4)</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1</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1</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vMerge w:val="continue"/>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100 %</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100% seek to achieve excess returns relative to the Russell 3000 Index.</w:t>
      </w:r>
    </w:p>
    <w:p>
      <w:pPr>
        <w:spacing w:after="0" w:line="68" w:lineRule="exact"/>
        <w:rPr>
          <w:rFonts w:ascii="Arial" w:cs="Arial" w:eastAsia="Arial" w:hAnsi="Arial"/>
          <w:sz w:val="14"/>
          <w:szCs w:val="14"/>
          <w:i w:val="1"/>
          <w:iCs w:val="1"/>
          <w:color w:val="auto"/>
        </w:rPr>
      </w:pPr>
    </w:p>
    <w:p>
      <w:pPr>
        <w:ind w:left="660" w:hanging="328"/>
        <w:spacing w:after="0" w:line="273" w:lineRule="auto"/>
        <w:tabs>
          <w:tab w:leader="none" w:pos="648"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11% are allocated to international small cap investments, while another 20% are allocated to international emerging market investments. The remaining 69% of the Non-U.S. equity securities are allocated to investments seeking to achieve excess returns relative to an international market index.</w:t>
      </w:r>
    </w:p>
    <w:p>
      <w:pPr>
        <w:spacing w:after="0" w:line="25" w:lineRule="exact"/>
        <w:rPr>
          <w:rFonts w:ascii="Arial" w:cs="Arial" w:eastAsia="Arial" w:hAnsi="Arial"/>
          <w:sz w:val="14"/>
          <w:szCs w:val="14"/>
          <w:i w:val="1"/>
          <w:iCs w:val="1"/>
          <w:color w:val="auto"/>
        </w:rPr>
      </w:pPr>
    </w:p>
    <w:p>
      <w:pPr>
        <w:ind w:left="640" w:hanging="308"/>
        <w:spacing w:after="0"/>
        <w:tabs>
          <w:tab w:leader="none" w:pos="6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Debt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58% are allocated to long U.S. Treasury Strips, 42% are allocated to U.S. corporate bonds with an emphasis on long duration bonds rated A or better.</w:t>
      </w:r>
    </w:p>
    <w:p>
      <w:pPr>
        <w:spacing w:after="0" w:line="68" w:lineRule="exact"/>
        <w:rPr>
          <w:rFonts w:ascii="Arial" w:cs="Arial" w:eastAsia="Arial" w:hAnsi="Arial"/>
          <w:sz w:val="14"/>
          <w:szCs w:val="14"/>
          <w:i w:val="1"/>
          <w:iCs w:val="1"/>
          <w:color w:val="auto"/>
        </w:rPr>
      </w:pPr>
    </w:p>
    <w:p>
      <w:pPr>
        <w:ind w:left="640" w:hanging="308"/>
        <w:spacing w:after="0"/>
        <w:tabs>
          <w:tab w:leader="none" w:pos="6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Institutional money market fund.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fair value measurements for the pension plan assets by major category and level of input as of:</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2022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6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73"/>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1" w:lineRule="exact"/>
              <w:rPr>
                <w:sz w:val="20"/>
                <w:szCs w:val="20"/>
                <w:color w:val="auto"/>
              </w:rPr>
            </w:pPr>
            <w:r>
              <w:rPr>
                <w:rFonts w:ascii="Arial" w:cs="Arial" w:eastAsia="Arial" w:hAnsi="Arial"/>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1" w:lineRule="exact"/>
              <w:rPr>
                <w:sz w:val="20"/>
                <w:szCs w:val="20"/>
                <w:color w:val="auto"/>
              </w:rPr>
            </w:pPr>
            <w:r>
              <w:rPr>
                <w:rFonts w:ascii="Arial" w:cs="Arial" w:eastAsia="Arial" w:hAnsi="Arial"/>
                <w:sz w:val="14"/>
                <w:szCs w:val="14"/>
                <w:color w:val="auto"/>
                <w:w w:val="97"/>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1" w:lineRule="exact"/>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2"/>
                <w:szCs w:val="12"/>
                <w:color w:val="auto"/>
              </w:rPr>
            </w:pPr>
          </w:p>
        </w:tc>
        <w:tc>
          <w:tcPr>
            <w:tcW w:w="1120" w:type="dxa"/>
            <w:vAlign w:val="bottom"/>
          </w:tcPr>
          <w:p>
            <w:pPr>
              <w:jc w:val="right"/>
              <w:ind w:right="295"/>
              <w:spacing w:after="0" w:line="141" w:lineRule="exact"/>
              <w:rPr>
                <w:sz w:val="20"/>
                <w:szCs w:val="20"/>
                <w:color w:val="auto"/>
              </w:rPr>
            </w:pPr>
            <w:r>
              <w:rPr>
                <w:rFonts w:ascii="Arial" w:cs="Arial" w:eastAsia="Arial" w:hAnsi="Arial"/>
                <w:sz w:val="14"/>
                <w:szCs w:val="14"/>
                <w:color w:val="auto"/>
              </w:rPr>
              <w:t>Net Asset</w:t>
            </w:r>
          </w:p>
        </w:tc>
        <w:tc>
          <w:tcPr>
            <w:tcW w:w="0" w:type="dxa"/>
            <w:vAlign w:val="bottom"/>
          </w:tcPr>
          <w:p>
            <w:pPr>
              <w:spacing w:after="0"/>
              <w:rPr>
                <w:sz w:val="1"/>
                <w:szCs w:val="1"/>
                <w:color w:val="auto"/>
              </w:rPr>
            </w:pPr>
          </w:p>
        </w:tc>
      </w:tr>
      <w:tr>
        <w:trPr>
          <w:trHeight w:val="182"/>
        </w:trPr>
        <w:tc>
          <w:tcPr>
            <w:tcW w:w="3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275"/>
              <w:spacing w:after="0"/>
              <w:rPr>
                <w:sz w:val="20"/>
                <w:szCs w:val="20"/>
                <w:color w:val="auto"/>
              </w:rPr>
            </w:pPr>
            <w:r>
              <w:rPr>
                <w:rFonts w:ascii="Arial" w:cs="Arial" w:eastAsia="Arial" w:hAnsi="Arial"/>
                <w:sz w:val="14"/>
                <w:szCs w:val="14"/>
                <w:color w:val="auto"/>
              </w:rPr>
              <w:t>Fair Value</w:t>
            </w:r>
          </w:p>
        </w:tc>
        <w:tc>
          <w:tcPr>
            <w:tcW w:w="360" w:type="dxa"/>
            <w:vAlign w:val="bottom"/>
          </w:tcPr>
          <w:p>
            <w:pPr>
              <w:spacing w:after="0"/>
              <w:rPr>
                <w:sz w:val="15"/>
                <w:szCs w:val="15"/>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color w:val="auto"/>
                <w:w w:val="93"/>
              </w:rPr>
              <w:t>Fair Value</w:t>
            </w:r>
          </w:p>
        </w:tc>
        <w:tc>
          <w:tcPr>
            <w:tcW w:w="260" w:type="dxa"/>
            <w:vAlign w:val="bottom"/>
          </w:tcPr>
          <w:p>
            <w:pPr>
              <w:spacing w:after="0"/>
              <w:rPr>
                <w:sz w:val="15"/>
                <w:szCs w:val="15"/>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Fair Value</w:t>
            </w:r>
          </w:p>
        </w:tc>
        <w:tc>
          <w:tcPr>
            <w:tcW w:w="280" w:type="dxa"/>
            <w:vAlign w:val="bottom"/>
          </w:tcPr>
          <w:p>
            <w:pPr>
              <w:spacing w:after="0"/>
              <w:rPr>
                <w:sz w:val="15"/>
                <w:szCs w:val="15"/>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color w:val="auto"/>
              </w:rPr>
              <w:t>Value (NAV)</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219,410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204,838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14,572</w:t>
            </w: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160,009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49,210</w:t>
            </w:r>
          </w:p>
        </w:tc>
        <w:tc>
          <w:tcPr>
            <w:tcW w:w="0" w:type="dxa"/>
            <w:vAlign w:val="bottom"/>
          </w:tcPr>
          <w:p>
            <w:pPr>
              <w:spacing w:after="0"/>
              <w:rPr>
                <w:sz w:val="1"/>
                <w:szCs w:val="1"/>
                <w:color w:val="auto"/>
              </w:rPr>
            </w:pPr>
          </w:p>
        </w:tc>
      </w:tr>
      <w:tr>
        <w:trPr>
          <w:trHeight w:val="222"/>
        </w:trPr>
        <w:tc>
          <w:tcPr>
            <w:tcW w:w="3660" w:type="dxa"/>
            <w:vAlign w:val="bottom"/>
          </w:tcPr>
          <w:p>
            <w:pPr>
              <w:ind w:left="320"/>
              <w:spacing w:after="0"/>
              <w:rPr>
                <w:sz w:val="20"/>
                <w:szCs w:val="20"/>
                <w:color w:val="auto"/>
              </w:rPr>
            </w:pPr>
            <w:r>
              <w:rPr>
                <w:rFonts w:ascii="Arial" w:cs="Arial" w:eastAsia="Arial" w:hAnsi="Arial"/>
                <w:sz w:val="18"/>
                <w:szCs w:val="18"/>
                <w:color w:val="auto"/>
              </w:rPr>
              <w:t>Total equity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379,419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315,637</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63,782</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439,004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439,004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11,443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11,443</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829,866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327,080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502,786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2021</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6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3" w:lineRule="exact"/>
              <w:rPr>
                <w:sz w:val="20"/>
                <w:szCs w:val="20"/>
                <w:color w:val="auto"/>
              </w:rPr>
            </w:pPr>
            <w:r>
              <w:rPr>
                <w:rFonts w:ascii="Arial" w:cs="Arial" w:eastAsia="Arial" w:hAnsi="Arial"/>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3" w:lineRule="exact"/>
              <w:rPr>
                <w:sz w:val="20"/>
                <w:szCs w:val="20"/>
                <w:color w:val="auto"/>
              </w:rPr>
            </w:pPr>
            <w:r>
              <w:rPr>
                <w:rFonts w:ascii="Arial" w:cs="Arial" w:eastAsia="Arial" w:hAnsi="Arial"/>
                <w:sz w:val="14"/>
                <w:szCs w:val="14"/>
                <w:color w:val="auto"/>
                <w:w w:val="97"/>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3" w:lineRule="exact"/>
              <w:rPr>
                <w:sz w:val="20"/>
                <w:szCs w:val="20"/>
                <w:color w:val="auto"/>
              </w:rPr>
            </w:pPr>
            <w:r>
              <w:rPr>
                <w:rFonts w:ascii="Arial" w:cs="Arial" w:eastAsia="Arial" w:hAnsi="Arial"/>
                <w:sz w:val="14"/>
                <w:szCs w:val="14"/>
                <w:color w:val="auto"/>
              </w:rPr>
              <w:t>Level 3</w:t>
            </w:r>
          </w:p>
        </w:tc>
        <w:tc>
          <w:tcPr>
            <w:tcW w:w="240" w:type="dxa"/>
            <w:vAlign w:val="bottom"/>
          </w:tcPr>
          <w:p>
            <w:pPr>
              <w:spacing w:after="0"/>
              <w:rPr>
                <w:sz w:val="12"/>
                <w:szCs w:val="12"/>
                <w:color w:val="auto"/>
              </w:rPr>
            </w:pPr>
          </w:p>
        </w:tc>
        <w:tc>
          <w:tcPr>
            <w:tcW w:w="1160" w:type="dxa"/>
            <w:vAlign w:val="bottom"/>
          </w:tcPr>
          <w:p>
            <w:pPr>
              <w:jc w:val="right"/>
              <w:ind w:right="295"/>
              <w:spacing w:after="0" w:line="143" w:lineRule="exact"/>
              <w:rPr>
                <w:sz w:val="20"/>
                <w:szCs w:val="20"/>
                <w:color w:val="auto"/>
              </w:rPr>
            </w:pPr>
            <w:r>
              <w:rPr>
                <w:rFonts w:ascii="Arial" w:cs="Arial" w:eastAsia="Arial" w:hAnsi="Arial"/>
                <w:sz w:val="14"/>
                <w:szCs w:val="14"/>
                <w:color w:val="auto"/>
              </w:rPr>
              <w:t>Net Asset</w:t>
            </w:r>
          </w:p>
        </w:tc>
        <w:tc>
          <w:tcPr>
            <w:tcW w:w="0" w:type="dxa"/>
            <w:vAlign w:val="bottom"/>
          </w:tcPr>
          <w:p>
            <w:pPr>
              <w:spacing w:after="0"/>
              <w:rPr>
                <w:sz w:val="1"/>
                <w:szCs w:val="1"/>
                <w:color w:val="auto"/>
              </w:rPr>
            </w:pPr>
          </w:p>
        </w:tc>
      </w:tr>
      <w:tr>
        <w:trPr>
          <w:trHeight w:val="199"/>
        </w:trPr>
        <w:tc>
          <w:tcPr>
            <w:tcW w:w="36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Fair Value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w w:val="93"/>
              </w:rPr>
              <w:t>Fair Value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Fair Value</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4"/>
                <w:szCs w:val="14"/>
                <w:color w:val="auto"/>
                <w:w w:val="97"/>
              </w:rPr>
              <w:t xml:space="preserve">Value (NAV) </w:t>
            </w:r>
            <w:r>
              <w:rPr>
                <w:rFonts w:ascii="Arial" w:cs="Arial" w:eastAsia="Arial" w:hAnsi="Arial"/>
                <w:sz w:val="18"/>
                <w:szCs w:val="18"/>
                <w:color w:val="auto"/>
                <w:w w:val="97"/>
                <w:vertAlign w:val="superscript"/>
              </w:rPr>
              <w:t>(1)</w:t>
            </w:r>
          </w:p>
        </w:tc>
        <w:tc>
          <w:tcPr>
            <w:tcW w:w="0" w:type="dxa"/>
            <w:vAlign w:val="bottom"/>
          </w:tcPr>
          <w:p>
            <w:pPr>
              <w:spacing w:after="0"/>
              <w:rPr>
                <w:sz w:val="1"/>
                <w:szCs w:val="1"/>
                <w:color w:val="auto"/>
              </w:rPr>
            </w:pPr>
          </w:p>
        </w:tc>
      </w:tr>
      <w:tr>
        <w:trPr>
          <w:trHeight w:val="209"/>
        </w:trPr>
        <w:tc>
          <w:tcPr>
            <w:tcW w:w="366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305,440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305,440</w:t>
            </w: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200,949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139,688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61,261</w:t>
            </w:r>
          </w:p>
        </w:tc>
        <w:tc>
          <w:tcPr>
            <w:tcW w:w="0" w:type="dxa"/>
            <w:vAlign w:val="bottom"/>
          </w:tcPr>
          <w:p>
            <w:pPr>
              <w:spacing w:after="0"/>
              <w:rPr>
                <w:sz w:val="1"/>
                <w:szCs w:val="1"/>
                <w:color w:val="auto"/>
              </w:rPr>
            </w:pPr>
          </w:p>
        </w:tc>
      </w:tr>
      <w:tr>
        <w:trPr>
          <w:trHeight w:val="222"/>
        </w:trPr>
        <w:tc>
          <w:tcPr>
            <w:tcW w:w="3660" w:type="dxa"/>
            <w:vAlign w:val="bottom"/>
          </w:tcPr>
          <w:p>
            <w:pPr>
              <w:ind w:left="320"/>
              <w:spacing w:after="0"/>
              <w:rPr>
                <w:sz w:val="20"/>
                <w:szCs w:val="20"/>
                <w:color w:val="auto"/>
              </w:rPr>
            </w:pPr>
            <w:r>
              <w:rPr>
                <w:rFonts w:ascii="Arial" w:cs="Arial" w:eastAsia="Arial" w:hAnsi="Arial"/>
                <w:sz w:val="18"/>
                <w:szCs w:val="18"/>
                <w:color w:val="auto"/>
              </w:rPr>
              <w:t>Total equity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506,389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139,688</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366,701</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620,337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620,337</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13,517</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1,140,243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153,205</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987,038</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(1) Amounts were reclassified from Level 2 fair value to NAV to conform to current period presentation.</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Estimates of fair values of the pension plan assets are obtained primarily from the trustee and custodian of our pension plan. Our Level 1 category includes a money market mutual fund, an exchange traded fund, and a separate account for which the fair value is determined using an exchange traded price provided by the trustee and custodian. Commingled pools are valued based on NAV per share or unit as a practical expedient as reported by the fund manager, multiplied by the number of shares or units held as of the measurement date. Accordingly, these NAV-based investments have been excluded from the fair value hierarchy. These investments have minimal redemption notice periods and are redeemable daily at the NAV, less transaction fees, without significant restrictions. There are no significant unfunded commitments related to these investments.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of benefits expected to be paid over the next 10 years from our pension plans as of:</w:t>
      </w:r>
    </w:p>
    <w:p>
      <w:pPr>
        <w:spacing w:after="0" w:line="368" w:lineRule="exact"/>
        <w:rPr>
          <w:sz w:val="20"/>
          <w:szCs w:val="20"/>
          <w:color w:val="auto"/>
        </w:rPr>
      </w:pPr>
    </w:p>
    <w:tbl>
      <w:tblPr>
        <w:tblLayout w:type="fixed"/>
        <w:tblInd w:w="3620" w:type="dxa"/>
        <w:tblCellMar>
          <w:top w:w="0" w:type="dxa"/>
          <w:left w:w="0" w:type="dxa"/>
          <w:bottom w:w="0" w:type="dxa"/>
          <w:right w:w="0" w:type="dxa"/>
        </w:tblCellMar>
      </w:tblPr>
      <w:tr>
        <w:trPr>
          <w:trHeight w:val="182"/>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1"/>
        </w:trPr>
        <w:tc>
          <w:tcPr>
            <w:tcW w:w="1900" w:type="dxa"/>
            <w:vAlign w:val="bottom"/>
          </w:tcPr>
          <w:p>
            <w:pPr>
              <w:jc w:val="center"/>
              <w:ind w:left="194"/>
              <w:spacing w:after="0"/>
              <w:rPr>
                <w:sz w:val="20"/>
                <w:szCs w:val="20"/>
                <w:color w:val="auto"/>
              </w:rPr>
            </w:pPr>
            <w:r>
              <w:rPr>
                <w:rFonts w:ascii="Arial" w:cs="Arial" w:eastAsia="Arial" w:hAnsi="Arial"/>
                <w:sz w:val="16"/>
                <w:szCs w:val="16"/>
                <w:color w:val="auto"/>
                <w:w w:val="90"/>
              </w:rPr>
              <w:t>Year ending</w:t>
            </w:r>
          </w:p>
        </w:tc>
        <w:tc>
          <w:tcPr>
            <w:tcW w:w="6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6"/>
                <w:szCs w:val="16"/>
                <w:color w:val="auto"/>
              </w:rPr>
              <w:t>Expected future</w:t>
            </w:r>
          </w:p>
        </w:tc>
      </w:tr>
      <w:tr>
        <w:trPr>
          <w:trHeight w:val="209"/>
        </w:trPr>
        <w:tc>
          <w:tcPr>
            <w:tcW w:w="1900" w:type="dxa"/>
            <w:vAlign w:val="bottom"/>
            <w:tcBorders>
              <w:bottom w:val="single" w:sz="8" w:color="auto"/>
            </w:tcBorders>
          </w:tcPr>
          <w:p>
            <w:pPr>
              <w:jc w:val="center"/>
              <w:ind w:left="194"/>
              <w:spacing w:after="0"/>
              <w:rPr>
                <w:sz w:val="20"/>
                <w:szCs w:val="20"/>
                <w:color w:val="auto"/>
              </w:rPr>
            </w:pPr>
            <w:r>
              <w:rPr>
                <w:rFonts w:ascii="Arial" w:cs="Arial" w:eastAsia="Arial" w:hAnsi="Arial"/>
                <w:sz w:val="16"/>
                <w:szCs w:val="16"/>
                <w:color w:val="auto"/>
                <w:w w:val="89"/>
              </w:rPr>
              <w:t>December 31,</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color w:val="auto"/>
              </w:rPr>
              <w:t>benefit payments</w:t>
            </w:r>
          </w:p>
        </w:tc>
      </w:tr>
      <w:tr>
        <w:trPr>
          <w:trHeight w:val="225"/>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2023</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33,827</w:t>
            </w:r>
          </w:p>
        </w:tc>
      </w:tr>
      <w:tr>
        <w:trPr>
          <w:trHeight w:val="229"/>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36,175</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2025</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39,205</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41,731</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2027</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44,904</w:t>
            </w:r>
          </w:p>
        </w:tc>
      </w:tr>
      <w:tr>
        <w:trPr>
          <w:trHeight w:val="230"/>
        </w:trPr>
        <w:tc>
          <w:tcPr>
            <w:tcW w:w="1900" w:type="dxa"/>
            <w:vAlign w:val="bottom"/>
          </w:tcPr>
          <w:p>
            <w:pPr>
              <w:jc w:val="center"/>
              <w:ind w:left="194"/>
              <w:spacing w:after="0"/>
              <w:rPr>
                <w:sz w:val="20"/>
                <w:szCs w:val="20"/>
                <w:color w:val="auto"/>
              </w:rPr>
            </w:pPr>
            <w:r>
              <w:rPr>
                <w:rFonts w:ascii="Arial" w:cs="Arial" w:eastAsia="Arial" w:hAnsi="Arial"/>
                <w:sz w:val="18"/>
                <w:szCs w:val="18"/>
                <w:color w:val="auto"/>
                <w:w w:val="89"/>
              </w:rPr>
              <w:t>2028 - 2032</w:t>
            </w:r>
          </w:p>
        </w:tc>
        <w:tc>
          <w:tcPr>
            <w:tcW w:w="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276,456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All full-time and regular part-time employees are eligible to participate in a qualified 401(k) savings plan. We match 100% of the participant contributions up to 3% of compensation and 50% of participant contributions over 3% and up to 5% of compensation. Matching contributions paid to the plan were $16.7 million in 2022, $16.1 million in 2021, and $15.8 million in 2020. The Exchange and its subsidiaries reimbursed us for approximately 59% of the matching contributions.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0.1 million and 0.2 million shares of our Class A common stock at December 31, 2022 and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Incentive and Deferred Compensation Plans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two incentive plans and two deferred compensation plans for our executives, senior vice presidents and other selected officers, and two deferred compensation plans for our outside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annual incentive plan ("AIP") is a bonus plan that pays cash to our executives, senior vice presidents and other selected officers annually. Participants can elect to defer up to 100% of the award under either the deferred compensation plan or the incentive compensation deferral plan. If the funding qualifier is met, plan participants are eligible to receive the incentive based upon attainment of corporate and individual performance measures, which can include various financial measures. The measures are established at the beginning of each year by the Executive Compensation and Development Committee of our Board of Directors ("ECDC"), with ultimate approval by the full Board of Directors. The corporate performance measures included the reported growth in direct written premium and statutory combined ratio of the Exchange and its property and casualty subsidiaries for all periods presented. For 2022 and 2021, growth in policies in force was also included as a performance measure.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long-term incentive plan ("LTIP") is a performance based incentive plan designed to reward executives, senior vice presidents and other selected officers who can have a significant impact on our long-term performance, and to further align the interests of such employees with those of our shareholders. The LTIP permits grants of performance shares or units, or phantom shares, to be satisfied with shares of our Class A common stock or cash payment as determined by the ECDC. Participants can elect to defer up to 100% of the award under the incentive compensation deferral plan. The ECDC determines the form of the award to be granted at the beginning of each performance period, which is generally a three-year period. The number of shares of our common stock authorized for grant under the LTIP is 1.5 million shares, with no one person able to receive more than 250,000 shares or the equivalent of $5 million during any one performance period. We repurchase our Class A common stock on the open market to settle stock awards under the plan. We do not issue new shares of common stock to settle stock awards. LTIP awards are considered vested at the end of each applicable performance period.</w:t>
      </w:r>
    </w:p>
    <w:p>
      <w:pPr>
        <w:spacing w:after="0" w:line="2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LTIP provides the recipient the right to earn performance shares or units, or phantom stock, based on the level of achievement of performance goals as defined by us. Performance measures and a peer group of property and casualty companies to be used for comparison are determined by the ECDC. The performance measures for all periods presented were the reported growth in direct written premium and statutory combined ratio of the Exchange and its property and casualty subsidiaries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2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December 31, 2022, the plan awards for the 2020-2022 performance period, which will be granted as a cash award, were fully vested. Distributions will be made in 2023 once peer group financial information becomes available. The total estimated plan award based upon the peer group information as of September 30, 2022 is $5.4 million. At December 31, 2021, the fully vested cash awards for the 2019-2021 performance period that were not deferred totaled $3.8 million and were paid to participants in June 2022. At December 31, 2020, the fully vested cash awards for the 2018-2020 performance period that were not deferred totaled $10.9 million and were paid to participants in June 2021. At December 31, 2019, the fully vested cash awards for the 2017-2019 performance period that were not deferred totaled $7.4 million and were paid to participants in June 2020. The ECDC has determined that the plan awards for the 2021-2023 and 2022-2024 performance periods will be paid in cash.</w:t>
      </w:r>
    </w:p>
    <w:p>
      <w:pPr>
        <w:spacing w:after="0" w:line="17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Exchange and its subsidiaries reimburse us for compensation costs of employees performing administrative services. Earned compensation costs are allocated to these entities and reimbursed to us in cash once the payout is made. The total compensation cost charged to operations related to these LTIP awards, net of forfeitures, was $3.4 million in 2022, $3.0 million in 2021, and $12.0 million in 2020. The related tax benefits recognized in income were $0.7 million in 2022, $0.6 million in 2021, and $2.5 million in 2020. The Exchange and its subsidiaries reimburse us for approximately 41% of the annual compensation cost of these plans. At December 31, 2022, there was $5.9 million of total unrecognized compensation cost for non-vested LTIP awards related to open performance periods. Unrecognized compensation is expected to be recognized over a period of two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deferred compensation plan allows executives, senior vice presidents and other selected officers to elect to defer receipt of a portion of their compensation and AIP cash awards until a later date. Employer 401(k) matching contributions that are in excess of the annual contribution or compensation limits are also credited to the participant accounts for those who elected to defer receipt of some portion of their base salary. Participants select hypothetical investment funds for their deferrals, which are credited with the hypothetical returns generated.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compensation deferral plan</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an unfunded, non-qualified incentive compensation deferral plan for participants of the AIP and LTIP. Participants can elect to defer up to 100% of their annual AIP award and/or up to 100% of their LTIP award for each performance period. Deferred awards will be credited to a deferred stock account as credits denominated in shares of our Class A common stock until retirement or other separation from service. Participants are 100% vested at date of deferral. The shares are held in a rabbi trust, which was established to hold the shares earned under both the incentive compensation deferral plan and the deferred stock compensation plan for outside directors. The rabbi trust is classified and accounted for as equity in a manner consistent with the accounting for treasury stock. Dividends received on the shares in the rabbi trust are used to purchase additional shares. Vested share credits will be paid to participants from the rabbi trust upon separation from service in approximate equal annual installments of Class A shares for a period of three years. In 2022, the rabbi trust purchased 2,879 shares of our common stock in the open market at an average price of $173.52 for $0.5 million to satisfy the liability for the 2021 AIP awards and 4,167 shares at an average price of $178.45 for $0.7 million to satisfy the liability for the 2019-2021 LTIP performance period awards deferred under the incentive compensation deferral plan. In 2021, the rabbi trust purchased 2,570 shares of our common stock in the open market at an average price of $232.81 for $0.6 million to satisfy the liability for the 2020 AIP awards and 17,881 shares at an average share price of $191.25 for $3.4 million to satisfy the liability for the 2018-2020 LTIP performance period awards deferred under the incentive compensation deferral plan. In 2020, the rabbi trust purchased 3,934 shares of our common stock in the open market at an average price of $155.92 for $0.6 million to satisfy the liability for the 2019 AIP awards deferred under the incentive compensation deferral plan and 18,126 shares at an average price of $185.31 for $3.4 million to satisfy the liability for the 2017-2019 LTIP performance period awards deferred under the incentive compensation deferral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 for outside directors</w:t>
      </w:r>
    </w:p>
    <w:p>
      <w:pPr>
        <w:spacing w:after="0" w:line="23"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We have a deferred compensation plan for our outside directors that allows participants to defer receipt of a portion of their annual compensation until a later date. Participants select hypothetical investment funds for their deferrals, which are credited with the hypothetical returns generated.</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have a deferred stock compensation plan for our outside directors to further align the interests of directors with those of our shareholders that provides for a portion of the directors' annual compensation in shares of our Class A common stock. Each director vests in the grant 25% every three months over the course of a year. Dividends paid by us are credited to each director's account and vest immediately. We do not issue new shares of common stock to directors. Our practice is to repurchase shares of our Class A common stock in the open market to satisfy these awards, which are held in the rabbi trust.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rabbi trust purchased 6,048 shares of our common stock on the open market at an average price of $201.93 for $1.2 million in 2022, 5,238 shares at an average price of $212.41 for $1.1 million in 2021, and 7,401 shares at an average price of $201.78 for $1.5 million in 2020 to satisfy the liability of the stock compensation plan for outside directors. The shares are distributed to the outside director from the rabbi trust upon ending board service. Director compensation charged to operations related to these awards totaled $0.8 million in both 2022 and 2021, and $0.9 million in 2020.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reconciliation of beginning and ending balances of our deferred executive compensation liability as of December 31:</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5"/>
        </w:trPr>
        <w:tc>
          <w:tcPr>
            <w:tcW w:w="8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r>
      <w:tr>
        <w:trPr>
          <w:trHeight w:val="222"/>
        </w:trPr>
        <w:tc>
          <w:tcPr>
            <w:tcW w:w="8080" w:type="dxa"/>
            <w:vAlign w:val="bottom"/>
          </w:tcPr>
          <w:p>
            <w:pPr>
              <w:spacing w:after="0"/>
              <w:rPr>
                <w:sz w:val="20"/>
                <w:szCs w:val="20"/>
                <w:color w:val="auto"/>
              </w:rPr>
            </w:pPr>
            <w:r>
              <w:rPr>
                <w:rFonts w:ascii="Arial" w:cs="Arial" w:eastAsia="Arial" w:hAnsi="Arial"/>
                <w:sz w:val="18"/>
                <w:szCs w:val="18"/>
                <w:b w:val="1"/>
                <w:bCs w:val="1"/>
                <w:color w:val="auto"/>
              </w:rPr>
              <w:t>Deferred executive compensation, beginning of the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27,208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32,223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24,616</w:t>
            </w:r>
          </w:p>
        </w:tc>
      </w:tr>
      <w:tr>
        <w:trPr>
          <w:trHeight w:val="229"/>
        </w:trPr>
        <w:tc>
          <w:tcPr>
            <w:tcW w:w="8080" w:type="dxa"/>
            <w:vAlign w:val="bottom"/>
          </w:tcPr>
          <w:p>
            <w:pPr>
              <w:ind w:left="120"/>
              <w:spacing w:after="0"/>
              <w:rPr>
                <w:sz w:val="20"/>
                <w:szCs w:val="20"/>
                <w:color w:val="auto"/>
              </w:rPr>
            </w:pPr>
            <w:r>
              <w:rPr>
                <w:rFonts w:ascii="Arial" w:cs="Arial" w:eastAsia="Arial" w:hAnsi="Arial"/>
                <w:sz w:val="18"/>
                <w:szCs w:val="18"/>
                <w:color w:val="auto"/>
              </w:rPr>
              <w:t>Annual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6,305</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6,768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5,619</w:t>
            </w:r>
          </w:p>
        </w:tc>
      </w:tr>
      <w:tr>
        <w:trPr>
          <w:trHeight w:val="229"/>
        </w:trPr>
        <w:tc>
          <w:tcPr>
            <w:tcW w:w="8080" w:type="dxa"/>
            <w:vAlign w:val="bottom"/>
          </w:tcPr>
          <w:p>
            <w:pPr>
              <w:ind w:left="120"/>
              <w:spacing w:after="0"/>
              <w:rPr>
                <w:sz w:val="20"/>
                <w:szCs w:val="20"/>
                <w:color w:val="auto"/>
              </w:rPr>
            </w:pPr>
            <w:r>
              <w:rPr>
                <w:rFonts w:ascii="Arial" w:cs="Arial" w:eastAsia="Arial" w:hAnsi="Arial"/>
                <w:sz w:val="18"/>
                <w:szCs w:val="18"/>
                <w:color w:val="auto"/>
              </w:rPr>
              <w:t>Long-term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3,417</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12,381</w:t>
            </w:r>
          </w:p>
        </w:tc>
      </w:tr>
      <w:tr>
        <w:trPr>
          <w:trHeight w:val="230"/>
        </w:trPr>
        <w:tc>
          <w:tcPr>
            <w:tcW w:w="8080" w:type="dxa"/>
            <w:vAlign w:val="bottom"/>
          </w:tcPr>
          <w:p>
            <w:pPr>
              <w:ind w:left="120"/>
              <w:spacing w:after="0"/>
              <w:rPr>
                <w:sz w:val="20"/>
                <w:szCs w:val="20"/>
                <w:color w:val="auto"/>
              </w:rPr>
            </w:pPr>
            <w:r>
              <w:rPr>
                <w:rFonts w:ascii="Arial" w:cs="Arial" w:eastAsia="Arial" w:hAnsi="Arial"/>
                <w:sz w:val="18"/>
                <w:szCs w:val="18"/>
                <w:color w:val="auto"/>
              </w:rPr>
              <w:t>Employer match and hypothetical earnings on deferred compensation</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23"/>
        </w:trPr>
        <w:tc>
          <w:tcPr>
            <w:tcW w:w="8080" w:type="dxa"/>
            <w:vAlign w:val="bottom"/>
          </w:tcPr>
          <w:p>
            <w:pPr>
              <w:ind w:left="200"/>
              <w:spacing w:after="0"/>
              <w:rPr>
                <w:sz w:val="20"/>
                <w:szCs w:val="20"/>
                <w:color w:val="auto"/>
              </w:rPr>
            </w:pPr>
            <w:r>
              <w:rPr>
                <w:rFonts w:ascii="Arial" w:cs="Arial" w:eastAsia="Arial" w:hAnsi="Arial"/>
                <w:sz w:val="18"/>
                <w:szCs w:val="18"/>
                <w:color w:val="auto"/>
              </w:rPr>
              <w:t>Total plan awards and 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10,126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13,282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20,962</w:t>
            </w:r>
          </w:p>
        </w:tc>
      </w:tr>
      <w:tr>
        <w:trPr>
          <w:trHeight w:val="223"/>
        </w:trPr>
        <w:tc>
          <w:tcPr>
            <w:tcW w:w="8080" w:type="dxa"/>
            <w:vAlign w:val="bottom"/>
          </w:tcPr>
          <w:p>
            <w:pPr>
              <w:ind w:left="200"/>
              <w:spacing w:after="0"/>
              <w:rPr>
                <w:sz w:val="20"/>
                <w:szCs w:val="20"/>
                <w:color w:val="auto"/>
              </w:rPr>
            </w:pPr>
            <w:r>
              <w:rPr>
                <w:rFonts w:ascii="Arial" w:cs="Arial" w:eastAsia="Arial" w:hAnsi="Arial"/>
                <w:sz w:val="18"/>
                <w:szCs w:val="18"/>
                <w:color w:val="auto"/>
              </w:rPr>
              <w:t>Total plan awards paid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r>
      <w:tr>
        <w:trPr>
          <w:trHeight w:val="222"/>
        </w:trPr>
        <w:tc>
          <w:tcPr>
            <w:tcW w:w="8080" w:type="dxa"/>
            <w:vAlign w:val="bottom"/>
          </w:tcPr>
          <w:p>
            <w:pPr>
              <w:ind w:left="120"/>
              <w:spacing w:after="0"/>
              <w:rPr>
                <w:sz w:val="20"/>
                <w:szCs w:val="20"/>
                <w:color w:val="auto"/>
              </w:rPr>
            </w:pPr>
            <w:r>
              <w:rPr>
                <w:rFonts w:ascii="Arial" w:cs="Arial" w:eastAsia="Arial" w:hAnsi="Arial"/>
                <w:sz w:val="18"/>
                <w:szCs w:val="18"/>
                <w:color w:val="auto"/>
              </w:rPr>
              <w:t>Compensation deferred</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2,528</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4,765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4,668</w:t>
            </w:r>
          </w:p>
        </w:tc>
      </w:tr>
      <w:tr>
        <w:trPr>
          <w:trHeight w:val="224"/>
        </w:trPr>
        <w:tc>
          <w:tcPr>
            <w:tcW w:w="8080" w:type="dxa"/>
            <w:vAlign w:val="bottom"/>
          </w:tcPr>
          <w:p>
            <w:pPr>
              <w:ind w:left="120"/>
              <w:spacing w:after="0"/>
              <w:rPr>
                <w:sz w:val="20"/>
                <w:szCs w:val="20"/>
                <w:color w:val="auto"/>
              </w:rPr>
            </w:pPr>
            <w:r>
              <w:rPr>
                <w:rFonts w:ascii="Arial" w:cs="Arial" w:eastAsia="Arial" w:hAnsi="Arial"/>
                <w:sz w:val="18"/>
                <w:szCs w:val="18"/>
                <w:color w:val="auto"/>
              </w:rPr>
              <w:t>Distributions from the deferred compensation plans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35"/>
        </w:trPr>
        <w:tc>
          <w:tcPr>
            <w:tcW w:w="8080" w:type="dxa"/>
            <w:vAlign w:val="bottom"/>
          </w:tcPr>
          <w:p>
            <w:pPr>
              <w:ind w:left="120"/>
              <w:spacing w:after="0" w:line="235"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4"/>
        </w:trPr>
        <w:tc>
          <w:tcPr>
            <w:tcW w:w="8080" w:type="dxa"/>
            <w:vAlign w:val="bottom"/>
          </w:tcPr>
          <w:p>
            <w:pPr>
              <w:ind w:left="120"/>
              <w:spacing w:after="0"/>
              <w:rPr>
                <w:sz w:val="20"/>
                <w:szCs w:val="20"/>
                <w:color w:val="auto"/>
              </w:rPr>
            </w:pPr>
            <w:r>
              <w:rPr>
                <w:rFonts w:ascii="Arial" w:cs="Arial" w:eastAsia="Arial" w:hAnsi="Arial"/>
                <w:sz w:val="18"/>
                <w:szCs w:val="18"/>
                <w:color w:val="auto"/>
              </w:rPr>
              <w:t>Funding of rabbi trust for deferred stock compensation plan for outside directors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6"/>
        </w:trPr>
        <w:tc>
          <w:tcPr>
            <w:tcW w:w="8080" w:type="dxa"/>
            <w:vAlign w:val="bottom"/>
          </w:tcPr>
          <w:p>
            <w:pPr>
              <w:ind w:left="120"/>
              <w:spacing w:after="0" w:line="235" w:lineRule="exact"/>
              <w:rPr>
                <w:sz w:val="20"/>
                <w:szCs w:val="20"/>
                <w:color w:val="auto"/>
              </w:rPr>
            </w:pPr>
            <w:r>
              <w:rPr>
                <w:rFonts w:ascii="Arial" w:cs="Arial" w:eastAsia="Arial" w:hAnsi="Arial"/>
                <w:sz w:val="18"/>
                <w:szCs w:val="18"/>
                <w:color w:val="auto"/>
              </w:rPr>
              <w:t xml:space="preserve">Funding of rabbi trust for incentive compensation deferral plan </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Deferred executive compensation, end of the year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27,208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32,223</w:t>
            </w: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Forfeitures are the result of plan participants who separated from service and are recognized in the year they occur.</w:t>
      </w:r>
    </w:p>
    <w:p>
      <w:pPr>
        <w:spacing w:after="0" w:line="257" w:lineRule="exact"/>
        <w:rPr>
          <w:rFonts w:ascii="Arial" w:cs="Arial" w:eastAsia="Arial" w:hAnsi="Arial"/>
          <w:sz w:val="14"/>
          <w:szCs w:val="14"/>
          <w:i w:val="1"/>
          <w:iCs w:val="1"/>
          <w:color w:val="auto"/>
        </w:rPr>
      </w:pPr>
    </w:p>
    <w:p>
      <w:pPr>
        <w:ind w:left="660" w:right="180" w:hanging="328"/>
        <w:spacing w:after="0" w:line="293" w:lineRule="auto"/>
        <w:tabs>
          <w:tab w:leader="none" w:pos="648"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 2022, funding includes $0.5 million representing shares held back to satisfy tax withholding on rabbi trust distributions that reduced funding requirements for performance award deferrals.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also have an equity compensation plan ("ECP") designed to reward key employees, as determined by the ECDC or the chief executive officer,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our Class A common stock authorized for grant under the ECP is 100,000 shares, with no one person able to receive more than 10,000 shares in a calendar year. We do not issue new shares of common stock to satisfy plan awards. Share awards are settled through the repurchase of our Class A common stock on the open market. Restricted share awards may be entitled to receive dividends payable during the performance period, or, if subject to performance goals, to receive dividend equivalents payable upon vesting. Dividend equivalents may provide for the crediting of interest or hypothetical investment experience, payable after expiration of the performance period. Vesting conditions are determined at the time the award is granted and may include continuation of employment for a specific period, satisfaction of performance goals and the defined performance period, and the satisfaction of any other terms and conditions as determined to be appropriate. The ECP expires December 31, 2031, unless earlier amended or terminated by our Board of Directors.</w:t>
      </w:r>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date, all awards have been satisfied with shares of our Class A common stock. In 2022, we purchased 1,786 Class A shares with an average share price of $190.68 and a market value of $0.3 million to satisfy the liability for the 2019 plan year. In 2021, we purchased 978 Class A shares with an average share price of $242.01 and a market value of $0.2 million to satisfy the liability for the 2018 plan year. In 2020, we purchased 1,787 shares with an average share price of $165.82 and a market value of $0.3 million to satisfy the liability for the 2017 plan year. The total compensation charged to operations related to these ECP awards was $0.8 million in 2022, $0.2 million in 2021, and $0.7 million in 2020. The Exchange and its subsidiaries reimburse us for earned compensation costs of employees performing administrative services, which can fluctuate each year based on the plan participants. The Exchange and its subsidiaries reimbursed us for approximately 3%, 33%, and 59% of the awards paid in 2022, 2021, and 2020 respectively. Unearned compensation expense of $1.3 million is expected to be recognized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5"/>
        </w:trPr>
        <w:tc>
          <w:tcPr>
            <w:tcW w:w="59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68,415</w:t>
            </w:r>
          </w:p>
        </w:tc>
        <w:tc>
          <w:tcPr>
            <w:tcW w:w="112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rPr>
              <w:t>80,398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ind w:left="720"/>
              <w:spacing w:after="0"/>
              <w:rPr>
                <w:sz w:val="20"/>
                <w:szCs w:val="20"/>
                <w:color w:val="auto"/>
              </w:rPr>
            </w:pPr>
            <w:r>
              <w:rPr>
                <w:rFonts w:ascii="Arial" w:cs="Arial" w:eastAsia="Arial" w:hAnsi="Arial"/>
                <w:sz w:val="18"/>
                <w:szCs w:val="18"/>
                <w:color w:val="auto"/>
                <w:w w:val="98"/>
              </w:rPr>
              <w:t>80,373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9,468</w:t>
            </w: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(1,854)</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1"/>
              </w:rPr>
              <w:t>(5,162)</w:t>
            </w:r>
          </w:p>
        </w:tc>
      </w:tr>
      <w:tr>
        <w:trPr>
          <w:trHeight w:val="223"/>
        </w:trPr>
        <w:tc>
          <w:tcPr>
            <w:tcW w:w="59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77,883</w:t>
            </w:r>
          </w:p>
        </w:tc>
        <w:tc>
          <w:tcPr>
            <w:tcW w:w="11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78,544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8"/>
              </w:rPr>
              <w:t>75,211</w:t>
            </w:r>
          </w:p>
        </w:tc>
      </w:tr>
      <w:tr>
        <w:trPr>
          <w:trHeight w:val="21"/>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 to pre-tax income, is as follows for the years ended December 31:</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5"/>
        </w:trPr>
        <w:tc>
          <w:tcPr>
            <w:tcW w:w="59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79,055</w:t>
            </w:r>
          </w:p>
        </w:tc>
        <w:tc>
          <w:tcPr>
            <w:tcW w:w="11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79,045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ind w:left="720"/>
              <w:spacing w:after="0"/>
              <w:rPr>
                <w:sz w:val="20"/>
                <w:szCs w:val="20"/>
                <w:color w:val="auto"/>
              </w:rPr>
            </w:pPr>
            <w:r>
              <w:rPr>
                <w:rFonts w:ascii="Arial" w:cs="Arial" w:eastAsia="Arial" w:hAnsi="Arial"/>
                <w:sz w:val="18"/>
                <w:szCs w:val="18"/>
                <w:color w:val="auto"/>
                <w:w w:val="98"/>
              </w:rPr>
              <w:t>77,388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(1,172)</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1"/>
              </w:rPr>
              <w:t>(2,177)</w:t>
            </w:r>
          </w:p>
        </w:tc>
      </w:tr>
      <w:tr>
        <w:trPr>
          <w:trHeight w:val="223"/>
        </w:trPr>
        <w:tc>
          <w:tcPr>
            <w:tcW w:w="59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77,883</w:t>
            </w:r>
          </w:p>
        </w:tc>
        <w:tc>
          <w:tcPr>
            <w:tcW w:w="11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78,544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8"/>
              </w:rPr>
              <w:t>75,211</w:t>
            </w:r>
          </w:p>
        </w:tc>
      </w:tr>
      <w:tr>
        <w:trPr>
          <w:trHeight w:val="21"/>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and carry-forwards, which give rise to deferred tax assets and liabilities, are as follows as of December 31: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3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8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Other employee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16,358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Unrealized losses on investments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15,403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3,710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Allowance for management fee returned on cancelled policies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3,405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3,902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42,778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47,595</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37,682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35,204</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15,473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1,731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Unrealized gains on investments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56,853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Net deferred tax (liability) asset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determine that any of our deferred tax assets will not result in future tax benefits, a valuation allowance must be established for the portion of the assets that are not expected to be realized. We had no valuation allowance recorded at December 31, 2022 or 2021.</w:t>
      </w:r>
    </w:p>
    <w:p>
      <w:pPr>
        <w:spacing w:after="0" w:line="18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do not have any unrecognized tax benefit that, if recognized, would affect our effective tax rate as of December 31, 2022 and 2021. Any interest expense related to uncertain tax positions would be recognized in income tax expense.</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Tax years ending December 31, 2021, 2020 and 2019 remain open to IRS examination. We are not currently under IRS audit, nor have we been notified of an upcoming IRS audit.</w:t>
      </w:r>
    </w:p>
    <w:p>
      <w:pPr>
        <w:spacing w:after="0" w:line="21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ectPr>
          <w:pgSz w:w="11900" w:h="16838" w:orient="portrait"/>
          <w:cols w:equalWidth="0" w:num="1">
            <w:col w:w="11180"/>
          </w:cols>
          <w:pgMar w:left="320" w:top="122" w:right="39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2022, 2021 or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In 2011, our Board of Directors approved a continuation of the current stock repurchase program for a total of $150 million, with no time limitation. Treasury shares are recorded in the Statements of Financial Position at total cost based upon trade date. There were no shares repurchased under this program during 2022, 2021 or 2020. We had approximately $17.8 million of repurchase authority remaining under this program at December 31, 2022, based upon trade date.</w:t>
      </w: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made stock repurchases in 2022, 2021, and 2020 outside of our publicly announced share repurchase program related to stock-based awards. See Note 10, "Incentive and Deferred Compensation Plans" for additional information.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Changes in accumulated other comprehensive income ("AOCI") (loss) by component, including amounts reclassified to other comprehensive income ("OCI") (loss) and the related line item in the Statements of Operations where net income is presented, are as follows for the year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6"/>
              </w:rPr>
              <w:t>Before Tax</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5"/>
              </w:rPr>
              <w:t>Income Tax</w:t>
            </w: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6"/>
              </w:rPr>
              <w:t>Before Tax</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5"/>
              </w:rPr>
              <w:t>Income Tax</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96"/>
              </w:rPr>
              <w:t>Before Tax</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2"/>
              </w:rPr>
              <w:t>Income Tax</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AOCI,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1,621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6,101</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29,384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6,171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23,213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5,664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1,189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OCI (loss) before reclassifications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(89,010)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(18,692)</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(70,318)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(16,474)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(3,460)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22,074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4,636</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17,438</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w w:val="97"/>
              </w:rPr>
              <w:t>Realized investment losses (gains)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14,050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(5,131)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Impairment losses (recoveries)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26"/>
        </w:trPr>
        <w:tc>
          <w:tcPr>
            <w:tcW w:w="2120" w:type="dxa"/>
            <w:vAlign w:val="bottom"/>
            <w:vMerge w:val="restart"/>
          </w:tcPr>
          <w:p>
            <w:pPr>
              <w:spacing w:after="0"/>
              <w:rPr>
                <w:sz w:val="20"/>
                <w:szCs w:val="20"/>
                <w:color w:val="auto"/>
              </w:rPr>
            </w:pPr>
            <w:r>
              <w:rPr>
                <w:rFonts w:ascii="Arial" w:cs="Arial" w:eastAsia="Arial" w:hAnsi="Arial"/>
                <w:sz w:val="14"/>
                <w:szCs w:val="14"/>
                <w:color w:val="auto"/>
              </w:rPr>
              <w:t>OCI (loss)</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(74,293)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(15,601)</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(58,692)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(21,662)</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(4,550)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23,720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4,982</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18,738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20"/>
                <w:szCs w:val="20"/>
                <w:color w:val="auto"/>
              </w:rPr>
            </w:pPr>
            <w:r>
              <w:rPr>
                <w:rFonts w:ascii="Arial" w:cs="Arial" w:eastAsia="Arial" w:hAnsi="Arial"/>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(52,591)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23,213</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Pension and other postretirement plans: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AOCI (loss),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(39,734)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(31,389)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(128,300)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(26,944)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(101,356)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(153,600)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(32,257)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(121,343)</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OCI before reclassifications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88,148</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18,511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69,637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71,032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14,917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11,832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9,347</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4"/>
                <w:szCs w:val="14"/>
                <w:color w:val="auto"/>
              </w:rPr>
              <w:t>Amortization of prior service</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1,443</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303</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 xml:space="preserve">costs </w:t>
            </w:r>
            <w:r>
              <w:rPr>
                <w:rFonts w:ascii="Arial" w:cs="Arial" w:eastAsia="Arial" w:hAnsi="Arial"/>
                <w:sz w:val="9"/>
                <w:szCs w:val="9"/>
                <w:color w:val="auto"/>
              </w:rPr>
              <w:t>(1)</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line="155" w:lineRule="exact"/>
              <w:rPr>
                <w:sz w:val="20"/>
                <w:szCs w:val="20"/>
                <w:color w:val="auto"/>
              </w:rPr>
            </w:pPr>
            <w:r>
              <w:rPr>
                <w:rFonts w:ascii="Arial" w:cs="Arial" w:eastAsia="Arial" w:hAnsi="Arial"/>
                <w:sz w:val="14"/>
                <w:szCs w:val="14"/>
                <w:color w:val="auto"/>
              </w:rPr>
              <w:t>Amortization of net actuarial loss</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7,329</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5,789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16,106</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3,382</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12,724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12,125</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2,546</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9,579</w:t>
            </w:r>
          </w:p>
        </w:tc>
        <w:tc>
          <w:tcPr>
            <w:tcW w:w="0" w:type="dxa"/>
            <w:vAlign w:val="bottom"/>
          </w:tcPr>
          <w:p>
            <w:pPr>
              <w:spacing w:after="0"/>
              <w:rPr>
                <w:sz w:val="1"/>
                <w:szCs w:val="1"/>
                <w:color w:val="auto"/>
              </w:rPr>
            </w:pPr>
          </w:p>
        </w:tc>
      </w:tr>
      <w:tr>
        <w:trPr>
          <w:trHeight w:val="136"/>
        </w:trPr>
        <w:tc>
          <w:tcPr>
            <w:tcW w:w="2120" w:type="dxa"/>
            <w:vAlign w:val="bottom"/>
          </w:tcPr>
          <w:p>
            <w:pPr>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120" w:type="dxa"/>
            <w:vAlign w:val="bottom"/>
            <w:vMerge w:val="restart"/>
          </w:tcPr>
          <w:p>
            <w:pPr>
              <w:spacing w:after="0"/>
              <w:rPr>
                <w:sz w:val="20"/>
                <w:szCs w:val="20"/>
                <w:color w:val="auto"/>
              </w:rPr>
            </w:pPr>
            <w:r>
              <w:rPr>
                <w:rFonts w:ascii="Arial" w:cs="Arial" w:eastAsia="Arial" w:hAnsi="Arial"/>
                <w:sz w:val="14"/>
                <w:szCs w:val="14"/>
                <w:color w:val="auto"/>
              </w:rPr>
              <w:t>OCI</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96,920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20,354</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76,566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88,566</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18,599</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69,967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25,300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20"/>
                <w:szCs w:val="20"/>
                <w:color w:val="auto"/>
              </w:rPr>
            </w:pPr>
            <w:r>
              <w:rPr>
                <w:rFonts w:ascii="Arial" w:cs="Arial" w:eastAsia="Arial" w:hAnsi="Arial"/>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45,177</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(31,389)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(26,944)</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(101,356)</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AOCI (loss),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(32,012)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(6,724)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(25,288)</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(98,916)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(20,773)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(78,143)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(147,936)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(31,068)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(116,868)</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(74,293)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(15,601)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(21,662)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(4,550)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23,720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18,738</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20"/>
                <w:szCs w:val="20"/>
                <w:color w:val="auto"/>
              </w:rPr>
            </w:pPr>
            <w:r>
              <w:rPr>
                <w:rFonts w:ascii="Arial" w:cs="Arial" w:eastAsia="Arial" w:hAnsi="Arial"/>
                <w:sz w:val="14"/>
                <w:szCs w:val="14"/>
                <w:color w:val="auto"/>
              </w:rPr>
              <w:t>Pension and other postretirement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96,920</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20,354</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76,566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88,566</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18,599</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69,967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25,300</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5,313</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19,987</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plans</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color w:val="auto"/>
              </w:rPr>
              <w:t>OCI</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22,627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4,753</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17,874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66,904</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14,049</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52,855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49,020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10,295</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38,725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20"/>
                <w:szCs w:val="20"/>
                <w:color w:val="auto"/>
              </w:rPr>
            </w:pPr>
            <w:r>
              <w:rPr>
                <w:rFonts w:ascii="Arial" w:cs="Arial" w:eastAsia="Arial" w:hAnsi="Arial"/>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(7,414)</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(6,724)</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(25,288)</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(78,143)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520" w:hanging="310"/>
        <w:spacing w:after="0"/>
        <w:tabs>
          <w:tab w:leader="none" w:pos="5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components of AOCI (loss) are included in the computation of net periodic pension cost. See Note 9, "Postretirement Benefits", for additional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 management fee is charged to the Exchange for services we provide under the subscriber's agreement with subscribers at the Exchange. The fee is a percentage of direct and affiliated assumed premiums written by the Exchange. This percentage rate is determined at least annually by our Board of Directors but cannot exceed 25%. The management fee rate charged the Exchange was 25% in 2022, 2021 and 2020. The Board of Directors elected to maintain the fee at 25% beginning January 1, 2023.</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is no provision in the subscriber's agreement for termination of our appointment as attorney-in-fact by the subscribers at the Exchange and the appointment is not affected by a policyholder's disability or incapacity.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holding company system</w:t>
      </w:r>
    </w:p>
    <w:p>
      <w:pPr>
        <w:spacing w:after="0" w:line="23"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Shared facilities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leased the home office from the Exchange until December 31, 2021, at which time we purchased the home office properties from the Exchange at the appraised value of $97.5 million to align the ownership interest of these facilities with the functions being performed at the home office campus, which are mainly Indemnity's management operations. Lease expense totaled $6.1 million in both 2021 and 2020. Operating expenses, including utilities, cleaning, repairs, real estate taxes, property insurance, and leasehold improvements totaled $15.7 million in both 2021 and 2020. The Exchange and its subsidiaries reimbursed us for rent costs and related operating expenses of shared facilities used to perform administrative services, which are allocated based upon usage or square footage occupied. Reimbursements related to the use of this space totaled $4.8 million and $4.6 million in 2021 and 2020, respectively.</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July 1, 2021, the Exchange and its subsidiaries entered into a service agreement with Indemnity to use space in Indemnity-owned properties. The home office was added to this agreement effective January 1, 2022. The amount charged is based on rental rates of like property in Erie, Pennsylvania and the usage or square footage occupied. In 2022 and 2021, income earned from the Exchange and its subsidiaries for the use of space totaled $2.2 million and $0.2 million, respectively. Operating expenses for Indemnity-owned properties under this service agreement include utilities, cleaning, repairs, real estate taxes, property insurance, and leasehold improvements. These expenses totaled $19.5 million and $0.8 million in 2022 and 2021, respectively. The Exchange and its subsidiaries reimbursed us for operating expenses of shared facilities used to perform administrative services, which are allocated based upon usage or square footage occupied. Reimbursements related to the use of this space totaled $4.1 million and $0.1 million in 2022 and 2021, respectively.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Concentrations of Credit Risk</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$524.9 million and $479.1 million at December 31, 2022 and 2021, respectively. Upon adoption of ASU 2016-13 in 2020, we recorded an allowance for current expected credit losses of $0.6 million related to the receivables from the Exchange and affiliates. See also Note 2, "Significant Accounting Policies". The current expected credit loss allowance was $0.6 million and $0.5 million at December 31, 2022 and 2021, respectively.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an agreement with a bank for an agent loan participation program. The maximum amount of loans to be funded through this program is $100 million. We have committed to fund a minimum of 30% of each loan executed through this program. As of December 31, 2022, loans executed under this agreement totaled $51.2 million, of which our portion of the loans is $17.4 million. Additionally, we have agreed to guarantee a portion of the funding provided by the other participants in the program in the event of default. As of December 31, 2022, our maximum potential amount of future payments on the guaranteed portion is $6.3 million. All loan payments under the participation program are current as of December 31, 2022.</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results of operations, or cash flows.</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financial condition, results of operations, or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Supplementary Data on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income to net cash provided by operating activities as presented in the Statements of Cash Flows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r>
      <w:tr>
        <w:trPr>
          <w:trHeight w:val="425"/>
        </w:trPr>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298,569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297,860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293,304</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46,166</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37,210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21,195</w:t>
            </w:r>
          </w:p>
        </w:tc>
      </w:tr>
      <w:tr>
        <w:trPr>
          <w:trHeight w:val="230"/>
        </w:trPr>
        <w:tc>
          <w:tcPr>
            <w:tcW w:w="7540" w:type="dxa"/>
            <w:vAlign w:val="bottom"/>
          </w:tcPr>
          <w:p>
            <w:pPr>
              <w:ind w:left="34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9,468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(5,162)</w:t>
            </w: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color w:val="auto"/>
              </w:rPr>
              <w:t>Lease amortization expense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5,554</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11,887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13,108</w:t>
            </w: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color w:val="auto"/>
              </w:rPr>
              <w:t>Losses (gains) and impairment losses (recoveries) on investments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27,953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(3,114)</w:t>
            </w:r>
          </w:p>
        </w:tc>
      </w:tr>
      <w:tr>
        <w:trPr>
          <w:trHeight w:val="230"/>
        </w:trPr>
        <w:tc>
          <w:tcPr>
            <w:tcW w:w="7540" w:type="dxa"/>
            <w:vAlign w:val="bottom"/>
          </w:tcPr>
          <w:p>
            <w:pPr>
              <w:ind w:left="340"/>
              <w:spacing w:after="0"/>
              <w:rPr>
                <w:sz w:val="20"/>
                <w:szCs w:val="20"/>
                <w:color w:val="auto"/>
              </w:rPr>
            </w:pPr>
            <w:r>
              <w:rPr>
                <w:rFonts w:ascii="Arial" w:cs="Arial" w:eastAsia="Arial" w:hAnsi="Arial"/>
                <w:sz w:val="18"/>
                <w:szCs w:val="18"/>
                <w:color w:val="auto"/>
              </w:rPr>
              <w:t>Loss (gain) on disposal of fixed assets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color w:val="auto"/>
              </w:rPr>
              <w:t>Net investment loss (income)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(25,944)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5,878</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(Decrease) increase in deferred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7,611</w:t>
            </w:r>
          </w:p>
        </w:tc>
      </w:tr>
      <w:tr>
        <w:trPr>
          <w:trHeight w:val="229"/>
        </w:trPr>
        <w:tc>
          <w:tcPr>
            <w:tcW w:w="7540" w:type="dxa"/>
            <w:vAlign w:val="bottom"/>
          </w:tcPr>
          <w:p>
            <w:pPr>
              <w:ind w:left="120"/>
              <w:spacing w:after="0"/>
              <w:rPr>
                <w:sz w:val="20"/>
                <w:szCs w:val="20"/>
                <w:color w:val="auto"/>
              </w:rPr>
            </w:pPr>
            <w:r>
              <w:rPr>
                <w:rFonts w:ascii="Arial" w:cs="Arial" w:eastAsia="Arial" w:hAnsi="Arial"/>
                <w:sz w:val="18"/>
                <w:szCs w:val="18"/>
                <w:color w:val="auto"/>
              </w:rPr>
              <w:t>(Increase) decrease in receivables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(45,814)</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15,514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(26,548)</w:t>
            </w:r>
          </w:p>
        </w:tc>
      </w:tr>
      <w:tr>
        <w:trPr>
          <w:trHeight w:val="229"/>
        </w:trPr>
        <w:tc>
          <w:tcPr>
            <w:tcW w:w="7540" w:type="dxa"/>
            <w:vAlign w:val="bottom"/>
          </w:tcPr>
          <w:p>
            <w:pPr>
              <w:ind w:left="120"/>
              <w:spacing w:after="0"/>
              <w:rPr>
                <w:sz w:val="20"/>
                <w:szCs w:val="20"/>
                <w:color w:val="auto"/>
              </w:rPr>
            </w:pPr>
            <w:r>
              <w:rPr>
                <w:rFonts w:ascii="Arial" w:cs="Arial" w:eastAsia="Arial" w:hAnsi="Arial"/>
                <w:sz w:val="18"/>
                <w:szCs w:val="18"/>
                <w:color w:val="auto"/>
              </w:rPr>
              <w:t>Increase in accrued investment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Increase in pension liability</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15,647</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52,755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41,227</w:t>
            </w:r>
          </w:p>
        </w:tc>
      </w:tr>
      <w:tr>
        <w:trPr>
          <w:trHeight w:val="229"/>
        </w:trPr>
        <w:tc>
          <w:tcPr>
            <w:tcW w:w="7540" w:type="dxa"/>
            <w:vAlign w:val="bottom"/>
          </w:tcPr>
          <w:p>
            <w:pPr>
              <w:ind w:left="12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(25,843)</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12,161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(4,771)</w:t>
            </w:r>
          </w:p>
        </w:tc>
      </w:tr>
      <w:tr>
        <w:trPr>
          <w:trHeight w:val="229"/>
        </w:trPr>
        <w:tc>
          <w:tcPr>
            <w:tcW w:w="7540" w:type="dxa"/>
            <w:vAlign w:val="bottom"/>
          </w:tcPr>
          <w:p>
            <w:pPr>
              <w:ind w:left="12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18,993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(14,307)</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Increase (decrease) in commissions payable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29,282</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8,408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7540" w:type="dxa"/>
            <w:vAlign w:val="bottom"/>
          </w:tcPr>
          <w:p>
            <w:pPr>
              <w:ind w:left="120"/>
              <w:spacing w:after="0"/>
              <w:rPr>
                <w:sz w:val="20"/>
                <w:szCs w:val="20"/>
                <w:color w:val="auto"/>
              </w:rPr>
            </w:pPr>
            <w:r>
              <w:rPr>
                <w:rFonts w:ascii="Arial" w:cs="Arial" w:eastAsia="Arial" w:hAnsi="Arial"/>
                <w:sz w:val="18"/>
                <w:szCs w:val="18"/>
                <w:color w:val="auto"/>
              </w:rPr>
              <w:t>(Decrease) increase in accrued agent bonuses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(25,271)</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10,279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14,105</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Increase (decrease) in contract liability</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366,152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402,794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342,595</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items were identified in this period subsequent to the financial statement date that required adjustment or additional disclosure, other than the disclosure made in Note 6, "Investments" regarding limited partnerships.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2022.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in 2013 by the Committee of Sponsoring Organizations of the Treadway Commission. Based upon our evaluation under the framework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in 2013, management has concluded that Erie Indemnity Company's internal control over financial reporting was effective as of December 31, 2022.</w:t>
      </w:r>
    </w:p>
    <w:p>
      <w:pPr>
        <w:sectPr>
          <w:pgSz w:w="11900" w:h="16838" w:orient="portrait"/>
          <w:cols w:equalWidth="0" w:num="1">
            <w:col w:w="11220"/>
          </w:cols>
          <w:pgMar w:left="320" w:top="122" w:right="359" w:bottom="1440" w:gutter="0" w:footer="0" w:header="0"/>
        </w:sect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5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005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 Jorie L. Novacek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1834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Jorie L. Novacek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ectPr>
          <w:pgSz w:w="11900" w:h="16838" w:orient="portrait"/>
          <w:cols w:equalWidth="0" w:num="3">
            <w:col w:w="2960" w:space="720"/>
            <w:col w:w="3180" w:space="720"/>
            <w:col w:w="3640"/>
          </w:cols>
          <w:pgMar w:left="320" w:top="122" w:right="359" w:bottom="1440" w:gutter="0" w:footer="0" w:header="0"/>
          <w:type w:val="continuous"/>
        </w:sectPr>
      </w:pPr>
    </w:p>
    <w:p>
      <w:pPr>
        <w:spacing w:after="0" w:line="1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2022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Erie Indemnity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Erie Indemnity Company’s internal control over financial reporting as of December 31, 2022, based on criteria established in Internal Control-Integrated Framework issued by the Committee of Sponsoring Organizations of the Treadway Commission (2013 framework) (the COSO criteria). In our opinion, Erie Indemnity Company (the Company) maintained, in all material respects, effective internal control over financial reporting as of December 31, 2022, based on the COSO criteria.</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statements of financial position of the Company as of December 31, 2022 and 2021, the related statements of operations, comprehensive income, shareholders’ equity, and cash flows for each of the three years in the period ended December 31, 2022 and the related notes of the Company and our report dated March 1, 2023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PART III</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tab/>
        <w:t>DIRECTORS, EXECUTIVE OFFICERS AND CORPORATE GOVERNANCE</w:t>
      </w:r>
    </w:p>
    <w:p>
      <w:pPr>
        <w:spacing w:after="0" w:line="2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information with respect to our outside directors, audit committee and audit committee financial experts and Section 16(a) beneficial ownership reporting compliance, is incorporated herein by reference to the information statement on Schedule 14C to be filed with the Securities and Exchange Commission no later than 120 days after December 31, 2022.</w:t>
      </w:r>
    </w:p>
    <w:p>
      <w:pPr>
        <w:spacing w:after="0" w:line="184" w:lineRule="exact"/>
        <w:rPr>
          <w:sz w:val="20"/>
          <w:szCs w:val="20"/>
          <w:color w:val="auto"/>
        </w:rPr>
      </w:pPr>
    </w:p>
    <w:p>
      <w:pPr>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We have adopted a Code of Conduct that applies to all of our outside directors, officers and employees. We have previously filed a copy of the Code of Conduct as </w:t>
      </w:r>
      <w:hyperlink r:id="rId92">
        <w:r>
          <w:rPr>
            <w:rFonts w:ascii="Arial" w:cs="Arial" w:eastAsia="Arial" w:hAnsi="Arial"/>
            <w:sz w:val="17"/>
            <w:szCs w:val="17"/>
            <w:u w:val="single" w:color="auto"/>
            <w:color w:val="0000FF"/>
          </w:rPr>
          <w:t>Exhibit 14.3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Form 10-K filed with the Securities and Exchange Commission on February 25, 2016. In addition to this, we have adopted a Code of Ethics for Senior Financial Officers that also applies to our Chief Executive Officer, Chief Financial Officer, Chief Accounting </w:t>
      </w:r>
      <w:hyperlink r:id="rId93">
        <w:r>
          <w:rPr>
            <w:rFonts w:ascii="Arial" w:cs="Arial" w:eastAsia="Arial" w:hAnsi="Arial"/>
            <w:sz w:val="17"/>
            <w:szCs w:val="17"/>
            <w:color w:val="auto"/>
          </w:rPr>
          <w:t xml:space="preserve">Officer and any other person performing similar functions. We have previously filed a copy of the Code of Ethics for Senior Financial Officers as </w:t>
        </w:r>
        <w:r>
          <w:rPr>
            <w:rFonts w:ascii="Arial" w:cs="Arial" w:eastAsia="Arial" w:hAnsi="Arial"/>
            <w:sz w:val="17"/>
            <w:szCs w:val="17"/>
            <w:u w:val="single" w:color="auto"/>
            <w:color w:val="0000FF"/>
          </w:rPr>
          <w:t>Exhibit</w:t>
        </w:r>
      </w:hyperlink>
      <w:r>
        <w:rPr>
          <w:rFonts w:ascii="Arial" w:cs="Arial" w:eastAsia="Arial" w:hAnsi="Arial"/>
          <w:sz w:val="17"/>
          <w:szCs w:val="17"/>
          <w:color w:val="auto"/>
        </w:rPr>
        <w:t xml:space="preserve"> </w:t>
      </w:r>
      <w:hyperlink r:id="rId93">
        <w:r>
          <w:rPr>
            <w:rFonts w:ascii="Arial" w:cs="Arial" w:eastAsia="Arial" w:hAnsi="Arial"/>
            <w:sz w:val="17"/>
            <w:szCs w:val="17"/>
            <w:u w:val="single" w:color="auto"/>
            <w:color w:val="0000FF"/>
          </w:rPr>
          <w:t>14.4</w:t>
        </w:r>
        <w:r>
          <w:rPr>
            <w:rFonts w:ascii="Arial" w:cs="Arial" w:eastAsia="Arial" w:hAnsi="Arial"/>
            <w:sz w:val="17"/>
            <w:szCs w:val="17"/>
            <w:color w:val="0000FF"/>
          </w:rPr>
          <w:t xml:space="preserve"> </w:t>
        </w:r>
        <w:r>
          <w:rPr>
            <w:rFonts w:ascii="Arial" w:cs="Arial" w:eastAsia="Arial" w:hAnsi="Arial"/>
            <w:sz w:val="17"/>
            <w:szCs w:val="17"/>
            <w:color w:val="000000"/>
          </w:rPr>
          <w:t>to the Registrant's Form 8-K filed with the Securities and Exchange Commission on June 1, 2016. Our Code of Conduct and Code of Ethics for Senior</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Financial Officers are also available on our website at </w:t>
      </w:r>
      <w:r>
        <w:rPr>
          <w:rFonts w:ascii="Arial" w:cs="Arial" w:eastAsia="Arial" w:hAnsi="Arial"/>
          <w:sz w:val="17"/>
          <w:szCs w:val="17"/>
          <w:u w:val="single" w:color="auto"/>
          <w:color w:val="000000"/>
        </w:rPr>
        <w:t>www.erieinsurance.com</w:t>
      </w:r>
      <w:r>
        <w:rPr>
          <w:rFonts w:ascii="Arial" w:cs="Arial" w:eastAsia="Arial" w:hAnsi="Arial"/>
          <w:sz w:val="17"/>
          <w:szCs w:val="17"/>
          <w:color w:val="000000"/>
        </w:rPr>
        <w:t>.</w:t>
      </w:r>
    </w:p>
    <w:p>
      <w:pPr>
        <w:spacing w:after="0" w:line="201"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Age as of</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12/31/2022</w:t>
            </w:r>
          </w:p>
        </w:tc>
        <w:tc>
          <w:tcPr>
            <w:tcW w:w="100" w:type="dxa"/>
            <w:vAlign w:val="bottom"/>
          </w:tcPr>
          <w:p>
            <w:pPr>
              <w:spacing w:after="0"/>
              <w:rPr>
                <w:sz w:val="20"/>
                <w:szCs w:val="20"/>
                <w:color w:val="auto"/>
              </w:rPr>
            </w:pPr>
          </w:p>
        </w:tc>
        <w:tc>
          <w:tcPr>
            <w:tcW w:w="61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Principal Occupation and Positions for Past Five Years</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President &amp; Chief Executive Officer: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Timothy G. NeCastro</w:t>
            </w:r>
          </w:p>
        </w:tc>
        <w:tc>
          <w:tcPr>
            <w:tcW w:w="104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2"/>
              </w:rPr>
              <w:t>President and Chief Executive Officer of the Company since August 2016; Director,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7"/>
              </w:rPr>
              <w:t>Erie Family Life Insurance Company ("EFL"), Erie Insurance Company ("EIC"),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6"/>
              </w:rPr>
              <w:t>Flagship City Insurance Company ("Flagship"), Erie Insurance Company of New</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w w:val="90"/>
              </w:rPr>
              <w:t>Executive Vice Presidents:</w:t>
            </w:r>
          </w:p>
        </w:tc>
        <w:tc>
          <w:tcPr>
            <w:tcW w:w="1780" w:type="dxa"/>
            <w:vAlign w:val="bottom"/>
            <w:gridSpan w:val="4"/>
            <w:vMerge w:val="restart"/>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York ("ENY") and Erie Insurance Property &amp; Casualty Company ("EPC").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Brian W. Bolash</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89"/>
              </w:rPr>
              <w:t>Executive Vice President, Secretary and General Counsel since January 2022; Senior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3"/>
              </w:rPr>
              <w:t>Vice President, Secretary and General Counsel, October 2018 through 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3"/>
              </w:rPr>
              <w:t>2021; Senior Counsel and Corporate Secretary, January 2016 through September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2018; Director, EFL, EIC, Flagship, ENY and EPC.</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Lorianne Feltz</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9"/>
              </w:rPr>
              <w:t>Executive Vice President, Claims &amp; Customer Service since November 2016.</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Gregory J. Gutting</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4"/>
              </w:rPr>
              <w:t>Executive Vice President and Chief Financial Officer since August 2016; 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Douglas E. Smith</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Executive Vice President, Sales &amp; Products since November 2016.</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Parthasarathy Srinivasa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4"/>
              </w:rPr>
              <w:t>Executive Vice President and Chief Information Officer since joining the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4"/>
              </w:rPr>
              <w:t>in April 2022. Prior to joining the Company: Senior Vice President and Chief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3"/>
              </w:rPr>
              <w:t>and Insurance Information Officer Verisk Analytics, 2019 through April 2022; Chief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ind w:left="20"/>
              <w:spacing w:after="0" w:line="189" w:lineRule="exact"/>
              <w:rPr>
                <w:sz w:val="20"/>
                <w:szCs w:val="20"/>
                <w:color w:val="auto"/>
              </w:rPr>
            </w:pPr>
            <w:r>
              <w:rPr>
                <w:rFonts w:ascii="Arial" w:cs="Arial" w:eastAsia="Arial" w:hAnsi="Arial"/>
                <w:sz w:val="18"/>
                <w:szCs w:val="18"/>
                <w:color w:val="auto"/>
                <w:w w:val="92"/>
              </w:rPr>
              <w:t>Information and Operations Officer Safe Auto Insurance (now Allstate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auto"/>
              </w:rPr>
              <w:t>Appointed Executive Officers:</w:t>
            </w:r>
            <w:r>
              <w:rPr>
                <w:rFonts w:ascii="Arial" w:cs="Arial" w:eastAsia="Arial" w:hAnsi="Arial"/>
                <w:sz w:val="23"/>
                <w:szCs w:val="23"/>
                <w:color w:val="auto"/>
                <w:vertAlign w:val="superscript"/>
              </w:rPr>
              <w:t>1</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2016 through 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gridSpan w:val="5"/>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Sean Dugan</w:t>
            </w:r>
          </w:p>
        </w:tc>
        <w:tc>
          <w:tcPr>
            <w:tcW w:w="150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1"/>
              </w:rPr>
              <w:t>Senior Vice President, Human Resources since 2020; Corporate Human Resources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8"/>
              </w:rPr>
              <w:t>Officer, 2018 through 2020; Vice President, Talent Acquisition and Community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Outreach, 2014 through 2018.</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Julie M. Pelkowski</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4"/>
              </w:rPr>
              <w:t>Senior Vice President, Enterprise Office since March 2022; Senior Vice President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7"/>
              </w:rPr>
              <w:t>and Controller, August 2016 through March 2022; Director, EFL, EIC, Flagship,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ENY and EPC.</w:t>
            </w:r>
          </w:p>
        </w:tc>
        <w:tc>
          <w:tcPr>
            <w:tcW w:w="0" w:type="dxa"/>
            <w:vAlign w:val="bottom"/>
          </w:tcPr>
          <w:p>
            <w:pPr>
              <w:spacing w:after="0"/>
              <w:rPr>
                <w:sz w:val="1"/>
                <w:szCs w:val="1"/>
                <w:color w:val="auto"/>
              </w:rPr>
            </w:pPr>
          </w:p>
        </w:tc>
      </w:tr>
    </w:tbl>
    <w:p>
      <w:pPr>
        <w:spacing w:after="0" w:line="291" w:lineRule="exact"/>
        <w:rPr>
          <w:rFonts w:ascii="Arial" w:cs="Arial" w:eastAsia="Arial" w:hAnsi="Arial"/>
          <w:sz w:val="17"/>
          <w:szCs w:val="17"/>
          <w:color w:val="auto"/>
        </w:rPr>
      </w:pPr>
    </w:p>
    <w:p>
      <w:pPr>
        <w:ind w:left="80" w:right="80" w:hanging="72"/>
        <w:spacing w:after="0" w:line="236" w:lineRule="auto"/>
        <w:tabs>
          <w:tab w:leader="none" w:pos="82" w:val="left"/>
        </w:tabs>
        <w:numPr>
          <w:ilvl w:val="0"/>
          <w:numId w:val="2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of December 31, 2022, the Company announced appointments for Mr. Dugan and Ms. Pelkowski for Executive Vice President roles, but the appointments were not yet effective. Mr. Dugan became Executive Vice President, Human Resources &amp; Corporate Services effective January 1, 2023. Ms. Pelkowski will be Executive Vice President and Chief Financial Officer effective May 1, 2023 following the retirement of Mr. Gutting.</w:t>
      </w:r>
    </w:p>
    <w:p>
      <w:pPr>
        <w:spacing w:after="0" w:line="296"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tab/>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2022.</w:t>
      </w:r>
    </w:p>
    <w:p>
      <w:pPr>
        <w:spacing w:after="0" w:line="200" w:lineRule="exact"/>
        <w:rPr>
          <w:sz w:val="20"/>
          <w:szCs w:val="20"/>
          <w:color w:val="auto"/>
        </w:rPr>
      </w:pPr>
    </w:p>
    <w:p>
      <w:pPr>
        <w:spacing w:after="0" w:line="236" w:lineRule="exact"/>
        <w:rPr>
          <w:sz w:val="20"/>
          <w:szCs w:val="20"/>
          <w:color w:val="auto"/>
        </w:rPr>
      </w:pPr>
    </w:p>
    <w:p>
      <w:pPr>
        <w:ind w:left="980" w:right="34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2022.</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tab/>
        <w:t>CERTAIN RELATIONSHIPS AND RELATED TRANSACTIONS, AND DIRECTOR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2022.</w:t>
      </w:r>
    </w:p>
    <w:p>
      <w:pPr>
        <w:spacing w:after="0" w:line="200" w:lineRule="exact"/>
        <w:rPr>
          <w:sz w:val="20"/>
          <w:szCs w:val="20"/>
          <w:color w:val="auto"/>
        </w:rPr>
      </w:pP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Schedule 14C to be filed with the Securities and Exchange Commission no later than 120 days after December 31, 2022.</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20"/>
          <w:szCs w:val="20"/>
          <w:b w:val="1"/>
          <w:bCs w:val="1"/>
          <w:u w:val="single" w:color="auto"/>
          <w:color w:val="auto"/>
        </w:rPr>
        <w:t>PART IV</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Included in Part II, Item 8. "Financial Statements and Supplementary Data" contained in this report.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300" w:hanging="320"/>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the Effectiveness of Internal Control over Financial Reporting</w:t>
      </w:r>
    </w:p>
    <w:p>
      <w:pPr>
        <w:spacing w:after="0" w:line="114" w:lineRule="exact"/>
        <w:rPr>
          <w:rFonts w:ascii="Arial" w:cs="Arial" w:eastAsia="Arial" w:hAnsi="Arial"/>
          <w:sz w:val="17"/>
          <w:szCs w:val="17"/>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Financial Statements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Statements of Operations for the three years ended December 31, 2022,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Statements of Comprehensive Income for the three years ended December 31, 2022,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Statements of Financial Position as of December 31, 2022 and 2021</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Statements of Shareholders' Equity for the three years ended December 31, 2022,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Statements of Cash Flows for the three years ended December 31, 2022,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schedules are not required, not applicable, or the information is included in the financial statements or notes thereto.</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w w:val="94"/>
              </w:rPr>
              <w:t xml:space="preserve">3. </w:t>
            </w:r>
            <w:r>
              <w:rPr>
                <w:rFonts w:ascii="Arial" w:cs="Arial" w:eastAsia="Arial" w:hAnsi="Arial"/>
                <w:sz w:val="18"/>
                <w:szCs w:val="18"/>
                <w:color w:val="0000FF"/>
                <w:w w:val="94"/>
              </w:rPr>
              <w:t>Exhibit Index</w:t>
            </w:r>
          </w:p>
        </w:tc>
        <w:tc>
          <w:tcPr>
            <w:tcW w:w="9400" w:type="dxa"/>
            <w:vAlign w:val="bottom"/>
            <w:gridSpan w:val="3"/>
          </w:tcPr>
          <w:p>
            <w:pPr>
              <w:jc w:val="right"/>
              <w:spacing w:after="0"/>
              <w:rPr>
                <w:sz w:val="20"/>
                <w:szCs w:val="20"/>
                <w:color w:val="auto"/>
              </w:rPr>
            </w:pPr>
            <w:r>
              <w:rPr>
                <w:rFonts w:ascii="Arial" w:cs="Arial" w:eastAsia="Arial" w:hAnsi="Arial"/>
                <w:sz w:val="18"/>
                <w:szCs w:val="18"/>
                <w:color w:val="0000FF"/>
              </w:rPr>
              <w:t>79</w:t>
            </w:r>
          </w:p>
        </w:tc>
      </w:tr>
      <w:tr>
        <w:trPr>
          <w:trHeight w:val="20"/>
        </w:trPr>
        <w:tc>
          <w:tcPr>
            <w:tcW w:w="1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40" w:type="dxa"/>
            <w:vAlign w:val="bottom"/>
            <w:gridSpan w:val="30"/>
          </w:tcPr>
          <w:p>
            <w:pPr>
              <w:ind w:left="220"/>
              <w:spacing w:after="0"/>
              <w:rPr>
                <w:sz w:val="20"/>
                <w:szCs w:val="20"/>
                <w:color w:val="auto"/>
              </w:rPr>
            </w:pPr>
            <w:r>
              <w:rPr>
                <w:rFonts w:ascii="Arial" w:cs="Arial" w:eastAsia="Arial" w:hAnsi="Arial"/>
                <w:sz w:val="18"/>
                <w:szCs w:val="18"/>
                <w:color w:val="auto"/>
              </w:rPr>
              <w:t>(Pursuant to Item 601 of Regulation S-K)</w:t>
            </w:r>
          </w:p>
        </w:tc>
      </w:tr>
      <w:tr>
        <w:trPr>
          <w:trHeight w:val="580"/>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00" w:type="dxa"/>
            <w:vAlign w:val="bottom"/>
            <w:gridSpan w:val="32"/>
          </w:tcPr>
          <w:p>
            <w:pPr>
              <w:spacing w:after="0"/>
              <w:rPr>
                <w:sz w:val="16"/>
                <w:szCs w:val="16"/>
                <w:color w:val="auto"/>
              </w:rPr>
            </w:pPr>
          </w:p>
        </w:tc>
      </w:tr>
      <w:tr>
        <w:trPr>
          <w:trHeight w:val="439"/>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Amended and Restated Articles of Incorporation of Registrant dated April 19, 2011. Such exhibit is incorporated by reference to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No. 3.1 to the Registrant’s Form 10-Q that was filed with the Commission on August 2, 2011.</w:t>
              </w:r>
            </w:hyperlink>
          </w:p>
        </w:tc>
        <w:tc>
          <w:tcPr>
            <w:tcW w:w="30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Erie Indemnity Company Amended and Restated Bylaws dated April 30, 2019. Such exhibit is incorporated by reference to Exhibit 3.10</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6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to the Registrant's Form 8-K that was filed with the Commission on May 3,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Erie Indemnity Company Description of Capital Stock. Such exhibit is incorporated by reference to Exhibit 4.1 to the Registrant’s Form</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10-K that was filed with the Commission on February 25, 2021.</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22"/>
                <w:szCs w:val="22"/>
                <w:color w:val="auto"/>
              </w:rPr>
            </w:pPr>
          </w:p>
        </w:tc>
        <w:tc>
          <w:tcPr>
            <w:tcW w:w="9780" w:type="dxa"/>
            <w:vAlign w:val="bottom"/>
            <w:tcBorders>
              <w:bottom w:val="single" w:sz="8" w:color="0000FF"/>
            </w:tcBorders>
            <w:gridSpan w:val="28"/>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Form of Subscriber’s Agreement whereby policyholders of Erie Insurance Exchange appoint Registrant as their Attorney-in-Fact. Such</w:t>
              </w:r>
            </w:hyperlink>
          </w:p>
        </w:tc>
        <w:tc>
          <w:tcPr>
            <w:tcW w:w="140" w:type="dxa"/>
            <w:vAlign w:val="bottom"/>
            <w:gridSpan w:val="7"/>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5"/>
          </w:tcPr>
          <w:p>
            <w:pPr>
              <w:spacing w:after="0" w:line="169"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exhibit is incorporated by reference to Exhibit 10.12 to the Registrant’s Form 10-Q that was filed with the Commission on November 6,</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00">
              <w:r>
                <w:rPr>
                  <w:rFonts w:ascii="Arial" w:cs="Arial" w:eastAsia="Arial" w:hAnsi="Arial"/>
                  <w:sz w:val="18"/>
                  <w:szCs w:val="18"/>
                  <w:color w:val="0000FF"/>
                  <w:w w:val="84"/>
                </w:rPr>
                <w:t>2002.</w:t>
              </w:r>
            </w:hyperlink>
          </w:p>
        </w:tc>
        <w:tc>
          <w:tcPr>
            <w:tcW w:w="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1"/>
              </w:rPr>
            </w:pPr>
            <w:hyperlink r:id="rId101">
              <w:r>
                <w:rPr>
                  <w:rFonts w:ascii="Arial" w:cs="Arial" w:eastAsia="Arial" w:hAnsi="Arial"/>
                  <w:sz w:val="18"/>
                  <w:szCs w:val="18"/>
                  <w:color w:val="0000FF"/>
                  <w:w w:val="91"/>
                </w:rPr>
                <w:t>Services Agreement between Erie Indemnity Company and Erie Family Life Insurance Company effective March 31, 2011. Such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is incorporated by reference to Exhibit 99.1 to the Registrant’s Form 8-K that was filed with the Commission on March 31, 2011.</w:t>
              </w:r>
            </w:hyperlink>
          </w:p>
        </w:tc>
        <w:tc>
          <w:tcPr>
            <w:tcW w:w="5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Form of Indemnification Agreement by and between Erie Indemnity Company and each Director and Executive Officer of Erie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tcBorders>
              <w:top w:val="single" w:sz="8" w:color="0000FF"/>
            </w:tcBorders>
            <w:gridSpan w:val="14"/>
          </w:tcPr>
          <w:p>
            <w:pPr>
              <w:spacing w:after="0" w:line="169"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Indemnity Company. Such exhibit is incorporated by reference to Exhibit 10.108 to the Registrant’s Form 10-K that was filed</w:t>
              </w:r>
            </w:hyperlink>
          </w:p>
        </w:tc>
        <w:tc>
          <w:tcPr>
            <w:tcW w:w="760" w:type="dxa"/>
            <w:vAlign w:val="bottom"/>
            <w:gridSpan w:val="21"/>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Commission on February 26, 2009.</w:t>
              </w:r>
            </w:hyperlink>
          </w:p>
        </w:tc>
        <w:tc>
          <w:tcPr>
            <w:tcW w:w="71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4"/>
              </w:rPr>
            </w:pPr>
            <w:hyperlink r:id="rId102">
              <w:r>
                <w:rPr>
                  <w:rFonts w:ascii="Arial" w:cs="Arial" w:eastAsia="Arial" w:hAnsi="Arial"/>
                  <w:sz w:val="18"/>
                  <w:szCs w:val="18"/>
                  <w:color w:val="0000FF"/>
                  <w:w w:val="94"/>
                </w:rPr>
                <w:t>Form of Indemnification Agreement by and between Erie Indemnity Company and Jorie L. Novacek. Such exhibit is incorporated by</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reference to Exhibit 10.108 in the Registrant's Form 10-K that was filed with the Commission on February 26, 2009.</w:t>
              </w:r>
            </w:hyperlink>
          </w:p>
        </w:tc>
        <w:tc>
          <w:tcPr>
            <w:tcW w:w="122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Form of Indemnification Agreement by and between Erie Indemnity Company and Parthasarathy Srinivasa. Such exhibit is incorporated</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by reference to Exhibit 10.108 in the Registrant's Form 10-K that was filed with the Commission on February 26, 2009.</w:t>
              </w:r>
            </w:hyperlink>
          </w:p>
        </w:tc>
        <w:tc>
          <w:tcPr>
            <w:tcW w:w="1220" w:type="dxa"/>
            <w:vAlign w:val="bottom"/>
            <w:tcBorders>
              <w:top w:val="single" w:sz="8" w:color="0000FF"/>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Erie Indemnity Company Annual Incentive Plan effective January 1, 2020. Such exhibit is incorporated by reference to Exhibit 10.204</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6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to the Registrant's Form 10-K that was filed with the Commission on February 27, 2020.</w:t>
              </w:r>
            </w:hyperlink>
          </w:p>
        </w:tc>
        <w:tc>
          <w:tcPr>
            <w:tcW w:w="20" w:type="dxa"/>
            <w:vAlign w:val="bottom"/>
          </w:tcPr>
          <w:p>
            <w:pPr>
              <w:spacing w:after="0"/>
              <w:rPr>
                <w:sz w:val="14"/>
                <w:szCs w:val="14"/>
                <w:color w:val="auto"/>
              </w:rPr>
            </w:pPr>
          </w:p>
        </w:tc>
        <w:tc>
          <w:tcPr>
            <w:tcW w:w="1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FF"/>
                <w:w w:val="96"/>
              </w:rPr>
            </w:pPr>
            <w:hyperlink r:id="rId104">
              <w:r>
                <w:rPr>
                  <w:rFonts w:ascii="Arial" w:cs="Arial" w:eastAsia="Arial" w:hAnsi="Arial"/>
                  <w:sz w:val="18"/>
                  <w:szCs w:val="18"/>
                  <w:color w:val="0000FF"/>
                  <w:w w:val="96"/>
                </w:rPr>
                <w:t>Erie Indemnity Company Long-Term Incentive Plan (Effective as of January 1, 2020). Such exhibit is incorporated by reference to</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20" w:type="dxa"/>
            <w:vAlign w:val="bottom"/>
            <w:tcBorders>
              <w:top w:val="single" w:sz="8" w:color="0000FF"/>
            </w:tcBorders>
            <w:gridSpan w:val="18"/>
          </w:tcPr>
          <w:p>
            <w:pPr>
              <w:spacing w:after="0" w:line="169"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Appendix A to the Registrant's Information Statement for the 2020 Annual Meeting of Shareholders filed with the Commission on</w:t>
              </w:r>
            </w:hyperlink>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March 20, 2020.</w:t>
              </w:r>
            </w:hyperlink>
          </w:p>
        </w:tc>
        <w:tc>
          <w:tcPr>
            <w:tcW w:w="8200" w:type="dxa"/>
            <w:vAlign w:val="bottom"/>
            <w:tcBorders>
              <w:top w:val="single" w:sz="8" w:color="0000FF"/>
            </w:tcBorders>
            <w:gridSpan w:val="15"/>
          </w:tcPr>
          <w:p>
            <w:pPr>
              <w:spacing w:after="0"/>
              <w:rPr>
                <w:sz w:val="13"/>
                <w:szCs w:val="13"/>
                <w:color w:val="auto"/>
              </w:rPr>
            </w:pPr>
          </w:p>
        </w:tc>
        <w:tc>
          <w:tcPr>
            <w:tcW w:w="2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Erie Indemnity Company Equity Compensation Plan (As Amended and Restated April 26, 2022), dated June 28, 2022. Such exhibit is</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80" w:type="dxa"/>
            <w:vAlign w:val="bottom"/>
            <w:tcBorders>
              <w:top w:val="single" w:sz="8" w:color="0000FF"/>
            </w:tcBorders>
            <w:gridSpan w:val="22"/>
          </w:tcPr>
          <w:p>
            <w:pPr>
              <w:spacing w:after="0" w:line="169"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incorporated by reference to Exhibit 10.2 to the Registrant's Form 10-Q that was filed with the Commission on July 28, 2022.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4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Appointment of Administrator to Deferred Compensation Plan of Erie Indemnity Company, Erie Indemnity Company Incentive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tcBorders>
              <w:top w:val="single" w:sz="8" w:color="0000FF"/>
            </w:tcBorders>
            <w:gridSpan w:val="15"/>
          </w:tcPr>
          <w:p>
            <w:pPr>
              <w:spacing w:after="0" w:line="169"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Compensation Deferral Plan, and Supplemental Retirement Plan for Certain Members of the Erie Insurance Group Retirement</w:t>
              </w:r>
            </w:hyperlink>
          </w:p>
        </w:tc>
        <w:tc>
          <w:tcPr>
            <w:tcW w:w="720" w:type="dxa"/>
            <w:vAlign w:val="bottom"/>
            <w:gridSpan w:val="20"/>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Plan for</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Employees, dated December 21, 2021. Such exhibit is incorporated by reference to Exhibit 10.224 to the Registrant's Form 10-K that</w:t>
              </w:r>
            </w:hyperlink>
          </w:p>
        </w:tc>
        <w:tc>
          <w:tcPr>
            <w:tcW w:w="1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was filed with the Commission on February 24, 2022.</w:t>
              </w:r>
            </w:hyperlink>
          </w:p>
        </w:tc>
        <w:tc>
          <w:tcPr>
            <w:tcW w:w="572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700" w:type="dxa"/>
            <w:vAlign w:val="bottom"/>
          </w:tcPr>
          <w:p>
            <w:pPr>
              <w:spacing w:after="0"/>
              <w:rPr>
                <w:sz w:val="22"/>
                <w:szCs w:val="22"/>
                <w:color w:val="auto"/>
              </w:rPr>
            </w:pPr>
          </w:p>
        </w:tc>
        <w:tc>
          <w:tcPr>
            <w:tcW w:w="9040" w:type="dxa"/>
            <w:vAlign w:val="bottom"/>
            <w:tcBorders>
              <w:bottom w:val="single" w:sz="8" w:color="0000FF"/>
            </w:tcBorders>
            <w:gridSpan w:val="13"/>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Deferred Compensation Plan of Erie Indemnity Company (As Amended and Restated as of January 1, 2009). Such exhibit is</w:t>
              </w:r>
            </w:hyperlink>
          </w:p>
        </w:tc>
        <w:tc>
          <w:tcPr>
            <w:tcW w:w="880" w:type="dxa"/>
            <w:vAlign w:val="bottom"/>
            <w:gridSpan w:val="22"/>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0" w:type="dxa"/>
            <w:vAlign w:val="bottom"/>
            <w:tcBorders>
              <w:bottom w:val="single" w:sz="8" w:color="0000FF"/>
            </w:tcBorders>
            <w:gridSpan w:val="19"/>
          </w:tcPr>
          <w:p>
            <w:pPr>
              <w:spacing w:after="0" w:line="169"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incorporated by reference to Exhibit 10.104 to the Registrant’s Form 10-K that was filed with the Commission on February 26, 2009.</w:t>
              </w:r>
            </w:hyperlink>
          </w:p>
        </w:tc>
        <w:tc>
          <w:tcPr>
            <w:tcW w:w="320" w:type="dxa"/>
            <w:vAlign w:val="bottom"/>
            <w:gridSpan w:val="16"/>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Appendix B to Deferred Compensation Plan of Erie Indemnity Company (As Amended and Restated Effective as of January 1, 2019).</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right w:val="single" w:sz="8" w:color="0000FF"/>
            </w:tcBorders>
            <w:gridSpan w:val="1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5"/>
          </w:tcPr>
          <w:p>
            <w:pPr>
              <w:spacing w:after="0" w:line="169"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Such exhibit is incorporated by reference to Exhibit 10.2 to the Registrant’s Form 10-Q that was filed with the Commission on July 25,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08">
              <w:r>
                <w:rPr>
                  <w:rFonts w:ascii="Arial" w:cs="Arial" w:eastAsia="Arial" w:hAnsi="Arial"/>
                  <w:sz w:val="18"/>
                  <w:szCs w:val="18"/>
                  <w:color w:val="0000FF"/>
                  <w:w w:val="84"/>
                </w:rPr>
                <w:t>2019.</w:t>
              </w:r>
            </w:hyperlink>
          </w:p>
        </w:tc>
        <w:tc>
          <w:tcPr>
            <w:tcW w:w="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Second Amendment to Appendix B to Deferred Compensation Plan of Erie Indemnity Company (As Amended and Restated Effective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40" w:type="dxa"/>
            <w:vAlign w:val="bottom"/>
            <w:tcBorders>
              <w:top w:val="single" w:sz="8" w:color="0000FF"/>
            </w:tcBorders>
            <w:gridSpan w:val="25"/>
          </w:tcPr>
          <w:p>
            <w:pPr>
              <w:spacing w:after="0" w:line="169"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as of January 1, 2009), dated December 24, 2020. Such exhibit is incorporated by reference to Exhibit 10.209 to the Registrant’s Form</w:t>
              </w:r>
            </w:hyperlink>
          </w:p>
        </w:tc>
        <w:tc>
          <w:tcPr>
            <w:tcW w:w="16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10-K that was filed with the Commission on February 25, 2021.</w:t>
              </w:r>
            </w:hyperlink>
          </w:p>
        </w:tc>
        <w:tc>
          <w:tcPr>
            <w:tcW w:w="1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14"/>
          </w:tcPr>
          <w:p>
            <w:pPr>
              <w:spacing w:after="0" w:line="20" w:lineRule="exact"/>
              <w:rPr>
                <w:sz w:val="1"/>
                <w:szCs w:val="1"/>
                <w:color w:val="auto"/>
              </w:rPr>
            </w:pPr>
          </w:p>
        </w:tc>
        <w:tc>
          <w:tcPr>
            <w:tcW w:w="2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700" w:type="dxa"/>
            <w:vAlign w:val="bottom"/>
          </w:tcPr>
          <w:p>
            <w:pPr>
              <w:spacing w:after="0"/>
              <w:rPr>
                <w:sz w:val="22"/>
                <w:szCs w:val="22"/>
                <w:color w:val="auto"/>
              </w:rPr>
            </w:pPr>
          </w:p>
        </w:tc>
        <w:tc>
          <w:tcPr>
            <w:tcW w:w="9920" w:type="dxa"/>
            <w:vAlign w:val="bottom"/>
            <w:gridSpan w:val="35"/>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Third Amendment to Deferred Compensation Plan of Erie Indemnity Company (As Amended and Restated as of January 1, 2009), dated</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00" w:type="dxa"/>
            <w:vAlign w:val="bottom"/>
            <w:tcBorders>
              <w:top w:val="single" w:sz="8" w:color="0000FF"/>
            </w:tcBorders>
            <w:gridSpan w:val="34"/>
          </w:tcPr>
          <w:p>
            <w:pPr>
              <w:spacing w:after="0" w:line="169"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December 21, 2021. Such exhibit is incorporated by reference to Exhibit 10.223 to the Registrant's Form 10-K that was filed with the</w:t>
              </w:r>
            </w:hyperlink>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Commission on February 24, 2022.</w:t>
              </w:r>
            </w:hyperlink>
          </w:p>
        </w:tc>
        <w:tc>
          <w:tcPr>
            <w:tcW w:w="7100" w:type="dxa"/>
            <w:vAlign w:val="bottom"/>
            <w:tcBorders>
              <w:top w:val="single" w:sz="8" w:color="0000FF"/>
            </w:tcBorders>
            <w:gridSpan w:val="17"/>
          </w:tcPr>
          <w:p>
            <w:pPr>
              <w:spacing w:after="0"/>
              <w:rPr>
                <w:sz w:val="13"/>
                <w:szCs w:val="13"/>
                <w:color w:val="auto"/>
              </w:rPr>
            </w:pPr>
          </w:p>
        </w:tc>
        <w:tc>
          <w:tcPr>
            <w:tcW w:w="260" w:type="dxa"/>
            <w:vAlign w:val="bottom"/>
            <w:gridSpan w:val="14"/>
          </w:tcPr>
          <w:p>
            <w:pPr>
              <w:spacing w:after="0"/>
              <w:rPr>
                <w:sz w:val="13"/>
                <w:szCs w:val="13"/>
                <w:color w:val="auto"/>
              </w:rPr>
            </w:pPr>
          </w:p>
        </w:tc>
      </w:tr>
      <w:tr>
        <w:trPr>
          <w:trHeight w:val="69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7"/>
          </w:tcPr>
          <w:p>
            <w:pPr>
              <w:ind w:left="4220"/>
              <w:spacing w:after="0"/>
              <w:rPr>
                <w:sz w:val="20"/>
                <w:szCs w:val="20"/>
                <w:color w:val="auto"/>
              </w:rPr>
            </w:pPr>
            <w:r>
              <w:rPr>
                <w:rFonts w:ascii="Arial" w:cs="Arial" w:eastAsia="Arial" w:hAnsi="Arial"/>
                <w:sz w:val="18"/>
                <w:szCs w:val="18"/>
                <w:color w:val="auto"/>
              </w:rPr>
              <w:t>79</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20" w:type="dxa"/>
            <w:vAlign w:val="bottom"/>
            <w:gridSpan w:val="34"/>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700" w:type="dxa"/>
            <w:vAlign w:val="bottom"/>
          </w:tcPr>
          <w:p>
            <w:pPr>
              <w:spacing w:after="0"/>
              <w:rPr>
                <w:sz w:val="22"/>
                <w:szCs w:val="22"/>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Post-2021 Deferred Compensation Plan of the Erie Indemnity Company, effective January 1, 2022, dated December 9, 2021. Such</w:t>
              </w:r>
            </w:hyperlink>
          </w:p>
        </w:tc>
        <w:tc>
          <w:tcPr>
            <w:tcW w:w="540" w:type="dxa"/>
            <w:vAlign w:val="bottom"/>
            <w:gridSpan w:val="23"/>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exhibit is incorporated by reference to Exhibit 10.218 to the Registrant's Form 10-K that was filed with the Commission on February 24,</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13">
              <w:r>
                <w:rPr>
                  <w:rFonts w:ascii="Arial" w:cs="Arial" w:eastAsia="Arial" w:hAnsi="Arial"/>
                  <w:sz w:val="18"/>
                  <w:szCs w:val="18"/>
                  <w:color w:val="0000FF"/>
                  <w:w w:val="84"/>
                </w:rPr>
                <w:t>2022.</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Erie Indemnity Company Incentive Compensation Deferral Plan (Effective January 1, 2017), dated December 7, 2016. Such exhibit is</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incorporated by reference to Exhibit 10.177 to the Registrant’s Form 10-K that was filed with the Commission on February 23, 2017.</w:t>
              </w:r>
            </w:hyperlink>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700" w:type="dxa"/>
            <w:vAlign w:val="bottom"/>
          </w:tcPr>
          <w:p>
            <w:pPr>
              <w:spacing w:after="0"/>
              <w:rPr>
                <w:sz w:val="24"/>
                <w:szCs w:val="24"/>
                <w:color w:val="auto"/>
              </w:rPr>
            </w:pPr>
          </w:p>
        </w:tc>
        <w:tc>
          <w:tcPr>
            <w:tcW w:w="9620" w:type="dxa"/>
            <w:vAlign w:val="bottom"/>
            <w:tcBorders>
              <w:bottom w:val="single" w:sz="8" w:color="0000FF"/>
            </w:tcBorders>
            <w:gridSpan w:val="21"/>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First Amendment to Erie Indemnity Company Incentive Compensation Deferral Plan (Effective January 1, 2017), dated July 1, 2019.</w:t>
              </w:r>
            </w:hyperlink>
          </w:p>
        </w:tc>
        <w:tc>
          <w:tcPr>
            <w:tcW w:w="320" w:type="dxa"/>
            <w:vAlign w:val="bottom"/>
            <w:gridSpan w:val="16"/>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Such exhibit is incorporated by reference to Exhibit 10.1 to the Registrant’s Form 10-Q that was filed with the Commission on July 25,</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15">
              <w:r>
                <w:rPr>
                  <w:rFonts w:ascii="Arial" w:cs="Arial" w:eastAsia="Arial" w:hAnsi="Arial"/>
                  <w:sz w:val="18"/>
                  <w:szCs w:val="18"/>
                  <w:color w:val="0000FF"/>
                  <w:w w:val="84"/>
                </w:rPr>
                <w:t>2019.</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700" w:type="dxa"/>
            <w:vAlign w:val="bottom"/>
          </w:tcPr>
          <w:p>
            <w:pPr>
              <w:spacing w:after="0"/>
              <w:rPr>
                <w:sz w:val="24"/>
                <w:szCs w:val="24"/>
                <w:color w:val="auto"/>
              </w:rPr>
            </w:pPr>
          </w:p>
        </w:tc>
        <w:tc>
          <w:tcPr>
            <w:tcW w:w="9220" w:type="dxa"/>
            <w:vAlign w:val="bottom"/>
            <w:tcBorders>
              <w:bottom w:val="single" w:sz="8" w:color="0000FF"/>
            </w:tcBorders>
            <w:gridSpan w:val="12"/>
          </w:tcPr>
          <w:p>
            <w:pPr>
              <w:spacing w:after="0"/>
              <w:rPr>
                <w:rFonts w:ascii="Arial" w:cs="Arial" w:eastAsia="Arial" w:hAnsi="Arial"/>
                <w:sz w:val="18"/>
                <w:szCs w:val="18"/>
                <w:color w:val="0000FF"/>
                <w:w w:val="90"/>
              </w:rPr>
            </w:pPr>
            <w:hyperlink r:id="rId116">
              <w:r>
                <w:rPr>
                  <w:rFonts w:ascii="Arial" w:cs="Arial" w:eastAsia="Arial" w:hAnsi="Arial"/>
                  <w:sz w:val="18"/>
                  <w:szCs w:val="18"/>
                  <w:color w:val="0000FF"/>
                  <w:w w:val="90"/>
                </w:rPr>
                <w:t>Second Amendment to Erie Indemnity Company Incentive Compensation Deferral Plan (Effective as of January 1, 2017), dated</w:t>
              </w:r>
            </w:hyperlink>
          </w:p>
        </w:tc>
        <w:tc>
          <w:tcPr>
            <w:tcW w:w="720" w:type="dxa"/>
            <w:vAlign w:val="bottom"/>
            <w:gridSpan w:val="25"/>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December 24, 2020. Such exhibit is incorporated by reference to Exhibit 10.207 to the Registrant’s Form 10-K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Commission on February 25, 2021.</w:t>
              </w:r>
            </w:hyperlink>
          </w:p>
        </w:tc>
        <w:tc>
          <w:tcPr>
            <w:tcW w:w="70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Third Amendment to Erie Indemnity Company Incentive Compensation Deferral Plan (Effective as of January 1, 2017),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8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December 21, 2021. Such exhibit is incorporated by reference to Exhibit 10.222 to the Registrant's Form 10-K that was filed</w:t>
              </w:r>
            </w:hyperlink>
          </w:p>
        </w:tc>
        <w:tc>
          <w:tcPr>
            <w:tcW w:w="860" w:type="dxa"/>
            <w:vAlign w:val="bottom"/>
            <w:gridSpan w:val="27"/>
          </w:tcPr>
          <w:p>
            <w:pPr>
              <w:jc w:val="right"/>
              <w:ind w:right="340"/>
              <w:spacing w:after="0" w:line="156" w:lineRule="exact"/>
              <w:rPr>
                <w:rFonts w:ascii="Arial" w:cs="Arial" w:eastAsia="Arial" w:hAnsi="Arial"/>
                <w:sz w:val="18"/>
                <w:szCs w:val="18"/>
                <w:color w:val="0000FF"/>
                <w:w w:val="80"/>
              </w:rPr>
            </w:pPr>
            <w:hyperlink r:id="rId117">
              <w:r>
                <w:rPr>
                  <w:rFonts w:ascii="Arial" w:cs="Arial" w:eastAsia="Arial" w:hAnsi="Arial"/>
                  <w:sz w:val="18"/>
                  <w:szCs w:val="18"/>
                  <w:color w:val="0000FF"/>
                  <w:w w:val="80"/>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Commission on February 24, 2022.</w:t>
              </w:r>
            </w:hyperlink>
          </w:p>
        </w:tc>
        <w:tc>
          <w:tcPr>
            <w:tcW w:w="70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Erie Indemnity Company Deferred Compensation Plan for Outside Directors (As Amended and Restated as of July 29,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October 20, 2015. Such exhibit is incorporated by reference to Exhibit 10.158 to the Registrant’s Form 10-K that was filed with the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Commission on February 25, 2016.</w:t>
              </w:r>
            </w:hyperlink>
          </w:p>
        </w:tc>
        <w:tc>
          <w:tcPr>
            <w:tcW w:w="688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First Amendment to Erie Indemnity Company Deferred Compensation Plan for Outside Directors (As of July 29,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December 21, 2021. Such exhibit is incorporated by reference to Exhibit 10.217 to the Registrant's Form 10-K that was filed</w:t>
              </w:r>
            </w:hyperlink>
          </w:p>
        </w:tc>
        <w:tc>
          <w:tcPr>
            <w:tcW w:w="840" w:type="dxa"/>
            <w:vAlign w:val="bottom"/>
            <w:gridSpan w:val="26"/>
          </w:tcPr>
          <w:p>
            <w:pPr>
              <w:jc w:val="right"/>
              <w:ind w:right="340"/>
              <w:spacing w:after="0" w:line="156" w:lineRule="exact"/>
              <w:rPr>
                <w:rFonts w:ascii="Arial" w:cs="Arial" w:eastAsia="Arial" w:hAnsi="Arial"/>
                <w:sz w:val="18"/>
                <w:szCs w:val="18"/>
                <w:color w:val="0000FF"/>
                <w:w w:val="77"/>
              </w:rPr>
            </w:pPr>
            <w:hyperlink r:id="rId119">
              <w:r>
                <w:rPr>
                  <w:rFonts w:ascii="Arial" w:cs="Arial" w:eastAsia="Arial" w:hAnsi="Arial"/>
                  <w:sz w:val="18"/>
                  <w:szCs w:val="18"/>
                  <w:color w:val="0000FF"/>
                  <w:w w:val="77"/>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Commission on February 24, 2022.</w:t>
              </w:r>
            </w:hyperlink>
          </w:p>
        </w:tc>
        <w:tc>
          <w:tcPr>
            <w:tcW w:w="70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w:t>
            </w:r>
          </w:p>
        </w:tc>
        <w:tc>
          <w:tcPr>
            <w:tcW w:w="700" w:type="dxa"/>
            <w:vAlign w:val="bottom"/>
          </w:tcPr>
          <w:p>
            <w:pPr>
              <w:spacing w:after="0"/>
              <w:rPr>
                <w:sz w:val="24"/>
                <w:szCs w:val="24"/>
                <w:color w:val="auto"/>
              </w:rPr>
            </w:pPr>
          </w:p>
        </w:tc>
        <w:tc>
          <w:tcPr>
            <w:tcW w:w="9440" w:type="dxa"/>
            <w:vAlign w:val="bottom"/>
            <w:tcBorders>
              <w:bottom w:val="single" w:sz="8" w:color="0000FF"/>
            </w:tcBorders>
            <w:gridSpan w:val="16"/>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Erie Indemnity Company Deferred Stock Plan for Outside Directors (As of July 29, 2015), dated October 20, 2015. Such exhibit is</w:t>
              </w:r>
            </w:hyperlink>
          </w:p>
        </w:tc>
        <w:tc>
          <w:tcPr>
            <w:tcW w:w="500" w:type="dxa"/>
            <w:vAlign w:val="bottom"/>
            <w:gridSpan w:val="21"/>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0" w:type="dxa"/>
            <w:vAlign w:val="bottom"/>
            <w:tcBorders>
              <w:bottom w:val="single" w:sz="8" w:color="0000FF"/>
            </w:tcBorders>
            <w:gridSpan w:val="20"/>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incorporated by reference to Exhibit 10.159 to the Registrant’s Form 10-K that was filed with the Commission on February 25, 2016.</w:t>
              </w:r>
            </w:hyperlink>
          </w:p>
        </w:tc>
        <w:tc>
          <w:tcPr>
            <w:tcW w:w="340" w:type="dxa"/>
            <w:vAlign w:val="bottom"/>
            <w:gridSpan w:val="17"/>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First Amendment to Erie Indemnity Company Deferred Stock Plan for Outside Directors (As Amended and Restated as of July 29,</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2015)</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dated March 31, 2016. Such exhibit is incorporated by reference to Exhibit 10.2 to the Registrant’s Form 10-Q that was filed</w:t>
              </w:r>
            </w:hyperlink>
          </w:p>
        </w:tc>
        <w:tc>
          <w:tcPr>
            <w:tcW w:w="520" w:type="dxa"/>
            <w:vAlign w:val="bottom"/>
            <w:gridSpan w:val="22"/>
          </w:tcPr>
          <w:p>
            <w:pPr>
              <w:ind w:left="100"/>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the Commission on April 28, 2016.</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Second Amendment to Erie Indemnity Company Deferred Stock Plan for Outside Directors (As of July 29, 2015), dated December 21,</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2021. Such exhibit is incorporated by reference to Exhibit 10.219 to the Registrant's Form 10-K that was filed with the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February 24, 2022.</w:t>
              </w:r>
            </w:hyperlink>
          </w:p>
        </w:tc>
        <w:tc>
          <w:tcPr>
            <w:tcW w:w="840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700" w:type="dxa"/>
            <w:vAlign w:val="bottom"/>
          </w:tcPr>
          <w:p>
            <w:pPr>
              <w:spacing w:after="0"/>
              <w:rPr>
                <w:sz w:val="24"/>
                <w:szCs w:val="24"/>
                <w:color w:val="auto"/>
              </w:rPr>
            </w:pPr>
          </w:p>
        </w:tc>
        <w:tc>
          <w:tcPr>
            <w:tcW w:w="9660" w:type="dxa"/>
            <w:vAlign w:val="bottom"/>
            <w:tcBorders>
              <w:bottom w:val="single" w:sz="8" w:color="0000FF"/>
            </w:tcBorders>
            <w:gridSpan w:val="23"/>
          </w:tcPr>
          <w:p>
            <w:pPr>
              <w:spacing w:after="0"/>
              <w:rPr>
                <w:rFonts w:ascii="Arial" w:cs="Arial" w:eastAsia="Arial" w:hAnsi="Arial"/>
                <w:sz w:val="18"/>
                <w:szCs w:val="18"/>
                <w:color w:val="0000FF"/>
                <w:w w:val="90"/>
              </w:rPr>
            </w:pPr>
            <w:hyperlink r:id="rId123">
              <w:r>
                <w:rPr>
                  <w:rFonts w:ascii="Arial" w:cs="Arial" w:eastAsia="Arial" w:hAnsi="Arial"/>
                  <w:sz w:val="18"/>
                  <w:szCs w:val="18"/>
                  <w:color w:val="0000FF"/>
                  <w:w w:val="90"/>
                </w:rPr>
                <w:t>Erie Insurance Group Retirement Plan for Employees (As Amended and Restated Effective December 31, 2014), dated December 18,</w:t>
              </w:r>
            </w:hyperlink>
          </w:p>
        </w:tc>
        <w:tc>
          <w:tcPr>
            <w:tcW w:w="280" w:type="dxa"/>
            <w:vAlign w:val="bottom"/>
            <w:gridSpan w:val="14"/>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2015. Such exhibit is incorporated by reference to Exhibit 10.162 to the Registrant’s Form 10-K that was filed with the Commission on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February 25, 2016.</w:t>
              </w:r>
            </w:hyperlink>
          </w:p>
        </w:tc>
        <w:tc>
          <w:tcPr>
            <w:tcW w:w="84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First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dated September 12, 2016. Such exhibit is incorporated by reference to Exhibit 10.4 to the Registrant’s Form 10-Q that was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the Commission on October 27,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10.26*</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Second Amendment to Erie Insurance Group Retirement Plan for Employees (As Amended and Restated Effective December 31, 2014),</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dated September 12, 2016. Such exhibit is incorporated by reference to Exhibit 10.5 to the Registrant’s Form 10-Q that was filed with</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the Commission on October 27,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10.27*</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Third Amendment to Erie Insurance Group Retirement Plan for Employees (As Amended and Restated Effective December 31, 2014),</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dated December 22, 2016. Such exhibit is incorporated by reference to Exhibit 10.178 to the Registrant’s Form 10-K that was filed with</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56" w:lineRule="exact"/>
              <w:rPr>
                <w:rFonts w:ascii="Arial" w:cs="Arial" w:eastAsia="Arial" w:hAnsi="Arial"/>
                <w:sz w:val="18"/>
                <w:szCs w:val="18"/>
                <w:color w:val="0000FF"/>
                <w:w w:val="89"/>
              </w:rPr>
            </w:pPr>
            <w:hyperlink r:id="rId126">
              <w:r>
                <w:rPr>
                  <w:rFonts w:ascii="Arial" w:cs="Arial" w:eastAsia="Arial" w:hAnsi="Arial"/>
                  <w:sz w:val="18"/>
                  <w:szCs w:val="18"/>
                  <w:color w:val="0000FF"/>
                  <w:w w:val="89"/>
                </w:rPr>
                <w:t>the Commission on February 23, 2017.</w:t>
              </w:r>
            </w:hyperlink>
          </w:p>
        </w:tc>
        <w:tc>
          <w:tcPr>
            <w:tcW w:w="702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10.28*</w:t>
            </w:r>
          </w:p>
        </w:tc>
        <w:tc>
          <w:tcPr>
            <w:tcW w:w="700" w:type="dxa"/>
            <w:vAlign w:val="bottom"/>
          </w:tcPr>
          <w:p>
            <w:pPr>
              <w:spacing w:after="0"/>
              <w:rPr>
                <w:sz w:val="24"/>
                <w:szCs w:val="24"/>
                <w:color w:val="auto"/>
              </w:rPr>
            </w:pPr>
          </w:p>
        </w:tc>
        <w:tc>
          <w:tcPr>
            <w:tcW w:w="9940" w:type="dxa"/>
            <w:vAlign w:val="bottom"/>
            <w:gridSpan w:val="37"/>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Fourth Amendment to Erie Insurance Group Retirement Plan for Employees (As Amended and Restated Effective December 31, 2014),</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dated December 20, 2017. Such exhibit is incorporated by reference to Exhibit 10.186 to the Registrant’s Form 10-K that was filed with</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the Commission on February 22, 2018.</w:t>
              </w:r>
            </w:hyperlink>
          </w:p>
        </w:tc>
        <w:tc>
          <w:tcPr>
            <w:tcW w:w="702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700" w:type="dxa"/>
            <w:vAlign w:val="bottom"/>
          </w:tcPr>
          <w:p>
            <w:pPr>
              <w:spacing w:after="0"/>
              <w:rPr>
                <w:sz w:val="24"/>
                <w:szCs w:val="24"/>
                <w:color w:val="auto"/>
              </w:rPr>
            </w:pPr>
          </w:p>
        </w:tc>
        <w:tc>
          <w:tcPr>
            <w:tcW w:w="9720" w:type="dxa"/>
            <w:vAlign w:val="bottom"/>
            <w:tcBorders>
              <w:bottom w:val="single" w:sz="8" w:color="0000FF"/>
            </w:tcBorders>
            <w:gridSpan w:val="26"/>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Fifth Amendment to Erie Insurance Group Retirement Plan for Employees (As Amended and Restated Effective December 31, 2014),</w:t>
              </w:r>
            </w:hyperlink>
          </w:p>
        </w:tc>
        <w:tc>
          <w:tcPr>
            <w:tcW w:w="220" w:type="dxa"/>
            <w:vAlign w:val="bottom"/>
            <w:gridSpan w:val="11"/>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dated December 20, 2018. Such exhibit is incorporated by reference to Exhibit 10.194 to the Registrant's Form 10-K that was filed with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the Commission on February 21, 2019.</w:t>
              </w:r>
            </w:hyperlink>
          </w:p>
        </w:tc>
        <w:tc>
          <w:tcPr>
            <w:tcW w:w="700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10.30*</w:t>
            </w:r>
          </w:p>
        </w:tc>
        <w:tc>
          <w:tcPr>
            <w:tcW w:w="700" w:type="dxa"/>
            <w:vAlign w:val="bottom"/>
          </w:tcPr>
          <w:p>
            <w:pPr>
              <w:spacing w:after="0"/>
              <w:rPr>
                <w:sz w:val="24"/>
                <w:szCs w:val="24"/>
                <w:color w:val="auto"/>
              </w:rPr>
            </w:pPr>
          </w:p>
        </w:tc>
        <w:tc>
          <w:tcPr>
            <w:tcW w:w="9720" w:type="dxa"/>
            <w:vAlign w:val="bottom"/>
            <w:tcBorders>
              <w:bottom w:val="single" w:sz="8" w:color="0000FF"/>
            </w:tcBorders>
            <w:gridSpan w:val="26"/>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Sixth Amendment to Erie Insurance Group Retirement Plan for Employees (As Amended and Restated Effective December 31, 2014),</w:t>
              </w:r>
            </w:hyperlink>
          </w:p>
        </w:tc>
        <w:tc>
          <w:tcPr>
            <w:tcW w:w="220" w:type="dxa"/>
            <w:vAlign w:val="bottom"/>
            <w:gridSpan w:val="11"/>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dated September 3, 2019. Such exhibit is incorporated by reference to Exhibit 10.1 to the Registrant’s Form 10-Q that was filed 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Commission on October 24, 2019.</w:t>
              </w:r>
            </w:hyperlink>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0" w:type="dxa"/>
            <w:vAlign w:val="bottom"/>
            <w:gridSpan w:val="18"/>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10.31*</w:t>
            </w:r>
          </w:p>
        </w:tc>
        <w:tc>
          <w:tcPr>
            <w:tcW w:w="700" w:type="dxa"/>
            <w:vAlign w:val="bottom"/>
          </w:tcPr>
          <w:p>
            <w:pPr>
              <w:spacing w:after="0"/>
              <w:rPr>
                <w:sz w:val="24"/>
                <w:szCs w:val="24"/>
                <w:color w:val="auto"/>
              </w:rPr>
            </w:pPr>
          </w:p>
        </w:tc>
        <w:tc>
          <w:tcPr>
            <w:tcW w:w="9380" w:type="dxa"/>
            <w:vAlign w:val="bottom"/>
            <w:tcBorders>
              <w:bottom w:val="single" w:sz="8" w:color="0000FF"/>
            </w:tcBorders>
            <w:gridSpan w:val="13"/>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Seventh Amendment to Erie Insurance Group Retirement Plan for Employees (As Amended and Restated Effective December 31,</w:t>
              </w:r>
            </w:hyperlink>
          </w:p>
        </w:tc>
        <w:tc>
          <w:tcPr>
            <w:tcW w:w="560" w:type="dxa"/>
            <w:vAlign w:val="bottom"/>
            <w:gridSpan w:val="24"/>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37"/>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2014)</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 xml:space="preserve"> dated December 23, 2019. Such exhibit is incorporated by reference to Exhibit 10.199 to the Registrant's Form 10-K that was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filed with the Commission on February 27, 2020.</w:t>
              </w:r>
            </w:hyperlink>
          </w:p>
        </w:tc>
        <w:tc>
          <w:tcPr>
            <w:tcW w:w="5980" w:type="dxa"/>
            <w:vAlign w:val="bottom"/>
            <w:tcBorders>
              <w:top w:val="single" w:sz="8" w:color="0000FF"/>
            </w:tcBorders>
            <w:gridSpan w:val="10"/>
          </w:tcPr>
          <w:p>
            <w:pPr>
              <w:spacing w:after="0"/>
              <w:rPr>
                <w:sz w:val="13"/>
                <w:szCs w:val="13"/>
                <w:color w:val="auto"/>
              </w:rPr>
            </w:pPr>
          </w:p>
        </w:tc>
        <w:tc>
          <w:tcPr>
            <w:tcW w:w="400" w:type="dxa"/>
            <w:vAlign w:val="bottom"/>
            <w:gridSpan w:val="18"/>
          </w:tcPr>
          <w:p>
            <w:pPr>
              <w:spacing w:after="0"/>
              <w:rPr>
                <w:sz w:val="13"/>
                <w:szCs w:val="13"/>
                <w:color w:val="auto"/>
              </w:rPr>
            </w:pPr>
          </w:p>
        </w:tc>
      </w:tr>
      <w:tr>
        <w:trPr>
          <w:trHeight w:val="64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80" w:type="dxa"/>
            <w:vAlign w:val="bottom"/>
            <w:gridSpan w:val="10"/>
          </w:tcPr>
          <w:p>
            <w:pPr>
              <w:ind w:left="42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00" w:type="dxa"/>
            <w:vAlign w:val="bottom"/>
            <w:gridSpan w:val="35"/>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10.32*</w:t>
            </w:r>
          </w:p>
        </w:tc>
        <w:tc>
          <w:tcPr>
            <w:tcW w:w="700" w:type="dxa"/>
            <w:vAlign w:val="bottom"/>
          </w:tcPr>
          <w:p>
            <w:pPr>
              <w:spacing w:after="0"/>
              <w:rPr>
                <w:sz w:val="22"/>
                <w:szCs w:val="22"/>
                <w:color w:val="auto"/>
              </w:rPr>
            </w:pPr>
          </w:p>
        </w:tc>
        <w:tc>
          <w:tcPr>
            <w:tcW w:w="9920" w:type="dxa"/>
            <w:vAlign w:val="bottom"/>
            <w:gridSpan w:val="38"/>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Eighth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dated December 23, 2019. Such exhibit is incorporated by reference to Exhibit 10.200 to the Registrant's Form 10-K that was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the Commission on February 27, 2020.</w:t>
              </w:r>
            </w:hyperlink>
          </w:p>
        </w:tc>
        <w:tc>
          <w:tcPr>
            <w:tcW w:w="69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10.33*</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Ninth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tcBorders>
            <w:gridSpan w:val="27"/>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dated December 23, 2019. Such exhibit is incorporated by reference to Exhibit 10.201 to the Registrant's Form 10-K that was filed with</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the Commission on February 27, 2020.</w:t>
              </w:r>
            </w:hyperlink>
          </w:p>
        </w:tc>
        <w:tc>
          <w:tcPr>
            <w:tcW w:w="69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10.34*</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Tenth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dated December 23, 2020. Such exhibit is incorporated by reference to Exhibit 10.206 to the Registrant’s Form 10-K that was filed with</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294967277"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56"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the Commission on February 25, 2021.</w:t>
              </w:r>
            </w:hyperlink>
          </w:p>
        </w:tc>
        <w:tc>
          <w:tcPr>
            <w:tcW w:w="6960" w:type="dxa"/>
            <w:vAlign w:val="bottom"/>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700" w:type="dxa"/>
            <w:vAlign w:val="bottom"/>
          </w:tcPr>
          <w:p>
            <w:pPr>
              <w:spacing w:after="0"/>
              <w:rPr>
                <w:sz w:val="24"/>
                <w:szCs w:val="24"/>
                <w:color w:val="auto"/>
              </w:rPr>
            </w:pPr>
          </w:p>
        </w:tc>
        <w:tc>
          <w:tcPr>
            <w:tcW w:w="9440" w:type="dxa"/>
            <w:vAlign w:val="bottom"/>
            <w:tcBorders>
              <w:bottom w:val="single" w:sz="8" w:color="0000FF"/>
            </w:tcBorders>
            <w:gridSpan w:val="18"/>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Eleventh Amendment to Erie Insurance Group Retirement Plan for Employees (As Amended and Restated Effective December 31,</w:t>
              </w:r>
            </w:hyperlink>
          </w:p>
        </w:tc>
        <w:tc>
          <w:tcPr>
            <w:tcW w:w="480" w:type="dxa"/>
            <w:vAlign w:val="bottom"/>
            <w:gridSpan w:val="20"/>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8"/>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2014)</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dated July 7, 2021. Such exhibit is incorporated by reference to Exhibit 10.1 to the Registrant’s Form 10-Q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Commission on October 28, 2021.</w:t>
              </w:r>
            </w:hyperlink>
          </w:p>
        </w:tc>
        <w:tc>
          <w:tcPr>
            <w:tcW w:w="20" w:type="dxa"/>
            <w:vAlign w:val="bottom"/>
          </w:tcPr>
          <w:p>
            <w:pPr>
              <w:spacing w:after="0"/>
              <w:rPr>
                <w:sz w:val="13"/>
                <w:szCs w:val="13"/>
                <w:color w:val="auto"/>
              </w:rPr>
            </w:pPr>
          </w:p>
        </w:tc>
      </w:tr>
      <w:tr>
        <w:trPr>
          <w:trHeight w:val="20"/>
        </w:trPr>
        <w:tc>
          <w:tcPr>
            <w:tcW w:w="13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320" w:type="dxa"/>
            <w:vAlign w:val="bottom"/>
            <w:gridSpan w:val="3"/>
          </w:tcPr>
          <w:p>
            <w:pPr>
              <w:ind w:left="20"/>
              <w:spacing w:after="0"/>
              <w:rPr>
                <w:sz w:val="20"/>
                <w:szCs w:val="20"/>
                <w:color w:val="auto"/>
              </w:rPr>
            </w:pPr>
            <w:r>
              <w:rPr>
                <w:rFonts w:ascii="Arial" w:cs="Arial" w:eastAsia="Arial" w:hAnsi="Arial"/>
                <w:sz w:val="18"/>
                <w:szCs w:val="18"/>
                <w:color w:val="auto"/>
              </w:rPr>
              <w:t>10.36+*</w:t>
            </w:r>
          </w:p>
        </w:tc>
        <w:tc>
          <w:tcPr>
            <w:tcW w:w="9920" w:type="dxa"/>
            <w:vAlign w:val="bottom"/>
            <w:gridSpan w:val="38"/>
          </w:tcPr>
          <w:p>
            <w:pPr>
              <w:spacing w:after="0"/>
              <w:rPr>
                <w:sz w:val="20"/>
                <w:szCs w:val="20"/>
                <w:color w:val="auto"/>
              </w:rPr>
            </w:pPr>
            <w:r>
              <w:rPr>
                <w:rFonts w:ascii="Arial" w:cs="Arial" w:eastAsia="Arial" w:hAnsi="Arial"/>
                <w:sz w:val="18"/>
                <w:szCs w:val="18"/>
                <w:color w:val="0000FF"/>
                <w:w w:val="96"/>
              </w:rPr>
              <w:t>Twelfth Amendment to Erie Insurance Group Retirement Plan for Employees (As Amended and Restated Effective December 31,</w:t>
            </w: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2014)</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dated October 10, 2022.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7"/>
              </w:rPr>
            </w:pPr>
            <w:hyperlink r:id="rId137">
              <w:r>
                <w:rPr>
                  <w:rFonts w:ascii="Arial" w:cs="Arial" w:eastAsia="Arial" w:hAnsi="Arial"/>
                  <w:sz w:val="18"/>
                  <w:szCs w:val="18"/>
                  <w:color w:val="0000FF"/>
                  <w:w w:val="97"/>
                </w:rPr>
                <w:t>Supplemental Retirement Plan for Certain Members of the Erie Insurance Group Retirement Plan for Employees (Amended and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Restated as of January 1, 2009). Such exhibit is incorporated by reference to Exhibit 10.103 to the Registrant’s Form 10-K that</w:t>
              </w:r>
            </w:hyperlink>
          </w:p>
        </w:tc>
        <w:tc>
          <w:tcPr>
            <w:tcW w:w="700" w:type="dxa"/>
            <w:vAlign w:val="bottom"/>
            <w:gridSpan w:val="26"/>
          </w:tcPr>
          <w:p>
            <w:pPr>
              <w:spacing w:after="0" w:line="156" w:lineRule="exact"/>
              <w:rPr>
                <w:rFonts w:ascii="Arial" w:cs="Arial" w:eastAsia="Arial" w:hAnsi="Arial"/>
                <w:sz w:val="18"/>
                <w:szCs w:val="18"/>
                <w:color w:val="0000FF"/>
                <w:w w:val="97"/>
              </w:rPr>
            </w:pPr>
            <w:hyperlink r:id="rId137">
              <w:r>
                <w:rPr>
                  <w:rFonts w:ascii="Arial" w:cs="Arial" w:eastAsia="Arial" w:hAnsi="Arial"/>
                  <w:sz w:val="18"/>
                  <w:szCs w:val="18"/>
                  <w:color w:val="0000FF"/>
                  <w:w w:val="97"/>
                </w:rPr>
                <w:t>was filed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with the Commission on February 26,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10.38*</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Second Amendment to Supplemental Retirement Plan for Certain Members of the Erie Insurance Group Retirement Plan for Employees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(Amended and Restated as of January 1, 2009), dated December 24, 2020. Such exhibit is incorporated by reference to Exhibit 10.208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2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the Registrant’s Form 10-K that was filed with the Commission on February 25, 2021.</w:t>
              </w:r>
            </w:hyperlink>
          </w:p>
        </w:tc>
        <w:tc>
          <w:tcPr>
            <w:tcW w:w="3660" w:type="dxa"/>
            <w:vAlign w:val="bottom"/>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10.39*</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Third Amendment to Supplemental Retirement Plan for Certain Members of the Erie Insurance Group Retirement Plan for Employees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(Amended and Restated as of January 1, 2009), dated December 21, 2021. Such exhibit is incorporated by reference to Exhibit 10.220</w:t>
              </w:r>
            </w:hyperlink>
          </w:p>
        </w:tc>
        <w:tc>
          <w:tcPr>
            <w:tcW w:w="240" w:type="dxa"/>
            <w:vAlign w:val="bottom"/>
            <w:gridSpan w:val="13"/>
          </w:tcPr>
          <w:p>
            <w:pPr>
              <w:ind w:left="20"/>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to</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the Registrant's Form 10-K that was filed with the Commission on February 24, 2022.</w:t>
              </w:r>
            </w:hyperlink>
          </w:p>
        </w:tc>
        <w:tc>
          <w:tcPr>
            <w:tcW w:w="36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10.40*</w:t>
            </w:r>
          </w:p>
        </w:tc>
        <w:tc>
          <w:tcPr>
            <w:tcW w:w="700" w:type="dxa"/>
            <w:vAlign w:val="bottom"/>
          </w:tcPr>
          <w:p>
            <w:pPr>
              <w:spacing w:after="0"/>
              <w:rPr>
                <w:sz w:val="24"/>
                <w:szCs w:val="24"/>
                <w:color w:val="auto"/>
              </w:rPr>
            </w:pPr>
          </w:p>
        </w:tc>
        <w:tc>
          <w:tcPr>
            <w:tcW w:w="9800" w:type="dxa"/>
            <w:vAlign w:val="bottom"/>
            <w:tcBorders>
              <w:bottom w:val="single" w:sz="8" w:color="0000FF"/>
            </w:tcBorders>
            <w:gridSpan w:val="30"/>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Fourth Amendment to Supplemental Retirement Plan for Certain Members of the Erie Insurance Group Retirement Plan for Employees</w:t>
              </w:r>
            </w:hyperlink>
          </w:p>
        </w:tc>
        <w:tc>
          <w:tcPr>
            <w:tcW w:w="120" w:type="dxa"/>
            <w:vAlign w:val="bottom"/>
            <w:gridSpan w:val="8"/>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8"/>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(Amended and Restated as of January 1, 2009), dated December 21, 2021. Such exhibit is incorporated by reference to Exhibit 10.221 to</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the Registrant's Form 10-K that was filed with the Commission on February 24, 2022.</w:t>
              </w:r>
            </w:hyperlink>
          </w:p>
        </w:tc>
        <w:tc>
          <w:tcPr>
            <w:tcW w:w="36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10.41*</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Erie Insurance Group Employee Savings Plan (As Amended and Restated Effective as of January 1, 2015), dated December 18, 2015.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Such exhibit is incorporated by reference to Exhibit 10.163 to the Registrant’s Form 10-K that was filed with the Commission on</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February 25, 2016.</w:t>
              </w:r>
            </w:hyperlink>
          </w:p>
        </w:tc>
        <w:tc>
          <w:tcPr>
            <w:tcW w:w="79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10.42*</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First Amendment to Erie Insurance Group Employee Savings Plan (As Amended and Restated Effective as of January 1,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September 12, 2016. Such exhibit is incorporated by reference to Exhibit 10.6 to the Registrant’s Form 10-Q that was filed with the</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Commission on October 27, 2016.</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10.43*</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Second Amendment to Erie Insurance Group Employee Savings Plan (As Amended and Restated Effective January 1,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4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October 17, 2017. Such exhibit is incorporated by reference to Exhibit 10.1 to the Registrant’s Form 10-Q that was filed with the</w:t>
              </w:r>
            </w:hyperlink>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Commission on October 26,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10.44*</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6"/>
              </w:rPr>
            </w:pPr>
            <w:hyperlink r:id="rId144">
              <w:r>
                <w:rPr>
                  <w:rFonts w:ascii="Arial" w:cs="Arial" w:eastAsia="Arial" w:hAnsi="Arial"/>
                  <w:sz w:val="18"/>
                  <w:szCs w:val="18"/>
                  <w:color w:val="0000FF"/>
                  <w:w w:val="96"/>
                </w:rPr>
                <w:t>Third Amendment to Erie Insurance Group Employee Savings Plan (As Amended and Restated Effective January 1,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4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December 20, 2017. Such exhibit is incorporated by reference to Exhibit 10.185 to the Registrant’s Form 10-K that was filed with</w:t>
              </w:r>
            </w:hyperlink>
          </w:p>
        </w:tc>
        <w:tc>
          <w:tcPr>
            <w:tcW w:w="580" w:type="dxa"/>
            <w:vAlign w:val="bottom"/>
            <w:gridSpan w:val="22"/>
          </w:tcPr>
          <w:p>
            <w:pPr>
              <w:ind w:left="60"/>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Commission on February 22, 2018.</w:t>
              </w:r>
            </w:hyperlink>
          </w:p>
        </w:tc>
        <w:tc>
          <w:tcPr>
            <w:tcW w:w="7040" w:type="dxa"/>
            <w:vAlign w:val="bottom"/>
            <w:tcBorders>
              <w:top w:val="single" w:sz="8" w:color="0000FF"/>
            </w:tcBorders>
            <w:gridSpan w:val="15"/>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10.45*</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Fourth Amendment to Erie Insurance Group Employee Savings Plan (As Amended and Restated Effective January 1, 2015), dated May</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2, 2018. Such exhibit is incorporated by reference to Exhibit 10.1 to the Registrant’s Form 10-Q that was filed with the Commission on</w:t>
              </w:r>
            </w:hyperlink>
          </w:p>
        </w:tc>
        <w:tc>
          <w:tcPr>
            <w:tcW w:w="42949672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July 26, 2018.</w:t>
              </w:r>
            </w:hyperlink>
          </w:p>
        </w:tc>
        <w:tc>
          <w:tcPr>
            <w:tcW w:w="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Fifth Amendment to Erie Insurance Group Employee Savings Plan (As Amended and Restated Effective January 1, 2015), dated March</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6760" w:type="dxa"/>
            <w:vAlign w:val="bottom"/>
            <w:gridSpan w:val="9"/>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10"/>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8"/>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29, 2019. Such exhibit is incorporated by reference to Exhibit 10.1 to the Registrant’s Form 10-Q that was filed with the Commission on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May 2, 2019.</w:t>
              </w:r>
            </w:hyperlink>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17"/>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10.47*</w:t>
            </w:r>
          </w:p>
        </w:tc>
        <w:tc>
          <w:tcPr>
            <w:tcW w:w="70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Sixth Amendment to Erie Insurance Group Employee Savings Plan (As Amended and Restated Effective January 1,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December 23, 2019. Such exhibit is incorporated by reference to Exhibit 10.202 to the Registrant's Form 10-K that was filed with</w:t>
              </w:r>
            </w:hyperlink>
          </w:p>
        </w:tc>
        <w:tc>
          <w:tcPr>
            <w:tcW w:w="600" w:type="dxa"/>
            <w:vAlign w:val="bottom"/>
            <w:gridSpan w:val="23"/>
          </w:tcPr>
          <w:p>
            <w:pPr>
              <w:ind w:left="60"/>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Commission on February 27, 2020.</w:t>
              </w:r>
            </w:hyperlink>
          </w:p>
        </w:tc>
        <w:tc>
          <w:tcPr>
            <w:tcW w:w="7020" w:type="dxa"/>
            <w:vAlign w:val="bottom"/>
            <w:tcBorders>
              <w:top w:val="single" w:sz="8" w:color="0000FF"/>
            </w:tcBorders>
            <w:gridSpan w:val="14"/>
          </w:tcPr>
          <w:p>
            <w:pPr>
              <w:spacing w:after="0"/>
              <w:rPr>
                <w:sz w:val="13"/>
                <w:szCs w:val="13"/>
                <w:color w:val="auto"/>
              </w:rPr>
            </w:pPr>
          </w:p>
        </w:tc>
        <w:tc>
          <w:tcPr>
            <w:tcW w:w="320" w:type="dxa"/>
            <w:vAlign w:val="bottom"/>
            <w:gridSpan w:val="17"/>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10.48*</w:t>
            </w:r>
          </w:p>
        </w:tc>
        <w:tc>
          <w:tcPr>
            <w:tcW w:w="700" w:type="dxa"/>
            <w:vAlign w:val="bottom"/>
          </w:tcPr>
          <w:p>
            <w:pPr>
              <w:spacing w:after="0"/>
              <w:rPr>
                <w:sz w:val="24"/>
                <w:szCs w:val="24"/>
                <w:color w:val="auto"/>
              </w:rPr>
            </w:pPr>
          </w:p>
        </w:tc>
        <w:tc>
          <w:tcPr>
            <w:tcW w:w="9500" w:type="dxa"/>
            <w:vAlign w:val="bottom"/>
            <w:tcBorders>
              <w:bottom w:val="single" w:sz="8" w:color="0000FF"/>
            </w:tcBorders>
            <w:gridSpan w:val="20"/>
          </w:tcPr>
          <w:p>
            <w:pPr>
              <w:spacing w:after="0"/>
              <w:rPr>
                <w:rFonts w:ascii="Arial" w:cs="Arial" w:eastAsia="Arial" w:hAnsi="Arial"/>
                <w:sz w:val="18"/>
                <w:szCs w:val="18"/>
                <w:color w:val="0000FF"/>
                <w:w w:val="89"/>
              </w:rPr>
            </w:pPr>
            <w:hyperlink r:id="rId148">
              <w:r>
                <w:rPr>
                  <w:rFonts w:ascii="Arial" w:cs="Arial" w:eastAsia="Arial" w:hAnsi="Arial"/>
                  <w:sz w:val="18"/>
                  <w:szCs w:val="18"/>
                  <w:color w:val="0000FF"/>
                  <w:w w:val="89"/>
                </w:rPr>
                <w:t>Seventh Amendment to Erie Insurance Group Employee Savings Plan (As Amended and Restated Effective January 1, 2015), dated</w:t>
              </w:r>
            </w:hyperlink>
          </w:p>
        </w:tc>
        <w:tc>
          <w:tcPr>
            <w:tcW w:w="420" w:type="dxa"/>
            <w:vAlign w:val="bottom"/>
            <w:gridSpan w:val="18"/>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8"/>
          </w:tcPr>
          <w:p>
            <w:pPr>
              <w:spacing w:after="0" w:line="15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December 23, 2019. Such exhibit is incorporated by reference to Exhibit 10.203 to the Registrant's Form 10-K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Commission on February 27, 2020.</w:t>
              </w:r>
            </w:hyperlink>
          </w:p>
        </w:tc>
        <w:tc>
          <w:tcPr>
            <w:tcW w:w="7040" w:type="dxa"/>
            <w:vAlign w:val="bottom"/>
            <w:tcBorders>
              <w:top w:val="single" w:sz="8" w:color="0000FF"/>
            </w:tcBorders>
            <w:gridSpan w:val="15"/>
          </w:tcPr>
          <w:p>
            <w:pPr>
              <w:spacing w:after="0"/>
              <w:rPr>
                <w:sz w:val="13"/>
                <w:szCs w:val="13"/>
                <w:color w:val="auto"/>
              </w:rPr>
            </w:pPr>
          </w:p>
        </w:tc>
        <w:tc>
          <w:tcPr>
            <w:tcW w:w="320" w:type="dxa"/>
            <w:vAlign w:val="bottom"/>
            <w:gridSpan w:val="17"/>
          </w:tcPr>
          <w:p>
            <w:pPr>
              <w:spacing w:after="0"/>
              <w:rPr>
                <w:sz w:val="13"/>
                <w:szCs w:val="13"/>
                <w:color w:val="auto"/>
              </w:rPr>
            </w:pPr>
          </w:p>
        </w:tc>
      </w:tr>
      <w:tr>
        <w:trPr>
          <w:trHeight w:val="74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0" w:type="dxa"/>
            <w:vAlign w:val="bottom"/>
            <w:gridSpan w:val="10"/>
          </w:tcPr>
          <w:p>
            <w:pPr>
              <w:ind w:left="42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6"/>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20" w:type="dxa"/>
            <w:vAlign w:val="bottom"/>
            <w:gridSpan w:val="39"/>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10.49*</w:t>
            </w:r>
          </w:p>
        </w:tc>
        <w:tc>
          <w:tcPr>
            <w:tcW w:w="700" w:type="dxa"/>
            <w:vAlign w:val="bottom"/>
          </w:tcPr>
          <w:p>
            <w:pPr>
              <w:spacing w:after="0"/>
              <w:rPr>
                <w:sz w:val="22"/>
                <w:szCs w:val="22"/>
                <w:color w:val="auto"/>
              </w:rPr>
            </w:pPr>
          </w:p>
        </w:tc>
        <w:tc>
          <w:tcPr>
            <w:tcW w:w="9940" w:type="dxa"/>
            <w:vAlign w:val="bottom"/>
            <w:gridSpan w:val="45"/>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Eighth Amendment to Erie Insurance Group Employee Savings Plan (As Amended and Restated Effective January 1, 2015), dated July</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5"/>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15, 2021. Such exhibit is incorporated by reference to Exhibit 10.2 to the Registrant’s Form 10-Q that was filed with the Commission on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October 28, 2021.</w:t>
              </w:r>
            </w:hyperlink>
          </w:p>
        </w:tc>
        <w:tc>
          <w:tcPr>
            <w:tcW w:w="85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10.50*</w:t>
            </w:r>
          </w:p>
        </w:tc>
        <w:tc>
          <w:tcPr>
            <w:tcW w:w="700" w:type="dxa"/>
            <w:vAlign w:val="bottom"/>
          </w:tcPr>
          <w:p>
            <w:pPr>
              <w:spacing w:after="0"/>
              <w:rPr>
                <w:sz w:val="24"/>
                <w:szCs w:val="24"/>
                <w:color w:val="auto"/>
              </w:rPr>
            </w:pPr>
          </w:p>
        </w:tc>
        <w:tc>
          <w:tcPr>
            <w:tcW w:w="9340" w:type="dxa"/>
            <w:vAlign w:val="bottom"/>
            <w:tcBorders>
              <w:bottom w:val="single" w:sz="8" w:color="0000FF"/>
            </w:tcBorders>
            <w:gridSpan w:val="21"/>
          </w:tcPr>
          <w:p>
            <w:pPr>
              <w:spacing w:after="0"/>
              <w:rPr>
                <w:rFonts w:ascii="Arial" w:cs="Arial" w:eastAsia="Arial" w:hAnsi="Arial"/>
                <w:sz w:val="18"/>
                <w:szCs w:val="18"/>
                <w:color w:val="0000FF"/>
                <w:w w:val="90"/>
              </w:rPr>
            </w:pPr>
            <w:hyperlink r:id="rId152">
              <w:r>
                <w:rPr>
                  <w:rFonts w:ascii="Arial" w:cs="Arial" w:eastAsia="Arial" w:hAnsi="Arial"/>
                  <w:sz w:val="18"/>
                  <w:szCs w:val="18"/>
                  <w:color w:val="0000FF"/>
                  <w:w w:val="90"/>
                </w:rPr>
                <w:t>Ninth Amendment to Erie Insurance Group Employee Savings Plan (As Amended and Restated Effective January 1, 2015), dated</w:t>
              </w:r>
            </w:hyperlink>
          </w:p>
        </w:tc>
        <w:tc>
          <w:tcPr>
            <w:tcW w:w="600" w:type="dxa"/>
            <w:vAlign w:val="bottom"/>
            <w:gridSpan w:val="24"/>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5"/>
          </w:tcPr>
          <w:p>
            <w:pPr>
              <w:spacing w:after="0" w:line="156" w:lineRule="exact"/>
              <w:rPr>
                <w:rFonts w:ascii="Arial" w:cs="Arial" w:eastAsia="Arial" w:hAnsi="Arial"/>
                <w:sz w:val="18"/>
                <w:szCs w:val="18"/>
                <w:color w:val="0000FF"/>
                <w:w w:val="96"/>
              </w:rPr>
            </w:pPr>
            <w:hyperlink r:id="rId152">
              <w:r>
                <w:rPr>
                  <w:rFonts w:ascii="Arial" w:cs="Arial" w:eastAsia="Arial" w:hAnsi="Arial"/>
                  <w:sz w:val="18"/>
                  <w:szCs w:val="18"/>
                  <w:color w:val="0000FF"/>
                  <w:w w:val="96"/>
                </w:rPr>
                <w:t>October 21, 2021. Such exhibit is incorporated by reference to Exhibit 10.216 to the Registrant's Form 10-K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Commission on February 24, 2022.</w:t>
              </w:r>
            </w:hyperlink>
          </w:p>
        </w:tc>
        <w:tc>
          <w:tcPr>
            <w:tcW w:w="69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gridSpan w:val="3"/>
          </w:tcPr>
          <w:p>
            <w:pPr>
              <w:ind w:left="20"/>
              <w:spacing w:after="0"/>
              <w:rPr>
                <w:sz w:val="20"/>
                <w:szCs w:val="20"/>
                <w:color w:val="auto"/>
              </w:rPr>
            </w:pPr>
            <w:r>
              <w:rPr>
                <w:rFonts w:ascii="Arial" w:cs="Arial" w:eastAsia="Arial" w:hAnsi="Arial"/>
                <w:sz w:val="18"/>
                <w:szCs w:val="18"/>
                <w:color w:val="auto"/>
              </w:rPr>
              <w:t>10.51+*</w:t>
            </w:r>
          </w:p>
        </w:tc>
        <w:tc>
          <w:tcPr>
            <w:tcW w:w="9940" w:type="dxa"/>
            <w:vAlign w:val="bottom"/>
            <w:gridSpan w:val="45"/>
          </w:tcPr>
          <w:p>
            <w:pPr>
              <w:spacing w:after="0"/>
              <w:rPr>
                <w:sz w:val="20"/>
                <w:szCs w:val="20"/>
                <w:color w:val="auto"/>
              </w:rPr>
            </w:pPr>
            <w:r>
              <w:rPr>
                <w:rFonts w:ascii="Arial" w:cs="Arial" w:eastAsia="Arial" w:hAnsi="Arial"/>
                <w:sz w:val="18"/>
                <w:szCs w:val="18"/>
                <w:color w:val="0000FF"/>
                <w:w w:val="95"/>
              </w:rPr>
              <w:t>Tenth Amendment to Erie Insurance Group Employee Savings Plan (As Amended and Restated Effective January 1, 2015), dated</w:t>
            </w: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October 10,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10.52</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Credit Agreement by and among Erie Indemnity Company and PNC Bank, National Association, dated as of November 7, 2016. Such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exhibit is incorporated by reference to Exhibit 10.1 to the Registrant's Form 8-K that was filed with the Commission on November 14,</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153">
              <w:r>
                <w:rPr>
                  <w:rFonts w:ascii="Arial" w:cs="Arial" w:eastAsia="Arial" w:hAnsi="Arial"/>
                  <w:sz w:val="18"/>
                  <w:szCs w:val="18"/>
                  <w:color w:val="0000FF"/>
                  <w:w w:val="84"/>
                </w:rPr>
                <w:t>2016.</w:t>
              </w:r>
            </w:hyperlink>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10.53</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First Amendment to Credit Agreement by and between Erie Indemnity Company and PNC Bank, National Association, dated as of</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December 13, 2016. Such exhibit is incorporated by reference to Exhibit 10.1 to the Registrant's Form 8-K that was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Commission on January 24, 2018.</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10.54</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Second Amendment to Credit Agreement by and between Erie Indemnity Company and PNC Bank, National Association, dated as of</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55">
              <w:r>
                <w:rPr>
                  <w:rFonts w:ascii="Arial" w:cs="Arial" w:eastAsia="Arial" w:hAnsi="Arial"/>
                  <w:sz w:val="18"/>
                  <w:szCs w:val="18"/>
                  <w:color w:val="0000FF"/>
                  <w:w w:val="96"/>
                </w:rPr>
                <w:t>January 22, 2018. Such exhibit is incorporated by reference to Exhibit 10.2 to the Registrant's Form 8-K that was filed with the</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Commission on January 24, 2018.</w:t>
              </w:r>
            </w:hyperlink>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10.55</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5"/>
              </w:rPr>
            </w:pPr>
            <w:hyperlink r:id="rId156">
              <w:r>
                <w:rPr>
                  <w:rFonts w:ascii="Arial" w:cs="Arial" w:eastAsia="Arial" w:hAnsi="Arial"/>
                  <w:sz w:val="18"/>
                  <w:szCs w:val="18"/>
                  <w:color w:val="0000FF"/>
                  <w:w w:val="95"/>
                </w:rPr>
                <w:t>Third Amendment to Credit Agreement by and between Erie Indemnity Company and PNC Bank, National Association, dated as of</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November 13, 2018. Such exhibit is incorporated by reference to Exhibit 10.1 to the Registrant's Form 8-K that was filed with the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Commission on November 14, 2018.</w:t>
              </w:r>
            </w:hyperlink>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10.56</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4"/>
              </w:rPr>
            </w:pPr>
            <w:hyperlink r:id="rId157">
              <w:r>
                <w:rPr>
                  <w:rFonts w:ascii="Arial" w:cs="Arial" w:eastAsia="Arial" w:hAnsi="Arial"/>
                  <w:sz w:val="18"/>
                  <w:szCs w:val="18"/>
                  <w:color w:val="0000FF"/>
                  <w:w w:val="94"/>
                </w:rPr>
                <w:t>Fourth Amendment to Credit Agreement by and between Erie Indemnity Company and PNC Bank, National Association, dated as of</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December 28, 2021. Such exhibit is incorporated by reference to Exhibit 10.225 to the Registrant's Form 10-K that was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bottom w:val="single" w:sz="8" w:color="0000FF"/>
            </w:tcBorders>
            <w:gridSpan w:val="8"/>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Commission on February 24, 2022.</w:t>
              </w:r>
            </w:hyperlink>
          </w:p>
        </w:tc>
        <w:tc>
          <w:tcPr>
            <w:tcW w:w="7100" w:type="dxa"/>
            <w:vAlign w:val="bottom"/>
            <w:gridSpan w:val="2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10.57</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Pledge Agreement made by Erie Indemnity Company in favor of PNC Bank, National Association, dated as of November 7, 2016. Such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20" w:type="dxa"/>
            <w:vAlign w:val="bottom"/>
            <w:tcBorders>
              <w:top w:val="single" w:sz="8" w:color="0000FF"/>
            </w:tcBorders>
            <w:gridSpan w:val="39"/>
          </w:tcPr>
          <w:p>
            <w:pPr>
              <w:spacing w:after="0" w:line="156"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exhibit is incorporated by reference to Exhibit 10.2 to the Registrant's Form 8-K that was filed with the Commission on November 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58">
              <w:r>
                <w:rPr>
                  <w:rFonts w:ascii="Arial" w:cs="Arial" w:eastAsia="Arial" w:hAnsi="Arial"/>
                  <w:sz w:val="18"/>
                  <w:szCs w:val="18"/>
                  <w:color w:val="0000FF"/>
                  <w:w w:val="84"/>
                </w:rPr>
                <w:t>2016.</w:t>
              </w:r>
            </w:hyperlink>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10.58</w:t>
            </w:r>
          </w:p>
        </w:tc>
        <w:tc>
          <w:tcPr>
            <w:tcW w:w="700" w:type="dxa"/>
            <w:vAlign w:val="bottom"/>
          </w:tcPr>
          <w:p>
            <w:pPr>
              <w:spacing w:after="0"/>
              <w:rPr>
                <w:sz w:val="24"/>
                <w:szCs w:val="24"/>
                <w:color w:val="auto"/>
              </w:rPr>
            </w:pPr>
          </w:p>
        </w:tc>
        <w:tc>
          <w:tcPr>
            <w:tcW w:w="9640" w:type="dxa"/>
            <w:vAlign w:val="bottom"/>
            <w:tcBorders>
              <w:bottom w:val="single" w:sz="8" w:color="0000FF"/>
            </w:tcBorders>
            <w:gridSpan w:val="31"/>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Credit Agreement among PNC Bank, National Association, as Administrative Agent; the Lenders named therein; and Erie Indemnity</w:t>
              </w:r>
            </w:hyperlink>
          </w:p>
        </w:tc>
        <w:tc>
          <w:tcPr>
            <w:tcW w:w="300" w:type="dxa"/>
            <w:vAlign w:val="bottom"/>
            <w:gridSpan w:val="14"/>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5"/>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Company, dated October 29, 2021. Such exhibit is incorporated by reference to Exhibit 10.1 to the Registrant's Form 8-K that was 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with the Commission on November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10.59</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Pledge Agreement made by Erie Indemnity Company in favor of PNC Bank, National Association, as administrative agent, for itself and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tcBorders>
              <w:top w:val="single" w:sz="8" w:color="0000FF"/>
            </w:tcBorders>
            <w:gridSpan w:val="43"/>
          </w:tcPr>
          <w:p>
            <w:pPr>
              <w:spacing w:after="0" w:line="156"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certain other Lenders, dated October 29, 2021. Such exhibit is incorporated by reference to Exhibit 10.2 to the Registrant's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that was filed with the Commission on November 4, 2021.</w:t>
              </w:r>
            </w:hyperlink>
          </w:p>
        </w:tc>
        <w:tc>
          <w:tcPr>
            <w:tcW w:w="53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10.60</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Agreement of Lease between Erie Insurance Exchange and Erie Indemnity Company for the Erie Insurance Home Office Campus,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41"/>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July 1, 2021. Such exhibit is incorporated by reference to Exhibit 10.3 to the Registrant’s Form 10-Q that was filed with the Commission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4"/>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on October 28, 2021.</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10.61</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Amendment to Agreement of Lease between Erie Insurance Exchange and Erie Indemnity Company for the Erie Insurance Home Office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42"/>
          </w:tcPr>
          <w:p>
            <w:pPr>
              <w:spacing w:after="0" w:line="15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Campus, (As of July 1, 2021), dated January 1, 2022. Such exhibit is incorporated by reference to Exhibit 10.226 to the Registrant's</w:t>
              </w:r>
            </w:hyperlink>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Form 10-K that was filed with the Commission on February 24, 2022.</w:t>
              </w:r>
            </w:hyperlink>
          </w:p>
        </w:tc>
        <w:tc>
          <w:tcPr>
            <w:tcW w:w="120" w:type="dxa"/>
            <w:vAlign w:val="bottom"/>
            <w:gridSpan w:val="3"/>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10.62+</w:t>
            </w:r>
          </w:p>
        </w:tc>
        <w:tc>
          <w:tcPr>
            <w:tcW w:w="700" w:type="dxa"/>
            <w:vAlign w:val="bottom"/>
          </w:tcPr>
          <w:p>
            <w:pPr>
              <w:spacing w:after="0"/>
              <w:rPr>
                <w:sz w:val="24"/>
                <w:szCs w:val="24"/>
                <w:color w:val="auto"/>
              </w:rPr>
            </w:pPr>
          </w:p>
        </w:tc>
        <w:tc>
          <w:tcPr>
            <w:tcW w:w="9940" w:type="dxa"/>
            <w:vAlign w:val="bottom"/>
            <w:gridSpan w:val="45"/>
          </w:tcPr>
          <w:p>
            <w:pPr>
              <w:spacing w:after="0"/>
              <w:rPr>
                <w:sz w:val="20"/>
                <w:szCs w:val="20"/>
                <w:color w:val="auto"/>
              </w:rPr>
            </w:pPr>
            <w:r>
              <w:rPr>
                <w:rFonts w:ascii="Arial" w:cs="Arial" w:eastAsia="Arial" w:hAnsi="Arial"/>
                <w:sz w:val="18"/>
                <w:szCs w:val="18"/>
                <w:color w:val="0000FF"/>
                <w:w w:val="95"/>
              </w:rPr>
              <w:t>Second Amendment to Agreement of Lease between Erie Insurance Exchange and Erie Indemnity Company for the Erie Insurance</w:t>
            </w: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Home Office Campus, (As of July 1, 2021), dated January 1, 2023.</w:t>
            </w:r>
          </w:p>
        </w:tc>
        <w:tc>
          <w:tcPr>
            <w:tcW w:w="180" w:type="dxa"/>
            <w:vAlign w:val="bottom"/>
            <w:gridSpan w:val="6"/>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10.63</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Agreement for Purchase and Sale of Real Estate made as of December 7, 2021 between Erie Insurance Exchange and Erie Indemnity</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Company. Such exhibit is incorporated by reference to Exhibit 10.1 to the Registrant's Form 8-K that was filed with the Commission</w:t>
              </w:r>
            </w:hyperlink>
          </w:p>
        </w:tc>
        <w:tc>
          <w:tcPr>
            <w:tcW w:w="340" w:type="dxa"/>
            <w:vAlign w:val="bottom"/>
            <w:gridSpan w:val="16"/>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on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63">
              <w:r>
                <w:rPr>
                  <w:rFonts w:ascii="Arial" w:cs="Arial" w:eastAsia="Arial" w:hAnsi="Arial"/>
                  <w:sz w:val="18"/>
                  <w:szCs w:val="18"/>
                  <w:color w:val="0000FF"/>
                  <w:w w:val="88"/>
                </w:rPr>
                <w:t>December 9, 2021.</w:t>
              </w:r>
            </w:hyperlink>
          </w:p>
        </w:tc>
        <w:tc>
          <w:tcPr>
            <w:tcW w:w="840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14.1</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8"/>
              </w:rPr>
            </w:pPr>
            <w:hyperlink r:id="rId92">
              <w:r>
                <w:rPr>
                  <w:rFonts w:ascii="Arial" w:cs="Arial" w:eastAsia="Arial" w:hAnsi="Arial"/>
                  <w:sz w:val="18"/>
                  <w:szCs w:val="18"/>
                  <w:color w:val="0000FF"/>
                  <w:w w:val="98"/>
                </w:rPr>
                <w:t>Code of Conduct. Such exhibit is incorporated by reference to Exhibit 14.3 to the Registrant’s Form 10-K that was filed 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Commission on February 25, 2016.</w:t>
              </w:r>
            </w:hyperlink>
          </w:p>
        </w:tc>
        <w:tc>
          <w:tcPr>
            <w:tcW w:w="6700" w:type="dxa"/>
            <w:vAlign w:val="bottom"/>
            <w:tcBorders>
              <w:top w:val="single" w:sz="8" w:color="0000FF"/>
            </w:tcBorders>
            <w:gridSpan w:val="11"/>
          </w:tcPr>
          <w:p>
            <w:pPr>
              <w:spacing w:after="0"/>
              <w:rPr>
                <w:sz w:val="13"/>
                <w:szCs w:val="13"/>
                <w:color w:val="auto"/>
              </w:rPr>
            </w:pPr>
          </w:p>
        </w:tc>
        <w:tc>
          <w:tcPr>
            <w:tcW w:w="540" w:type="dxa"/>
            <w:vAlign w:val="bottom"/>
            <w:gridSpan w:val="19"/>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14.2</w:t>
            </w:r>
          </w:p>
        </w:tc>
        <w:tc>
          <w:tcPr>
            <w:tcW w:w="700" w:type="dxa"/>
            <w:vAlign w:val="bottom"/>
          </w:tcPr>
          <w:p>
            <w:pPr>
              <w:spacing w:after="0"/>
              <w:rPr>
                <w:sz w:val="24"/>
                <w:szCs w:val="24"/>
                <w:color w:val="auto"/>
              </w:rPr>
            </w:pPr>
          </w:p>
        </w:tc>
        <w:tc>
          <w:tcPr>
            <w:tcW w:w="9940" w:type="dxa"/>
            <w:vAlign w:val="bottom"/>
            <w:gridSpan w:val="45"/>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Code of Ethics for Senior Financial Officers. Such exhibit is incorporated by reference to Exhibit 14.4 to the Registrant’s Form 8-K that</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was filed with the Commission on June 1, 2016.</w:t>
              </w:r>
            </w:hyperlink>
          </w:p>
        </w:tc>
        <w:tc>
          <w:tcPr>
            <w:tcW w:w="6320" w:type="dxa"/>
            <w:vAlign w:val="bottom"/>
            <w:tcBorders>
              <w:top w:val="single" w:sz="8" w:color="0000FF"/>
            </w:tcBorders>
            <w:gridSpan w:val="27"/>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4"/>
                <w:szCs w:val="24"/>
                <w:color w:val="auto"/>
              </w:rPr>
            </w:pPr>
          </w:p>
        </w:tc>
        <w:tc>
          <w:tcPr>
            <w:tcW w:w="9940" w:type="dxa"/>
            <w:vAlign w:val="bottom"/>
            <w:gridSpan w:val="45"/>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gridSpan w:val="13"/>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28"/>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2"/>
                <w:szCs w:val="22"/>
                <w:color w:val="auto"/>
              </w:rPr>
            </w:pPr>
          </w:p>
        </w:tc>
        <w:tc>
          <w:tcPr>
            <w:tcW w:w="9940" w:type="dxa"/>
            <w:vAlign w:val="bottom"/>
            <w:gridSpan w:val="45"/>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22"/>
                <w:szCs w:val="22"/>
                <w:color w:val="auto"/>
              </w:rPr>
            </w:pPr>
          </w:p>
        </w:tc>
        <w:tc>
          <w:tcPr>
            <w:tcW w:w="72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2720" w:type="dxa"/>
            <w:vAlign w:val="bottom"/>
            <w:gridSpan w:val="28"/>
          </w:tcPr>
          <w:p>
            <w:pPr>
              <w:spacing w:after="0"/>
              <w:rPr>
                <w:sz w:val="22"/>
                <w:szCs w:val="22"/>
                <w:color w:val="auto"/>
              </w:rPr>
            </w:pPr>
          </w:p>
        </w:tc>
      </w:tr>
      <w:tr>
        <w:trPr>
          <w:trHeight w:val="62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Borders>
              <w:top w:val="single" w:sz="8" w:color="0000FF"/>
            </w:tcBorders>
            <w:gridSpan w:val="14"/>
          </w:tcPr>
          <w:p>
            <w:pPr>
              <w:ind w:left="4220"/>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0000FF"/>
            </w:tcBorders>
          </w:tcPr>
          <w:p>
            <w:pPr>
              <w:spacing w:after="0"/>
              <w:rPr>
                <w:sz w:val="24"/>
                <w:szCs w:val="24"/>
                <w:color w:val="auto"/>
              </w:rPr>
            </w:pPr>
          </w:p>
        </w:tc>
        <w:tc>
          <w:tcPr>
            <w:tcW w:w="2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line="211" w:lineRule="auto"/>
        <w:framePr w:w="1100" w:h="122" w:wrap="auto" w:vAnchor="page" w:hAnchor="page" w:x="280" w:y="140"/>
        <w:rPr>
          <w:rFonts w:ascii="Arial" w:cs="Arial" w:eastAsia="Arial" w:hAnsi="Arial"/>
          <w:sz w:val="12"/>
          <w:szCs w:val="12"/>
          <w:u w:val="single" w:color="auto"/>
          <w:color w:val="0000FF"/>
        </w:rPr>
      </w:pPr>
      <w:r>
        <w:rPr>
          <w:rFonts w:ascii="Arial" w:cs="Arial" w:eastAsia="Arial" w:hAnsi="Arial"/>
          <w:sz w:val="12"/>
          <w:szCs w:val="12"/>
          <w:u w:val="single" w:color="auto"/>
          <w:color w:val="0000FF"/>
        </w:rPr>
        <w:t>Table of Contents</w:t>
      </w:r>
    </w:p>
    <w:p>
      <w:pPr>
        <w:spacing w:after="0" w:line="196" w:lineRule="auto"/>
        <w:framePr w:w="620" w:h="160" w:wrap="auto" w:vAnchor="page" w:hAnchor="page" w:x="300" w:y="1046"/>
        <w:rPr>
          <w:rFonts w:ascii="Arial" w:cs="Arial" w:eastAsia="Arial" w:hAnsi="Arial"/>
          <w:sz w:val="17"/>
          <w:szCs w:val="17"/>
          <w:u w:val="single" w:color="auto"/>
          <w:color w:val="0000FF"/>
        </w:rPr>
      </w:pPr>
      <w:r>
        <w:rPr>
          <w:rFonts w:ascii="Arial" w:cs="Arial" w:eastAsia="Arial" w:hAnsi="Arial"/>
          <w:sz w:val="17"/>
          <w:szCs w:val="17"/>
          <w:u w:val="single" w:color="auto"/>
          <w:color w:val="0000FF"/>
        </w:rPr>
        <w:t>Exhibit</w:t>
      </w:r>
    </w:p>
    <w:p>
      <w:pPr>
        <w:spacing w:after="0" w:line="196" w:lineRule="auto"/>
        <w:framePr w:w="680" w:h="160" w:wrap="auto" w:vAnchor="page" w:hAnchor="page" w:x="300" w:y="1276"/>
        <w:rPr>
          <w:rFonts w:ascii="Arial" w:cs="Arial" w:eastAsia="Arial" w:hAnsi="Arial"/>
          <w:sz w:val="18"/>
          <w:szCs w:val="18"/>
          <w:u w:val="single" w:color="auto"/>
          <w:color w:val="0000FF"/>
        </w:rPr>
      </w:pPr>
      <w:r>
        <w:rPr>
          <w:rFonts w:ascii="Arial" w:cs="Arial" w:eastAsia="Arial" w:hAnsi="Arial"/>
          <w:sz w:val="18"/>
          <w:szCs w:val="18"/>
          <w:u w:val="single" w:color="auto"/>
          <w:color w:val="0000FF"/>
        </w:rPr>
        <w:t>Number</w:t>
      </w:r>
    </w:p>
    <w:p>
      <w:pPr>
        <w:spacing w:after="0" w:line="196" w:lineRule="auto"/>
        <w:framePr w:w="1700" w:h="160" w:wrap="auto" w:vAnchor="page" w:hAnchor="page" w:x="1600" w:y="1276"/>
        <w:rPr>
          <w:rFonts w:ascii="Arial" w:cs="Arial" w:eastAsia="Arial" w:hAnsi="Arial"/>
          <w:sz w:val="17"/>
          <w:szCs w:val="17"/>
          <w:u w:val="single" w:color="auto"/>
          <w:color w:val="0000FF"/>
        </w:rPr>
      </w:pPr>
      <w:r>
        <w:rPr>
          <w:rFonts w:ascii="Arial" w:cs="Arial" w:eastAsia="Arial" w:hAnsi="Arial"/>
          <w:sz w:val="17"/>
          <w:szCs w:val="17"/>
          <w:u w:val="single" w:color="auto"/>
          <w:color w:val="0000FF"/>
        </w:rPr>
        <w:t>Description of Exhibit</w:t>
      </w:r>
    </w:p>
    <w:p>
      <w:pPr>
        <w:spacing w:after="0" w:line="209" w:lineRule="auto"/>
        <w:framePr w:w="460" w:h="160" w:wrap="auto" w:vAnchor="page" w:hAnchor="page" w:x="300" w:y="1559"/>
        <w:rPr>
          <w:rFonts w:ascii="Arial" w:cs="Arial" w:eastAsia="Arial" w:hAnsi="Arial"/>
          <w:sz w:val="18"/>
          <w:szCs w:val="18"/>
          <w:u w:val="single" w:color="auto"/>
          <w:color w:val="0000FF"/>
        </w:rPr>
      </w:pPr>
      <w:r>
        <w:rPr>
          <w:rFonts w:ascii="Arial" w:cs="Arial" w:eastAsia="Arial" w:hAnsi="Arial"/>
          <w:sz w:val="18"/>
          <w:szCs w:val="18"/>
          <w:u w:val="single" w:color="auto"/>
          <w:color w:val="0000FF"/>
        </w:rPr>
        <w:t>32++</w:t>
      </w:r>
    </w:p>
    <w:p>
      <w:pPr>
        <w:spacing w:after="0" w:line="209" w:lineRule="auto"/>
        <w:framePr w:w="8800" w:h="160" w:wrap="auto" w:vAnchor="page" w:hAnchor="page" w:x="1600" w:y="1559"/>
        <w:rPr>
          <w:rFonts w:ascii="Arial" w:cs="Arial" w:eastAsia="Arial" w:hAnsi="Arial"/>
          <w:sz w:val="16"/>
          <w:szCs w:val="16"/>
          <w:u w:val="single" w:color="auto"/>
          <w:color w:val="0000FF"/>
        </w:rPr>
      </w:pP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194" w:lineRule="auto"/>
        <w:framePr w:w="800" w:h="160" w:wrap="auto" w:vAnchor="page" w:hAnchor="page" w:x="300" w:y="1843"/>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101.INS+</w:t>
      </w:r>
    </w:p>
    <w:p>
      <w:pPr>
        <w:spacing w:after="0" w:line="194" w:lineRule="auto"/>
        <w:framePr w:w="9320" w:h="336" w:wrap="auto" w:vAnchor="page" w:hAnchor="page" w:x="1600" w:y="1843"/>
        <w:rPr>
          <w:rFonts w:ascii="Arial" w:cs="Arial" w:eastAsia="Arial" w:hAnsi="Arial"/>
          <w:sz w:val="18"/>
          <w:szCs w:val="18"/>
          <w:u w:val="single" w:color="auto"/>
          <w:color w:val="0000FF"/>
        </w:rPr>
      </w:pPr>
      <w:r>
        <w:rPr>
          <w:rFonts w:ascii="Arial" w:cs="Arial" w:eastAsia="Arial" w:hAnsi="Arial"/>
          <w:sz w:val="18"/>
          <w:szCs w:val="18"/>
          <w:u w:val="single" w:color="auto"/>
          <w:color w:val="0000FF"/>
        </w:rPr>
        <w:t>Inline XBRL Instance Document - the instance document does not appear in the Interactive Data File because its XBRL tags are embedded within the Inline XBRL document.</w:t>
      </w:r>
    </w:p>
    <w:p>
      <w:pPr>
        <w:spacing w:after="0" w:line="209" w:lineRule="auto"/>
        <w:framePr w:w="860" w:h="160" w:wrap="auto" w:vAnchor="page" w:hAnchor="page" w:x="300" w:y="2315"/>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101.SCH+</w:t>
      </w:r>
    </w:p>
    <w:p>
      <w:pPr>
        <w:spacing w:after="0" w:line="209" w:lineRule="auto"/>
        <w:framePr w:w="4060" w:h="160" w:wrap="auto" w:vAnchor="page" w:hAnchor="page" w:x="1600" w:y="2315"/>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Schema Document.</w:t>
      </w:r>
    </w:p>
    <w:p>
      <w:pPr>
        <w:spacing w:after="0" w:line="209" w:lineRule="auto"/>
        <w:framePr w:w="860" w:h="160" w:wrap="auto" w:vAnchor="page" w:hAnchor="page" w:x="300" w:y="2599"/>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101.CAL+</w:t>
      </w:r>
    </w:p>
    <w:p>
      <w:pPr>
        <w:spacing w:after="0" w:line="209" w:lineRule="auto"/>
        <w:framePr w:w="5020" w:h="160" w:wrap="auto" w:vAnchor="page" w:hAnchor="page" w:x="1600" w:y="2599"/>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Calculation Linkbase Document.</w:t>
      </w:r>
    </w:p>
    <w:p>
      <w:pPr>
        <w:spacing w:after="0" w:line="209" w:lineRule="auto"/>
        <w:framePr w:w="840" w:h="160" w:wrap="auto" w:vAnchor="page" w:hAnchor="page" w:x="300" w:y="2882"/>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101.DEF+</w:t>
      </w:r>
    </w:p>
    <w:p>
      <w:pPr>
        <w:spacing w:after="0" w:line="209" w:lineRule="auto"/>
        <w:framePr w:w="4940" w:h="160" w:wrap="auto" w:vAnchor="page" w:hAnchor="page" w:x="1600" w:y="2882"/>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Definition Linkbase Document.</w:t>
      </w:r>
    </w:p>
    <w:p>
      <w:pPr>
        <w:spacing w:after="0" w:line="209" w:lineRule="auto"/>
        <w:framePr w:w="860" w:h="160" w:wrap="auto" w:vAnchor="page" w:hAnchor="page" w:x="300" w:y="3166"/>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101.LAB+</w:t>
      </w:r>
    </w:p>
    <w:p>
      <w:pPr>
        <w:spacing w:after="0" w:line="209" w:lineRule="auto"/>
        <w:framePr w:w="4600" w:h="160" w:wrap="auto" w:vAnchor="page" w:hAnchor="page" w:x="1600" w:y="3166"/>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Label Linkbase Document.</w:t>
      </w:r>
    </w:p>
    <w:p>
      <w:pPr>
        <w:spacing w:after="0" w:line="209" w:lineRule="auto"/>
        <w:framePr w:w="840" w:h="160" w:wrap="auto" w:vAnchor="page" w:hAnchor="page" w:x="300" w:y="3449"/>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101.PRE+</w:t>
      </w:r>
    </w:p>
    <w:p>
      <w:pPr>
        <w:spacing w:after="0" w:line="209" w:lineRule="auto"/>
        <w:framePr w:w="5080" w:h="160" w:wrap="auto" w:vAnchor="page" w:hAnchor="page" w:x="1600" w:y="3449"/>
        <w:rPr>
          <w:rFonts w:ascii="Arial" w:cs="Arial" w:eastAsia="Arial" w:hAnsi="Arial"/>
          <w:sz w:val="16"/>
          <w:szCs w:val="16"/>
          <w:u w:val="single" w:color="auto"/>
          <w:color w:val="0000FF"/>
        </w:rPr>
      </w:pPr>
      <w:r>
        <w:rPr>
          <w:rFonts w:ascii="Arial" w:cs="Arial" w:eastAsia="Arial" w:hAnsi="Arial"/>
          <w:sz w:val="16"/>
          <w:szCs w:val="16"/>
          <w:u w:val="single" w:color="auto"/>
          <w:color w:val="0000FF"/>
        </w:rPr>
        <w:t>Inline XBRL Taxonomy Extension Presentation Linkbase Document.</w:t>
      </w:r>
    </w:p>
    <w:p>
      <w:pPr>
        <w:spacing w:after="0" w:line="209" w:lineRule="auto"/>
        <w:framePr w:w="460" w:h="160" w:wrap="auto" w:vAnchor="page" w:hAnchor="page" w:x="300" w:y="3733"/>
        <w:rPr>
          <w:rFonts w:ascii="Arial" w:cs="Arial" w:eastAsia="Arial" w:hAnsi="Arial"/>
          <w:sz w:val="18"/>
          <w:szCs w:val="18"/>
          <w:u w:val="single" w:color="auto"/>
          <w:color w:val="0000FF"/>
        </w:rPr>
      </w:pPr>
      <w:r>
        <w:rPr>
          <w:rFonts w:ascii="Arial" w:cs="Arial" w:eastAsia="Arial" w:hAnsi="Arial"/>
          <w:sz w:val="18"/>
          <w:szCs w:val="18"/>
          <w:u w:val="single" w:color="auto"/>
          <w:color w:val="0000FF"/>
        </w:rPr>
        <w:t>104+</w:t>
      </w:r>
    </w:p>
    <w:p>
      <w:pPr>
        <w:spacing w:after="0" w:line="209" w:lineRule="auto"/>
        <w:framePr w:w="6660" w:h="160" w:wrap="auto" w:vAnchor="page" w:hAnchor="page" w:x="1600" w:y="3733"/>
        <w:rPr>
          <w:rFonts w:ascii="Arial" w:cs="Arial" w:eastAsia="Arial" w:hAnsi="Arial"/>
          <w:sz w:val="16"/>
          <w:szCs w:val="16"/>
          <w:u w:val="single" w:color="auto"/>
          <w:color w:val="0000FF"/>
        </w:rPr>
      </w:pPr>
      <w:r>
        <w:rPr>
          <w:rFonts w:ascii="Arial" w:cs="Arial" w:eastAsia="Arial" w:hAnsi="Arial"/>
          <w:sz w:val="16"/>
          <w:szCs w:val="16"/>
          <w:u w:val="single" w:color="auto"/>
          <w:color w:val="0000FF"/>
        </w:rPr>
        <w:t>Cover Page Interactive Data File (formatted as Inline XBRL and contained in Exhibit 101).</w:t>
      </w:r>
    </w:p>
    <w:p>
      <w:pPr>
        <w:spacing w:after="0" w:line="194" w:lineRule="auto"/>
        <w:framePr w:w="5280" w:h="336" w:wrap="auto" w:vAnchor="page" w:hAnchor="page" w:x="300" w:y="4016"/>
        <w:rPr>
          <w:rFonts w:ascii="Arial" w:cs="Arial" w:eastAsia="Arial" w:hAnsi="Arial"/>
          <w:sz w:val="18"/>
          <w:szCs w:val="18"/>
          <w:u w:val="single" w:color="auto"/>
          <w:color w:val="0000FF"/>
        </w:rPr>
      </w:pPr>
      <w:r>
        <w:rPr>
          <w:rFonts w:ascii="Arial" w:cs="Arial" w:eastAsia="Arial" w:hAnsi="Arial"/>
          <w:sz w:val="18"/>
          <w:szCs w:val="18"/>
          <w:u w:val="single" w:color="auto"/>
          <w:color w:val="0000FF"/>
        </w:rPr>
        <w:t>* Indicates management compensatory plan, contract, or arrangement. + Filed herewith.</w:t>
      </w:r>
    </w:p>
    <w:p>
      <w:pPr>
        <w:spacing w:after="0" w:line="196" w:lineRule="auto"/>
        <w:framePr w:w="1900" w:h="160" w:wrap="auto" w:vAnchor="page" w:hAnchor="page" w:x="300" w:y="4367"/>
        <w:rPr>
          <w:rFonts w:ascii="Arial" w:cs="Arial" w:eastAsia="Arial" w:hAnsi="Arial"/>
          <w:sz w:val="17"/>
          <w:szCs w:val="17"/>
          <w:u w:val="single" w:color="auto"/>
          <w:color w:val="0000FF"/>
        </w:rPr>
      </w:pPr>
      <w:r>
        <w:rPr>
          <w:rFonts w:ascii="Arial" w:cs="Arial" w:eastAsia="Arial" w:hAnsi="Arial"/>
          <w:sz w:val="17"/>
          <w:szCs w:val="17"/>
          <w:u w:val="single" w:color="auto"/>
          <w:color w:val="0000FF"/>
        </w:rPr>
        <w:t>++  Furnished herewith.</w:t>
      </w:r>
    </w:p>
    <w:p>
      <w:pPr>
        <w:spacing w:after="0" w:line="209" w:lineRule="auto"/>
        <w:framePr w:w="260" w:h="160" w:wrap="auto" w:vAnchor="page" w:hAnchor="page" w:x="5820" w:y="4988"/>
        <w:rPr>
          <w:rFonts w:ascii="Arial" w:cs="Arial" w:eastAsia="Arial" w:hAnsi="Arial"/>
          <w:sz w:val="16"/>
          <w:szCs w:val="16"/>
          <w:u w:val="single" w:color="auto"/>
          <w:color w:val="0000FF"/>
        </w:rPr>
      </w:pPr>
      <w:r>
        <w:rPr>
          <w:rFonts w:ascii="Arial" w:cs="Arial" w:eastAsia="Arial" w:hAnsi="Arial"/>
          <w:sz w:val="16"/>
          <w:szCs w:val="16"/>
          <w:u w:val="single" w:color="auto"/>
          <w:color w:val="0000FF"/>
        </w:rPr>
        <w:t>83</w:t>
      </w:r>
    </w:p>
    <w:p>
      <w:pPr>
        <w:spacing w:after="0" w:line="209" w:lineRule="auto"/>
        <w:rPr>
          <w:rFonts w:ascii="Arial" w:cs="Arial" w:eastAsia="Arial" w:hAnsi="Arial"/>
          <w:sz w:val="16"/>
          <w:szCs w:val="16"/>
          <w:u w:val="single" w:color="auto"/>
          <w:color w:val="0000FF"/>
        </w:rPr>
        <w:sectPr>
          <w:pgSz w:w="11900" w:h="16838" w:orient="portrait"/>
          <w:cols w:equalWidth="1" w:num="1" w:space="0"/>
          <w:pgMar w:left="1440" w:top="1440" w:right="1440" w:bottom="875" w:gutter="0" w:footer="0" w:header="0"/>
        </w:sect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3514090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March 1, 2023</w:t>
            </w:r>
          </w:p>
        </w:tc>
        <w:tc>
          <w:tcPr>
            <w:tcW w:w="5940" w:type="dxa"/>
            <w:vAlign w:val="bottom"/>
          </w:tcPr>
          <w:p>
            <w:pPr>
              <w:jc w:val="center"/>
              <w:spacing w:after="0"/>
              <w:rPr>
                <w:sz w:val="20"/>
                <w:szCs w:val="20"/>
                <w:color w:val="auto"/>
              </w:rPr>
            </w:pPr>
            <w:r>
              <w:rPr>
                <w:rFonts w:ascii="Arial" w:cs="Arial" w:eastAsia="Arial" w:hAnsi="Arial"/>
                <w:sz w:val="18"/>
                <w:szCs w:val="18"/>
                <w:color w:val="auto"/>
                <w:w w:val="98"/>
              </w:rPr>
              <w:t>ERIE INDEMNITY COMPANY</w:t>
            </w:r>
          </w:p>
        </w:tc>
      </w:tr>
      <w:tr>
        <w:trPr>
          <w:trHeight w:val="230"/>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59"/>
        </w:trPr>
        <w:tc>
          <w:tcPr>
            <w:tcW w:w="2360" w:type="dxa"/>
            <w:vAlign w:val="bottom"/>
          </w:tcPr>
          <w:p>
            <w:pPr>
              <w:ind w:left="198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22"/>
        </w:trPr>
        <w:tc>
          <w:tcPr>
            <w:tcW w:w="2360" w:type="dxa"/>
            <w:vAlign w:val="bottom"/>
          </w:tcPr>
          <w:p>
            <w:pPr>
              <w:spacing w:after="0"/>
              <w:rPr>
                <w:sz w:val="19"/>
                <w:szCs w:val="19"/>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30"/>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March 1, 2023</w:t>
            </w: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Gregory J. Gutting</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Gregory J. Gutting, Executive Vice President and CFO</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Jorie L. Novacek</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1"/>
              </w:rPr>
              <w:t>Jorie L. Novacek, Senior Vice President and Controller</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13"/>
        </w:trPr>
        <w:tc>
          <w:tcPr>
            <w:tcW w:w="2360" w:type="dxa"/>
            <w:vAlign w:val="bottom"/>
          </w:tcPr>
          <w:p>
            <w:pPr>
              <w:spacing w:after="0"/>
              <w:rPr>
                <w:sz w:val="24"/>
                <w:szCs w:val="24"/>
                <w:color w:val="auto"/>
              </w:rPr>
            </w:pPr>
          </w:p>
        </w:tc>
        <w:tc>
          <w:tcPr>
            <w:tcW w:w="5920" w:type="dxa"/>
            <w:vAlign w:val="bottom"/>
          </w:tcPr>
          <w:p>
            <w:pPr>
              <w:ind w:left="2540"/>
              <w:spacing w:after="0"/>
              <w:rPr>
                <w:sz w:val="20"/>
                <w:szCs w:val="20"/>
                <w:color w:val="auto"/>
              </w:rPr>
            </w:pPr>
            <w:r>
              <w:rPr>
                <w:rFonts w:ascii="Arial" w:cs="Arial" w:eastAsia="Arial" w:hAnsi="Arial"/>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0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J. Ralph Borneman, Jr.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0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8">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3300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Salvatore Correnti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0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LuAnn Datesh</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0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308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 Scott Hartz</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3089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Brian A. Hudson, Sr.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308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George R. Lucore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33089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320675</wp:posOffset>
            </wp:positionV>
            <wp:extent cx="3308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p>
      <w:pPr>
        <w:jc w:val="right"/>
        <w:ind w:right="1740"/>
        <w:spacing w:after="0"/>
        <w:tabs>
          <w:tab w:leader="none" w:pos="1700" w:val="left"/>
        </w:tabs>
        <w:rPr>
          <w:sz w:val="20"/>
          <w:szCs w:val="20"/>
          <w:color w:val="auto"/>
        </w:rPr>
      </w:pPr>
      <w:r>
        <w:rPr>
          <w:rFonts w:ascii="Arial" w:cs="Arial" w:eastAsia="Arial" w:hAnsi="Arial"/>
          <w:sz w:val="18"/>
          <w:szCs w:val="18"/>
          <w:color w:val="auto"/>
        </w:rPr>
        <w:t>Jonathan Hirt Hagen</w:t>
      </w:r>
      <w:r>
        <w:rPr>
          <w:sz w:val="20"/>
          <w:szCs w:val="20"/>
          <w:color w:val="auto"/>
        </w:rPr>
        <w:tab/>
      </w:r>
      <w:r>
        <w:rPr>
          <w:rFonts w:ascii="Arial" w:cs="Arial" w:eastAsia="Arial" w:hAnsi="Arial"/>
          <w:sz w:val="16"/>
          <w:szCs w:val="16"/>
          <w:color w:val="auto"/>
        </w:rPr>
        <w:t>Elizabeth Hirt Vorsheck</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00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Thomas B. Hagen, Chairman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21" w:right="339" w:bottom="1440" w:gutter="0" w:footer="0" w:header="0"/>
          <w:type w:val="continuous"/>
        </w:sectPr>
      </w:pPr>
    </w:p>
    <w:bookmarkStart w:id="84" w:name="page85"/>
    <w:bookmarkEnd w:id="84"/>
    <w:p>
      <w:pPr>
        <w:ind w:left="5020"/>
        <w:spacing w:after="0"/>
        <w:rPr>
          <w:sz w:val="20"/>
          <w:szCs w:val="20"/>
          <w:color w:val="auto"/>
        </w:rPr>
      </w:pPr>
      <w:r>
        <w:rPr>
          <w:rFonts w:ascii="Arial" w:cs="Arial" w:eastAsia="Arial" w:hAnsi="Arial"/>
          <w:sz w:val="22"/>
          <w:szCs w:val="22"/>
          <w:b w:val="1"/>
          <w:bCs w:val="1"/>
          <w:color w:val="auto"/>
        </w:rPr>
        <w:t>Exhibit 10.36</w:t>
      </w:r>
    </w:p>
    <w:p>
      <w:pPr>
        <w:spacing w:after="0" w:line="19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TWELFTH AMENDMENT TO</w:t>
      </w:r>
    </w:p>
    <w:p>
      <w:pPr>
        <w:jc w:val="center"/>
        <w:spacing w:after="0" w:line="204" w:lineRule="auto"/>
        <w:rPr>
          <w:sz w:val="20"/>
          <w:szCs w:val="20"/>
          <w:color w:val="auto"/>
        </w:rPr>
      </w:pPr>
      <w:r>
        <w:rPr>
          <w:rFonts w:ascii="Arial" w:cs="Arial" w:eastAsia="Arial" w:hAnsi="Arial"/>
          <w:sz w:val="22"/>
          <w:szCs w:val="22"/>
          <w:b w:val="1"/>
          <w:bCs w:val="1"/>
          <w:color w:val="auto"/>
        </w:rPr>
        <w:t>ERIE INSURANCE 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PLAN FOR EMPLOYEES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(As Amended and Restated effective December 31, 2014)</w:t>
      </w:r>
    </w:p>
    <w:p>
      <w:pPr>
        <w:spacing w:after="0" w:line="212" w:lineRule="exact"/>
        <w:rPr>
          <w:sz w:val="20"/>
          <w:szCs w:val="20"/>
          <w:color w:val="auto"/>
        </w:rPr>
      </w:pPr>
    </w:p>
    <w:p>
      <w:pPr>
        <w:ind w:right="800" w:firstLine="648"/>
        <w:spacing w:after="0" w:line="247" w:lineRule="auto"/>
        <w:rPr>
          <w:sz w:val="20"/>
          <w:szCs w:val="20"/>
          <w:color w:val="auto"/>
        </w:rPr>
      </w:pPr>
      <w:r>
        <w:rPr>
          <w:rFonts w:ascii="Arial" w:cs="Arial" w:eastAsia="Arial" w:hAnsi="Arial"/>
          <w:sz w:val="21"/>
          <w:szCs w:val="21"/>
          <w:color w:val="auto"/>
        </w:rPr>
        <w:t>WHEREAS, Erie Indemnity Company (the “Company”) maintains the Erie Insurance Group Retirement Plan for Employees (the “Plan”) under an amendment and restatement effective December 31,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06" w:lineRule="exact"/>
        <w:rPr>
          <w:sz w:val="20"/>
          <w:szCs w:val="20"/>
          <w:color w:val="auto"/>
        </w:rPr>
      </w:pPr>
    </w:p>
    <w:p>
      <w:pPr>
        <w:ind w:firstLine="648"/>
        <w:spacing w:after="0" w:line="213" w:lineRule="auto"/>
        <w:rPr>
          <w:sz w:val="20"/>
          <w:szCs w:val="20"/>
          <w:color w:val="auto"/>
        </w:rPr>
      </w:pPr>
      <w:r>
        <w:rPr>
          <w:rFonts w:ascii="Arial" w:cs="Arial" w:eastAsia="Arial" w:hAnsi="Arial"/>
          <w:sz w:val="22"/>
          <w:szCs w:val="22"/>
          <w:color w:val="auto"/>
        </w:rPr>
        <w:t>WHEREAS, the Company wishes to amend the Plan to reflect provisions of the Setting Every Community Up for Retirement Enhancement (“SECURE”) Act.</w:t>
      </w:r>
    </w:p>
    <w:p>
      <w:pPr>
        <w:ind w:left="660"/>
        <w:spacing w:after="0" w:line="238" w:lineRule="auto"/>
        <w:rPr>
          <w:sz w:val="20"/>
          <w:szCs w:val="20"/>
          <w:color w:val="auto"/>
        </w:rPr>
      </w:pPr>
      <w:r>
        <w:rPr>
          <w:rFonts w:ascii="Arial" w:cs="Arial" w:eastAsia="Arial" w:hAnsi="Arial"/>
          <w:sz w:val="19"/>
          <w:szCs w:val="19"/>
          <w:color w:val="auto"/>
        </w:rPr>
        <w:t>NOW, THEREFORE, Section 7.10(b) of the Plan is amended and restated in its entirety to read as follows, effective</w:t>
      </w:r>
    </w:p>
    <w:p>
      <w:pPr>
        <w:spacing w:after="0"/>
        <w:rPr>
          <w:sz w:val="20"/>
          <w:szCs w:val="20"/>
          <w:color w:val="auto"/>
        </w:rPr>
      </w:pPr>
      <w:r>
        <w:rPr>
          <w:rFonts w:ascii="Arial" w:cs="Arial" w:eastAsia="Arial" w:hAnsi="Arial"/>
          <w:sz w:val="22"/>
          <w:szCs w:val="22"/>
          <w:color w:val="auto"/>
        </w:rPr>
        <w:t>January 1, 2020:</w:t>
      </w:r>
    </w:p>
    <w:p>
      <w:pPr>
        <w:spacing w:after="0" w:line="269" w:lineRule="exact"/>
        <w:rPr>
          <w:sz w:val="20"/>
          <w:szCs w:val="20"/>
          <w:color w:val="auto"/>
        </w:rPr>
      </w:pPr>
    </w:p>
    <w:p>
      <w:pPr>
        <w:ind w:left="1300" w:hanging="644"/>
        <w:spacing w:after="0" w:line="372" w:lineRule="auto"/>
        <w:tabs>
          <w:tab w:leader="none" w:pos="11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Notwithstanding any inconsistent provision of the Plan and effective January 1, 2003, all distributions under the Plan shall be made in accordance with Code Section 401(a)(9), including the incidental death benefit requirement of Code Section 401(a)(9)(G), and Sections 1.401(a)(9)-1 through 1.401(a)(9)-9 of the Income Tax Regulations. Specifically, distribution of the Participant’s interest shall:</w:t>
      </w:r>
    </w:p>
    <w:p>
      <w:pPr>
        <w:spacing w:after="0" w:line="1" w:lineRule="exact"/>
        <w:rPr>
          <w:rFonts w:ascii="Arial" w:cs="Arial" w:eastAsia="Arial" w:hAnsi="Arial"/>
          <w:sz w:val="21"/>
          <w:szCs w:val="21"/>
          <w:color w:val="auto"/>
        </w:rPr>
      </w:pPr>
    </w:p>
    <w:p>
      <w:pPr>
        <w:ind w:left="1720" w:hanging="416"/>
        <w:spacing w:after="0"/>
        <w:tabs>
          <w:tab w:leader="none" w:pos="17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be completed no later than the Required Beginning Date; or</w:t>
      </w:r>
    </w:p>
    <w:p>
      <w:pPr>
        <w:spacing w:after="0" w:line="125" w:lineRule="exact"/>
        <w:rPr>
          <w:rFonts w:ascii="Arial" w:cs="Arial" w:eastAsia="Arial" w:hAnsi="Arial"/>
          <w:sz w:val="22"/>
          <w:szCs w:val="22"/>
          <w:color w:val="auto"/>
        </w:rPr>
      </w:pPr>
    </w:p>
    <w:p>
      <w:pPr>
        <w:ind w:left="1960" w:hanging="656"/>
        <w:spacing w:after="0" w:line="392" w:lineRule="auto"/>
        <w:tabs>
          <w:tab w:leader="none" w:pos="1813" w:val="left"/>
        </w:tabs>
        <w:numPr>
          <w:ilvl w:val="1"/>
          <w:numId w:val="27"/>
        </w:numPr>
        <w:rPr>
          <w:rFonts w:ascii="Arial" w:cs="Arial" w:eastAsia="Arial" w:hAnsi="Arial"/>
          <w:sz w:val="21"/>
          <w:szCs w:val="21"/>
          <w:color w:val="auto"/>
        </w:rPr>
      </w:pPr>
      <w:r>
        <w:rPr>
          <w:rFonts w:ascii="Arial" w:cs="Arial" w:eastAsia="Arial" w:hAnsi="Arial"/>
          <w:sz w:val="21"/>
          <w:szCs w:val="21"/>
          <w:color w:val="auto"/>
        </w:rPr>
        <w:t>commence not later than the Required Beginning Date with distribution to the Participant made over the life of the Participant or joint lives of the Participant and a designated Beneficiary or a period not longer than the life of the Participant or joint lives of the Participant and a designated Beneficiary.</w:t>
      </w:r>
    </w:p>
    <w:p>
      <w:pPr>
        <w:spacing w:after="0" w:line="315" w:lineRule="exact"/>
        <w:rPr>
          <w:sz w:val="20"/>
          <w:szCs w:val="20"/>
          <w:color w:val="auto"/>
        </w:rPr>
      </w:pPr>
    </w:p>
    <w:p>
      <w:pPr>
        <w:jc w:val="both"/>
        <w:ind w:left="1960" w:hanging="656"/>
        <w:spacing w:after="0" w:line="358" w:lineRule="auto"/>
        <w:tabs>
          <w:tab w:leader="none" w:pos="19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Participants born before July 1, 1949, April 1 of the calendar year following the later of the calendar year in which the Participant attains age 70½ or the calendar year in which the Participant terminates employment or retires; and</w:t>
      </w:r>
    </w:p>
    <w:p>
      <w:pPr>
        <w:spacing w:after="0" w:line="1" w:lineRule="exact"/>
        <w:rPr>
          <w:rFonts w:ascii="Arial" w:cs="Arial" w:eastAsia="Arial" w:hAnsi="Arial"/>
          <w:sz w:val="22"/>
          <w:szCs w:val="22"/>
          <w:color w:val="auto"/>
        </w:rPr>
      </w:pPr>
    </w:p>
    <w:p>
      <w:pPr>
        <w:ind w:left="1960" w:hanging="656"/>
        <w:spacing w:after="0" w:line="379" w:lineRule="auto"/>
        <w:tabs>
          <w:tab w:leader="none" w:pos="1842"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Participants born after June 30, 1949, April 1 of the calendar year following the later of the calendar year in which the Participant attains age</w:t>
      </w:r>
    </w:p>
    <w:p>
      <w:pPr>
        <w:sectPr>
          <w:pgSz w:w="11900" w:h="16838" w:orient="portrait"/>
          <w:cols w:equalWidth="0" w:num="1">
            <w:col w:w="11240"/>
          </w:cols>
          <w:pgMar w:left="320" w:top="868" w:right="339" w:bottom="1440" w:gutter="0" w:footer="0" w:header="0"/>
        </w:sectPr>
      </w:pPr>
    </w:p>
    <w:bookmarkStart w:id="85" w:name="page86"/>
    <w:bookmarkEnd w:id="85"/>
    <w:p>
      <w:pPr>
        <w:ind w:left="1960"/>
        <w:spacing w:after="0"/>
        <w:rPr>
          <w:sz w:val="20"/>
          <w:szCs w:val="20"/>
          <w:color w:val="auto"/>
        </w:rPr>
      </w:pPr>
      <w:r>
        <w:rPr>
          <w:rFonts w:ascii="Arial" w:cs="Arial" w:eastAsia="Arial" w:hAnsi="Arial"/>
          <w:sz w:val="22"/>
          <w:szCs w:val="22"/>
          <w:color w:val="auto"/>
        </w:rPr>
        <w:t>72 or the calendar year in which the Participant terminates employment or retires;</w:t>
      </w:r>
    </w:p>
    <w:p>
      <w:pPr>
        <w:spacing w:after="0" w:line="125" w:lineRule="exact"/>
        <w:rPr>
          <w:sz w:val="20"/>
          <w:szCs w:val="20"/>
          <w:color w:val="auto"/>
        </w:rPr>
      </w:pPr>
    </w:p>
    <w:p>
      <w:pPr>
        <w:jc w:val="both"/>
        <w:ind w:left="1300"/>
        <w:spacing w:after="0" w:line="418" w:lineRule="auto"/>
        <w:rPr>
          <w:sz w:val="20"/>
          <w:szCs w:val="20"/>
          <w:color w:val="auto"/>
        </w:rPr>
      </w:pPr>
      <w:r>
        <w:rPr>
          <w:rFonts w:ascii="Arial" w:cs="Arial" w:eastAsia="Arial" w:hAnsi="Arial"/>
          <w:sz w:val="19"/>
          <w:szCs w:val="19"/>
          <w:color w:val="auto"/>
        </w:rPr>
        <w:t>provided, however, if the Participant is a five-percent owner (as defined in Section 416 of the Code), the Required Beginning Date shall be April 1 of the calendar year following the calendar year in which the Participant attains age 70½ or age 72, as applicable based on the Participant’s date of birth, regardless of the date that the five-percent owner terminates employment or retires. In the case of a Participant who terminates employment or retires in a calendar year after the calendar year in which he attains age 70½ or age 72, as applicable based on the Participant’s date of birth, and who has not commenced payments as of the first day of such later calendar year, the Plan benefit accrued by the Participant shall be actuarially increased, to the extent required by regulations, to take into account the period (commencing on the April 1st of the calendar year following the calendar year in which the Participant attains age 70½ and ending on the date payment commences) during which the Participant did not receive any benefits under the Plan; provided, however, that such actuarial increase, to the extent permitted by regulations, shall reduce the benefit accrual otherwise occurring during such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Company has caused this Amendment to be executed this 10th day of October,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ERIE INDEMNITY COMPANY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40" w:type="dxa"/>
            <w:vAlign w:val="bottom"/>
          </w:tcPr>
          <w:p>
            <w:pPr>
              <w:ind w:left="20"/>
              <w:spacing w:after="0"/>
              <w:rPr>
                <w:sz w:val="20"/>
                <w:szCs w:val="20"/>
                <w:color w:val="auto"/>
              </w:rPr>
            </w:pPr>
            <w:r>
              <w:rPr>
                <w:rFonts w:ascii="Arial" w:cs="Arial" w:eastAsia="Arial" w:hAnsi="Arial"/>
                <w:sz w:val="22"/>
                <w:szCs w:val="22"/>
                <w:color w:val="auto"/>
              </w:rPr>
              <w:t>ATTEST:</w:t>
            </w:r>
          </w:p>
        </w:tc>
        <w:tc>
          <w:tcPr>
            <w:tcW w:w="184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Maureen Geary Krowicki</w:t>
            </w:r>
          </w:p>
        </w:tc>
        <w:tc>
          <w:tcPr>
            <w:tcW w:w="1840" w:type="dxa"/>
            <w:vAlign w:val="bottom"/>
          </w:tcPr>
          <w:p>
            <w:pPr>
              <w:ind w:left="1080"/>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Brian W. Bolash</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1840" w:type="dxa"/>
            <w:vAlign w:val="bottom"/>
            <w:vMerge w:val="restart"/>
          </w:tcPr>
          <w:p>
            <w:pPr>
              <w:ind w:left="1080"/>
              <w:spacing w:after="0"/>
              <w:rPr>
                <w:sz w:val="20"/>
                <w:szCs w:val="20"/>
                <w:color w:val="auto"/>
              </w:rPr>
            </w:pPr>
            <w:r>
              <w:rPr>
                <w:rFonts w:ascii="Arial" w:cs="Arial" w:eastAsia="Arial" w:hAnsi="Arial"/>
                <w:sz w:val="22"/>
                <w:szCs w:val="22"/>
                <w:color w:val="auto"/>
              </w:rPr>
              <w:t>Title:</w:t>
            </w:r>
          </w:p>
        </w:tc>
        <w:tc>
          <w:tcPr>
            <w:tcW w:w="4560" w:type="dxa"/>
            <w:vAlign w:val="bottom"/>
          </w:tcPr>
          <w:p>
            <w:pPr>
              <w:ind w:left="20"/>
              <w:spacing w:after="0" w:line="244" w:lineRule="exact"/>
              <w:rPr>
                <w:sz w:val="20"/>
                <w:szCs w:val="20"/>
                <w:color w:val="auto"/>
              </w:rPr>
            </w:pPr>
            <w:r>
              <w:rPr>
                <w:rFonts w:ascii="Arial" w:cs="Arial" w:eastAsia="Arial" w:hAnsi="Arial"/>
                <w:sz w:val="22"/>
                <w:szCs w:val="22"/>
                <w:color w:val="auto"/>
              </w:rPr>
              <w:t>Executive Vice President</w:t>
            </w:r>
          </w:p>
        </w:tc>
        <w:tc>
          <w:tcPr>
            <w:tcW w:w="0" w:type="dxa"/>
            <w:vAlign w:val="bottom"/>
          </w:tcPr>
          <w:p>
            <w:pPr>
              <w:spacing w:after="0"/>
              <w:rPr>
                <w:sz w:val="1"/>
                <w:szCs w:val="1"/>
                <w:color w:val="auto"/>
              </w:rPr>
            </w:pPr>
          </w:p>
        </w:tc>
      </w:tr>
      <w:tr>
        <w:trPr>
          <w:trHeight w:val="276"/>
        </w:trPr>
        <w:tc>
          <w:tcPr>
            <w:tcW w:w="34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Secretary &amp;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55" w:right="339" w:bottom="1440" w:gutter="0" w:footer="0" w:header="0"/>
        </w:sectPr>
      </w:pPr>
    </w:p>
    <w:bookmarkStart w:id="86" w:name="page87"/>
    <w:bookmarkEnd w:id="86"/>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10.51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TENTH AMENDMENT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INSURANCE GROUP EMPLOYEE SAVINGS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January 1, 2015)</w:t>
      </w:r>
    </w:p>
    <w:p>
      <w:pPr>
        <w:spacing w:after="0" w:line="200" w:lineRule="exact"/>
        <w:rPr>
          <w:sz w:val="20"/>
          <w:szCs w:val="20"/>
          <w:color w:val="auto"/>
        </w:rPr>
      </w:pPr>
    </w:p>
    <w:p>
      <w:pPr>
        <w:spacing w:after="0" w:line="24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WHEREAS, Erie Indemnity Company (the “Company”) maintains the Erie Insurance Group Employee Savings Plan (the “Plan”) under an amendment and restatement effective as of January 1, 2015;</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06" w:lineRule="exact"/>
        <w:rPr>
          <w:sz w:val="20"/>
          <w:szCs w:val="20"/>
          <w:color w:val="auto"/>
        </w:rPr>
      </w:pPr>
    </w:p>
    <w:p>
      <w:pPr>
        <w:ind w:right="740" w:firstLine="648"/>
        <w:spacing w:after="0" w:line="232" w:lineRule="auto"/>
        <w:rPr>
          <w:sz w:val="20"/>
          <w:szCs w:val="20"/>
          <w:color w:val="auto"/>
        </w:rPr>
      </w:pPr>
      <w:r>
        <w:rPr>
          <w:rFonts w:ascii="Arial" w:cs="Arial" w:eastAsia="Arial" w:hAnsi="Arial"/>
          <w:sz w:val="22"/>
          <w:szCs w:val="22"/>
          <w:color w:val="auto"/>
        </w:rPr>
        <w:t>WHEREAS, the Company wishes to amend the Plan to reflect provisions of the Setting Every Community Up for Retirement Enhancement (“SECURE”)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hereby amends the Plan as follows, effective as of the dates indicated:</w:t>
      </w:r>
    </w:p>
    <w:p>
      <w:pPr>
        <w:spacing w:after="0" w:line="206"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1"/>
          <w:szCs w:val="21"/>
          <w:color w:val="252525"/>
        </w:rPr>
      </w:pPr>
      <w:r>
        <w:rPr>
          <w:rFonts w:ascii="Arial" w:cs="Arial" w:eastAsia="Arial" w:hAnsi="Arial"/>
          <w:sz w:val="21"/>
          <w:szCs w:val="21"/>
          <w:color w:val="252525"/>
        </w:rPr>
        <w:t>Section 2.1(c) of the Plan is hereby amended in its entirety and shall now read as follows, effective January 1, 2021:</w:t>
      </w:r>
    </w:p>
    <w:p>
      <w:pPr>
        <w:spacing w:after="0" w:line="190" w:lineRule="exact"/>
        <w:rPr>
          <w:rFonts w:ascii="Arial" w:cs="Arial" w:eastAsia="Arial" w:hAnsi="Arial"/>
          <w:sz w:val="21"/>
          <w:szCs w:val="21"/>
          <w:color w:val="252525"/>
        </w:rPr>
      </w:pPr>
    </w:p>
    <w:p>
      <w:pPr>
        <w:ind w:left="1300" w:hanging="644"/>
        <w:spacing w:after="0" w:line="226" w:lineRule="auto"/>
        <w:tabs>
          <w:tab w:leader="none" w:pos="1108" w:val="left"/>
        </w:tabs>
        <w:numPr>
          <w:ilvl w:val="1"/>
          <w:numId w:val="29"/>
        </w:numPr>
        <w:rPr>
          <w:rFonts w:ascii="Arial" w:cs="Arial" w:eastAsia="Arial" w:hAnsi="Arial"/>
          <w:sz w:val="21"/>
          <w:szCs w:val="21"/>
          <w:color w:val="auto"/>
        </w:rPr>
      </w:pPr>
      <w:r>
        <w:rPr>
          <w:rFonts w:ascii="Arial" w:cs="Arial" w:eastAsia="Arial" w:hAnsi="Arial"/>
          <w:sz w:val="21"/>
          <w:szCs w:val="21"/>
          <w:color w:val="auto"/>
        </w:rPr>
        <w:t>Notwithstanding the foregoing, any Covered Employee who is compensated on an hourly basis and who is classified by an Employer as other than a regular hourly employee shall be eligible to participate in the Plan on the first day of a pay period coincident with or next following the January 1 or July 1 on which (or which next follows the date) such Employee completes the requirements under either (i) or (ii) below, provided the Covered Employee remains a Covered Employee as of such January 1 or July 1:</w:t>
      </w:r>
    </w:p>
    <w:p>
      <w:pPr>
        <w:spacing w:after="0" w:line="186" w:lineRule="exact"/>
        <w:rPr>
          <w:rFonts w:ascii="Arial" w:cs="Arial" w:eastAsia="Arial" w:hAnsi="Arial"/>
          <w:sz w:val="21"/>
          <w:szCs w:val="21"/>
          <w:color w:val="auto"/>
        </w:rPr>
      </w:pPr>
    </w:p>
    <w:p>
      <w:pPr>
        <w:ind w:left="1720" w:hanging="416"/>
        <w:spacing w:after="0"/>
        <w:tabs>
          <w:tab w:leader="none" w:pos="17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Attains 21 years of age and completes one Year of Eligibility Service; or</w:t>
      </w:r>
    </w:p>
    <w:p>
      <w:pPr>
        <w:spacing w:after="0" w:line="206" w:lineRule="exact"/>
        <w:rPr>
          <w:rFonts w:ascii="Arial" w:cs="Arial" w:eastAsia="Arial" w:hAnsi="Arial"/>
          <w:sz w:val="22"/>
          <w:szCs w:val="22"/>
          <w:color w:val="auto"/>
        </w:rPr>
      </w:pPr>
    </w:p>
    <w:p>
      <w:pPr>
        <w:ind w:left="1960" w:right="580" w:hanging="656"/>
        <w:spacing w:after="0" w:line="298" w:lineRule="auto"/>
        <w:tabs>
          <w:tab w:leader="none" w:pos="1780" w:val="left"/>
        </w:tabs>
        <w:numPr>
          <w:ilvl w:val="2"/>
          <w:numId w:val="29"/>
        </w:numPr>
        <w:rPr>
          <w:rFonts w:ascii="Arial" w:cs="Arial" w:eastAsia="Arial" w:hAnsi="Arial"/>
          <w:sz w:val="19"/>
          <w:szCs w:val="19"/>
          <w:color w:val="auto"/>
        </w:rPr>
      </w:pPr>
      <w:r>
        <w:rPr>
          <w:rFonts w:ascii="Arial" w:cs="Arial" w:eastAsia="Arial" w:hAnsi="Arial"/>
          <w:sz w:val="19"/>
          <w:szCs w:val="19"/>
          <w:color w:val="auto"/>
        </w:rPr>
        <w:t>Attains 21 years of age and completes three consecutive Eligibility Computation Periods (as defined in Section 1.42) during each of which such Covered Employee has at least 500 Hours of Service.</w:t>
      </w:r>
    </w:p>
    <w:p>
      <w:pPr>
        <w:spacing w:after="0" w:line="132" w:lineRule="exact"/>
        <w:rPr>
          <w:sz w:val="20"/>
          <w:szCs w:val="20"/>
          <w:color w:val="auto"/>
        </w:rPr>
      </w:pPr>
    </w:p>
    <w:p>
      <w:pPr>
        <w:ind w:left="1300"/>
        <w:spacing w:after="0" w:line="252" w:lineRule="auto"/>
        <w:rPr>
          <w:sz w:val="20"/>
          <w:szCs w:val="20"/>
          <w:color w:val="auto"/>
        </w:rPr>
      </w:pPr>
      <w:r>
        <w:rPr>
          <w:rFonts w:ascii="Arial" w:cs="Arial" w:eastAsia="Arial" w:hAnsi="Arial"/>
          <w:sz w:val="19"/>
          <w:szCs w:val="19"/>
          <w:color w:val="auto"/>
        </w:rPr>
        <w:t xml:space="preserve">A Covered Employee who is described in this paragraph (c) and who satisfies the conditions set forth above may participate in the Plan by making proper application for participation within a reasonable time prior to the start of a given pay period by furnishing Notice in accordance with procedures established by the Administrator and communicated to Covered Employees. </w:t>
      </w:r>
      <w:r>
        <w:rPr>
          <w:rFonts w:ascii="Arial" w:cs="Arial" w:eastAsia="Arial" w:hAnsi="Arial"/>
          <w:sz w:val="19"/>
          <w:szCs w:val="19"/>
          <w:color w:val="252525"/>
        </w:rPr>
        <w:t>The automatic enrollment provisions of paragraph (b) and the automatic</w:t>
      </w:r>
      <w:r>
        <w:rPr>
          <w:rFonts w:ascii="Arial" w:cs="Arial" w:eastAsia="Arial" w:hAnsi="Arial"/>
          <w:sz w:val="19"/>
          <w:szCs w:val="19"/>
          <w:color w:val="auto"/>
        </w:rPr>
        <w:t xml:space="preserve"> </w:t>
      </w:r>
      <w:r>
        <w:rPr>
          <w:rFonts w:ascii="Arial" w:cs="Arial" w:eastAsia="Arial" w:hAnsi="Arial"/>
          <w:sz w:val="19"/>
          <w:szCs w:val="19"/>
          <w:color w:val="252525"/>
        </w:rPr>
        <w:t>increase provisions of Section 3.1(c) shall not apply to a Covered Employee who is described in this paragraph (c)</w:t>
      </w:r>
      <w:r>
        <w:rPr>
          <w:rFonts w:ascii="Arial" w:cs="Arial" w:eastAsia="Arial" w:hAnsi="Arial"/>
          <w:sz w:val="19"/>
          <w:szCs w:val="19"/>
          <w:color w:val="000000"/>
        </w:rPr>
        <w:t>.</w:t>
      </w:r>
    </w:p>
    <w:p>
      <w:pPr>
        <w:spacing w:after="0" w:line="176" w:lineRule="exact"/>
        <w:rPr>
          <w:sz w:val="20"/>
          <w:szCs w:val="20"/>
          <w:color w:val="auto"/>
        </w:rPr>
      </w:pPr>
    </w:p>
    <w:p>
      <w:pPr>
        <w:ind w:left="1300" w:right="320"/>
        <w:spacing w:after="0" w:line="232" w:lineRule="auto"/>
        <w:rPr>
          <w:sz w:val="20"/>
          <w:szCs w:val="20"/>
          <w:color w:val="auto"/>
        </w:rPr>
      </w:pPr>
      <w:r>
        <w:rPr>
          <w:rFonts w:ascii="Arial" w:cs="Arial" w:eastAsia="Arial" w:hAnsi="Arial"/>
          <w:sz w:val="22"/>
          <w:szCs w:val="22"/>
          <w:color w:val="auto"/>
        </w:rPr>
        <w:t>If an Employee described in this paragraph (c) is not a Covered Employee on the date he otherwise would have become eligible to participate in the Plan,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85" w:lineRule="exact"/>
        <w:rPr>
          <w:sz w:val="20"/>
          <w:szCs w:val="20"/>
          <w:color w:val="auto"/>
        </w:rPr>
      </w:pPr>
    </w:p>
    <w:p>
      <w:pPr>
        <w:ind w:left="1292" w:right="200"/>
        <w:spacing w:after="0" w:line="232" w:lineRule="auto"/>
        <w:rPr>
          <w:sz w:val="20"/>
          <w:szCs w:val="20"/>
          <w:color w:val="auto"/>
        </w:rPr>
      </w:pPr>
      <w:r>
        <w:rPr>
          <w:rFonts w:ascii="Arial" w:cs="Arial" w:eastAsia="Arial" w:hAnsi="Arial"/>
          <w:sz w:val="22"/>
          <w:szCs w:val="22"/>
          <w:color w:val="auto"/>
        </w:rPr>
        <w:t>Employee shall be eligible to participate in the Plan pursuant to this Section 2.1 upon employment as a Covered Employee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his return to</w:t>
      </w:r>
    </w:p>
    <w:p>
      <w:pPr>
        <w:spacing w:after="0" w:line="456" w:lineRule="exact"/>
        <w:rPr>
          <w:sz w:val="20"/>
          <w:szCs w:val="20"/>
          <w:color w:val="auto"/>
        </w:rPr>
      </w:pPr>
    </w:p>
    <w:p>
      <w:pPr>
        <w:sectPr>
          <w:pgSz w:w="11900" w:h="16838" w:orient="portrait"/>
          <w:cols w:equalWidth="0" w:num="2">
            <w:col w:w="8852" w:space="720"/>
            <w:col w:w="1640"/>
          </w:cols>
          <w:pgMar w:left="328" w:top="1440" w:right="359" w:bottom="1440" w:gutter="0" w:footer="0" w:header="0"/>
        </w:sectPr>
      </w:pPr>
    </w:p>
    <w:p>
      <w:pPr>
        <w:ind w:left="412" w:hanging="412"/>
        <w:spacing w:after="0"/>
        <w:tabs>
          <w:tab w:leader="none" w:pos="412" w:val="left"/>
        </w:tabs>
        <w:numPr>
          <w:ilvl w:val="0"/>
          <w:numId w:val="30"/>
        </w:numPr>
        <w:rPr>
          <w:rFonts w:ascii="Arial" w:cs="Arial" w:eastAsia="Arial" w:hAnsi="Arial"/>
          <w:sz w:val="21"/>
          <w:szCs w:val="21"/>
          <w:color w:val="252525"/>
        </w:rPr>
      </w:pPr>
      <w:r>
        <w:rPr>
          <w:rFonts w:ascii="Arial" w:cs="Arial" w:eastAsia="Arial" w:hAnsi="Arial"/>
          <w:sz w:val="21"/>
          <w:szCs w:val="21"/>
          <w:color w:val="252525"/>
        </w:rPr>
        <w:t>Section 3.1(c) of the Plan is hereby amended in its entirety and shall now read as follows, effective January 1, 2023:</w:t>
      </w:r>
    </w:p>
    <w:p>
      <w:pPr>
        <w:spacing w:after="0" w:line="190" w:lineRule="exact"/>
        <w:rPr>
          <w:rFonts w:ascii="Arial" w:cs="Arial" w:eastAsia="Arial" w:hAnsi="Arial"/>
          <w:sz w:val="21"/>
          <w:szCs w:val="21"/>
          <w:color w:val="252525"/>
        </w:rPr>
      </w:pPr>
    </w:p>
    <w:p>
      <w:pPr>
        <w:ind w:left="1292" w:right="40" w:hanging="644"/>
        <w:spacing w:after="0" w:line="243" w:lineRule="auto"/>
        <w:tabs>
          <w:tab w:leader="none" w:pos="1096"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Elective Deferrals of a Participant who is hired on or after January 2, 2018 and who is making Elective Deferrals at a rate greater than 0% and less than 10% shall be increased automatically as of the March 1 that next follows such Participant’s date of hire by at least six months, and as of each subsequent March 1 thereafter. Such automatic rate of increase shall be one percent (1.0%) of the Participant’s Compensation as of the given March 1 and such automatic rate of increase shall remain in effect for each subsequent March 1 until the Participant’s rate of Elective Deferrals is equal to ten percent (10%) of Compensation; provided, however, that effective January 1, 2023, a Participant enrolled in the automatic increase provisions of the Plan shall have Elective Deferrals continue to increase automatically beyond ten percent (10%) of Compensation until the Participant’s rate of Elective Deferrals is equal to fifteen percent (15%) of Compensation and, provided further, the Participant may affirmatively elect to change such automatic rate of increase, or to decline an automatic increase, at any time in accordance with the provisions of Section 3.8(a).</w:t>
      </w:r>
    </w:p>
    <w:p>
      <w:pPr>
        <w:spacing w:after="0" w:line="199" w:lineRule="exact"/>
        <w:rPr>
          <w:rFonts w:ascii="Arial" w:cs="Arial" w:eastAsia="Arial" w:hAnsi="Arial"/>
          <w:sz w:val="19"/>
          <w:szCs w:val="19"/>
          <w:color w:val="auto"/>
        </w:rPr>
      </w:pPr>
    </w:p>
    <w:p>
      <w:pPr>
        <w:ind w:left="372" w:hanging="372"/>
        <w:spacing w:after="0"/>
        <w:tabs>
          <w:tab w:leader="none" w:pos="372" w:val="left"/>
        </w:tabs>
        <w:numPr>
          <w:ilvl w:val="0"/>
          <w:numId w:val="30"/>
        </w:numPr>
        <w:rPr>
          <w:rFonts w:ascii="Arial" w:cs="Arial" w:eastAsia="Arial" w:hAnsi="Arial"/>
          <w:sz w:val="19"/>
          <w:szCs w:val="19"/>
          <w:color w:val="auto"/>
        </w:rPr>
      </w:pPr>
      <w:r>
        <w:rPr>
          <w:rFonts w:ascii="Arial" w:cs="Arial" w:eastAsia="Arial" w:hAnsi="Arial"/>
          <w:sz w:val="19"/>
          <w:szCs w:val="19"/>
          <w:color w:val="252525"/>
        </w:rPr>
        <w:t>Section 6.2(a)(i) of the Plan is hereby amended in its entirety and shall now read as follows, effective January 1, 2020:</w:t>
      </w:r>
    </w:p>
    <w:p>
      <w:pPr>
        <w:spacing w:after="0" w:line="281" w:lineRule="exact"/>
        <w:rPr>
          <w:rFonts w:ascii="Arial" w:cs="Arial" w:eastAsia="Arial" w:hAnsi="Arial"/>
          <w:sz w:val="19"/>
          <w:szCs w:val="19"/>
          <w:color w:val="auto"/>
        </w:rPr>
      </w:pPr>
    </w:p>
    <w:p>
      <w:pPr>
        <w:ind w:left="1952" w:hanging="656"/>
        <w:spacing w:after="0" w:line="277" w:lineRule="auto"/>
        <w:tabs>
          <w:tab w:leader="none" w:pos="1724" w:val="left"/>
        </w:tabs>
        <w:numPr>
          <w:ilvl w:val="2"/>
          <w:numId w:val="30"/>
        </w:numPr>
        <w:rPr>
          <w:rFonts w:ascii="Arial" w:cs="Arial" w:eastAsia="Arial" w:hAnsi="Arial"/>
          <w:sz w:val="19"/>
          <w:szCs w:val="19"/>
          <w:color w:val="auto"/>
        </w:rPr>
      </w:pPr>
      <w:r>
        <w:rPr>
          <w:rFonts w:ascii="Arial" w:cs="Arial" w:eastAsia="Arial" w:hAnsi="Arial"/>
          <w:sz w:val="19"/>
          <w:szCs w:val="19"/>
          <w:color w:val="auto"/>
        </w:rPr>
        <w:t>If the vested Total Account exceeds $3,500 as of the determination date chosen by the Administrator or its designee, the Participant (or Beneficiary) may elect, in such manner as provided by the Administrator or its designee, to either take or commence an immediate distribution of such vested Total Account in a form permitted under Section 6.3 or to defer receipt of the same until a later date, but not beyond the end of the calendar year in which the Participant attains age 72 (age 70½ with respect to a Participant born before July 1, 1949) and not beyond such other required commencement date under Section 401(a)(9) of the Code. The failure of any terminated Participant (or terminated Participant’s Beneficiary) to make an election with respect to a vested Total Account in excess of the $3,500 threshold shall be deemed an election by the Participant (or Beneficiary) to defer receipt of such vested Total Account. A Participant or Beneficiary who elects (or is deemed to have elected) to defer receipt of the vested Total Account may request a distribution of the vested Total Account in a form permitted under Section 6.3 at a subsequent date permitted under Section 401(a)(9) of the Code. Pending distribution of his Total Account, such Participant or Beneficiary shall be permitted to change the manner in which such Total Account is invested in accordance with Section 5.3(b).</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372" w:hanging="372"/>
        <w:spacing w:after="0"/>
        <w:tabs>
          <w:tab w:leader="none" w:pos="372" w:val="left"/>
        </w:tabs>
        <w:numPr>
          <w:ilvl w:val="0"/>
          <w:numId w:val="30"/>
        </w:numPr>
        <w:rPr>
          <w:rFonts w:ascii="Arial" w:cs="Arial" w:eastAsia="Arial" w:hAnsi="Arial"/>
          <w:sz w:val="21"/>
          <w:szCs w:val="21"/>
          <w:color w:val="auto"/>
        </w:rPr>
      </w:pPr>
      <w:r>
        <w:rPr>
          <w:rFonts w:ascii="Arial" w:cs="Arial" w:eastAsia="Arial" w:hAnsi="Arial"/>
          <w:sz w:val="21"/>
          <w:szCs w:val="21"/>
          <w:color w:val="252525"/>
        </w:rPr>
        <w:t>Section 6.3(a) of the Plan is hereby amended in its entirety and shall now read as follows, effective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1440" w:right="359" w:bottom="1440" w:gutter="0" w:footer="0" w:header="0"/>
          <w:type w:val="continuous"/>
        </w:sectPr>
      </w:pPr>
    </w:p>
    <w:bookmarkStart w:id="88" w:name="page89"/>
    <w:bookmarkEnd w:id="88"/>
    <w:p>
      <w:pPr>
        <w:spacing w:after="0" w:line="28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Payment of Amounts Distributed</w:t>
      </w:r>
    </w:p>
    <w:p>
      <w:pPr>
        <w:spacing w:after="0" w:line="179" w:lineRule="exact"/>
        <w:rPr>
          <w:sz w:val="20"/>
          <w:szCs w:val="20"/>
          <w:color w:val="auto"/>
        </w:rPr>
      </w:pPr>
    </w:p>
    <w:p>
      <w:pPr>
        <w:ind w:left="1932" w:hanging="636"/>
        <w:spacing w:after="0"/>
        <w:tabs>
          <w:tab w:leader="none" w:pos="1932" w:val="left"/>
        </w:tabs>
        <w:numPr>
          <w:ilvl w:val="0"/>
          <w:numId w:val="31"/>
        </w:numPr>
        <w:rPr>
          <w:rFonts w:ascii="Arial" w:cs="Arial" w:eastAsia="Arial" w:hAnsi="Arial"/>
          <w:sz w:val="22"/>
          <w:szCs w:val="22"/>
          <w:color w:val="auto"/>
        </w:rPr>
      </w:pPr>
      <w:r>
        <w:rPr>
          <w:rFonts w:ascii="Arial" w:cs="Arial" w:eastAsia="Arial" w:hAnsi="Arial"/>
          <w:sz w:val="22"/>
          <w:szCs w:val="22"/>
          <w:color w:val="auto"/>
        </w:rPr>
        <w:t>Distributions to a Participant or Beneficiary may be paid in the form of:</w:t>
      </w:r>
    </w:p>
    <w:p>
      <w:pPr>
        <w:spacing w:after="0" w:line="179" w:lineRule="exact"/>
        <w:rPr>
          <w:rFonts w:ascii="Arial" w:cs="Arial" w:eastAsia="Arial" w:hAnsi="Arial"/>
          <w:sz w:val="22"/>
          <w:szCs w:val="22"/>
          <w:color w:val="auto"/>
        </w:rPr>
      </w:pPr>
    </w:p>
    <w:p>
      <w:pPr>
        <w:ind w:left="2372" w:hanging="428"/>
        <w:spacing w:after="0"/>
        <w:tabs>
          <w:tab w:leader="none" w:pos="2372" w:val="left"/>
        </w:tabs>
        <w:numPr>
          <w:ilvl w:val="1"/>
          <w:numId w:val="31"/>
        </w:numPr>
        <w:rPr>
          <w:rFonts w:ascii="Arial" w:cs="Arial" w:eastAsia="Arial" w:hAnsi="Arial"/>
          <w:sz w:val="22"/>
          <w:szCs w:val="22"/>
          <w:color w:val="auto"/>
        </w:rPr>
      </w:pPr>
      <w:r>
        <w:rPr>
          <w:rFonts w:ascii="Arial" w:cs="Arial" w:eastAsia="Arial" w:hAnsi="Arial"/>
          <w:sz w:val="22"/>
          <w:szCs w:val="22"/>
          <w:color w:val="auto"/>
        </w:rPr>
        <w:t>a lump sum;</w:t>
      </w:r>
    </w:p>
    <w:p>
      <w:pPr>
        <w:spacing w:after="0" w:line="179" w:lineRule="exact"/>
        <w:rPr>
          <w:rFonts w:ascii="Arial" w:cs="Arial" w:eastAsia="Arial" w:hAnsi="Arial"/>
          <w:sz w:val="22"/>
          <w:szCs w:val="22"/>
          <w:color w:val="auto"/>
        </w:rPr>
      </w:pPr>
    </w:p>
    <w:p>
      <w:pPr>
        <w:ind w:left="2592" w:right="360" w:hanging="648"/>
        <w:spacing w:after="0" w:line="232" w:lineRule="auto"/>
        <w:tabs>
          <w:tab w:leader="none" w:pos="24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bi-weekly, bi-monthly, monthly, quarterly, semi-annual or annual installments that will provide a fixed amount per pay period;</w:t>
      </w:r>
    </w:p>
    <w:p>
      <w:pPr>
        <w:spacing w:after="0" w:line="185" w:lineRule="exact"/>
        <w:rPr>
          <w:rFonts w:ascii="Arial" w:cs="Arial" w:eastAsia="Arial" w:hAnsi="Arial"/>
          <w:sz w:val="22"/>
          <w:szCs w:val="22"/>
          <w:color w:val="auto"/>
        </w:rPr>
      </w:pPr>
    </w:p>
    <w:p>
      <w:pPr>
        <w:ind w:left="2592" w:right="300" w:hanging="648"/>
        <w:spacing w:after="0" w:line="298" w:lineRule="auto"/>
        <w:tabs>
          <w:tab w:leader="none" w:pos="2484" w:val="left"/>
        </w:tabs>
        <w:numPr>
          <w:ilvl w:val="1"/>
          <w:numId w:val="31"/>
        </w:numPr>
        <w:rPr>
          <w:rFonts w:ascii="Arial" w:cs="Arial" w:eastAsia="Arial" w:hAnsi="Arial"/>
          <w:sz w:val="19"/>
          <w:szCs w:val="19"/>
          <w:color w:val="auto"/>
        </w:rPr>
      </w:pPr>
      <w:r>
        <w:rPr>
          <w:rFonts w:ascii="Arial" w:cs="Arial" w:eastAsia="Arial" w:hAnsi="Arial"/>
          <w:sz w:val="19"/>
          <w:szCs w:val="19"/>
          <w:color w:val="auto"/>
        </w:rPr>
        <w:t>bi-weekly, bi-monthly, monthly, quarterly, semi-annual or annual installments that will provide a fixed percentage of the Total Account maintained on behalf of the recipient per pay period;</w:t>
      </w:r>
    </w:p>
    <w:p>
      <w:pPr>
        <w:spacing w:after="0" w:line="105" w:lineRule="exact"/>
        <w:rPr>
          <w:rFonts w:ascii="Arial" w:cs="Arial" w:eastAsia="Arial" w:hAnsi="Arial"/>
          <w:sz w:val="19"/>
          <w:szCs w:val="19"/>
          <w:color w:val="auto"/>
        </w:rPr>
      </w:pPr>
    </w:p>
    <w:p>
      <w:pPr>
        <w:ind w:left="2592" w:right="240" w:hanging="648"/>
        <w:spacing w:after="0" w:line="218" w:lineRule="auto"/>
        <w:tabs>
          <w:tab w:leader="none" w:pos="2472" w:val="left"/>
        </w:tabs>
        <w:numPr>
          <w:ilvl w:val="1"/>
          <w:numId w:val="31"/>
        </w:numPr>
        <w:rPr>
          <w:rFonts w:ascii="Arial" w:cs="Arial" w:eastAsia="Arial" w:hAnsi="Arial"/>
          <w:sz w:val="22"/>
          <w:szCs w:val="22"/>
          <w:color w:val="auto"/>
        </w:rPr>
      </w:pPr>
      <w:r>
        <w:rPr>
          <w:rFonts w:ascii="Arial" w:cs="Arial" w:eastAsia="Arial" w:hAnsi="Arial"/>
          <w:sz w:val="22"/>
          <w:szCs w:val="22"/>
          <w:color w:val="auto"/>
        </w:rPr>
        <w:t>bi-weekly, bi-monthly, monthly, quarterly, semi-annual or annual installments that will provide substantially equal payments over a fixed period that is not in excess of the lesser of fifteen (15) years or the recipient’s life expectancy, as determined by the Administrator as of the date the payments begin; or</w:t>
      </w:r>
    </w:p>
    <w:p>
      <w:pPr>
        <w:spacing w:after="0" w:line="187" w:lineRule="exact"/>
        <w:rPr>
          <w:rFonts w:ascii="Arial" w:cs="Arial" w:eastAsia="Arial" w:hAnsi="Arial"/>
          <w:sz w:val="22"/>
          <w:szCs w:val="22"/>
          <w:color w:val="auto"/>
        </w:rPr>
      </w:pPr>
    </w:p>
    <w:p>
      <w:pPr>
        <w:ind w:left="2592" w:right="260" w:hanging="648"/>
        <w:spacing w:after="0" w:line="223" w:lineRule="auto"/>
        <w:tabs>
          <w:tab w:leader="none" w:pos="2412" w:val="left"/>
        </w:tabs>
        <w:numPr>
          <w:ilvl w:val="1"/>
          <w:numId w:val="31"/>
        </w:numPr>
        <w:rPr>
          <w:rFonts w:ascii="Arial" w:cs="Arial" w:eastAsia="Arial" w:hAnsi="Arial"/>
          <w:sz w:val="22"/>
          <w:szCs w:val="22"/>
          <w:color w:val="auto"/>
        </w:rPr>
      </w:pPr>
      <w:r>
        <w:rPr>
          <w:rFonts w:ascii="Arial" w:cs="Arial" w:eastAsia="Arial" w:hAnsi="Arial"/>
          <w:sz w:val="22"/>
          <w:szCs w:val="22"/>
          <w:color w:val="auto"/>
        </w:rPr>
        <w:t>bi-weekly, bi-monthly, monthly, quarterly, semi-annual or annual installments that will provide payments of a variable amount over the recipient’s life expectancy, as determined in accordance with tables promulgated by the Internal Revenue Service.</w:t>
      </w:r>
    </w:p>
    <w:p>
      <w:pPr>
        <w:spacing w:after="0" w:line="159" w:lineRule="exact"/>
        <w:rPr>
          <w:sz w:val="20"/>
          <w:szCs w:val="20"/>
          <w:color w:val="auto"/>
        </w:rPr>
      </w:pPr>
    </w:p>
    <w:p>
      <w:pPr>
        <w:ind w:left="1952" w:right="120"/>
        <w:spacing w:after="0" w:line="220" w:lineRule="auto"/>
        <w:rPr>
          <w:sz w:val="20"/>
          <w:szCs w:val="20"/>
          <w:color w:val="auto"/>
        </w:rPr>
      </w:pPr>
      <w:r>
        <w:rPr>
          <w:rFonts w:ascii="Arial" w:cs="Arial" w:eastAsia="Arial" w:hAnsi="Arial"/>
          <w:sz w:val="21"/>
          <w:szCs w:val="21"/>
          <w:color w:val="auto"/>
        </w:rPr>
        <w:t>Pursuant to such uniform and nondiscriminatory policy as the Administrator, in its discretion, shall determine, a Participant or Beneficiary who has elected payment in an installment form under Section 6.3(a)(ii) through (v) may elect, at some future date, to have the balance of the vested Total Account maintained on his behalf paid in the form of a lump sum or to change the frequency of the installments within the payment form the Participant or Beneficiary has chosen. Except as provided in the preceding sentence, a Participant or Beneficiary may not change his elected form of distribution following the date Plan payments begin. A Participant who returns to employment with the Employer on a full or part-time basis following commencement of an installment form of distribution shall be deemed to have cancelled his distribution election as of his date of reemployment. In no event may distributions from the Plan be made in the form of an annuity.</w:t>
      </w:r>
    </w:p>
    <w:p>
      <w:pPr>
        <w:spacing w:after="0" w:line="203" w:lineRule="exact"/>
        <w:rPr>
          <w:sz w:val="20"/>
          <w:szCs w:val="20"/>
          <w:color w:val="auto"/>
        </w:rPr>
      </w:pPr>
    </w:p>
    <w:p>
      <w:pPr>
        <w:ind w:left="652" w:hanging="652"/>
        <w:spacing w:after="0" w:line="250" w:lineRule="auto"/>
        <w:tabs>
          <w:tab w:leader="none" w:pos="382"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Section 6.3 of the Plan is hereby amended by deleting paragraphs (c) through (f) and by adding the following in lieu thereof, effective January 1, 2020:</w:t>
      </w:r>
    </w:p>
    <w:p>
      <w:pPr>
        <w:spacing w:after="0" w:line="201" w:lineRule="exact"/>
        <w:rPr>
          <w:rFonts w:ascii="Arial" w:cs="Arial" w:eastAsia="Arial" w:hAnsi="Arial"/>
          <w:sz w:val="22"/>
          <w:szCs w:val="22"/>
          <w:color w:val="auto"/>
        </w:rPr>
      </w:pPr>
    </w:p>
    <w:p>
      <w:pPr>
        <w:ind w:left="1292" w:right="480" w:hanging="644"/>
        <w:spacing w:after="0" w:line="218" w:lineRule="auto"/>
        <w:tabs>
          <w:tab w:leader="none" w:pos="11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Notwithstanding any inconsistent provision of the Plan, all distributions under the Plan shall be made in accordance with Code Section 401(a)(9), including the incidental death benefit requirement of Code Section 401(a)(9)(G), and Treasury Regulations Sections 1.401(a)(9)-1 through 1.401(a)(9)-9. Specifically, distribution of the Participant’s interest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32"/>
          </w:cols>
          <w:pgMar w:left="328" w:top="1440" w:right="439" w:bottom="1440" w:gutter="0" w:footer="0" w:header="0"/>
        </w:sectPr>
      </w:pPr>
    </w:p>
    <w:bookmarkStart w:id="89" w:name="page90"/>
    <w:bookmarkEnd w:id="89"/>
    <w:p>
      <w:pPr>
        <w:spacing w:after="0" w:line="285" w:lineRule="exact"/>
        <w:rPr>
          <w:sz w:val="20"/>
          <w:szCs w:val="20"/>
          <w:color w:val="auto"/>
        </w:rPr>
      </w:pPr>
    </w:p>
    <w:p>
      <w:pPr>
        <w:ind w:left="1064" w:hanging="416"/>
        <w:spacing w:after="0"/>
        <w:tabs>
          <w:tab w:leader="none" w:pos="1064" w:val="left"/>
        </w:tabs>
        <w:numPr>
          <w:ilvl w:val="0"/>
          <w:numId w:val="33"/>
        </w:numPr>
        <w:rPr>
          <w:rFonts w:ascii="Arial" w:cs="Arial" w:eastAsia="Arial" w:hAnsi="Arial"/>
          <w:sz w:val="22"/>
          <w:szCs w:val="22"/>
          <w:color w:val="auto"/>
        </w:rPr>
      </w:pPr>
      <w:r>
        <w:rPr>
          <w:rFonts w:ascii="Arial" w:cs="Arial" w:eastAsia="Arial" w:hAnsi="Arial"/>
          <w:sz w:val="22"/>
          <w:szCs w:val="22"/>
          <w:color w:val="auto"/>
        </w:rPr>
        <w:t>be completed no later than the required beginning date; or</w:t>
      </w:r>
    </w:p>
    <w:p>
      <w:pPr>
        <w:spacing w:after="0" w:line="206" w:lineRule="exact"/>
        <w:rPr>
          <w:rFonts w:ascii="Arial" w:cs="Arial" w:eastAsia="Arial" w:hAnsi="Arial"/>
          <w:sz w:val="22"/>
          <w:szCs w:val="22"/>
          <w:color w:val="auto"/>
        </w:rPr>
      </w:pPr>
    </w:p>
    <w:p>
      <w:pPr>
        <w:ind w:left="1304" w:right="80" w:hanging="656"/>
        <w:spacing w:after="0" w:line="268" w:lineRule="auto"/>
        <w:tabs>
          <w:tab w:leader="none" w:pos="1136"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commence not later than the required beginning date with distribution to the Participant made over the life of the Participant or joint lives of the Participant and a designated Beneficiary or a period not longer than the life of the Participant or joint lives of the Participant and a designated Beneficiary.</w:t>
      </w:r>
    </w:p>
    <w:p>
      <w:pPr>
        <w:spacing w:after="0" w:line="159" w:lineRule="exact"/>
        <w:rPr>
          <w:sz w:val="20"/>
          <w:szCs w:val="20"/>
          <w:color w:val="auto"/>
        </w:rPr>
      </w:pPr>
    </w:p>
    <w:p>
      <w:pPr>
        <w:ind w:left="644"/>
        <w:spacing w:after="0"/>
        <w:rPr>
          <w:sz w:val="20"/>
          <w:szCs w:val="20"/>
          <w:color w:val="auto"/>
        </w:rPr>
      </w:pPr>
      <w:r>
        <w:rPr>
          <w:rFonts w:ascii="Arial" w:cs="Arial" w:eastAsia="Arial" w:hAnsi="Arial"/>
          <w:sz w:val="19"/>
          <w:szCs w:val="19"/>
          <w:color w:val="auto"/>
        </w:rPr>
        <w:t>For purposes of this Section 6.3, “required beginning date” shall mean April 1 of the calendar year following the later of the calendar year in which the Participant attains age 72 (age 70½ with respect to a Participant born before July 1, 1949) or the calendar year in which the Participant terminates employment or retires; provided, however, if the Participant is a five-percent owner (as defined in Code Section 416), the required beginning date shall be April 1 of the calendar year following the calendar year in which the Participant attains age 72 (age 70½, with respect to a Participant born before July 1, 1949) regardless of the date that the five-percent owner terminates employment or retires.</w:t>
      </w:r>
    </w:p>
    <w:p>
      <w:pPr>
        <w:spacing w:after="0" w:line="1" w:lineRule="exact"/>
        <w:rPr>
          <w:sz w:val="20"/>
          <w:szCs w:val="20"/>
          <w:color w:val="auto"/>
        </w:rPr>
      </w:pPr>
    </w:p>
    <w:p>
      <w:pPr>
        <w:ind w:left="644" w:right="40"/>
        <w:spacing w:after="0" w:line="214" w:lineRule="auto"/>
        <w:rPr>
          <w:sz w:val="20"/>
          <w:szCs w:val="20"/>
          <w:color w:val="auto"/>
        </w:rPr>
      </w:pPr>
      <w:r>
        <w:rPr>
          <w:rFonts w:ascii="Arial" w:cs="Arial" w:eastAsia="Arial" w:hAnsi="Arial"/>
          <w:sz w:val="21"/>
          <w:szCs w:val="21"/>
          <w:color w:val="auto"/>
        </w:rPr>
        <w:t>Notwithstanding the foregoing, unless the Participant elects otherwise, distribution of benefits under Section 6.2 will begin no later than the 60th day after the latest of the close of the Plan Year in which:</w:t>
      </w:r>
    </w:p>
    <w:p>
      <w:pPr>
        <w:spacing w:after="0" w:line="1" w:lineRule="exact"/>
        <w:rPr>
          <w:sz w:val="20"/>
          <w:szCs w:val="20"/>
          <w:color w:val="auto"/>
        </w:rPr>
      </w:pPr>
    </w:p>
    <w:p>
      <w:pPr>
        <w:ind w:left="1064" w:hanging="416"/>
        <w:spacing w:after="0"/>
        <w:tabs>
          <w:tab w:leader="none" w:pos="1064"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Participant attains age 65;</w:t>
      </w:r>
    </w:p>
    <w:p>
      <w:pPr>
        <w:spacing w:after="0" w:line="188" w:lineRule="exact"/>
        <w:rPr>
          <w:rFonts w:ascii="Arial" w:cs="Arial" w:eastAsia="Arial" w:hAnsi="Arial"/>
          <w:sz w:val="22"/>
          <w:szCs w:val="22"/>
          <w:color w:val="auto"/>
        </w:rPr>
      </w:pPr>
    </w:p>
    <w:p>
      <w:pPr>
        <w:ind w:left="1304" w:right="400" w:hanging="656"/>
        <w:spacing w:after="0" w:line="232" w:lineRule="auto"/>
        <w:tabs>
          <w:tab w:leader="none" w:pos="1136" w:val="left"/>
        </w:tabs>
        <w:numPr>
          <w:ilvl w:val="1"/>
          <w:numId w:val="34"/>
        </w:numPr>
        <w:rPr>
          <w:rFonts w:ascii="Arial" w:cs="Arial" w:eastAsia="Arial" w:hAnsi="Arial"/>
          <w:sz w:val="22"/>
          <w:szCs w:val="22"/>
          <w:color w:val="auto"/>
        </w:rPr>
      </w:pPr>
      <w:r>
        <w:rPr>
          <w:rFonts w:ascii="Arial" w:cs="Arial" w:eastAsia="Arial" w:hAnsi="Arial"/>
          <w:sz w:val="22"/>
          <w:szCs w:val="22"/>
          <w:color w:val="auto"/>
        </w:rPr>
        <w:t>occurs the fifth anniversary of the Plan Year in which the Participant commenced participant in the Plan; or</w:t>
      </w:r>
    </w:p>
    <w:p>
      <w:pPr>
        <w:spacing w:after="0" w:line="185" w:lineRule="exact"/>
        <w:rPr>
          <w:rFonts w:ascii="Arial" w:cs="Arial" w:eastAsia="Arial" w:hAnsi="Arial"/>
          <w:sz w:val="22"/>
          <w:szCs w:val="22"/>
          <w:color w:val="auto"/>
        </w:rPr>
      </w:pPr>
    </w:p>
    <w:p>
      <w:pPr>
        <w:ind w:left="1184" w:hanging="536"/>
        <w:spacing w:after="0"/>
        <w:tabs>
          <w:tab w:leader="none" w:pos="1184"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Participant terminated employment with the Company and Affiliates.</w:t>
      </w:r>
    </w:p>
    <w:p>
      <w:pPr>
        <w:spacing w:after="0" w:line="187" w:lineRule="exact"/>
        <w:rPr>
          <w:rFonts w:ascii="Arial" w:cs="Arial" w:eastAsia="Arial" w:hAnsi="Arial"/>
          <w:sz w:val="22"/>
          <w:szCs w:val="22"/>
          <w:color w:val="auto"/>
        </w:rPr>
      </w:pPr>
    </w:p>
    <w:p>
      <w:pPr>
        <w:ind w:left="464" w:hanging="464"/>
        <w:spacing w:after="0"/>
        <w:tabs>
          <w:tab w:leader="none" w:pos="4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that a Participant dies prior to the date that distribution commences:</w:t>
      </w:r>
    </w:p>
    <w:p>
      <w:pPr>
        <w:ind w:left="1304" w:right="80" w:hanging="656"/>
        <w:spacing w:after="0" w:line="217" w:lineRule="auto"/>
        <w:tabs>
          <w:tab w:leader="none" w:pos="1076"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portion of the Participant’s interest that is not payable to a designated Beneficiary shall be distributed not later than the end of the calendar year which includes the fifth anniversary of the date of the Participant’s death;</w:t>
      </w:r>
    </w:p>
    <w:p>
      <w:pPr>
        <w:spacing w:after="0" w:line="186" w:lineRule="exact"/>
        <w:rPr>
          <w:rFonts w:ascii="Arial" w:cs="Arial" w:eastAsia="Arial" w:hAnsi="Arial"/>
          <w:sz w:val="22"/>
          <w:szCs w:val="22"/>
          <w:color w:val="auto"/>
        </w:rPr>
      </w:pPr>
    </w:p>
    <w:p>
      <w:pPr>
        <w:jc w:val="both"/>
        <w:ind w:left="1304" w:right="240" w:hanging="656"/>
        <w:spacing w:after="0" w:line="218" w:lineRule="auto"/>
        <w:tabs>
          <w:tab w:leader="none" w:pos="1136"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portion of the Participant’s interest that is payable to a designated Beneficiary that is not an “eligible designated Beneficiary” under Treasury Regulations shall be distributed not later than the end of the calendar year which includes the tenth anniversary of the date of the Participant’s death; and</w:t>
      </w:r>
    </w:p>
    <w:p>
      <w:pPr>
        <w:spacing w:after="0" w:line="188" w:lineRule="exact"/>
        <w:rPr>
          <w:sz w:val="20"/>
          <w:szCs w:val="20"/>
          <w:color w:val="auto"/>
        </w:rPr>
      </w:pPr>
    </w:p>
    <w:p>
      <w:pPr>
        <w:ind w:left="1304" w:right="220" w:hanging="656"/>
        <w:spacing w:after="0" w:line="268" w:lineRule="auto"/>
        <w:tabs>
          <w:tab w:leader="none" w:pos="11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portion of the Participant’s interest that is payable to a designated Beneficiary that is an “eligible designated Beneficiary” under Treasury Regulations shall be distributed in accordance with subparagraph (ii) above or over the life of the eligible designated Beneficiary (or over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6"/>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64"/>
          </w:cols>
          <w:pgMar w:left="976" w:top="1440" w:right="859" w:bottom="1440" w:gutter="0" w:footer="0" w:header="0"/>
        </w:sectPr>
      </w:pPr>
    </w:p>
    <w:bookmarkStart w:id="90" w:name="page91"/>
    <w:bookmarkEnd w:id="90"/>
    <w:p>
      <w:pPr>
        <w:spacing w:after="0" w:line="285" w:lineRule="exact"/>
        <w:rPr>
          <w:sz w:val="20"/>
          <w:szCs w:val="20"/>
          <w:color w:val="auto"/>
        </w:rPr>
      </w:pPr>
    </w:p>
    <w:p>
      <w:pPr>
        <w:ind w:left="1940" w:right="240"/>
        <w:spacing w:after="0" w:line="224" w:lineRule="auto"/>
        <w:rPr>
          <w:sz w:val="20"/>
          <w:szCs w:val="20"/>
          <w:color w:val="auto"/>
        </w:rPr>
      </w:pPr>
      <w:r>
        <w:rPr>
          <w:rFonts w:ascii="Arial" w:cs="Arial" w:eastAsia="Arial" w:hAnsi="Arial"/>
          <w:sz w:val="21"/>
          <w:szCs w:val="21"/>
          <w:color w:val="auto"/>
        </w:rPr>
        <w:t>period not extending beyond the life expectancy of such Beneficiary), commencing not later than the end of the calendar year following the calendar year of the Participant’s death or, if the eligible designated Beneficiary is the Participant’s surviving Spouse, commencing not later than the last day of the later of the calendar year in which the Participant would have attained age 72 (age 70½, with respect to a Participant born before July 1, 1949) or the calendar year following the calendar year which includes the date of the Participant’s death.</w:t>
      </w:r>
    </w:p>
    <w:p>
      <w:pPr>
        <w:spacing w:after="0" w:line="187" w:lineRule="exact"/>
        <w:rPr>
          <w:sz w:val="20"/>
          <w:szCs w:val="20"/>
          <w:color w:val="auto"/>
        </w:rPr>
      </w:pPr>
    </w:p>
    <w:p>
      <w:pPr>
        <w:ind w:left="1280" w:right="260" w:hanging="644"/>
        <w:spacing w:after="0" w:line="212" w:lineRule="auto"/>
        <w:tabs>
          <w:tab w:leader="none" w:pos="1088"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event a Participant dies after distribution of his interest has begun, but prior to distribution of his entire interest, the remaining portion of such interest shall be distributed, at the election of the Participant’s Beneficiary, in a lump sum or in a method that is at least as rapid as the method being used at the date of the Participant’s death; provided, however, that unless the Participant’s Beneficiary is an “eligible designated Beneficiary” under Treasury Regulations, the period over which such remaining interest is distributed shall not exceed the end of the calendar year which includes the tenth anniversary of the date of the Participant’s death.</w:t>
      </w:r>
    </w:p>
    <w:p>
      <w:pPr>
        <w:spacing w:after="0" w:line="271" w:lineRule="exact"/>
        <w:rPr>
          <w:rFonts w:ascii="Arial" w:cs="Arial" w:eastAsia="Arial" w:hAnsi="Arial"/>
          <w:sz w:val="22"/>
          <w:szCs w:val="22"/>
          <w:color w:val="auto"/>
        </w:rPr>
      </w:pPr>
    </w:p>
    <w:p>
      <w:pPr>
        <w:ind w:left="4740"/>
        <w:spacing w:after="0"/>
        <w:rPr>
          <w:rFonts w:ascii="Arial" w:cs="Arial" w:eastAsia="Arial" w:hAnsi="Arial"/>
          <w:sz w:val="22"/>
          <w:szCs w:val="22"/>
          <w:color w:val="auto"/>
        </w:rPr>
      </w:pPr>
      <w:r>
        <w:rPr>
          <w:rFonts w:ascii="Arial" w:cs="Arial" w:eastAsia="Arial" w:hAnsi="Arial"/>
          <w:sz w:val="22"/>
          <w:szCs w:val="22"/>
          <w:color w:val="252525"/>
        </w:rPr>
        <w:t>* * * * * * *</w:t>
      </w: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Amendment to be executed this 10th day of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ERIE INDEMNITY COMPANY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83" w:lineRule="exact"/>
        <w:rPr>
          <w:sz w:val="20"/>
          <w:szCs w:val="20"/>
          <w:color w:val="auto"/>
        </w:rPr>
      </w:pPr>
    </w:p>
    <w:p>
      <w:pPr>
        <w:spacing w:after="0"/>
        <w:tabs>
          <w:tab w:leader="none" w:pos="4360" w:val="left"/>
          <w:tab w:leader="none" w:pos="5120" w:val="left"/>
        </w:tabs>
        <w:rPr>
          <w:sz w:val="20"/>
          <w:szCs w:val="20"/>
          <w:color w:val="auto"/>
        </w:rPr>
      </w:pPr>
      <w:r>
        <w:rPr>
          <w:rFonts w:ascii="Arial" w:cs="Arial" w:eastAsia="Arial" w:hAnsi="Arial"/>
          <w:sz w:val="22"/>
          <w:szCs w:val="22"/>
          <w:color w:val="auto"/>
        </w:rPr>
        <w:t>/s/ Maureen Geary Krowicki</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W.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0521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Executive Vice President</w:t>
      </w:r>
    </w:p>
    <w:p>
      <w:pPr>
        <w:ind w:left="4380"/>
        <w:spacing w:after="0"/>
        <w:tabs>
          <w:tab w:leader="none" w:pos="5120" w:val="left"/>
        </w:tabs>
        <w:rPr>
          <w:sz w:val="20"/>
          <w:szCs w:val="20"/>
          <w:color w:val="auto"/>
        </w:rPr>
      </w:pPr>
      <w:r>
        <w:rPr>
          <w:rFonts w:ascii="Arial" w:cs="Arial" w:eastAsia="Arial" w:hAnsi="Arial"/>
          <w:sz w:val="22"/>
          <w:szCs w:val="22"/>
          <w:color w:val="auto"/>
        </w:rPr>
        <w:t>Title:</w:t>
        <w:tab/>
        <w:t>Secretary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4445</wp:posOffset>
            </wp:positionV>
            <wp:extent cx="2794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80"/>
          </w:cols>
          <w:pgMar w:left="340" w:top="1440" w:right="679" w:bottom="1440" w:gutter="0" w:footer="0" w:header="0"/>
        </w:sectPr>
      </w:pPr>
    </w:p>
    <w:bookmarkStart w:id="91" w:name="page92"/>
    <w:bookmarkEnd w:id="91"/>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10.62</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SECOND AMENDMENT TO LEASE AGREEMENT</w:t>
      </w:r>
    </w:p>
    <w:p>
      <w:pPr>
        <w:spacing w:after="0" w:line="76" w:lineRule="exact"/>
        <w:rPr>
          <w:sz w:val="20"/>
          <w:szCs w:val="20"/>
          <w:color w:val="auto"/>
        </w:rPr>
      </w:pPr>
    </w:p>
    <w:p>
      <w:pPr>
        <w:ind w:right="120" w:firstLine="648"/>
        <w:spacing w:after="0" w:line="250" w:lineRule="auto"/>
        <w:rPr>
          <w:sz w:val="20"/>
          <w:szCs w:val="20"/>
          <w:color w:val="auto"/>
        </w:rPr>
      </w:pPr>
      <w:r>
        <w:rPr>
          <w:rFonts w:ascii="Arial" w:cs="Arial" w:eastAsia="Arial" w:hAnsi="Arial"/>
          <w:sz w:val="19"/>
          <w:szCs w:val="19"/>
          <w:color w:val="auto"/>
        </w:rPr>
        <w:t>This SECOND AMENDMENT TO LEASE AGREEMENT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effective as of January 1, 2023 (for purposes of this Amendment,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is entered into between ERIE INSURANCE EXCHANGE ("Tenant"), a reciprocal insurance exchange organized under the laws of Pennsylvania with principal offices and place of business at 100 Erie Insurance Place, Erie, PA 16530, acting by and through its attorney-in-fact, ERIE INDEMNITY COMPANY; and ERIE INDEMNITY COMPANY ("Landlord"), a Pennsylvania business corporation, with its principal offices and place of business also at 100 Erie Insurance Place, Erie, PA 16530 collectively referred to herein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38"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entered into that certain Home Office Agreement of Lease dated July 1, 2021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certain premises located in Erie Pennsylvania (collectively, the </w:t>
      </w:r>
      <w:r>
        <w:rPr>
          <w:rFonts w:ascii="Arial" w:cs="Arial" w:eastAsia="Arial" w:hAnsi="Arial"/>
          <w:sz w:val="22"/>
          <w:szCs w:val="22"/>
          <w:b w:val="1"/>
          <w:bCs w:val="1"/>
          <w:color w:val="auto"/>
        </w:rPr>
        <w:t>"Lease"</w:t>
      </w:r>
      <w:r>
        <w:rPr>
          <w:rFonts w:ascii="Arial" w:cs="Arial" w:eastAsia="Arial" w:hAnsi="Arial"/>
          <w:sz w:val="22"/>
          <w:szCs w:val="22"/>
          <w:color w:val="auto"/>
        </w:rPr>
        <w:t>);</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have agreed to amend the Lease, upon the terms and conditions hereinafter described;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 capitalized terms used but not defined in this Amendment shall have the meanings given to them in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47"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paid by Tenant to Landlord and the mutual covenants,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herein, the receipt and sufficiency of which are hereby acknowledged, the Parties hereby amend the Lease on the terms hereof as of the Effective Date as follows:</w:t>
      </w:r>
    </w:p>
    <w:p>
      <w:pPr>
        <w:spacing w:after="0" w:line="159"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Appendix A to the Lease shall be replaced in its entirety with the appendix attached to this Amendment.</w:t>
      </w:r>
    </w:p>
    <w:p>
      <w:pPr>
        <w:spacing w:after="0" w:line="190" w:lineRule="exact"/>
        <w:rPr>
          <w:rFonts w:ascii="Arial" w:cs="Arial" w:eastAsia="Arial" w:hAnsi="Arial"/>
          <w:sz w:val="21"/>
          <w:szCs w:val="21"/>
          <w:color w:val="auto"/>
        </w:rPr>
      </w:pPr>
    </w:p>
    <w:p>
      <w:pPr>
        <w:ind w:right="60" w:firstLine="656"/>
        <w:spacing w:after="0" w:line="223"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Landlord and Tenant hereby affirm that as of the Effective Date, no breach, default or other act, error, or omission which, with the giving of notice or passage of time or both, would constitute a breach or default by either party has occurred and is continuing under the Lease.</w:t>
      </w:r>
    </w:p>
    <w:p>
      <w:pPr>
        <w:spacing w:after="0" w:line="158" w:lineRule="exact"/>
        <w:rPr>
          <w:rFonts w:ascii="Arial" w:cs="Arial" w:eastAsia="Arial" w:hAnsi="Arial"/>
          <w:sz w:val="22"/>
          <w:szCs w:val="22"/>
          <w:color w:val="auto"/>
        </w:rPr>
      </w:pPr>
    </w:p>
    <w:p>
      <w:pPr>
        <w:ind w:firstLine="656"/>
        <w:spacing w:after="0" w:line="216"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Affirmation of Lease Terms</w:t>
      </w:r>
      <w:r>
        <w:rPr>
          <w:rFonts w:ascii="Arial" w:cs="Arial" w:eastAsia="Arial" w:hAnsi="Arial"/>
          <w:sz w:val="22"/>
          <w:szCs w:val="22"/>
          <w:color w:val="auto"/>
        </w:rPr>
        <w:t>. Except as modified by this Amendment, Landlord and Tenant hereby ratify the Lease and agree that the Lease shall remain unchanged and shall continue in full force and effect. In the event there is any conflict between the terms of the Lease and the terms set forth in this Amendment, the terms specifically set out in this Amendment shall control. From and after the Effective Date, any and all references to "the Lease" or "this Lease" in the Lease shall mean the Lease as modified by this Amendment.</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rFonts w:ascii="Arial" w:cs="Arial" w:eastAsia="Arial" w:hAnsi="Arial"/>
          <w:sz w:val="22"/>
          <w:szCs w:val="22"/>
          <w:color w:val="auto"/>
        </w:rPr>
      </w:pPr>
    </w:p>
    <w:p>
      <w:pPr>
        <w:ind w:left="660" w:right="120" w:firstLine="644"/>
        <w:spacing w:after="0" w:line="232" w:lineRule="auto"/>
        <w:tabs>
          <w:tab w:leader="none" w:pos="1953"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contains the entire understanding between the Parties with respect to the matters being amended as contained herein.</w:t>
      </w:r>
    </w:p>
    <w:p>
      <w:pPr>
        <w:spacing w:after="0" w:line="158" w:lineRule="exact"/>
        <w:rPr>
          <w:rFonts w:ascii="Arial" w:cs="Arial" w:eastAsia="Arial" w:hAnsi="Arial"/>
          <w:sz w:val="22"/>
          <w:szCs w:val="22"/>
          <w:color w:val="auto"/>
        </w:rPr>
      </w:pPr>
    </w:p>
    <w:p>
      <w:pPr>
        <w:ind w:left="660" w:right="280" w:firstLine="644"/>
        <w:spacing w:after="0" w:line="298" w:lineRule="auto"/>
        <w:tabs>
          <w:tab w:leader="none" w:pos="1951"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Amendment and Modification</w:t>
      </w:r>
      <w:r>
        <w:rPr>
          <w:rFonts w:ascii="Arial" w:cs="Arial" w:eastAsia="Arial" w:hAnsi="Arial"/>
          <w:sz w:val="19"/>
          <w:szCs w:val="19"/>
          <w:color w:val="auto"/>
        </w:rPr>
        <w:t>. This Amendment may not be changed or modified orally, but only by an agreement in writing signed by the party against whom enforcement of any waiver, change, or modification is sought.</w:t>
      </w:r>
    </w:p>
    <w:p>
      <w:pPr>
        <w:sectPr>
          <w:pgSz w:w="11900" w:h="16838" w:orient="portrait"/>
          <w:cols w:equalWidth="0" w:num="1">
            <w:col w:w="11200"/>
          </w:cols>
          <w:pgMar w:left="320" w:top="1440" w:right="379" w:bottom="1440" w:gutter="0" w:footer="0" w:header="0"/>
        </w:sectPr>
      </w:pPr>
    </w:p>
    <w:bookmarkStart w:id="92" w:name="page93"/>
    <w:bookmarkEnd w:id="92"/>
    <w:p>
      <w:pPr>
        <w:spacing w:after="0" w:line="69" w:lineRule="exact"/>
        <w:rPr>
          <w:sz w:val="20"/>
          <w:szCs w:val="20"/>
          <w:color w:val="auto"/>
        </w:rPr>
      </w:pPr>
    </w:p>
    <w:p>
      <w:pPr>
        <w:ind w:left="440" w:firstLine="644"/>
        <w:spacing w:after="0" w:line="234" w:lineRule="auto"/>
        <w:tabs>
          <w:tab w:leader="none" w:pos="1733"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 Each of the Parties shall deliver to the other any further instruments or documents which may be reasonably required to establish to the satisfaction of the other party that it has agreed to be bound by and become liable under the terms and conditions of the Lease and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[Continues with 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0800"/>
          </w:cols>
          <w:pgMar w:left="540" w:top="1440" w:right="55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IN WITNESS WHEREOF, the parties have executed this Amendment as of the date set forth above.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12" w:lineRule="exact"/>
        <w:rPr>
          <w:sz w:val="20"/>
          <w:szCs w:val="20"/>
          <w:color w:val="auto"/>
        </w:rPr>
      </w:pPr>
    </w:p>
    <w:p>
      <w:pPr>
        <w:ind w:left="4000"/>
        <w:spacing w:after="0" w:line="218" w:lineRule="auto"/>
        <w:rPr>
          <w:sz w:val="20"/>
          <w:szCs w:val="20"/>
          <w:color w:val="auto"/>
        </w:rPr>
      </w:pPr>
      <w:r>
        <w:rPr>
          <w:rFonts w:ascii="Arial" w:cs="Arial" w:eastAsia="Arial" w:hAnsi="Arial"/>
          <w:sz w:val="22"/>
          <w:szCs w:val="22"/>
          <w:color w:val="auto"/>
        </w:rPr>
        <w:t>ERIE INSURANCE EXCHANGE, a reciprocal insurance exchange organized under the laws of Pennsylvania with principal offices and place of business at 100 Erie Insurance Place, Erie, PA 16530, acting by and through its attorney-in-fact, ERIE INDEMNITY 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J. Gutting</w:t>
      </w:r>
    </w:p>
    <w:p>
      <w:pPr>
        <w:ind w:left="220"/>
        <w:spacing w:after="0" w:line="204" w:lineRule="auto"/>
        <w:rPr>
          <w:sz w:val="20"/>
          <w:szCs w:val="20"/>
          <w:color w:val="auto"/>
        </w:rPr>
      </w:pPr>
      <w:r>
        <w:rPr>
          <w:rFonts w:ascii="Arial" w:cs="Arial" w:eastAsia="Arial" w:hAnsi="Arial"/>
          <w:sz w:val="22"/>
          <w:szCs w:val="22"/>
          <w:color w:val="auto"/>
        </w:rPr>
        <w:t>Gregory J. Gutting</w:t>
      </w:r>
    </w:p>
    <w:p>
      <w:pPr>
        <w:ind w:left="220"/>
        <w:spacing w:after="0" w:line="205" w:lineRule="auto"/>
        <w:rPr>
          <w:sz w:val="20"/>
          <w:szCs w:val="20"/>
          <w:color w:val="auto"/>
        </w:rPr>
      </w:pPr>
      <w:r>
        <w:rPr>
          <w:rFonts w:ascii="Arial" w:cs="Arial" w:eastAsia="Arial" w:hAnsi="Arial"/>
          <w:sz w:val="22"/>
          <w:szCs w:val="22"/>
          <w:color w:val="auto"/>
        </w:rPr>
        <w:t>Executive Vice President and Chief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2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185" w:lineRule="exact"/>
        <w:rPr>
          <w:sz w:val="20"/>
          <w:szCs w:val="20"/>
          <w:color w:val="auto"/>
        </w:rPr>
      </w:pPr>
    </w:p>
    <w:p>
      <w:pPr>
        <w:ind w:left="4000" w:right="60"/>
        <w:spacing w:after="0" w:line="223" w:lineRule="auto"/>
        <w:rPr>
          <w:sz w:val="20"/>
          <w:szCs w:val="20"/>
          <w:color w:val="auto"/>
        </w:rPr>
      </w:pPr>
      <w:r>
        <w:rPr>
          <w:rFonts w:ascii="Arial" w:cs="Arial" w:eastAsia="Arial" w:hAnsi="Arial"/>
          <w:sz w:val="22"/>
          <w:szCs w:val="22"/>
          <w:color w:val="auto"/>
        </w:rPr>
        <w:t>ERIE INDEMNITY COMPANY, a Pennsylvania business corporation, with its principal offices and place of business at 100 Erie Insurance Place, Erie, PA 16530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W. Bolash</w:t>
      </w:r>
    </w:p>
    <w:p>
      <w:pPr>
        <w:ind w:left="220"/>
        <w:spacing w:after="0" w:line="204" w:lineRule="auto"/>
        <w:rPr>
          <w:sz w:val="20"/>
          <w:szCs w:val="20"/>
          <w:color w:val="auto"/>
        </w:rPr>
      </w:pPr>
      <w:r>
        <w:rPr>
          <w:rFonts w:ascii="Arial" w:cs="Arial" w:eastAsia="Arial" w:hAnsi="Arial"/>
          <w:sz w:val="22"/>
          <w:szCs w:val="22"/>
          <w:color w:val="auto"/>
        </w:rPr>
        <w:t>Brian W. Bolash</w:t>
      </w:r>
    </w:p>
    <w:p>
      <w:pPr>
        <w:ind w:left="220"/>
        <w:spacing w:after="0" w:line="205" w:lineRule="auto"/>
        <w:rPr>
          <w:sz w:val="20"/>
          <w:szCs w:val="20"/>
          <w:color w:val="auto"/>
        </w:rPr>
      </w:pPr>
      <w:r>
        <w:rPr>
          <w:rFonts w:ascii="Arial" w:cs="Arial" w:eastAsia="Arial" w:hAnsi="Arial"/>
          <w:sz w:val="22"/>
          <w:szCs w:val="22"/>
          <w:color w:val="auto"/>
        </w:rPr>
        <w:t>Executive Vice President, Secretary 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900"/>
          </w:cols>
          <w:pgMar w:left="540" w:top="1401" w:right="4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80"/>
        </w:trPr>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6"/>
          </w:tcPr>
          <w:p>
            <w:pPr>
              <w:jc w:val="center"/>
              <w:spacing w:after="0"/>
              <w:rPr>
                <w:sz w:val="20"/>
                <w:szCs w:val="20"/>
                <w:color w:val="auto"/>
              </w:rPr>
            </w:pPr>
            <w:r>
              <w:rPr>
                <w:rFonts w:ascii="Arial" w:cs="Arial" w:eastAsia="Arial" w:hAnsi="Arial"/>
                <w:sz w:val="22"/>
                <w:szCs w:val="22"/>
                <w:b w:val="1"/>
                <w:bCs w:val="1"/>
                <w:color w:val="auto"/>
                <w:w w:val="91"/>
              </w:rPr>
              <w:t>Appendix A</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87"/>
              </w:rPr>
              <w:t>Buildings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8"/>
          </w:tcPr>
          <w:p>
            <w:pPr>
              <w:jc w:val="right"/>
              <w:spacing w:after="0"/>
              <w:rPr>
                <w:sz w:val="20"/>
                <w:szCs w:val="20"/>
                <w:color w:val="auto"/>
              </w:rPr>
            </w:pPr>
            <w:r>
              <w:rPr>
                <w:rFonts w:ascii="Arial" w:cs="Arial" w:eastAsia="Arial" w:hAnsi="Arial"/>
                <w:sz w:val="20"/>
                <w:szCs w:val="20"/>
                <w:b w:val="1"/>
                <w:bCs w:val="1"/>
                <w:color w:val="auto"/>
              </w:rPr>
              <w:t>SIZE ABOVE/BELOW GROUND</w:t>
            </w:r>
          </w:p>
        </w:tc>
        <w:tc>
          <w:tcPr>
            <w:tcW w:w="900" w:type="dxa"/>
            <w:vAlign w:val="bottom"/>
            <w:gridSpan w:val="2"/>
          </w:tcPr>
          <w:p>
            <w:pPr>
              <w:jc w:val="right"/>
              <w:ind w:right="112"/>
              <w:spacing w:after="0"/>
              <w:rPr>
                <w:sz w:val="20"/>
                <w:szCs w:val="20"/>
                <w:color w:val="auto"/>
              </w:rPr>
            </w:pPr>
            <w:r>
              <w:rPr>
                <w:rFonts w:ascii="Arial" w:cs="Arial" w:eastAsia="Arial" w:hAnsi="Arial"/>
                <w:sz w:val="20"/>
                <w:szCs w:val="20"/>
                <w:b w:val="1"/>
                <w:bCs w:val="1"/>
                <w:color w:val="auto"/>
              </w:rPr>
              <w:t>BASE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80" w:type="dxa"/>
            <w:vAlign w:val="bottom"/>
            <w:gridSpan w:val="6"/>
          </w:tcPr>
          <w:p>
            <w:pPr>
              <w:spacing w:after="0" w:line="212" w:lineRule="exact"/>
              <w:rPr>
                <w:sz w:val="20"/>
                <w:szCs w:val="20"/>
                <w:color w:val="auto"/>
              </w:rPr>
            </w:pPr>
            <w:r>
              <w:rPr>
                <w:rFonts w:ascii="Arial" w:cs="Arial" w:eastAsia="Arial" w:hAnsi="Arial"/>
                <w:sz w:val="20"/>
                <w:szCs w:val="20"/>
                <w:b w:val="1"/>
                <w:bCs w:val="1"/>
                <w:color w:val="auto"/>
              </w:rPr>
              <w:t>NAME  LOCATION</w:t>
            </w:r>
          </w:p>
        </w:tc>
        <w:tc>
          <w:tcPr>
            <w:tcW w:w="3840" w:type="dxa"/>
            <w:vAlign w:val="bottom"/>
            <w:gridSpan w:val="10"/>
          </w:tcPr>
          <w:p>
            <w:pPr>
              <w:jc w:val="right"/>
              <w:spacing w:after="0" w:line="212" w:lineRule="exact"/>
              <w:rPr>
                <w:sz w:val="20"/>
                <w:szCs w:val="20"/>
                <w:color w:val="auto"/>
              </w:rPr>
            </w:pPr>
            <w:r>
              <w:rPr>
                <w:rFonts w:ascii="Arial" w:cs="Arial" w:eastAsia="Arial" w:hAnsi="Arial"/>
                <w:sz w:val="20"/>
                <w:szCs w:val="20"/>
                <w:b w:val="1"/>
                <w:bCs w:val="1"/>
                <w:color w:val="auto"/>
              </w:rPr>
              <w:t>RENT ABOVE/BELOW GROUND YEAR</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720" w:type="dxa"/>
            <w:vAlign w:val="bottom"/>
            <w:gridSpan w:val="4"/>
          </w:tcPr>
          <w:p>
            <w:pPr>
              <w:spacing w:after="0"/>
              <w:rPr>
                <w:sz w:val="20"/>
                <w:szCs w:val="20"/>
                <w:color w:val="auto"/>
              </w:rPr>
            </w:pPr>
            <w:r>
              <w:rPr>
                <w:rFonts w:ascii="Arial" w:cs="Arial" w:eastAsia="Arial" w:hAnsi="Arial"/>
                <w:sz w:val="22"/>
                <w:szCs w:val="22"/>
                <w:color w:val="auto"/>
                <w:w w:val="93"/>
              </w:rPr>
              <w:t>Sixth Street Tower</w:t>
            </w:r>
          </w:p>
        </w:tc>
        <w:tc>
          <w:tcPr>
            <w:tcW w:w="16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Arial" w:cs="Arial" w:eastAsia="Arial" w:hAnsi="Arial"/>
                <w:sz w:val="22"/>
                <w:szCs w:val="22"/>
                <w:color w:val="auto"/>
                <w:w w:val="84"/>
              </w:rPr>
              <w:t>125 East 6</w:t>
            </w:r>
            <w:r>
              <w:rPr>
                <w:rFonts w:ascii="Arial" w:cs="Arial" w:eastAsia="Arial" w:hAnsi="Arial"/>
                <w:sz w:val="28"/>
                <w:szCs w:val="28"/>
                <w:color w:val="auto"/>
                <w:w w:val="84"/>
                <w:vertAlign w:val="superscript"/>
              </w:rPr>
              <w:t>th</w:t>
            </w:r>
            <w:r>
              <w:rPr>
                <w:rFonts w:ascii="Arial" w:cs="Arial" w:eastAsia="Arial" w:hAnsi="Arial"/>
                <w:sz w:val="22"/>
                <w:szCs w:val="22"/>
                <w:color w:val="auto"/>
                <w:w w:val="84"/>
              </w:rPr>
              <w:t xml:space="preserve"> Street</w:t>
            </w:r>
          </w:p>
        </w:tc>
        <w:tc>
          <w:tcPr>
            <w:tcW w:w="1700" w:type="dxa"/>
            <w:vAlign w:val="bottom"/>
            <w:gridSpan w:val="4"/>
          </w:tcPr>
          <w:p>
            <w:pPr>
              <w:ind w:left="200"/>
              <w:spacing w:after="0"/>
              <w:rPr>
                <w:sz w:val="20"/>
                <w:szCs w:val="20"/>
                <w:color w:val="auto"/>
              </w:rPr>
            </w:pPr>
            <w:r>
              <w:rPr>
                <w:rFonts w:ascii="Arial" w:cs="Arial" w:eastAsia="Arial" w:hAnsi="Arial"/>
                <w:sz w:val="22"/>
                <w:szCs w:val="22"/>
                <w:color w:val="auto"/>
                <w:w w:val="89"/>
              </w:rPr>
              <w:t>293,139 / 35,770</w:t>
            </w:r>
          </w:p>
        </w:tc>
        <w:tc>
          <w:tcPr>
            <w:tcW w:w="1240" w:type="dxa"/>
            <w:vAlign w:val="bottom"/>
            <w:gridSpan w:val="5"/>
          </w:tcPr>
          <w:p>
            <w:pPr>
              <w:jc w:val="right"/>
              <w:spacing w:after="0"/>
              <w:rPr>
                <w:sz w:val="20"/>
                <w:szCs w:val="20"/>
                <w:color w:val="auto"/>
              </w:rPr>
            </w:pPr>
            <w:r>
              <w:rPr>
                <w:rFonts w:ascii="Arial" w:cs="Arial" w:eastAsia="Arial" w:hAnsi="Arial"/>
                <w:sz w:val="22"/>
                <w:szCs w:val="22"/>
                <w:color w:val="auto"/>
              </w:rPr>
              <w:t>07/01/2021-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gridSpan w:val="4"/>
          </w:tcPr>
          <w:p>
            <w:pPr>
              <w:ind w:left="280"/>
              <w:spacing w:after="0"/>
              <w:rPr>
                <w:sz w:val="20"/>
                <w:szCs w:val="20"/>
                <w:color w:val="auto"/>
              </w:rPr>
            </w:pPr>
            <w:r>
              <w:rPr>
                <w:rFonts w:ascii="Arial" w:cs="Arial" w:eastAsia="Arial" w:hAnsi="Arial"/>
                <w:sz w:val="22"/>
                <w:szCs w:val="22"/>
                <w:color w:val="auto"/>
                <w:w w:val="95"/>
              </w:rPr>
              <w:t>Erie, PA 16501</w:t>
            </w:r>
          </w:p>
        </w:tc>
        <w:tc>
          <w:tcPr>
            <w:tcW w:w="1760" w:type="dxa"/>
            <w:vAlign w:val="bottom"/>
            <w:gridSpan w:val="5"/>
          </w:tcPr>
          <w:p>
            <w:pPr>
              <w:ind w:left="100"/>
              <w:spacing w:after="0"/>
              <w:rPr>
                <w:sz w:val="20"/>
                <w:szCs w:val="20"/>
                <w:color w:val="auto"/>
              </w:rPr>
            </w:pPr>
            <w:r>
              <w:rPr>
                <w:rFonts w:ascii="Arial" w:cs="Arial" w:eastAsia="Arial" w:hAnsi="Arial"/>
                <w:sz w:val="22"/>
                <w:szCs w:val="22"/>
                <w:color w:val="auto"/>
              </w:rPr>
              <w:t>$10.75 / $4.20</w:t>
            </w:r>
          </w:p>
        </w:tc>
        <w:tc>
          <w:tcPr>
            <w:tcW w:w="1340" w:type="dxa"/>
            <w:vAlign w:val="bottom"/>
            <w:gridSpan w:val="3"/>
          </w:tcPr>
          <w:p>
            <w:pPr>
              <w:jc w:val="right"/>
              <w:ind w:right="233"/>
              <w:spacing w:after="0"/>
              <w:rPr>
                <w:sz w:val="20"/>
                <w:szCs w:val="20"/>
                <w:color w:val="auto"/>
              </w:rPr>
            </w:pPr>
            <w:r>
              <w:rPr>
                <w:rFonts w:ascii="Arial" w:cs="Arial" w:eastAsia="Arial" w:hAnsi="Arial"/>
                <w:sz w:val="22"/>
                <w:szCs w:val="22"/>
                <w:color w:val="auto"/>
                <w:w w:val="88"/>
              </w:rPr>
              <w:t>06/30/2022</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920" w:type="dxa"/>
            <w:vAlign w:val="bottom"/>
            <w:gridSpan w:val="3"/>
          </w:tcPr>
          <w:p>
            <w:pPr>
              <w:spacing w:after="0"/>
              <w:rPr>
                <w:sz w:val="20"/>
                <w:szCs w:val="20"/>
                <w:color w:val="auto"/>
              </w:rPr>
            </w:pPr>
            <w:r>
              <w:rPr>
                <w:rFonts w:ascii="Arial" w:cs="Arial" w:eastAsia="Arial" w:hAnsi="Arial"/>
                <w:sz w:val="22"/>
                <w:szCs w:val="22"/>
                <w:color w:val="auto"/>
              </w:rPr>
              <w:t>Westport</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w w:val="85"/>
              </w:rPr>
              <w:t>4950 West 23</w:t>
            </w:r>
            <w:r>
              <w:rPr>
                <w:rFonts w:ascii="Arial" w:cs="Arial" w:eastAsia="Arial" w:hAnsi="Arial"/>
                <w:sz w:val="28"/>
                <w:szCs w:val="28"/>
                <w:color w:val="auto"/>
                <w:w w:val="85"/>
                <w:vertAlign w:val="superscript"/>
              </w:rPr>
              <w:t>rd</w:t>
            </w:r>
            <w:r>
              <w:rPr>
                <w:rFonts w:ascii="Arial" w:cs="Arial" w:eastAsia="Arial" w:hAnsi="Arial"/>
                <w:sz w:val="22"/>
                <w:szCs w:val="22"/>
                <w:color w:val="auto"/>
                <w:w w:val="85"/>
              </w:rPr>
              <w:t xml:space="preserve"> Street</w:t>
            </w:r>
          </w:p>
        </w:tc>
        <w:tc>
          <w:tcPr>
            <w:tcW w:w="1340" w:type="dxa"/>
            <w:vAlign w:val="bottom"/>
            <w:gridSpan w:val="3"/>
          </w:tcPr>
          <w:p>
            <w:pPr>
              <w:ind w:left="180"/>
              <w:spacing w:after="0"/>
              <w:rPr>
                <w:sz w:val="20"/>
                <w:szCs w:val="20"/>
                <w:color w:val="auto"/>
              </w:rPr>
            </w:pPr>
            <w:r>
              <w:rPr>
                <w:rFonts w:ascii="Arial" w:cs="Arial" w:eastAsia="Arial" w:hAnsi="Arial"/>
                <w:sz w:val="22"/>
                <w:szCs w:val="22"/>
                <w:color w:val="auto"/>
                <w:w w:val="98"/>
              </w:rPr>
              <w:t>77,260 / n/a</w:t>
            </w:r>
          </w:p>
        </w:tc>
        <w:tc>
          <w:tcPr>
            <w:tcW w:w="1640" w:type="dxa"/>
            <w:vAlign w:val="bottom"/>
            <w:gridSpan w:val="5"/>
          </w:tcPr>
          <w:p>
            <w:pPr>
              <w:jc w:val="right"/>
              <w:ind w:right="280"/>
              <w:spacing w:after="0"/>
              <w:rPr>
                <w:sz w:val="20"/>
                <w:szCs w:val="20"/>
                <w:color w:val="auto"/>
              </w:rPr>
            </w:pPr>
            <w:r>
              <w:rPr>
                <w:rFonts w:ascii="Arial" w:cs="Arial" w:eastAsia="Arial" w:hAnsi="Arial"/>
                <w:sz w:val="22"/>
                <w:szCs w:val="22"/>
                <w:color w:val="auto"/>
              </w:rPr>
              <w:t>07/01/2021-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4"/>
          </w:tcPr>
          <w:p>
            <w:pPr>
              <w:ind w:left="280"/>
              <w:spacing w:after="0" w:line="216" w:lineRule="exact"/>
              <w:rPr>
                <w:sz w:val="20"/>
                <w:szCs w:val="20"/>
                <w:color w:val="auto"/>
              </w:rPr>
            </w:pPr>
            <w:r>
              <w:rPr>
                <w:rFonts w:ascii="Arial" w:cs="Arial" w:eastAsia="Arial" w:hAnsi="Arial"/>
                <w:sz w:val="22"/>
                <w:szCs w:val="22"/>
                <w:color w:val="auto"/>
                <w:w w:val="95"/>
              </w:rPr>
              <w:t>Erie, PA 16505</w:t>
            </w:r>
          </w:p>
        </w:tc>
        <w:tc>
          <w:tcPr>
            <w:tcW w:w="1220" w:type="dxa"/>
            <w:vAlign w:val="bottom"/>
            <w:gridSpan w:val="4"/>
          </w:tcPr>
          <w:p>
            <w:pPr>
              <w:ind w:left="100"/>
              <w:spacing w:after="0" w:line="216" w:lineRule="exact"/>
              <w:rPr>
                <w:sz w:val="20"/>
                <w:szCs w:val="20"/>
                <w:color w:val="auto"/>
              </w:rPr>
            </w:pPr>
            <w:r>
              <w:rPr>
                <w:rFonts w:ascii="Arial" w:cs="Arial" w:eastAsia="Arial" w:hAnsi="Arial"/>
                <w:sz w:val="22"/>
                <w:szCs w:val="22"/>
                <w:color w:val="auto"/>
              </w:rPr>
              <w:t>$8.50/ n/a</w:t>
            </w:r>
          </w:p>
        </w:tc>
        <w:tc>
          <w:tcPr>
            <w:tcW w:w="1340" w:type="dxa"/>
            <w:vAlign w:val="bottom"/>
            <w:gridSpan w:val="3"/>
          </w:tcPr>
          <w:p>
            <w:pPr>
              <w:ind w:left="160"/>
              <w:spacing w:after="0" w:line="216" w:lineRule="exact"/>
              <w:rPr>
                <w:sz w:val="20"/>
                <w:szCs w:val="20"/>
                <w:color w:val="auto"/>
              </w:rPr>
            </w:pPr>
            <w:r>
              <w:rPr>
                <w:rFonts w:ascii="Arial" w:cs="Arial" w:eastAsia="Arial" w:hAnsi="Arial"/>
                <w:sz w:val="22"/>
                <w:szCs w:val="22"/>
                <w:color w:val="auto"/>
              </w:rPr>
              <w:t>06/30/2022</w:t>
            </w:r>
          </w:p>
        </w:tc>
        <w:tc>
          <w:tcPr>
            <w:tcW w:w="1640" w:type="dxa"/>
            <w:vAlign w:val="bottom"/>
            <w:gridSpan w:val="5"/>
            <w:vMerge w:val="restart"/>
          </w:tcPr>
          <w:p>
            <w:pPr>
              <w:jc w:val="right"/>
              <w:ind w:right="280"/>
              <w:spacing w:after="0"/>
              <w:rPr>
                <w:sz w:val="20"/>
                <w:szCs w:val="20"/>
                <w:color w:val="auto"/>
              </w:rPr>
            </w:pPr>
            <w:r>
              <w:rPr>
                <w:rFonts w:ascii="Arial" w:cs="Arial" w:eastAsia="Arial" w:hAnsi="Arial"/>
                <w:sz w:val="22"/>
                <w:szCs w:val="22"/>
                <w:color w:val="auto"/>
                <w:w w:val="95"/>
              </w:rPr>
              <w:t>93,127/28,217</w:t>
            </w:r>
          </w:p>
        </w:tc>
        <w:tc>
          <w:tcPr>
            <w:tcW w:w="140" w:type="dxa"/>
            <w:vAlign w:val="bottom"/>
          </w:tcPr>
          <w:p>
            <w:pPr>
              <w:spacing w:after="0"/>
              <w:rPr>
                <w:sz w:val="18"/>
                <w:szCs w:val="18"/>
                <w:color w:val="auto"/>
              </w:rPr>
            </w:pPr>
          </w:p>
        </w:tc>
        <w:tc>
          <w:tcPr>
            <w:tcW w:w="1600" w:type="dxa"/>
            <w:vAlign w:val="bottom"/>
            <w:gridSpan w:val="2"/>
            <w:vMerge w:val="restart"/>
          </w:tcPr>
          <w:p>
            <w:pPr>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16"/>
        </w:trPr>
        <w:tc>
          <w:tcPr>
            <w:tcW w:w="1720" w:type="dxa"/>
            <w:vAlign w:val="bottom"/>
            <w:gridSpan w:val="4"/>
          </w:tcPr>
          <w:p>
            <w:pPr>
              <w:spacing w:after="0" w:line="216" w:lineRule="exact"/>
              <w:rPr>
                <w:sz w:val="20"/>
                <w:szCs w:val="20"/>
                <w:color w:val="auto"/>
              </w:rPr>
            </w:pPr>
            <w:r>
              <w:rPr>
                <w:rFonts w:ascii="Arial" w:cs="Arial" w:eastAsia="Arial" w:hAnsi="Arial"/>
                <w:sz w:val="22"/>
                <w:szCs w:val="22"/>
                <w:color w:val="auto"/>
              </w:rPr>
              <w:t>H.O Hirt Building</w:t>
            </w:r>
          </w:p>
        </w:tc>
        <w:tc>
          <w:tcPr>
            <w:tcW w:w="2240" w:type="dxa"/>
            <w:vAlign w:val="bottom"/>
            <w:gridSpan w:val="6"/>
          </w:tcPr>
          <w:p>
            <w:pPr>
              <w:ind w:left="80"/>
              <w:spacing w:after="0" w:line="216" w:lineRule="exact"/>
              <w:rPr>
                <w:sz w:val="20"/>
                <w:szCs w:val="20"/>
                <w:color w:val="auto"/>
              </w:rPr>
            </w:pPr>
            <w:r>
              <w:rPr>
                <w:rFonts w:ascii="Arial" w:cs="Arial" w:eastAsia="Arial" w:hAnsi="Arial"/>
                <w:sz w:val="22"/>
                <w:szCs w:val="22"/>
                <w:color w:val="auto"/>
                <w:w w:val="87"/>
              </w:rPr>
              <w:t>100 Erie Insurance Place</w:t>
            </w:r>
          </w:p>
        </w:tc>
        <w:tc>
          <w:tcPr>
            <w:tcW w:w="320" w:type="dxa"/>
            <w:vAlign w:val="bottom"/>
          </w:tcPr>
          <w:p>
            <w:pPr>
              <w:spacing w:after="0"/>
              <w:rPr>
                <w:sz w:val="18"/>
                <w:szCs w:val="18"/>
                <w:color w:val="auto"/>
              </w:rPr>
            </w:pPr>
          </w:p>
        </w:tc>
        <w:tc>
          <w:tcPr>
            <w:tcW w:w="16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4"/>
          </w:tcPr>
          <w:p>
            <w:pPr>
              <w:ind w:left="220"/>
              <w:spacing w:after="0"/>
              <w:rPr>
                <w:sz w:val="20"/>
                <w:szCs w:val="20"/>
                <w:color w:val="auto"/>
              </w:rPr>
            </w:pPr>
            <w:r>
              <w:rPr>
                <w:rFonts w:ascii="Arial" w:cs="Arial" w:eastAsia="Arial" w:hAnsi="Arial"/>
                <w:sz w:val="22"/>
                <w:szCs w:val="22"/>
                <w:color w:val="auto"/>
                <w:w w:val="99"/>
              </w:rPr>
              <w:t>Erie, PA 16530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ind w:left="120"/>
              <w:spacing w:after="0"/>
              <w:rPr>
                <w:sz w:val="20"/>
                <w:szCs w:val="20"/>
                <w:color w:val="auto"/>
              </w:rPr>
            </w:pPr>
            <w:r>
              <w:rPr>
                <w:rFonts w:ascii="Arial" w:cs="Arial" w:eastAsia="Arial" w:hAnsi="Arial"/>
                <w:sz w:val="22"/>
                <w:szCs w:val="22"/>
                <w:color w:val="auto"/>
              </w:rPr>
              <w:t>$8.95/$4.20</w:t>
            </w:r>
          </w:p>
        </w:tc>
        <w:tc>
          <w:tcPr>
            <w:tcW w:w="1340" w:type="dxa"/>
            <w:vAlign w:val="bottom"/>
            <w:gridSpan w:val="3"/>
          </w:tcPr>
          <w:p>
            <w:pPr>
              <w:jc w:val="right"/>
              <w:ind w:right="73"/>
              <w:spacing w:after="0"/>
              <w:rPr>
                <w:sz w:val="20"/>
                <w:szCs w:val="20"/>
                <w:color w:val="auto"/>
              </w:rPr>
            </w:pPr>
            <w:r>
              <w:rPr>
                <w:rFonts w:ascii="Arial" w:cs="Arial" w:eastAsia="Arial" w:hAnsi="Arial"/>
                <w:sz w:val="22"/>
                <w:szCs w:val="22"/>
                <w:color w:val="auto"/>
              </w:rPr>
              <w:t>06/30/2022</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80" w:type="dxa"/>
            <w:vAlign w:val="bottom"/>
            <w:gridSpan w:val="6"/>
          </w:tcPr>
          <w:p>
            <w:pPr>
              <w:spacing w:after="0"/>
              <w:rPr>
                <w:sz w:val="20"/>
                <w:szCs w:val="20"/>
                <w:color w:val="auto"/>
              </w:rPr>
            </w:pPr>
            <w:r>
              <w:rPr>
                <w:rFonts w:ascii="Arial" w:cs="Arial" w:eastAsia="Arial" w:hAnsi="Arial"/>
                <w:sz w:val="22"/>
                <w:szCs w:val="22"/>
                <w:color w:val="auto"/>
                <w:w w:val="92"/>
              </w:rPr>
              <w:t>F.W. Hirt-Perry Square</w:t>
            </w:r>
          </w:p>
        </w:tc>
        <w:tc>
          <w:tcPr>
            <w:tcW w:w="2740" w:type="dxa"/>
            <w:vAlign w:val="bottom"/>
            <w:gridSpan w:val="6"/>
          </w:tcPr>
          <w:p>
            <w:pPr>
              <w:jc w:val="right"/>
              <w:ind w:right="293"/>
              <w:spacing w:after="0"/>
              <w:rPr>
                <w:sz w:val="20"/>
                <w:szCs w:val="20"/>
                <w:color w:val="auto"/>
              </w:rPr>
            </w:pPr>
            <w:r>
              <w:rPr>
                <w:rFonts w:ascii="Arial" w:cs="Arial" w:eastAsia="Arial" w:hAnsi="Arial"/>
                <w:sz w:val="22"/>
                <w:szCs w:val="22"/>
                <w:color w:val="auto"/>
                <w:w w:val="94"/>
              </w:rPr>
              <w:t>100 Erie Insurance Place</w:t>
            </w:r>
          </w:p>
        </w:tc>
        <w:tc>
          <w:tcPr>
            <w:tcW w:w="1600" w:type="dxa"/>
            <w:vAlign w:val="bottom"/>
            <w:gridSpan w:val="6"/>
          </w:tcPr>
          <w:p>
            <w:pPr>
              <w:jc w:val="right"/>
              <w:ind w:right="112"/>
              <w:spacing w:after="0"/>
              <w:rPr>
                <w:sz w:val="20"/>
                <w:szCs w:val="20"/>
                <w:color w:val="auto"/>
              </w:rPr>
            </w:pPr>
            <w:r>
              <w:rPr>
                <w:rFonts w:ascii="Arial" w:cs="Arial" w:eastAsia="Arial" w:hAnsi="Arial"/>
                <w:sz w:val="22"/>
                <w:szCs w:val="22"/>
                <w:color w:val="auto"/>
                <w:w w:val="88"/>
              </w:rPr>
              <w:t>162,002/41,065</w:t>
            </w:r>
          </w:p>
        </w:tc>
        <w:tc>
          <w:tcPr>
            <w:tcW w:w="1240" w:type="dxa"/>
            <w:vAlign w:val="bottom"/>
          </w:tcPr>
          <w:p>
            <w:pPr>
              <w:jc w:val="right"/>
              <w:ind w:right="72"/>
              <w:spacing w:after="0"/>
              <w:rPr>
                <w:sz w:val="20"/>
                <w:szCs w:val="20"/>
                <w:color w:val="auto"/>
              </w:rPr>
            </w:pPr>
            <w:r>
              <w:rPr>
                <w:rFonts w:ascii="Arial" w:cs="Arial" w:eastAsia="Arial" w:hAnsi="Arial"/>
                <w:sz w:val="22"/>
                <w:szCs w:val="22"/>
                <w:color w:val="auto"/>
                <w:w w:val="88"/>
              </w:rPr>
              <w:t>01/01/2022-</w:t>
            </w:r>
          </w:p>
        </w:tc>
        <w:tc>
          <w:tcPr>
            <w:tcW w:w="0" w:type="dxa"/>
            <w:vAlign w:val="bottom"/>
          </w:tcPr>
          <w:p>
            <w:pPr>
              <w:spacing w:after="0"/>
              <w:rPr>
                <w:sz w:val="1"/>
                <w:szCs w:val="1"/>
                <w:color w:val="auto"/>
              </w:rPr>
            </w:pPr>
          </w:p>
        </w:tc>
      </w:tr>
      <w:tr>
        <w:trPr>
          <w:trHeight w:val="274"/>
        </w:trPr>
        <w:tc>
          <w:tcPr>
            <w:tcW w:w="920" w:type="dxa"/>
            <w:vAlign w:val="bottom"/>
            <w:gridSpan w:val="3"/>
          </w:tcPr>
          <w:p>
            <w:pPr>
              <w:spacing w:after="0"/>
              <w:rPr>
                <w:sz w:val="20"/>
                <w:szCs w:val="20"/>
                <w:color w:val="auto"/>
              </w:rPr>
            </w:pPr>
            <w:r>
              <w:rPr>
                <w:rFonts w:ascii="Arial" w:cs="Arial" w:eastAsia="Arial" w:hAnsi="Arial"/>
                <w:sz w:val="22"/>
                <w:szCs w:val="22"/>
                <w:color w:val="auto"/>
              </w:rPr>
              <w:t>Building</w:t>
            </w:r>
          </w:p>
        </w:tc>
        <w:tc>
          <w:tcPr>
            <w:tcW w:w="2020" w:type="dxa"/>
            <w:vAlign w:val="bottom"/>
            <w:gridSpan w:val="5"/>
          </w:tcPr>
          <w:p>
            <w:pPr>
              <w:ind w:left="60"/>
              <w:spacing w:after="0"/>
              <w:rPr>
                <w:sz w:val="20"/>
                <w:szCs w:val="20"/>
                <w:color w:val="auto"/>
              </w:rPr>
            </w:pPr>
            <w:r>
              <w:rPr>
                <w:rFonts w:ascii="Arial" w:cs="Arial" w:eastAsia="Arial" w:hAnsi="Arial"/>
                <w:sz w:val="22"/>
                <w:szCs w:val="22"/>
                <w:color w:val="auto"/>
              </w:rPr>
              <w:t>Erie, PA 16530</w:t>
            </w:r>
          </w:p>
        </w:tc>
        <w:tc>
          <w:tcPr>
            <w:tcW w:w="1340" w:type="dxa"/>
            <w:vAlign w:val="bottom"/>
            <w:gridSpan w:val="3"/>
          </w:tcPr>
          <w:p>
            <w:pPr>
              <w:jc w:val="right"/>
              <w:ind w:right="192"/>
              <w:spacing w:after="0"/>
              <w:rPr>
                <w:sz w:val="20"/>
                <w:szCs w:val="20"/>
                <w:color w:val="auto"/>
              </w:rPr>
            </w:pPr>
            <w:r>
              <w:rPr>
                <w:rFonts w:ascii="Arial" w:cs="Arial" w:eastAsia="Arial" w:hAnsi="Arial"/>
                <w:sz w:val="22"/>
                <w:szCs w:val="22"/>
                <w:color w:val="auto"/>
                <w:w w:val="87"/>
              </w:rPr>
              <w:t>$8.95/$4.20</w:t>
            </w:r>
          </w:p>
        </w:tc>
        <w:tc>
          <w:tcPr>
            <w:tcW w:w="1640" w:type="dxa"/>
            <w:vAlign w:val="bottom"/>
            <w:gridSpan w:val="5"/>
          </w:tcPr>
          <w:p>
            <w:pPr>
              <w:jc w:val="right"/>
              <w:ind w:right="520"/>
              <w:spacing w:after="0"/>
              <w:rPr>
                <w:sz w:val="20"/>
                <w:szCs w:val="20"/>
                <w:color w:val="auto"/>
              </w:rPr>
            </w:pPr>
            <w:r>
              <w:rPr>
                <w:rFonts w:ascii="Arial" w:cs="Arial" w:eastAsia="Arial" w:hAnsi="Arial"/>
                <w:sz w:val="22"/>
                <w:szCs w:val="22"/>
                <w:color w:val="auto"/>
                <w:w w:val="99"/>
              </w:rPr>
              <w:t>06/30/2022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3960" w:type="dxa"/>
            <w:vAlign w:val="bottom"/>
            <w:gridSpan w:val="10"/>
          </w:tcPr>
          <w:p>
            <w:pPr>
              <w:spacing w:after="0"/>
              <w:rPr>
                <w:sz w:val="20"/>
                <w:szCs w:val="20"/>
                <w:color w:val="auto"/>
              </w:rPr>
            </w:pPr>
            <w:r>
              <w:rPr>
                <w:rFonts w:ascii="Arial" w:cs="Arial" w:eastAsia="Arial" w:hAnsi="Arial"/>
                <w:sz w:val="20"/>
                <w:szCs w:val="20"/>
                <w:color w:val="auto"/>
              </w:rPr>
              <w:t xml:space="preserve">Petersen Center  </w:t>
            </w:r>
            <w:r>
              <w:rPr>
                <w:rFonts w:ascii="Arial" w:cs="Arial" w:eastAsia="Arial" w:hAnsi="Arial"/>
                <w:sz w:val="21"/>
                <w:szCs w:val="21"/>
                <w:color w:val="auto"/>
              </w:rPr>
              <w:t>100 Erie Insurance Place</w:t>
            </w:r>
          </w:p>
        </w:tc>
        <w:tc>
          <w:tcPr>
            <w:tcW w:w="1220" w:type="dxa"/>
            <w:vAlign w:val="bottom"/>
            <w:gridSpan w:val="3"/>
          </w:tcPr>
          <w:p>
            <w:pPr>
              <w:jc w:val="center"/>
              <w:spacing w:after="0"/>
              <w:rPr>
                <w:sz w:val="20"/>
                <w:szCs w:val="20"/>
                <w:color w:val="auto"/>
              </w:rPr>
            </w:pPr>
            <w:r>
              <w:rPr>
                <w:rFonts w:ascii="Arial" w:cs="Arial" w:eastAsia="Arial" w:hAnsi="Arial"/>
                <w:sz w:val="22"/>
                <w:szCs w:val="22"/>
                <w:color w:val="auto"/>
                <w:w w:val="88"/>
              </w:rPr>
              <w:t>30,724/ n/a</w:t>
            </w:r>
          </w:p>
        </w:tc>
        <w:tc>
          <w:tcPr>
            <w:tcW w:w="2480" w:type="dxa"/>
            <w:vAlign w:val="bottom"/>
            <w:gridSpan w:val="6"/>
          </w:tcPr>
          <w:p>
            <w:pPr>
              <w:jc w:val="right"/>
              <w:ind w:right="1052"/>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1720" w:type="dxa"/>
            <w:vAlign w:val="bottom"/>
            <w:gridSpan w:val="4"/>
          </w:tcPr>
          <w:p>
            <w:pPr>
              <w:ind w:left="220"/>
              <w:spacing w:after="0"/>
              <w:rPr>
                <w:sz w:val="20"/>
                <w:szCs w:val="20"/>
                <w:color w:val="auto"/>
              </w:rPr>
            </w:pPr>
            <w:r>
              <w:rPr>
                <w:rFonts w:ascii="Arial" w:cs="Arial" w:eastAsia="Arial" w:hAnsi="Arial"/>
                <w:sz w:val="22"/>
                <w:szCs w:val="22"/>
                <w:color w:val="auto"/>
                <w:w w:val="99"/>
              </w:rPr>
              <w:t>Erie, PA 16530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ind w:left="120"/>
              <w:spacing w:after="0"/>
              <w:rPr>
                <w:sz w:val="20"/>
                <w:szCs w:val="20"/>
                <w:color w:val="auto"/>
              </w:rPr>
            </w:pPr>
            <w:r>
              <w:rPr>
                <w:rFonts w:ascii="Arial" w:cs="Arial" w:eastAsia="Arial" w:hAnsi="Arial"/>
                <w:sz w:val="22"/>
                <w:szCs w:val="22"/>
                <w:color w:val="auto"/>
              </w:rPr>
              <w:t>$8.95/ n/a</w:t>
            </w:r>
          </w:p>
        </w:tc>
        <w:tc>
          <w:tcPr>
            <w:tcW w:w="1340" w:type="dxa"/>
            <w:vAlign w:val="bottom"/>
            <w:gridSpan w:val="3"/>
          </w:tcPr>
          <w:p>
            <w:pPr>
              <w:jc w:val="right"/>
              <w:ind w:right="233"/>
              <w:spacing w:after="0"/>
              <w:rPr>
                <w:sz w:val="20"/>
                <w:szCs w:val="20"/>
                <w:color w:val="auto"/>
              </w:rPr>
            </w:pPr>
            <w:r>
              <w:rPr>
                <w:rFonts w:ascii="Arial" w:cs="Arial" w:eastAsia="Arial" w:hAnsi="Arial"/>
                <w:sz w:val="22"/>
                <w:szCs w:val="22"/>
                <w:color w:val="auto"/>
                <w:w w:val="88"/>
              </w:rPr>
              <w:t>06/30/2022</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80" w:type="dxa"/>
            <w:vAlign w:val="bottom"/>
            <w:gridSpan w:val="6"/>
          </w:tcPr>
          <w:p>
            <w:pPr>
              <w:spacing w:after="0"/>
              <w:rPr>
                <w:sz w:val="20"/>
                <w:szCs w:val="20"/>
                <w:color w:val="auto"/>
              </w:rPr>
            </w:pPr>
            <w:r>
              <w:rPr>
                <w:rFonts w:ascii="Arial" w:cs="Arial" w:eastAsia="Arial" w:hAnsi="Arial"/>
                <w:sz w:val="22"/>
                <w:szCs w:val="22"/>
                <w:color w:val="auto"/>
                <w:w w:val="92"/>
              </w:rPr>
              <w:t>Holland Street Building</w:t>
            </w:r>
          </w:p>
        </w:tc>
        <w:tc>
          <w:tcPr>
            <w:tcW w:w="180" w:type="dxa"/>
            <w:vAlign w:val="bottom"/>
          </w:tcPr>
          <w:p>
            <w:pPr>
              <w:spacing w:after="0"/>
              <w:rPr>
                <w:sz w:val="24"/>
                <w:szCs w:val="24"/>
                <w:color w:val="auto"/>
              </w:rPr>
            </w:pPr>
          </w:p>
        </w:tc>
        <w:tc>
          <w:tcPr>
            <w:tcW w:w="2560" w:type="dxa"/>
            <w:vAlign w:val="bottom"/>
            <w:gridSpan w:val="5"/>
          </w:tcPr>
          <w:p>
            <w:pPr>
              <w:jc w:val="right"/>
              <w:ind w:right="213"/>
              <w:spacing w:after="0"/>
              <w:rPr>
                <w:sz w:val="20"/>
                <w:szCs w:val="20"/>
                <w:color w:val="auto"/>
              </w:rPr>
            </w:pPr>
            <w:r>
              <w:rPr>
                <w:rFonts w:ascii="Arial" w:cs="Arial" w:eastAsia="Arial" w:hAnsi="Arial"/>
                <w:sz w:val="22"/>
                <w:szCs w:val="22"/>
                <w:color w:val="auto"/>
                <w:w w:val="90"/>
              </w:rPr>
              <w:t>100 Erie Insurance Place</w:t>
            </w:r>
          </w:p>
        </w:tc>
        <w:tc>
          <w:tcPr>
            <w:tcW w:w="1600" w:type="dxa"/>
            <w:vAlign w:val="bottom"/>
            <w:gridSpan w:val="6"/>
          </w:tcPr>
          <w:p>
            <w:pPr>
              <w:jc w:val="right"/>
              <w:ind w:right="152"/>
              <w:spacing w:after="0"/>
              <w:rPr>
                <w:sz w:val="20"/>
                <w:szCs w:val="20"/>
                <w:color w:val="auto"/>
              </w:rPr>
            </w:pPr>
            <w:r>
              <w:rPr>
                <w:rFonts w:ascii="Arial" w:cs="Arial" w:eastAsia="Arial" w:hAnsi="Arial"/>
                <w:sz w:val="22"/>
                <w:szCs w:val="22"/>
                <w:color w:val="auto"/>
                <w:w w:val="93"/>
              </w:rPr>
              <w:t>66,114/27,364</w:t>
            </w:r>
          </w:p>
        </w:tc>
        <w:tc>
          <w:tcPr>
            <w:tcW w:w="1240" w:type="dxa"/>
            <w:vAlign w:val="bottom"/>
          </w:tcPr>
          <w:p>
            <w:pPr>
              <w:jc w:val="right"/>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1720" w:type="dxa"/>
            <w:vAlign w:val="bottom"/>
            <w:gridSpan w:val="4"/>
          </w:tcPr>
          <w:p>
            <w:pPr>
              <w:ind w:left="220"/>
              <w:spacing w:after="0"/>
              <w:rPr>
                <w:sz w:val="20"/>
                <w:szCs w:val="20"/>
                <w:color w:val="auto"/>
              </w:rPr>
            </w:pPr>
            <w:r>
              <w:rPr>
                <w:rFonts w:ascii="Arial" w:cs="Arial" w:eastAsia="Arial" w:hAnsi="Arial"/>
                <w:sz w:val="22"/>
                <w:szCs w:val="22"/>
                <w:color w:val="auto"/>
                <w:w w:val="99"/>
              </w:rPr>
              <w:t>Erie, PA 16530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ind w:left="120"/>
              <w:spacing w:after="0"/>
              <w:rPr>
                <w:sz w:val="20"/>
                <w:szCs w:val="20"/>
                <w:color w:val="auto"/>
              </w:rPr>
            </w:pPr>
            <w:r>
              <w:rPr>
                <w:rFonts w:ascii="Arial" w:cs="Arial" w:eastAsia="Arial" w:hAnsi="Arial"/>
                <w:sz w:val="22"/>
                <w:szCs w:val="22"/>
                <w:color w:val="auto"/>
              </w:rPr>
              <w:t>$8.95/$4.20</w:t>
            </w:r>
          </w:p>
        </w:tc>
        <w:tc>
          <w:tcPr>
            <w:tcW w:w="1340" w:type="dxa"/>
            <w:vAlign w:val="bottom"/>
            <w:gridSpan w:val="3"/>
          </w:tcPr>
          <w:p>
            <w:pPr>
              <w:jc w:val="right"/>
              <w:ind w:right="73"/>
              <w:spacing w:after="0"/>
              <w:rPr>
                <w:sz w:val="20"/>
                <w:szCs w:val="20"/>
                <w:color w:val="auto"/>
              </w:rPr>
            </w:pPr>
            <w:r>
              <w:rPr>
                <w:rFonts w:ascii="Arial" w:cs="Arial" w:eastAsia="Arial" w:hAnsi="Arial"/>
                <w:sz w:val="22"/>
                <w:szCs w:val="22"/>
                <w:color w:val="auto"/>
              </w:rPr>
              <w:t>06/30/2022</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1720" w:type="dxa"/>
            <w:vAlign w:val="bottom"/>
            <w:gridSpan w:val="4"/>
          </w:tcPr>
          <w:p>
            <w:pPr>
              <w:spacing w:after="0"/>
              <w:rPr>
                <w:sz w:val="20"/>
                <w:szCs w:val="20"/>
                <w:color w:val="auto"/>
              </w:rPr>
            </w:pPr>
            <w:r>
              <w:rPr>
                <w:rFonts w:ascii="Arial" w:cs="Arial" w:eastAsia="Arial" w:hAnsi="Arial"/>
                <w:sz w:val="22"/>
                <w:szCs w:val="22"/>
                <w:color w:val="auto"/>
              </w:rPr>
              <w:t>Lafayette Place</w:t>
            </w:r>
          </w:p>
        </w:tc>
        <w:tc>
          <w:tcPr>
            <w:tcW w:w="1760" w:type="dxa"/>
            <w:vAlign w:val="bottom"/>
            <w:gridSpan w:val="5"/>
          </w:tcPr>
          <w:p>
            <w:pPr>
              <w:ind w:left="60"/>
              <w:spacing w:after="0"/>
              <w:rPr>
                <w:sz w:val="20"/>
                <w:szCs w:val="20"/>
                <w:color w:val="auto"/>
              </w:rPr>
            </w:pPr>
            <w:r>
              <w:rPr>
                <w:rFonts w:ascii="Arial" w:cs="Arial" w:eastAsia="Arial" w:hAnsi="Arial"/>
                <w:sz w:val="22"/>
                <w:szCs w:val="22"/>
                <w:color w:val="auto"/>
                <w:w w:val="95"/>
              </w:rPr>
              <w:t>400 French Street</w:t>
            </w:r>
          </w:p>
        </w:tc>
        <w:tc>
          <w:tcPr>
            <w:tcW w:w="48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22"/>
                <w:szCs w:val="22"/>
                <w:color w:val="auto"/>
                <w:w w:val="88"/>
              </w:rPr>
              <w:t>17,052/5,392</w:t>
            </w:r>
          </w:p>
        </w:tc>
        <w:tc>
          <w:tcPr>
            <w:tcW w:w="1240" w:type="dxa"/>
            <w:vAlign w:val="bottom"/>
            <w:gridSpan w:val="5"/>
          </w:tcPr>
          <w:p>
            <w:pPr>
              <w:jc w:val="right"/>
              <w:spacing w:after="0"/>
              <w:rPr>
                <w:sz w:val="20"/>
                <w:szCs w:val="20"/>
                <w:color w:val="auto"/>
              </w:rPr>
            </w:pPr>
            <w:r>
              <w:rPr>
                <w:rFonts w:ascii="Arial" w:cs="Arial" w:eastAsia="Arial" w:hAnsi="Arial"/>
                <w:sz w:val="22"/>
                <w:szCs w:val="22"/>
                <w:color w:val="auto"/>
              </w:rPr>
              <w:t>01/01/2022-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16507</w:t>
            </w:r>
          </w:p>
        </w:tc>
        <w:tc>
          <w:tcPr>
            <w:tcW w:w="320" w:type="dxa"/>
            <w:vAlign w:val="bottom"/>
          </w:tcPr>
          <w:p>
            <w:pPr>
              <w:spacing w:after="0"/>
              <w:rPr>
                <w:sz w:val="23"/>
                <w:szCs w:val="23"/>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22"/>
                <w:szCs w:val="22"/>
                <w:color w:val="auto"/>
              </w:rPr>
              <w:t>$8.95/$4.20</w:t>
            </w:r>
          </w:p>
        </w:tc>
        <w:tc>
          <w:tcPr>
            <w:tcW w:w="140" w:type="dxa"/>
            <w:vAlign w:val="bottom"/>
          </w:tcPr>
          <w:p>
            <w:pPr>
              <w:spacing w:after="0"/>
              <w:rPr>
                <w:sz w:val="23"/>
                <w:szCs w:val="23"/>
                <w:color w:val="auto"/>
              </w:rPr>
            </w:pP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401"/>
        </w:trPr>
        <w:tc>
          <w:tcPr>
            <w:tcW w:w="1720" w:type="dxa"/>
            <w:vAlign w:val="bottom"/>
            <w:gridSpan w:val="4"/>
          </w:tcPr>
          <w:p>
            <w:pPr>
              <w:spacing w:after="0"/>
              <w:rPr>
                <w:sz w:val="20"/>
                <w:szCs w:val="20"/>
                <w:color w:val="auto"/>
              </w:rPr>
            </w:pPr>
            <w:r>
              <w:rPr>
                <w:rFonts w:ascii="Arial" w:cs="Arial" w:eastAsia="Arial" w:hAnsi="Arial"/>
                <w:sz w:val="22"/>
                <w:szCs w:val="22"/>
                <w:color w:val="auto"/>
                <w:w w:val="92"/>
              </w:rPr>
              <w:t>Gideon Ball House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4"/>
          </w:tcPr>
          <w:p>
            <w:pPr>
              <w:ind w:left="20"/>
              <w:spacing w:after="0"/>
              <w:rPr>
                <w:sz w:val="20"/>
                <w:szCs w:val="20"/>
                <w:color w:val="auto"/>
              </w:rPr>
            </w:pPr>
            <w:r>
              <w:rPr>
                <w:rFonts w:ascii="Arial" w:cs="Arial" w:eastAsia="Arial" w:hAnsi="Arial"/>
                <w:sz w:val="22"/>
                <w:szCs w:val="22"/>
                <w:color w:val="auto"/>
                <w:w w:val="99"/>
              </w:rPr>
              <w:t>135 East 6</w:t>
            </w:r>
            <w:r>
              <w:rPr>
                <w:rFonts w:ascii="Arial" w:cs="Arial" w:eastAsia="Arial" w:hAnsi="Arial"/>
                <w:sz w:val="28"/>
                <w:szCs w:val="28"/>
                <w:color w:val="auto"/>
                <w:w w:val="99"/>
                <w:vertAlign w:val="superscript"/>
              </w:rPr>
              <w:t>th</w:t>
            </w:r>
            <w:r>
              <w:rPr>
                <w:rFonts w:ascii="Arial" w:cs="Arial" w:eastAsia="Arial" w:hAnsi="Arial"/>
                <w:sz w:val="22"/>
                <w:szCs w:val="22"/>
                <w:color w:val="auto"/>
                <w:w w:val="99"/>
              </w:rPr>
              <w:t xml:space="preserve"> Street</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2"/>
                <w:szCs w:val="22"/>
                <w:color w:val="auto"/>
                <w:w w:val="89"/>
              </w:rPr>
              <w:t>9,200/ n/a</w:t>
            </w:r>
          </w:p>
        </w:tc>
        <w:tc>
          <w:tcPr>
            <w:tcW w:w="2480" w:type="dxa"/>
            <w:vAlign w:val="bottom"/>
            <w:gridSpan w:val="6"/>
          </w:tcPr>
          <w:p>
            <w:pPr>
              <w:jc w:val="right"/>
              <w:ind w:right="872"/>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16501</w:t>
            </w:r>
          </w:p>
        </w:tc>
        <w:tc>
          <w:tcPr>
            <w:tcW w:w="320" w:type="dxa"/>
            <w:vAlign w:val="bottom"/>
          </w:tcPr>
          <w:p>
            <w:pPr>
              <w:spacing w:after="0"/>
              <w:rPr>
                <w:sz w:val="23"/>
                <w:szCs w:val="2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22"/>
                <w:szCs w:val="22"/>
                <w:color w:val="auto"/>
              </w:rPr>
              <w:t>$8.95/ n/a</w:t>
            </w:r>
          </w:p>
        </w:tc>
        <w:tc>
          <w:tcPr>
            <w:tcW w:w="1740" w:type="dxa"/>
            <w:vAlign w:val="bottom"/>
            <w:gridSpan w:val="3"/>
          </w:tcPr>
          <w:p>
            <w:pPr>
              <w:jc w:val="right"/>
              <w:ind w:right="652"/>
              <w:spacing w:after="0"/>
              <w:rPr>
                <w:sz w:val="20"/>
                <w:szCs w:val="20"/>
                <w:color w:val="auto"/>
              </w:rPr>
            </w:pPr>
            <w:r>
              <w:rPr>
                <w:rFonts w:ascii="Arial" w:cs="Arial" w:eastAsia="Arial" w:hAnsi="Arial"/>
                <w:sz w:val="22"/>
                <w:szCs w:val="22"/>
                <w:color w:val="auto"/>
                <w:w w:val="87"/>
              </w:rPr>
              <w:t>06/30/2022</w:t>
            </w:r>
          </w:p>
        </w:tc>
        <w:tc>
          <w:tcPr>
            <w:tcW w:w="0" w:type="dxa"/>
            <w:vAlign w:val="bottom"/>
          </w:tcPr>
          <w:p>
            <w:pPr>
              <w:spacing w:after="0"/>
              <w:rPr>
                <w:sz w:val="1"/>
                <w:szCs w:val="1"/>
                <w:color w:val="auto"/>
              </w:rPr>
            </w:pPr>
          </w:p>
        </w:tc>
      </w:tr>
      <w:tr>
        <w:trPr>
          <w:trHeight w:val="401"/>
        </w:trPr>
        <w:tc>
          <w:tcPr>
            <w:tcW w:w="920" w:type="dxa"/>
            <w:vAlign w:val="bottom"/>
            <w:gridSpan w:val="3"/>
          </w:tcPr>
          <w:p>
            <w:pPr>
              <w:spacing w:after="0"/>
              <w:rPr>
                <w:sz w:val="20"/>
                <w:szCs w:val="20"/>
                <w:color w:val="auto"/>
              </w:rPr>
            </w:pPr>
            <w:r>
              <w:rPr>
                <w:rFonts w:ascii="Arial" w:cs="Arial" w:eastAsia="Arial" w:hAnsi="Arial"/>
                <w:sz w:val="22"/>
                <w:szCs w:val="22"/>
                <w:color w:val="auto"/>
              </w:rPr>
              <w:t>Armory</w:t>
            </w:r>
          </w:p>
        </w:tc>
        <w:tc>
          <w:tcPr>
            <w:tcW w:w="2020" w:type="dxa"/>
            <w:vAlign w:val="bottom"/>
            <w:gridSpan w:val="5"/>
          </w:tcPr>
          <w:p>
            <w:pPr>
              <w:ind w:left="420"/>
              <w:spacing w:after="0"/>
              <w:rPr>
                <w:sz w:val="20"/>
                <w:szCs w:val="20"/>
                <w:color w:val="auto"/>
              </w:rPr>
            </w:pPr>
            <w:r>
              <w:rPr>
                <w:rFonts w:ascii="Arial" w:cs="Arial" w:eastAsia="Arial" w:hAnsi="Arial"/>
                <w:sz w:val="22"/>
                <w:szCs w:val="22"/>
                <w:color w:val="auto"/>
                <w:w w:val="85"/>
              </w:rPr>
              <w:t>360 East 6</w:t>
            </w:r>
            <w:r>
              <w:rPr>
                <w:rFonts w:ascii="Arial" w:cs="Arial" w:eastAsia="Arial" w:hAnsi="Arial"/>
                <w:sz w:val="28"/>
                <w:szCs w:val="28"/>
                <w:color w:val="auto"/>
                <w:w w:val="85"/>
                <w:vertAlign w:val="superscript"/>
              </w:rPr>
              <w:t>th</w:t>
            </w:r>
            <w:r>
              <w:rPr>
                <w:rFonts w:ascii="Arial" w:cs="Arial" w:eastAsia="Arial" w:hAnsi="Arial"/>
                <w:sz w:val="22"/>
                <w:szCs w:val="22"/>
                <w:color w:val="auto"/>
                <w:w w:val="85"/>
              </w:rPr>
              <w:t xml:space="preserve"> Street</w:t>
            </w:r>
          </w:p>
        </w:tc>
        <w:tc>
          <w:tcPr>
            <w:tcW w:w="5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w w:val="93"/>
              </w:rPr>
              <w:t>21,737/12,605</w:t>
            </w:r>
          </w:p>
        </w:tc>
        <w:tc>
          <w:tcPr>
            <w:tcW w:w="360" w:type="dxa"/>
            <w:vAlign w:val="bottom"/>
          </w:tcPr>
          <w:p>
            <w:pPr>
              <w:spacing w:after="0"/>
              <w:rPr>
                <w:sz w:val="24"/>
                <w:szCs w:val="24"/>
                <w:color w:val="auto"/>
              </w:rPr>
            </w:pPr>
          </w:p>
        </w:tc>
        <w:tc>
          <w:tcPr>
            <w:tcW w:w="1240" w:type="dxa"/>
            <w:vAlign w:val="bottom"/>
            <w:gridSpan w:val="5"/>
          </w:tcPr>
          <w:p>
            <w:pPr>
              <w:jc w:val="right"/>
              <w:ind w:right="12"/>
              <w:spacing w:after="0"/>
              <w:rPr>
                <w:sz w:val="20"/>
                <w:szCs w:val="20"/>
                <w:color w:val="auto"/>
              </w:rPr>
            </w:pPr>
            <w:r>
              <w:rPr>
                <w:rFonts w:ascii="Arial" w:cs="Arial" w:eastAsia="Arial" w:hAnsi="Arial"/>
                <w:sz w:val="22"/>
                <w:szCs w:val="22"/>
                <w:color w:val="auto"/>
                <w:w w:val="93"/>
              </w:rPr>
              <w:t>01/01/2022-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16507</w:t>
            </w:r>
          </w:p>
        </w:tc>
        <w:tc>
          <w:tcPr>
            <w:tcW w:w="320" w:type="dxa"/>
            <w:vAlign w:val="bottom"/>
          </w:tcPr>
          <w:p>
            <w:pPr>
              <w:spacing w:after="0"/>
              <w:rPr>
                <w:sz w:val="23"/>
                <w:szCs w:val="23"/>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22"/>
                <w:szCs w:val="22"/>
                <w:color w:val="auto"/>
              </w:rPr>
              <w:t>$8.95/$4.20</w:t>
            </w:r>
          </w:p>
        </w:tc>
        <w:tc>
          <w:tcPr>
            <w:tcW w:w="140" w:type="dxa"/>
            <w:vAlign w:val="bottom"/>
          </w:tcPr>
          <w:p>
            <w:pPr>
              <w:spacing w:after="0"/>
              <w:rPr>
                <w:sz w:val="23"/>
                <w:szCs w:val="23"/>
                <w:color w:val="auto"/>
              </w:rPr>
            </w:pP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401"/>
        </w:trPr>
        <w:tc>
          <w:tcPr>
            <w:tcW w:w="4280" w:type="dxa"/>
            <w:vAlign w:val="bottom"/>
            <w:gridSpan w:val="11"/>
          </w:tcPr>
          <w:p>
            <w:pPr>
              <w:spacing w:after="0"/>
              <w:rPr>
                <w:sz w:val="20"/>
                <w:szCs w:val="20"/>
                <w:color w:val="auto"/>
              </w:rPr>
            </w:pPr>
            <w:r>
              <w:rPr>
                <w:rFonts w:ascii="Arial" w:cs="Arial" w:eastAsia="Arial" w:hAnsi="Arial"/>
                <w:sz w:val="22"/>
                <w:szCs w:val="22"/>
                <w:color w:val="auto"/>
                <w:w w:val="90"/>
              </w:rPr>
              <w:t>C.F Adams/Heritage Center  101 East 6</w:t>
            </w:r>
            <w:r>
              <w:rPr>
                <w:rFonts w:ascii="Arial" w:cs="Arial" w:eastAsia="Arial" w:hAnsi="Arial"/>
                <w:sz w:val="28"/>
                <w:szCs w:val="28"/>
                <w:color w:val="auto"/>
                <w:w w:val="90"/>
                <w:vertAlign w:val="superscript"/>
              </w:rPr>
              <w:t>th</w:t>
            </w:r>
            <w:r>
              <w:rPr>
                <w:rFonts w:ascii="Arial" w:cs="Arial" w:eastAsia="Arial" w:hAnsi="Arial"/>
                <w:sz w:val="22"/>
                <w:szCs w:val="22"/>
                <w:color w:val="auto"/>
                <w:w w:val="90"/>
              </w:rPr>
              <w:t xml:space="preserve"> Street</w:t>
            </w:r>
          </w:p>
        </w:tc>
        <w:tc>
          <w:tcPr>
            <w:tcW w:w="54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22"/>
                <w:szCs w:val="22"/>
                <w:color w:val="auto"/>
                <w:w w:val="91"/>
              </w:rPr>
              <w:t>6,036/4,325</w:t>
            </w:r>
          </w:p>
        </w:tc>
        <w:tc>
          <w:tcPr>
            <w:tcW w:w="140" w:type="dxa"/>
            <w:vAlign w:val="bottom"/>
          </w:tcPr>
          <w:p>
            <w:pPr>
              <w:spacing w:after="0"/>
              <w:rPr>
                <w:sz w:val="24"/>
                <w:szCs w:val="24"/>
                <w:color w:val="auto"/>
              </w:rPr>
            </w:pP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16501</w:t>
            </w:r>
          </w:p>
        </w:tc>
        <w:tc>
          <w:tcPr>
            <w:tcW w:w="320" w:type="dxa"/>
            <w:vAlign w:val="bottom"/>
          </w:tcPr>
          <w:p>
            <w:pPr>
              <w:spacing w:after="0"/>
              <w:rPr>
                <w:sz w:val="23"/>
                <w:szCs w:val="23"/>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22"/>
                <w:szCs w:val="22"/>
                <w:color w:val="auto"/>
              </w:rPr>
              <w:t>$8.95/$4.20</w:t>
            </w:r>
          </w:p>
        </w:tc>
        <w:tc>
          <w:tcPr>
            <w:tcW w:w="140" w:type="dxa"/>
            <w:vAlign w:val="bottom"/>
          </w:tcPr>
          <w:p>
            <w:pPr>
              <w:spacing w:after="0"/>
              <w:rPr>
                <w:sz w:val="23"/>
                <w:szCs w:val="23"/>
                <w:color w:val="auto"/>
              </w:rPr>
            </w:pP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401"/>
        </w:trPr>
        <w:tc>
          <w:tcPr>
            <w:tcW w:w="1720" w:type="dxa"/>
            <w:vAlign w:val="bottom"/>
            <w:gridSpan w:val="4"/>
          </w:tcPr>
          <w:p>
            <w:pPr>
              <w:spacing w:after="0"/>
              <w:rPr>
                <w:sz w:val="20"/>
                <w:szCs w:val="20"/>
                <w:color w:val="auto"/>
              </w:rPr>
            </w:pPr>
            <w:r>
              <w:rPr>
                <w:rFonts w:ascii="Arial" w:cs="Arial" w:eastAsia="Arial" w:hAnsi="Arial"/>
                <w:sz w:val="22"/>
                <w:szCs w:val="22"/>
                <w:color w:val="auto"/>
              </w:rPr>
              <w:t>O’Donnell House</w:t>
            </w:r>
          </w:p>
        </w:tc>
        <w:tc>
          <w:tcPr>
            <w:tcW w:w="160" w:type="dxa"/>
            <w:vAlign w:val="bottom"/>
          </w:tcPr>
          <w:p>
            <w:pPr>
              <w:spacing w:after="0"/>
              <w:rPr>
                <w:sz w:val="24"/>
                <w:szCs w:val="24"/>
                <w:color w:val="auto"/>
              </w:rPr>
            </w:pPr>
          </w:p>
        </w:tc>
        <w:tc>
          <w:tcPr>
            <w:tcW w:w="2080" w:type="dxa"/>
            <w:vAlign w:val="bottom"/>
            <w:gridSpan w:val="5"/>
          </w:tcPr>
          <w:p>
            <w:pPr>
              <w:ind w:left="80"/>
              <w:spacing w:after="0"/>
              <w:rPr>
                <w:sz w:val="20"/>
                <w:szCs w:val="20"/>
                <w:color w:val="auto"/>
              </w:rPr>
            </w:pPr>
            <w:r>
              <w:rPr>
                <w:rFonts w:ascii="Arial" w:cs="Arial" w:eastAsia="Arial" w:hAnsi="Arial"/>
                <w:sz w:val="22"/>
                <w:szCs w:val="22"/>
                <w:color w:val="auto"/>
              </w:rPr>
              <w:t>410 French Street</w:t>
            </w:r>
          </w:p>
        </w:tc>
        <w:tc>
          <w:tcPr>
            <w:tcW w:w="1220" w:type="dxa"/>
            <w:vAlign w:val="bottom"/>
            <w:gridSpan w:val="3"/>
          </w:tcPr>
          <w:p>
            <w:pPr>
              <w:jc w:val="center"/>
              <w:ind w:right="12"/>
              <w:spacing w:after="0"/>
              <w:rPr>
                <w:sz w:val="20"/>
                <w:szCs w:val="20"/>
                <w:color w:val="auto"/>
              </w:rPr>
            </w:pPr>
            <w:r>
              <w:rPr>
                <w:rFonts w:ascii="Arial" w:cs="Arial" w:eastAsia="Arial" w:hAnsi="Arial"/>
                <w:sz w:val="22"/>
                <w:szCs w:val="22"/>
                <w:color w:val="auto"/>
                <w:w w:val="87"/>
              </w:rPr>
              <w:t>762/711</w:t>
            </w:r>
          </w:p>
        </w:tc>
        <w:tc>
          <w:tcPr>
            <w:tcW w:w="1240" w:type="dxa"/>
            <w:vAlign w:val="bottom"/>
            <w:gridSpan w:val="5"/>
          </w:tcPr>
          <w:p>
            <w:pPr>
              <w:jc w:val="right"/>
              <w:spacing w:after="0"/>
              <w:rPr>
                <w:sz w:val="20"/>
                <w:szCs w:val="20"/>
                <w:color w:val="auto"/>
              </w:rPr>
            </w:pPr>
            <w:r>
              <w:rPr>
                <w:rFonts w:ascii="Arial" w:cs="Arial" w:eastAsia="Arial" w:hAnsi="Arial"/>
                <w:sz w:val="22"/>
                <w:szCs w:val="22"/>
                <w:color w:val="auto"/>
                <w:w w:val="97"/>
              </w:rPr>
              <w:t>01/01/2022-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16507</w:t>
            </w:r>
          </w:p>
        </w:tc>
        <w:tc>
          <w:tcPr>
            <w:tcW w:w="320" w:type="dxa"/>
            <w:vAlign w:val="bottom"/>
          </w:tcPr>
          <w:p>
            <w:pPr>
              <w:spacing w:after="0"/>
              <w:rPr>
                <w:sz w:val="23"/>
                <w:szCs w:val="23"/>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22"/>
                <w:szCs w:val="22"/>
                <w:color w:val="auto"/>
              </w:rPr>
              <w:t>$8.95//$4.20</w:t>
            </w:r>
          </w:p>
        </w:tc>
        <w:tc>
          <w:tcPr>
            <w:tcW w:w="140" w:type="dxa"/>
            <w:vAlign w:val="bottom"/>
          </w:tcPr>
          <w:p>
            <w:pPr>
              <w:spacing w:after="0"/>
              <w:rPr>
                <w:sz w:val="23"/>
                <w:szCs w:val="23"/>
                <w:color w:val="auto"/>
              </w:rPr>
            </w:pPr>
          </w:p>
        </w:tc>
        <w:tc>
          <w:tcPr>
            <w:tcW w:w="1600" w:type="dxa"/>
            <w:vAlign w:val="bottom"/>
            <w:gridSpan w:val="2"/>
          </w:tcPr>
          <w:p>
            <w:pPr>
              <w:ind w:left="4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401"/>
        </w:trPr>
        <w:tc>
          <w:tcPr>
            <w:tcW w:w="920" w:type="dxa"/>
            <w:vAlign w:val="bottom"/>
            <w:gridSpan w:val="3"/>
          </w:tcPr>
          <w:p>
            <w:pPr>
              <w:spacing w:after="0"/>
              <w:rPr>
                <w:sz w:val="20"/>
                <w:szCs w:val="20"/>
                <w:color w:val="auto"/>
              </w:rPr>
            </w:pPr>
            <w:r>
              <w:rPr>
                <w:rFonts w:ascii="Arial" w:cs="Arial" w:eastAsia="Arial" w:hAnsi="Arial"/>
                <w:sz w:val="22"/>
                <w:szCs w:val="22"/>
                <w:color w:val="auto"/>
                <w:w w:val="91"/>
              </w:rPr>
              <w:t>Firehouse</w:t>
            </w:r>
          </w:p>
        </w:tc>
        <w:tc>
          <w:tcPr>
            <w:tcW w:w="2560" w:type="dxa"/>
            <w:vAlign w:val="bottom"/>
            <w:gridSpan w:val="6"/>
          </w:tcPr>
          <w:p>
            <w:pPr>
              <w:ind w:left="580"/>
              <w:spacing w:after="0"/>
              <w:rPr>
                <w:sz w:val="20"/>
                <w:szCs w:val="20"/>
                <w:color w:val="auto"/>
              </w:rPr>
            </w:pPr>
            <w:r>
              <w:rPr>
                <w:rFonts w:ascii="Arial" w:cs="Arial" w:eastAsia="Arial" w:hAnsi="Arial"/>
                <w:sz w:val="22"/>
                <w:szCs w:val="22"/>
                <w:color w:val="auto"/>
              </w:rPr>
              <w:t>414 French Street</w:t>
            </w:r>
          </w:p>
        </w:tc>
        <w:tc>
          <w:tcPr>
            <w:tcW w:w="1340" w:type="dxa"/>
            <w:vAlign w:val="bottom"/>
            <w:gridSpan w:val="3"/>
          </w:tcPr>
          <w:p>
            <w:pPr>
              <w:ind w:left="220"/>
              <w:spacing w:after="0"/>
              <w:rPr>
                <w:sz w:val="20"/>
                <w:szCs w:val="20"/>
                <w:color w:val="auto"/>
              </w:rPr>
            </w:pPr>
            <w:r>
              <w:rPr>
                <w:rFonts w:ascii="Arial" w:cs="Arial" w:eastAsia="Arial" w:hAnsi="Arial"/>
                <w:sz w:val="22"/>
                <w:szCs w:val="22"/>
                <w:color w:val="auto"/>
                <w:w w:val="94"/>
              </w:rPr>
              <w:t>8,073/2,480</w:t>
            </w:r>
          </w:p>
        </w:tc>
        <w:tc>
          <w:tcPr>
            <w:tcW w:w="1600" w:type="dxa"/>
            <w:vAlign w:val="bottom"/>
            <w:gridSpan w:val="6"/>
          </w:tcPr>
          <w:p>
            <w:pPr>
              <w:jc w:val="right"/>
              <w:ind w:right="92"/>
              <w:spacing w:after="0"/>
              <w:rPr>
                <w:sz w:val="20"/>
                <w:szCs w:val="20"/>
                <w:color w:val="auto"/>
              </w:rPr>
            </w:pPr>
            <w:r>
              <w:rPr>
                <w:rFonts w:ascii="Arial" w:cs="Arial" w:eastAsia="Arial" w:hAnsi="Arial"/>
                <w:sz w:val="22"/>
                <w:szCs w:val="22"/>
                <w:color w:val="auto"/>
              </w:rPr>
              <w:t>01/01/2022-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ind w:left="340"/>
              <w:spacing w:after="0"/>
              <w:rPr>
                <w:sz w:val="20"/>
                <w:szCs w:val="20"/>
                <w:color w:val="auto"/>
              </w:rPr>
            </w:pPr>
            <w:r>
              <w:rPr>
                <w:rFonts w:ascii="Arial" w:cs="Arial" w:eastAsia="Arial" w:hAnsi="Arial"/>
                <w:sz w:val="22"/>
                <w:szCs w:val="22"/>
                <w:color w:val="auto"/>
                <w:w w:val="90"/>
              </w:rPr>
              <w:t>Erie, PA 16507</w:t>
            </w:r>
          </w:p>
        </w:tc>
        <w:tc>
          <w:tcPr>
            <w:tcW w:w="320" w:type="dxa"/>
            <w:vAlign w:val="bottom"/>
          </w:tcPr>
          <w:p>
            <w:pPr>
              <w:spacing w:after="0"/>
              <w:rPr>
                <w:sz w:val="23"/>
                <w:szCs w:val="23"/>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22"/>
                <w:szCs w:val="22"/>
                <w:color w:val="auto"/>
              </w:rPr>
              <w:t>$8.95/$4.20</w:t>
            </w:r>
          </w:p>
        </w:tc>
        <w:tc>
          <w:tcPr>
            <w:tcW w:w="140" w:type="dxa"/>
            <w:vAlign w:val="bottom"/>
          </w:tcPr>
          <w:p>
            <w:pPr>
              <w:spacing w:after="0"/>
              <w:rPr>
                <w:sz w:val="23"/>
                <w:szCs w:val="23"/>
                <w:color w:val="auto"/>
              </w:rPr>
            </w:pP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401"/>
        </w:trPr>
        <w:tc>
          <w:tcPr>
            <w:tcW w:w="2080" w:type="dxa"/>
            <w:vAlign w:val="bottom"/>
            <w:gridSpan w:val="6"/>
          </w:tcPr>
          <w:p>
            <w:pPr>
              <w:spacing w:after="0"/>
              <w:rPr>
                <w:sz w:val="20"/>
                <w:szCs w:val="20"/>
                <w:color w:val="auto"/>
              </w:rPr>
            </w:pPr>
            <w:r>
              <w:rPr>
                <w:rFonts w:ascii="Arial" w:cs="Arial" w:eastAsia="Arial" w:hAnsi="Arial"/>
                <w:sz w:val="22"/>
                <w:szCs w:val="22"/>
                <w:color w:val="auto"/>
              </w:rPr>
              <w:t>French Street Ramp/</w:t>
            </w:r>
          </w:p>
        </w:tc>
        <w:tc>
          <w:tcPr>
            <w:tcW w:w="2740" w:type="dxa"/>
            <w:vAlign w:val="bottom"/>
            <w:gridSpan w:val="6"/>
          </w:tcPr>
          <w:p>
            <w:pPr>
              <w:jc w:val="right"/>
              <w:ind w:right="333"/>
              <w:spacing w:after="0"/>
              <w:rPr>
                <w:sz w:val="20"/>
                <w:szCs w:val="20"/>
                <w:color w:val="auto"/>
              </w:rPr>
            </w:pPr>
            <w:r>
              <w:rPr>
                <w:rFonts w:ascii="Arial" w:cs="Arial" w:eastAsia="Arial" w:hAnsi="Arial"/>
                <w:sz w:val="22"/>
                <w:szCs w:val="22"/>
                <w:color w:val="auto"/>
                <w:w w:val="92"/>
              </w:rPr>
              <w:t>100 Erie Insurance Place</w:t>
            </w:r>
          </w:p>
        </w:tc>
        <w:tc>
          <w:tcPr>
            <w:tcW w:w="1240" w:type="dxa"/>
            <w:vAlign w:val="bottom"/>
            <w:gridSpan w:val="5"/>
          </w:tcPr>
          <w:p>
            <w:pPr>
              <w:jc w:val="right"/>
              <w:spacing w:after="0"/>
              <w:rPr>
                <w:sz w:val="20"/>
                <w:szCs w:val="20"/>
                <w:color w:val="auto"/>
              </w:rPr>
            </w:pPr>
            <w:r>
              <w:rPr>
                <w:rFonts w:ascii="Arial" w:cs="Arial" w:eastAsia="Arial" w:hAnsi="Arial"/>
                <w:sz w:val="22"/>
                <w:szCs w:val="22"/>
                <w:color w:val="auto"/>
                <w:w w:val="86"/>
              </w:rPr>
              <w:t>11,760/38,616</w:t>
            </w:r>
          </w:p>
        </w:tc>
        <w:tc>
          <w:tcPr>
            <w:tcW w:w="36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w w:val="93"/>
              </w:rPr>
              <w:t>01/01/2022-</w:t>
            </w:r>
          </w:p>
        </w:tc>
        <w:tc>
          <w:tcPr>
            <w:tcW w:w="0" w:type="dxa"/>
            <w:vAlign w:val="bottom"/>
          </w:tcPr>
          <w:p>
            <w:pPr>
              <w:spacing w:after="0"/>
              <w:rPr>
                <w:sz w:val="1"/>
                <w:szCs w:val="1"/>
                <w:color w:val="auto"/>
              </w:rPr>
            </w:pPr>
          </w:p>
        </w:tc>
      </w:tr>
      <w:tr>
        <w:trPr>
          <w:trHeight w:val="274"/>
        </w:trPr>
        <w:tc>
          <w:tcPr>
            <w:tcW w:w="1720" w:type="dxa"/>
            <w:vAlign w:val="bottom"/>
            <w:gridSpan w:val="4"/>
          </w:tcPr>
          <w:p>
            <w:pPr>
              <w:spacing w:after="0"/>
              <w:rPr>
                <w:sz w:val="20"/>
                <w:szCs w:val="20"/>
                <w:color w:val="auto"/>
              </w:rPr>
            </w:pPr>
            <w:r>
              <w:rPr>
                <w:rFonts w:ascii="Arial" w:cs="Arial" w:eastAsia="Arial" w:hAnsi="Arial"/>
                <w:sz w:val="22"/>
                <w:szCs w:val="22"/>
                <w:color w:val="auto"/>
              </w:rPr>
              <w:t>Mail Facility</w:t>
            </w:r>
          </w:p>
        </w:tc>
        <w:tc>
          <w:tcPr>
            <w:tcW w:w="1760" w:type="dxa"/>
            <w:vAlign w:val="bottom"/>
            <w:gridSpan w:val="5"/>
          </w:tcPr>
          <w:p>
            <w:pPr>
              <w:ind w:left="120"/>
              <w:spacing w:after="0"/>
              <w:rPr>
                <w:sz w:val="20"/>
                <w:szCs w:val="20"/>
                <w:color w:val="auto"/>
              </w:rPr>
            </w:pPr>
            <w:r>
              <w:rPr>
                <w:rFonts w:ascii="Arial" w:cs="Arial" w:eastAsia="Arial" w:hAnsi="Arial"/>
                <w:sz w:val="22"/>
                <w:szCs w:val="22"/>
                <w:color w:val="auto"/>
              </w:rPr>
              <w:t>Erie, PA 16530</w:t>
            </w:r>
          </w:p>
        </w:tc>
        <w:tc>
          <w:tcPr>
            <w:tcW w:w="1700" w:type="dxa"/>
            <w:vAlign w:val="bottom"/>
            <w:gridSpan w:val="4"/>
          </w:tcPr>
          <w:p>
            <w:pPr>
              <w:jc w:val="right"/>
              <w:ind w:right="192"/>
              <w:spacing w:after="0"/>
              <w:rPr>
                <w:sz w:val="20"/>
                <w:szCs w:val="20"/>
                <w:color w:val="auto"/>
              </w:rPr>
            </w:pPr>
            <w:r>
              <w:rPr>
                <w:rFonts w:ascii="Arial" w:cs="Arial" w:eastAsia="Arial" w:hAnsi="Arial"/>
                <w:sz w:val="22"/>
                <w:szCs w:val="22"/>
                <w:color w:val="auto"/>
              </w:rPr>
              <w:t>$8.95/$4.20</w:t>
            </w:r>
          </w:p>
        </w:tc>
        <w:tc>
          <w:tcPr>
            <w:tcW w:w="1240" w:type="dxa"/>
            <w:vAlign w:val="bottom"/>
            <w:gridSpan w:val="5"/>
          </w:tcPr>
          <w:p>
            <w:pPr>
              <w:jc w:val="right"/>
              <w:ind w:right="12"/>
              <w:spacing w:after="0"/>
              <w:rPr>
                <w:sz w:val="20"/>
                <w:szCs w:val="20"/>
                <w:color w:val="auto"/>
              </w:rPr>
            </w:pPr>
            <w:r>
              <w:rPr>
                <w:rFonts w:ascii="Arial" w:cs="Arial" w:eastAsia="Arial" w:hAnsi="Arial"/>
                <w:sz w:val="22"/>
                <w:szCs w:val="22"/>
                <w:color w:val="auto"/>
                <w:w w:val="99"/>
              </w:rPr>
              <w:t>06/30/2022</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95" w:right="1440" w:bottom="1440" w:gutter="0" w:footer="0" w:header="0"/>
        </w:sectPr>
      </w:pPr>
    </w:p>
    <w:bookmarkStart w:id="95" w:name="page96"/>
    <w:bookmarkEnd w:id="95"/>
    <w:p>
      <w:pPr>
        <w:jc w:val="center"/>
        <w:ind w:right="-339"/>
        <w:spacing w:after="0"/>
        <w:rPr>
          <w:sz w:val="20"/>
          <w:szCs w:val="20"/>
          <w:color w:val="auto"/>
        </w:rPr>
      </w:pPr>
      <w:r>
        <w:rPr>
          <w:rFonts w:ascii="Arial" w:cs="Arial" w:eastAsia="Arial" w:hAnsi="Arial"/>
          <w:sz w:val="20"/>
          <w:szCs w:val="20"/>
          <w:b w:val="1"/>
          <w:bCs w:val="1"/>
          <w:color w:val="auto"/>
        </w:rPr>
        <w:t>Exhibit 23</w:t>
      </w:r>
    </w:p>
    <w:p>
      <w:pPr>
        <w:spacing w:after="0" w:line="2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560" w:hanging="309"/>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333-218739) pertaining to the Erie Indemnity Company Incentive Compensation Deferral Plan,</w:t>
      </w:r>
    </w:p>
    <w:p>
      <w:pPr>
        <w:spacing w:after="0" w:line="34" w:lineRule="exact"/>
        <w:rPr>
          <w:rFonts w:ascii="Arial" w:cs="Arial" w:eastAsia="Arial" w:hAnsi="Arial"/>
          <w:sz w:val="17"/>
          <w:szCs w:val="17"/>
          <w:color w:val="auto"/>
        </w:rPr>
      </w:pPr>
    </w:p>
    <w:p>
      <w:pPr>
        <w:ind w:left="560" w:hanging="309"/>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333-188244) pertaining to the Erie Indemnity Company Equity Compensation Plan,</w:t>
      </w:r>
    </w:p>
    <w:p>
      <w:pPr>
        <w:spacing w:after="0" w:line="9" w:lineRule="exact"/>
        <w:rPr>
          <w:rFonts w:ascii="Arial" w:cs="Arial" w:eastAsia="Arial" w:hAnsi="Arial"/>
          <w:sz w:val="18"/>
          <w:szCs w:val="18"/>
          <w:color w:val="auto"/>
        </w:rPr>
      </w:pPr>
    </w:p>
    <w:p>
      <w:pPr>
        <w:ind w:left="580" w:hanging="329"/>
        <w:spacing w:after="0" w:line="265" w:lineRule="auto"/>
        <w:tabs>
          <w:tab w:leader="none" w:pos="5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60" w:hanging="309"/>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333-82062) pertaining to the Erie Indemnity Company Long-Term Incentive Plan,</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333-53318) pertaining to the Erie Indemnity Company Long-Term Incentive Plan</w:t>
      </w:r>
    </w:p>
    <w:p>
      <w:pPr>
        <w:spacing w:after="0" w:line="2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of our reports dated March 1, 2023, with respect to the financial statements of Erie Indemnity Company and the effectiveness of internal control over financial reporting of Erie Indemnity Company included in this Annual Report (Form 10-K) of Erie Indemnity Company for the year ended December 31, 2022.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0900"/>
          </w:cols>
          <w:pgMar w:left="320" w:top="886" w:right="67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G. NeCastro,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00" w:hanging="320"/>
        <w:spacing w:after="0" w:line="263" w:lineRule="auto"/>
        <w:tabs>
          <w:tab w:leader="none" w:pos="12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hanging="320"/>
        <w:spacing w:after="0" w:line="263" w:lineRule="auto"/>
        <w:tabs>
          <w:tab w:leader="none" w:pos="128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00" w:hanging="320"/>
        <w:spacing w:after="0" w:line="342"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28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440" w:hanging="320"/>
        <w:spacing w:after="0" w:line="342"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March 1, 2023</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25457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220"/>
          </w:cols>
          <w:pgMar w:left="320" w:top="891"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Gregory J. Gutting,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00" w:hanging="320"/>
        <w:spacing w:after="0" w:line="263"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hanging="320"/>
        <w:spacing w:after="0" w:line="263" w:lineRule="auto"/>
        <w:tabs>
          <w:tab w:leader="none" w:pos="12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00" w:hanging="320"/>
        <w:spacing w:after="0" w:line="342" w:lineRule="auto"/>
        <w:tabs>
          <w:tab w:leader="none" w:pos="12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2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440" w:hanging="320"/>
        <w:spacing w:after="0" w:line="342" w:lineRule="auto"/>
        <w:tabs>
          <w:tab w:leader="none" w:pos="12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March 1, 2023</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25457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220"/>
          </w:cols>
          <w:pgMar w:left="320" w:top="891" w:right="359" w:bottom="1440" w:gutter="0" w:footer="0" w:header="0"/>
        </w:sectPr>
      </w:pPr>
    </w:p>
    <w:bookmarkStart w:id="98" w:name="page99"/>
    <w:bookmarkEnd w:id="98"/>
    <w:p>
      <w:pPr>
        <w:jc w:val="center"/>
        <w:ind w:right="-13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Timothy G. NeCastro, Chief Executive Officer of the Erie Indemnity Company (the "Company"), and Gregory J. Gutting, Chief Financial Officer of the Company, certify, pursuant to § 906 of the Sarbanes-Oxley Act of 2002, 18 U.S.C. § 1350, that:</w:t>
      </w:r>
    </w:p>
    <w:p>
      <w:pPr>
        <w:spacing w:after="0" w:line="170" w:lineRule="exact"/>
        <w:rPr>
          <w:sz w:val="20"/>
          <w:szCs w:val="20"/>
          <w:color w:val="auto"/>
        </w:rPr>
      </w:pPr>
    </w:p>
    <w:p>
      <w:pPr>
        <w:ind w:left="500" w:right="680" w:hanging="330"/>
        <w:spacing w:after="0" w:line="277" w:lineRule="auto"/>
        <w:tabs>
          <w:tab w:leader="none" w:pos="4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2022 (the "Report") fully complies with the requirements of Section 13(a) or 15(d) of the Securities Exchange Act of 1934 (15 U.S.C. 78m); and</w:t>
      </w:r>
    </w:p>
    <w:p>
      <w:pPr>
        <w:spacing w:after="0" w:line="197" w:lineRule="exact"/>
        <w:rPr>
          <w:rFonts w:ascii="Arial" w:cs="Arial" w:eastAsia="Arial" w:hAnsi="Arial"/>
          <w:sz w:val="18"/>
          <w:szCs w:val="18"/>
          <w:color w:val="auto"/>
        </w:rPr>
      </w:pPr>
    </w:p>
    <w:p>
      <w:pPr>
        <w:ind w:left="480" w:hanging="31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CEO</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lvl w:ilvl="1">
      <w:lvlJc w:val="left"/>
      <w:lvlText w:val="•"/>
      <w:numFmt w:val="bullet"/>
      <w:start w:val="1"/>
    </w:lvl>
  </w:abstractNum>
  <w:abstractNum w:abstractNumId="26">
    <w:nsid w:val="5577F8E1"/>
    <w:multiLevelType w:val="hybridMultilevel"/>
    <w:lvl w:ilvl="0">
      <w:lvlJc w:val="left"/>
      <w:lvlText w:val="(%1)"/>
      <w:numFmt w:val="lowerLetter"/>
      <w:start w:val="2"/>
    </w:lvl>
    <w:lvl w:ilvl="1">
      <w:lvlJc w:val="left"/>
      <w:lvlText w:val="(%2)"/>
      <w:numFmt w:val="lowerRoman"/>
      <w:start w:val="1"/>
    </w:lvl>
  </w:abstractNum>
  <w:abstractNum w:abstractNumId="27">
    <w:nsid w:val="440BADFC"/>
    <w:multiLevelType w:val="hybridMultilevel"/>
    <w:lvl w:ilvl="0">
      <w:lvlJc w:val="left"/>
      <w:lvlText w:val="(%1)"/>
      <w:numFmt w:val="lowerRoman"/>
      <w:start w:val="3"/>
    </w:lvl>
  </w:abstractNum>
  <w:abstractNum w:abstractNumId="28">
    <w:nsid w:val="507236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3804823E"/>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9"/>
    </w:lvl>
  </w:abstractNum>
  <w:abstractNum w:abstractNumId="30">
    <w:nsid w:val="77465F01"/>
    <w:multiLevelType w:val="hybridMultilevel"/>
    <w:lvl w:ilvl="0">
      <w:lvlJc w:val="left"/>
      <w:lvlText w:val="(%1)"/>
      <w:numFmt w:val="lowerLetter"/>
      <w:start w:val="1"/>
    </w:lvl>
    <w:lvl w:ilvl="1">
      <w:lvlJc w:val="left"/>
      <w:lvlText w:val="(%2)"/>
      <w:numFmt w:val="lowerRoman"/>
      <w:start w:val="1"/>
    </w:lvl>
  </w:abstractNum>
  <w:abstractNum w:abstractNumId="31">
    <w:nsid w:val="7724C67E"/>
    <w:multiLevelType w:val="hybridMultilevel"/>
    <w:lvl w:ilvl="0">
      <w:lvlJc w:val="left"/>
      <w:lvlText w:val="%1."/>
      <w:numFmt w:val="decimal"/>
      <w:start w:val="5"/>
    </w:lvl>
    <w:lvl w:ilvl="1">
      <w:lvlJc w:val="left"/>
      <w:lvlText w:val="(%2)"/>
      <w:numFmt w:val="lowerLetter"/>
      <w:start w:val="3"/>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lowerLetter"/>
      <w:start w:val="1"/>
    </w:lvl>
    <w:lvl w:ilvl="1">
      <w:lvlJc w:val="left"/>
      <w:lvlText w:val="(%2)"/>
      <w:numFmt w:val="lowerRoman"/>
      <w:start w:val="1"/>
    </w:lvl>
  </w:abstractNum>
  <w:abstractNum w:abstractNumId="34">
    <w:nsid w:val="5E884ADC"/>
    <w:multiLevelType w:val="hybridMultilevel"/>
    <w:lvl w:ilvl="0">
      <w:lvlJc w:val="left"/>
      <w:lvlText w:val="(%1)"/>
      <w:numFmt w:val="lowerLetter"/>
      <w:start w:val="4"/>
    </w:lvl>
    <w:lvl w:ilvl="1">
      <w:lvlJc w:val="left"/>
      <w:lvlText w:val="(%2)"/>
      <w:numFmt w:val="lowerRoman"/>
      <w:start w:val="1"/>
    </w:lvl>
  </w:abstractNum>
  <w:abstractNum w:abstractNumId="35">
    <w:nsid w:val="51EAD36B"/>
    <w:multiLevelType w:val="hybridMultilevel"/>
    <w:lvl w:ilvl="0">
      <w:lvlJc w:val="left"/>
      <w:lvlText w:val="(%1)"/>
      <w:numFmt w:val="lowerRoman"/>
      <w:start w:val="2"/>
    </w:lvl>
  </w:abstractNum>
  <w:abstractNum w:abstractNumId="36">
    <w:nsid w:val="2D517796"/>
    <w:multiLevelType w:val="hybridMultilevel"/>
    <w:lvl w:ilvl="0">
      <w:lvlJc w:val="left"/>
      <w:lvlText w:val="(%1)"/>
      <w:numFmt w:val="lowerLetter"/>
      <w:start w:val="5"/>
    </w:lvl>
    <w:lvl w:ilvl="1">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lowerLetter"/>
      <w:start w:val="3"/>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64" Type="http://schemas.openxmlformats.org/officeDocument/2006/relationships/image" Target="media/image94.png"/><Relationship Id="rId165" Type="http://schemas.openxmlformats.org/officeDocument/2006/relationships/image" Target="media/image95.png"/><Relationship Id="rId166" Type="http://schemas.openxmlformats.org/officeDocument/2006/relationships/image" Target="media/image96.png"/><Relationship Id="rId167" Type="http://schemas.openxmlformats.org/officeDocument/2006/relationships/image" Target="media/image97.png"/><Relationship Id="rId168" Type="http://schemas.openxmlformats.org/officeDocument/2006/relationships/image" Target="media/image98.png"/><Relationship Id="rId169"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72"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175"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92" Type="http://schemas.openxmlformats.org/officeDocument/2006/relationships/hyperlink" Target="https://www.sec.gov/Archives/edgar/data/922621/000092262116000067/ex14312312015.htm" TargetMode="External"/><Relationship Id="rId93" Type="http://schemas.openxmlformats.org/officeDocument/2006/relationships/hyperlink" Target="https://www.sec.gov/Archives/edgar/data/922621/000092262116000082/ex-14406012016.htm" TargetMode="External"/><Relationship Id="rId97" Type="http://schemas.openxmlformats.org/officeDocument/2006/relationships/hyperlink" Target="https://www.sec.gov/Archives/edgar/data/922621/000110465911042663/a11-13827_1ex3d1.htm" TargetMode="External"/><Relationship Id="rId98" Type="http://schemas.openxmlformats.org/officeDocument/2006/relationships/hyperlink" Target="https://www.sec.gov/Archives/edgar/data/922621/000092262119000017/ex-31005032019.htm" TargetMode="External"/><Relationship Id="rId99" Type="http://schemas.openxmlformats.org/officeDocument/2006/relationships/hyperlink" Target="https://www.sec.gov/Archives/edgar/data/922621/000092262121000010/ex-4112312020.htm" TargetMode="External"/><Relationship Id="rId100" Type="http://schemas.openxmlformats.org/officeDocument/2006/relationships/hyperlink" Target="https://www.sec.gov/Archives/edgar/data/922621/000095012802000748/j9708001exv10w12.txt" TargetMode="External"/><Relationship Id="rId101" Type="http://schemas.openxmlformats.org/officeDocument/2006/relationships/hyperlink" Target="https://www.sec.gov/Archives/edgar/data/922621/000129993311000979/exhibit1.htm" TargetMode="External"/><Relationship Id="rId102" Type="http://schemas.openxmlformats.org/officeDocument/2006/relationships/hyperlink" Target="https://www.sec.gov/Archives/edgar/data/922621/000095015209001857/l35096aexv10w108.htm" TargetMode="External"/><Relationship Id="rId103" Type="http://schemas.openxmlformats.org/officeDocument/2006/relationships/hyperlink" Target="https://www.sec.gov/Archives/edgar/data/922621/000092262120000009/ex-1020412312019.htm" TargetMode="External"/><Relationship Id="rId104" Type="http://schemas.openxmlformats.org/officeDocument/2006/relationships/hyperlink" Target="https://www.sec.gov/Archives/edgar/data/922621/000119312520080005/d529252ddef14c.htm#toc529252_62" TargetMode="External"/><Relationship Id="rId105" Type="http://schemas.openxmlformats.org/officeDocument/2006/relationships/hyperlink" Target="https://www.sec.gov/Archives/edgar/data/922621/000092262122000032/ex-10206302022.htm" TargetMode="External"/><Relationship Id="rId106" Type="http://schemas.openxmlformats.org/officeDocument/2006/relationships/hyperlink" Target="https://www.sec.gov/Archives/edgar/data/922621/000092262122000013/ex-1022412312021.htm" TargetMode="External"/><Relationship Id="rId107" Type="http://schemas.openxmlformats.org/officeDocument/2006/relationships/hyperlink" Target="https://www.sec.gov/Archives/edgar/data/922621/000095015209001857/l35096aexv10w104.htm" TargetMode="External"/><Relationship Id="rId108" Type="http://schemas.openxmlformats.org/officeDocument/2006/relationships/hyperlink" Target="https://www.sec.gov/Archives/edgar/data/922621/000092262119000023/ex-10206302019.htm" TargetMode="External"/><Relationship Id="rId109" Type="http://schemas.openxmlformats.org/officeDocument/2006/relationships/hyperlink" Target="https://www.sec.gov/Archives/edgar/data/922621/000092262121000010/ex-1020912312020.htm" TargetMode="External"/><Relationship Id="rId110" Type="http://schemas.openxmlformats.org/officeDocument/2006/relationships/hyperlink" Target="https://www.sec.gov/Archives/edgar/data/922621/000092262122000013/ex-1022312312021.htm" TargetMode="External"/><Relationship Id="rId113" Type="http://schemas.openxmlformats.org/officeDocument/2006/relationships/hyperlink" Target="https://www.sec.gov/Archives/edgar/data/922621/000092262122000013/ex-1021812312021.htm" TargetMode="External"/><Relationship Id="rId114" Type="http://schemas.openxmlformats.org/officeDocument/2006/relationships/hyperlink" Target="https://www.sec.gov/Archives/edgar/data/922621/000092262117000008/ex-1017712312016.htm" TargetMode="External"/><Relationship Id="rId115" Type="http://schemas.openxmlformats.org/officeDocument/2006/relationships/hyperlink" Target="https://www.sec.gov/Archives/edgar/data/922621/000092262119000023/ex-10106302019.htm" TargetMode="External"/><Relationship Id="rId116" Type="http://schemas.openxmlformats.org/officeDocument/2006/relationships/hyperlink" Target="https://www.sec.gov/Archives/edgar/data/922621/000092262121000010/ex-1020712312020.htm" TargetMode="External"/><Relationship Id="rId117" Type="http://schemas.openxmlformats.org/officeDocument/2006/relationships/hyperlink" Target="https://www.sec.gov/Archives/edgar/data/922621/000092262122000013/ex-1022212312021.htm" TargetMode="External"/><Relationship Id="rId118" Type="http://schemas.openxmlformats.org/officeDocument/2006/relationships/hyperlink" Target="https://www.sec.gov/Archives/edgar/data/922621/000092262116000067/ex-1015812312015.htm" TargetMode="External"/><Relationship Id="rId119" Type="http://schemas.openxmlformats.org/officeDocument/2006/relationships/hyperlink" Target="https://www.sec.gov/Archives/edgar/data/922621/000092262122000013/ex-1021712312021.htm" TargetMode="External"/><Relationship Id="rId120" Type="http://schemas.openxmlformats.org/officeDocument/2006/relationships/hyperlink" Target="https://www.sec.gov/Archives/edgar/data/922621/000092262116000067/ex-1015912312015.htm" TargetMode="External"/><Relationship Id="rId121" Type="http://schemas.openxmlformats.org/officeDocument/2006/relationships/hyperlink" Target="https://www.sec.gov/Archives/edgar/data/922621/000092262116000077/ex-10203312016.htm" TargetMode="External"/><Relationship Id="rId122" Type="http://schemas.openxmlformats.org/officeDocument/2006/relationships/hyperlink" Target="https://www.sec.gov/Archives/edgar/data/922621/000092262122000013/ex-1021912312021.htm" TargetMode="External"/><Relationship Id="rId123" Type="http://schemas.openxmlformats.org/officeDocument/2006/relationships/hyperlink" Target="https://www.sec.gov/Archives/edgar/data/922621/000092262116000067/ex-1016212312015.htm" TargetMode="External"/><Relationship Id="rId124" Type="http://schemas.openxmlformats.org/officeDocument/2006/relationships/hyperlink" Target="https://www.sec.gov/Archives/edgar/data/922621/000092262116000113/ex-10409302016.htm" TargetMode="External"/><Relationship Id="rId125" Type="http://schemas.openxmlformats.org/officeDocument/2006/relationships/hyperlink" Target="https://www.sec.gov/Archives/edgar/data/922621/000092262116000113/ex-10509302016.htm" TargetMode="External"/><Relationship Id="rId126" Type="http://schemas.openxmlformats.org/officeDocument/2006/relationships/hyperlink" Target="https://www.sec.gov/Archives/edgar/data/922621/000092262117000008/ex-1017812312016.htm" TargetMode="External"/><Relationship Id="rId127" Type="http://schemas.openxmlformats.org/officeDocument/2006/relationships/hyperlink" Target="https://www.sec.gov/Archives/edgar/data/922621/000092262118000016/ex-1018612312017.htm" TargetMode="External"/><Relationship Id="rId128" Type="http://schemas.openxmlformats.org/officeDocument/2006/relationships/hyperlink" Target="https://www.sec.gov/Archives/edgar/data/922621/000092262119000008/ex-1019412312018.htm" TargetMode="External"/><Relationship Id="rId129" Type="http://schemas.openxmlformats.org/officeDocument/2006/relationships/hyperlink" Target="https://www.sec.gov/Archives/edgar/data/922621/000092262119000038/ex-10109302019.htm" TargetMode="External"/><Relationship Id="rId130" Type="http://schemas.openxmlformats.org/officeDocument/2006/relationships/hyperlink" Target="https://www.sec.gov/Archives/edgar/data/922621/000092262120000009/ex-1019912312019.htm" TargetMode="External"/><Relationship Id="rId133" Type="http://schemas.openxmlformats.org/officeDocument/2006/relationships/hyperlink" Target="https://www.sec.gov/Archives/edgar/data/922621/000092262120000009/ex-1020012312019.htm" TargetMode="External"/><Relationship Id="rId134" Type="http://schemas.openxmlformats.org/officeDocument/2006/relationships/hyperlink" Target="https://www.sec.gov/Archives/edgar/data/922621/000092262120000009/ex-1020112312019.htm" TargetMode="External"/><Relationship Id="rId135" Type="http://schemas.openxmlformats.org/officeDocument/2006/relationships/hyperlink" Target="https://www.sec.gov/Archives/edgar/data/922621/000092262121000010/ex-1020612312020.htm" TargetMode="External"/><Relationship Id="rId136" Type="http://schemas.openxmlformats.org/officeDocument/2006/relationships/hyperlink" Target="https://www.sec.gov/Archives/edgar/data/922621/000092262121000048/ex-10109302021.htm" TargetMode="External"/><Relationship Id="rId137" Type="http://schemas.openxmlformats.org/officeDocument/2006/relationships/hyperlink" Target="https://www.sec.gov/Archives/edgar/data/922621/000095015209001857/l35096aexv10w103.htm" TargetMode="External"/><Relationship Id="rId138" Type="http://schemas.openxmlformats.org/officeDocument/2006/relationships/hyperlink" Target="https://www.sec.gov/Archives/edgar/data/922621/000092262121000010/ex-1020812312020.htm" TargetMode="External"/><Relationship Id="rId139" Type="http://schemas.openxmlformats.org/officeDocument/2006/relationships/hyperlink" Target="https://www.sec.gov/Archives/edgar/data/922621/000092262122000013/ex-1022012312021.htm" TargetMode="External"/><Relationship Id="rId140" Type="http://schemas.openxmlformats.org/officeDocument/2006/relationships/hyperlink" Target="https://www.sec.gov/Archives/edgar/data/922621/000092262122000013/ex-1022112312021.htm" TargetMode="External"/><Relationship Id="rId141" Type="http://schemas.openxmlformats.org/officeDocument/2006/relationships/hyperlink" Target="https://www.sec.gov/Archives/edgar/data/922621/000092262116000067/ex-1016312312015.htm" TargetMode="External"/><Relationship Id="rId142" Type="http://schemas.openxmlformats.org/officeDocument/2006/relationships/hyperlink" Target="https://www.sec.gov/Archives/edgar/data/922621/000092262116000113/ex-10609302016.htm" TargetMode="External"/><Relationship Id="rId143" Type="http://schemas.openxmlformats.org/officeDocument/2006/relationships/hyperlink" Target="https://www.sec.gov/Archives/edgar/data/922621/000092262117000043/ex-10109302017.htm" TargetMode="External"/><Relationship Id="rId144" Type="http://schemas.openxmlformats.org/officeDocument/2006/relationships/hyperlink" Target="https://www.sec.gov/Archives/edgar/data/922621/000092262118000016/ex-1018512312017.htm" TargetMode="External"/><Relationship Id="rId145" Type="http://schemas.openxmlformats.org/officeDocument/2006/relationships/hyperlink" Target="https://www.sec.gov/Archives/edgar/data/922621/000092262118000033/ex-10106302018.htm" TargetMode="External"/><Relationship Id="rId146" Type="http://schemas.openxmlformats.org/officeDocument/2006/relationships/hyperlink" Target="https://www.sec.gov/Archives/edgar/data/922621/000092262119000014/ex-10103312019.htm" TargetMode="External"/><Relationship Id="rId147" Type="http://schemas.openxmlformats.org/officeDocument/2006/relationships/hyperlink" Target="https://www.sec.gov/Archives/edgar/data/922621/000092262120000009/ex-1020212312019.htm" TargetMode="External"/><Relationship Id="rId148" Type="http://schemas.openxmlformats.org/officeDocument/2006/relationships/hyperlink" Target="https://www.sec.gov/Archives/edgar/data/922621/000092262120000009/ex-1020312312019.htm" TargetMode="External"/><Relationship Id="rId151" Type="http://schemas.openxmlformats.org/officeDocument/2006/relationships/hyperlink" Target="https://www.sec.gov/Archives/edgar/data/922621/000092262121000048/ex-10209302021.htm" TargetMode="External"/><Relationship Id="rId152" Type="http://schemas.openxmlformats.org/officeDocument/2006/relationships/hyperlink" Target="https://www.sec.gov/Archives/edgar/data/922621/000092262122000013/ex-1021612312021.htm" TargetMode="External"/><Relationship Id="rId153" Type="http://schemas.openxmlformats.org/officeDocument/2006/relationships/hyperlink" Target="https://www.sec.gov/Archives/edgar/data/922621/000092262116000117/ex-10111072016.htm" TargetMode="External"/><Relationship Id="rId154" Type="http://schemas.openxmlformats.org/officeDocument/2006/relationships/hyperlink" Target="https://www.sec.gov/Archives/edgar/data/922621/000092262118000008/ex-10101222018.htm" TargetMode="External"/><Relationship Id="rId155" Type="http://schemas.openxmlformats.org/officeDocument/2006/relationships/hyperlink" Target="https://www.sec.gov/Archives/edgar/data/922621/000092262118000008/ex-10201222018.htm" TargetMode="External"/><Relationship Id="rId156" Type="http://schemas.openxmlformats.org/officeDocument/2006/relationships/hyperlink" Target="https://www.sec.gov/Archives/edgar/data/922621/000092262118000053/ex-10111132018.htm" TargetMode="External"/><Relationship Id="rId157" Type="http://schemas.openxmlformats.org/officeDocument/2006/relationships/hyperlink" Target="https://www.sec.gov/Archives/edgar/data/922621/000092262122000013/ex-1022512312021.htm" TargetMode="External"/><Relationship Id="rId158" Type="http://schemas.openxmlformats.org/officeDocument/2006/relationships/hyperlink" Target="https://www.sec.gov/Archives/edgar/data/922621/000092262116000117/ex-10211072016.htm" TargetMode="External"/><Relationship Id="rId159" Type="http://schemas.openxmlformats.org/officeDocument/2006/relationships/hyperlink" Target="https://www.sec.gov/Archives/edgar/data/922621/000092262121000052/ex-10110292021.htm" TargetMode="External"/><Relationship Id="rId160" Type="http://schemas.openxmlformats.org/officeDocument/2006/relationships/hyperlink" Target="https://www.sec.gov/Archives/edgar/data/922621/000092262121000052/ex-10210292021.htm" TargetMode="External"/><Relationship Id="rId161" Type="http://schemas.openxmlformats.org/officeDocument/2006/relationships/hyperlink" Target="https://www.sec.gov/Archives/edgar/data/922621/000092262121000048/ex-10309302021.htm" TargetMode="External"/><Relationship Id="rId162" Type="http://schemas.openxmlformats.org/officeDocument/2006/relationships/hyperlink" Target="https://www.sec.gov/Archives/edgar/data/922621/000092262122000013/ex-1022612312021.htm" TargetMode="External"/><Relationship Id="rId163" Type="http://schemas.openxmlformats.org/officeDocument/2006/relationships/hyperlink" Target="https://www.sec.gov/Archives/edgar/data/922621/000092262121000054/ex-1011207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2023-03-01T23:19:47Z</dcterms:created>
  <dcterms:modified xsi:type="dcterms:W3CDTF">2023-03-01T23:19:47Z</dcterms:modified>
</cp:coreProperties>
</file>