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66170.xml.htm"/>
      <w:bookmarkStart w:id="1" w:name="kswkform4_17857661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CONNELL EUGENE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785 HUNTINGTON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796"/>
        <w:gridCol w:w="449"/>
        <w:gridCol w:w="611"/>
        <w:gridCol w:w="1359"/>
        <w:gridCol w:w="991"/>
        <w:gridCol w:w="106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2,462.602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Children</w:t>
            </w:r>
            <w:r>
              <w:rPr>
                <w:rFonts w:ascii="Times;serif" w:hAnsi="Times;serif"/>
                <w:color w:val="008000"/>
                <w:position w:val="7"/>
                <w:sz w:val="16"/>
                <w:sz w:val="20"/>
                <w:shd w:fill="FFFFFF" w:val="clear"/>
              </w:rPr>
              <w:t>(1)</w:t>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17,433.246</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0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220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242.04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3,454.13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held by Reporting Person's children living in his household. The Reporting Person disclaims beneficial ownership of these reported securities, therefore this report shall not be deemed an admission that the Reporting Person is the beneficial owner of such securities for the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Acquired under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7112"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4005</Characters>
  <CharactersWithSpaces>4659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