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PERSUANT TO SECTION 13 OR 15(d) OF</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2007</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0-24000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ERIE INDEMNITY COMPANY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8"/>
              </w:rPr>
              <w:t>PENNSYLVANIA</w:t>
            </w:r>
          </w:p>
        </w:tc>
        <w:tc>
          <w:tcPr>
            <w:tcW w:w="580" w:type="dxa"/>
            <w:vAlign w:val="bottom"/>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tcPr>
          <w:p>
            <w:pPr>
              <w:jc w:val="right"/>
              <w:ind w:right="2150"/>
              <w:spacing w:after="0"/>
              <w:rPr>
                <w:sz w:val="20"/>
                <w:szCs w:val="20"/>
                <w:color w:val="auto"/>
              </w:rPr>
            </w:pPr>
            <w:r>
              <w:rPr>
                <w:rFonts w:ascii="Arial" w:cs="Arial" w:eastAsia="Arial" w:hAnsi="Arial"/>
                <w:sz w:val="18"/>
                <w:szCs w:val="18"/>
                <w:color w:val="auto"/>
              </w:rPr>
              <w:t>25-0466020</w:t>
            </w:r>
          </w:p>
        </w:tc>
      </w:tr>
      <w:tr>
        <w:trPr>
          <w:trHeight w:val="209"/>
        </w:trPr>
        <w:tc>
          <w:tcPr>
            <w:tcW w:w="7820" w:type="dxa"/>
            <w:vAlign w:val="bottom"/>
            <w:gridSpan w:val="4"/>
          </w:tcPr>
          <w:p>
            <w:pPr>
              <w:jc w:val="center"/>
              <w:ind w:right="2380"/>
              <w:spacing w:after="0"/>
              <w:rPr>
                <w:sz w:val="20"/>
                <w:szCs w:val="20"/>
                <w:color w:val="auto"/>
              </w:rPr>
            </w:pPr>
            <w:r>
              <w:rPr>
                <w:rFonts w:ascii="Arial" w:cs="Arial" w:eastAsia="Arial" w:hAnsi="Arial"/>
                <w:sz w:val="18"/>
                <w:szCs w:val="18"/>
                <w:color w:val="auto"/>
                <w:w w:val="99"/>
              </w:rPr>
              <w:t>(State or other jurisdiction of</w:t>
            </w:r>
          </w:p>
        </w:tc>
        <w:tc>
          <w:tcPr>
            <w:tcW w:w="3600" w:type="dxa"/>
            <w:vAlign w:val="bottom"/>
          </w:tcPr>
          <w:p>
            <w:pPr>
              <w:jc w:val="center"/>
              <w:ind w:right="1750"/>
              <w:spacing w:after="0"/>
              <w:rPr>
                <w:sz w:val="20"/>
                <w:szCs w:val="20"/>
                <w:color w:val="auto"/>
              </w:rPr>
            </w:pPr>
            <w:r>
              <w:rPr>
                <w:rFonts w:ascii="Arial" w:cs="Arial" w:eastAsia="Arial" w:hAnsi="Arial"/>
                <w:sz w:val="18"/>
                <w:szCs w:val="18"/>
                <w:color w:val="auto"/>
                <w:w w:val="99"/>
              </w:rPr>
              <w:t>(I.R.S. Employer</w:t>
            </w:r>
          </w:p>
        </w:tc>
      </w:tr>
      <w:tr>
        <w:trPr>
          <w:trHeight w:val="217"/>
        </w:trPr>
        <w:tc>
          <w:tcPr>
            <w:tcW w:w="7820" w:type="dxa"/>
            <w:vAlign w:val="bottom"/>
            <w:gridSpan w:val="4"/>
          </w:tcPr>
          <w:p>
            <w:pPr>
              <w:jc w:val="center"/>
              <w:ind w:right="2400"/>
              <w:spacing w:after="0"/>
              <w:rPr>
                <w:sz w:val="20"/>
                <w:szCs w:val="20"/>
                <w:color w:val="auto"/>
              </w:rPr>
            </w:pPr>
            <w:r>
              <w:rPr>
                <w:rFonts w:ascii="Arial" w:cs="Arial" w:eastAsia="Arial" w:hAnsi="Arial"/>
                <w:sz w:val="18"/>
                <w:szCs w:val="18"/>
                <w:color w:val="auto"/>
                <w:w w:val="99"/>
              </w:rPr>
              <w:t>incorporation or organization)</w:t>
            </w:r>
          </w:p>
        </w:tc>
        <w:tc>
          <w:tcPr>
            <w:tcW w:w="3600" w:type="dxa"/>
            <w:vAlign w:val="bottom"/>
          </w:tcPr>
          <w:p>
            <w:pPr>
              <w:jc w:val="center"/>
              <w:ind w:right="1750"/>
              <w:spacing w:after="0"/>
              <w:rPr>
                <w:sz w:val="20"/>
                <w:szCs w:val="20"/>
                <w:color w:val="auto"/>
              </w:rPr>
            </w:pPr>
            <w:r>
              <w:rPr>
                <w:rFonts w:ascii="Arial" w:cs="Arial" w:eastAsia="Arial" w:hAnsi="Arial"/>
                <w:sz w:val="18"/>
                <w:szCs w:val="18"/>
                <w:color w:val="auto"/>
                <w:w w:val="99"/>
              </w:rPr>
              <w:t>Identification No.)</w:t>
            </w:r>
          </w:p>
        </w:tc>
      </w:tr>
      <w:tr>
        <w:trPr>
          <w:trHeight w:val="392"/>
        </w:trPr>
        <w:tc>
          <w:tcPr>
            <w:tcW w:w="5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100 Erie Insurance Place, Erie, Pennsylvania</w:t>
            </w:r>
          </w:p>
        </w:tc>
        <w:tc>
          <w:tcPr>
            <w:tcW w:w="58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370"/>
              <w:spacing w:after="0"/>
              <w:rPr>
                <w:sz w:val="20"/>
                <w:szCs w:val="20"/>
                <w:color w:val="auto"/>
              </w:rPr>
            </w:pPr>
            <w:r>
              <w:rPr>
                <w:rFonts w:ascii="Arial" w:cs="Arial" w:eastAsia="Arial" w:hAnsi="Arial"/>
                <w:sz w:val="18"/>
                <w:szCs w:val="18"/>
                <w:color w:val="auto"/>
              </w:rPr>
              <w:t>16530</w:t>
            </w:r>
          </w:p>
        </w:tc>
      </w:tr>
      <w:tr>
        <w:trPr>
          <w:trHeight w:val="223"/>
        </w:trPr>
        <w:tc>
          <w:tcPr>
            <w:tcW w:w="7820" w:type="dxa"/>
            <w:vAlign w:val="bottom"/>
            <w:gridSpan w:val="4"/>
          </w:tcPr>
          <w:p>
            <w:pPr>
              <w:jc w:val="center"/>
              <w:ind w:right="2380"/>
              <w:spacing w:after="0"/>
              <w:rPr>
                <w:sz w:val="20"/>
                <w:szCs w:val="20"/>
                <w:color w:val="auto"/>
              </w:rPr>
            </w:pPr>
            <w:r>
              <w:rPr>
                <w:rFonts w:ascii="Arial" w:cs="Arial" w:eastAsia="Arial" w:hAnsi="Arial"/>
                <w:sz w:val="18"/>
                <w:szCs w:val="18"/>
                <w:color w:val="auto"/>
                <w:w w:val="99"/>
              </w:rPr>
              <w:t>(Address of principal executive offices)</w:t>
            </w:r>
          </w:p>
        </w:tc>
        <w:tc>
          <w:tcPr>
            <w:tcW w:w="3600" w:type="dxa"/>
            <w:vAlign w:val="bottom"/>
          </w:tcPr>
          <w:p>
            <w:pPr>
              <w:jc w:val="center"/>
              <w:ind w:right="1730"/>
              <w:spacing w:after="0"/>
              <w:rPr>
                <w:sz w:val="20"/>
                <w:szCs w:val="20"/>
                <w:color w:val="auto"/>
              </w:rPr>
            </w:pPr>
            <w:r>
              <w:rPr>
                <w:rFonts w:ascii="Arial" w:cs="Arial" w:eastAsia="Arial" w:hAnsi="Arial"/>
                <w:sz w:val="18"/>
                <w:szCs w:val="18"/>
                <w:color w:val="auto"/>
              </w:rPr>
              <w:t>(Zip Code)</w:t>
            </w:r>
          </w:p>
        </w:tc>
      </w:tr>
      <w:tr>
        <w:trPr>
          <w:trHeight w:val="297"/>
        </w:trPr>
        <w:tc>
          <w:tcPr>
            <w:tcW w:w="7820" w:type="dxa"/>
            <w:vAlign w:val="bottom"/>
            <w:gridSpan w:val="4"/>
          </w:tcPr>
          <w:p>
            <w:pPr>
              <w:jc w:val="right"/>
              <w:ind w:right="1500"/>
              <w:spacing w:after="0"/>
              <w:rPr>
                <w:sz w:val="20"/>
                <w:szCs w:val="20"/>
                <w:color w:val="auto"/>
              </w:rPr>
            </w:pPr>
            <w:r>
              <w:rPr>
                <w:rFonts w:ascii="Arial" w:cs="Arial" w:eastAsia="Arial" w:hAnsi="Arial"/>
                <w:sz w:val="18"/>
                <w:szCs w:val="18"/>
                <w:color w:val="auto"/>
              </w:rPr>
              <w:t>(814) 870-2000</w:t>
            </w:r>
          </w:p>
        </w:tc>
        <w:tc>
          <w:tcPr>
            <w:tcW w:w="3600" w:type="dxa"/>
            <w:vAlign w:val="bottom"/>
          </w:tcPr>
          <w:p>
            <w:pPr>
              <w:spacing w:after="0"/>
              <w:rPr>
                <w:sz w:val="24"/>
                <w:szCs w:val="24"/>
                <w:color w:val="auto"/>
              </w:rPr>
            </w:pPr>
          </w:p>
        </w:tc>
      </w:tr>
      <w:tr>
        <w:trPr>
          <w:trHeight w:val="210"/>
        </w:trPr>
        <w:tc>
          <w:tcPr>
            <w:tcW w:w="3600" w:type="dxa"/>
            <w:vAlign w:val="bottom"/>
          </w:tcPr>
          <w:p>
            <w:pPr>
              <w:spacing w:after="0"/>
              <w:rPr>
                <w:sz w:val="18"/>
                <w:szCs w:val="18"/>
                <w:color w:val="auto"/>
              </w:rPr>
            </w:pPr>
          </w:p>
        </w:tc>
        <w:tc>
          <w:tcPr>
            <w:tcW w:w="42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9"/>
              </w:rPr>
              <w:t>(Registrant’s telephone number, including area code)</w:t>
            </w:r>
          </w:p>
        </w:tc>
        <w:tc>
          <w:tcPr>
            <w:tcW w:w="3600" w:type="dxa"/>
            <w:vAlign w:val="bottom"/>
          </w:tcPr>
          <w:p>
            <w:pPr>
              <w:spacing w:after="0"/>
              <w:rPr>
                <w:sz w:val="18"/>
                <w:szCs w:val="18"/>
                <w:color w:val="auto"/>
              </w:rPr>
            </w:pPr>
          </w:p>
        </w:tc>
      </w:tr>
    </w:tbl>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-1905</wp:posOffset>
            </wp:positionV>
            <wp:extent cx="41421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4210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5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63" w:lineRule="exact"/>
        <w:rPr>
          <w:sz w:val="20"/>
          <w:szCs w:val="20"/>
          <w:color w:val="auto"/>
        </w:rPr>
      </w:pPr>
    </w:p>
    <w:p>
      <w:pPr>
        <w:ind w:right="80"/>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8" w:lineRule="exact"/>
        <w:rPr>
          <w:sz w:val="20"/>
          <w:szCs w:val="20"/>
          <w:color w:val="auto"/>
        </w:rPr>
      </w:pPr>
    </w:p>
    <w:p>
      <w:pPr>
        <w:ind w:right="600"/>
        <w:spacing w:after="0" w:line="232"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 w:lineRule="exact"/>
        <w:rPr>
          <w:sz w:val="20"/>
          <w:szCs w:val="20"/>
          <w:color w:val="auto"/>
        </w:rPr>
      </w:pPr>
    </w:p>
    <w:p>
      <w:pPr>
        <w:ind w:left="2760"/>
        <w:spacing w:after="0" w:line="207" w:lineRule="exact"/>
        <w:tabs>
          <w:tab w:leader="none" w:pos="5080" w:val="left"/>
          <w:tab w:leader="none" w:pos="68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7"/>
          <w:szCs w:val="17"/>
          <w:color w:val="auto"/>
        </w:rPr>
        <w:t>Non-accelerated filer o</w:t>
      </w:r>
    </w:p>
    <w:p>
      <w:pPr>
        <w:spacing w:after="0" w:line="7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63"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The number of shares outstanding of Class A Common Stock, with no par value and a stated value of $.0292 per share was 57,340,743 at April 25, 2007.</w:t>
      </w:r>
    </w:p>
    <w:p>
      <w:pPr>
        <w:spacing w:after="0" w:line="89"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The number of shares outstanding of Class B Common Stock with no par value and a stated value of $70 per share was 2,571 at April 25, 2007.</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is the only class of stock the Registrant is presently authorized to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ind w:right="-1220"/>
        <w:spacing w:after="0"/>
        <w:rPr>
          <w:sz w:val="20"/>
          <w:szCs w:val="20"/>
          <w:color w:val="auto"/>
        </w:rPr>
      </w:pPr>
      <w:r>
        <w:rPr>
          <w:rFonts w:ascii="Arial" w:cs="Arial" w:eastAsia="Arial" w:hAnsi="Arial"/>
          <w:sz w:val="18"/>
          <w:szCs w:val="18"/>
          <w:color w:val="auto"/>
        </w:rPr>
        <w:t>INDEX</w:t>
      </w:r>
    </w:p>
    <w:p>
      <w:pPr>
        <w:spacing w:after="0" w:line="104"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ERIE INDEMNITY COMPANY</w:t>
      </w:r>
    </w:p>
    <w:p>
      <w:pPr>
        <w:spacing w:after="0" w:line="194"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PART I. FINANCIAL INFORMATION</w:t>
        </w:r>
      </w:hyperlink>
    </w:p>
    <w:p>
      <w:pPr>
        <w:spacing w:after="0" w:line="234" w:lineRule="auto"/>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 Financial Statements (Unaudited)</w:t>
        </w:r>
      </w:hyperlink>
    </w:p>
    <w:p>
      <w:pPr>
        <w:spacing w:after="0" w:line="1" w:lineRule="exact"/>
        <w:rPr>
          <w:sz w:val="20"/>
          <w:szCs w:val="20"/>
          <w:color w:val="auto"/>
        </w:rPr>
      </w:pPr>
    </w:p>
    <w:p>
      <w:pPr>
        <w:ind w:left="220" w:right="1899"/>
        <w:spacing w:after="0" w:line="234" w:lineRule="auto"/>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Financial Position—March 31, 2007 and December 31, 2006</w:t>
        </w:r>
      </w:hyperlink>
      <w:r>
        <w:rPr>
          <w:rFonts w:ascii="Arial" w:cs="Arial" w:eastAsia="Arial" w:hAnsi="Arial"/>
          <w:sz w:val="18"/>
          <w:szCs w:val="18"/>
          <w:u w:val="single" w:color="auto"/>
          <w:color w:val="0000EE"/>
        </w:rPr>
        <w:t xml:space="preserve"> </w:t>
      </w:r>
      <w:hyperlink w:anchor="page6">
        <w:r>
          <w:rPr>
            <w:rFonts w:ascii="Arial" w:cs="Arial" w:eastAsia="Arial" w:hAnsi="Arial"/>
            <w:sz w:val="18"/>
            <w:szCs w:val="18"/>
            <w:u w:val="single" w:color="auto"/>
            <w:color w:val="0000EE"/>
          </w:rPr>
          <w:t>Consolidated Statements of Operations—Three months ended March 31, 2007 and 2006</w:t>
        </w:r>
      </w:hyperlink>
      <w:r>
        <w:rPr>
          <w:rFonts w:ascii="Arial" w:cs="Arial" w:eastAsia="Arial" w:hAnsi="Arial"/>
          <w:sz w:val="18"/>
          <w:szCs w:val="18"/>
          <w:u w:val="single" w:color="auto"/>
          <w:color w:val="0000EE"/>
        </w:rPr>
        <w:t xml:space="preserve"> </w:t>
      </w:r>
      <w:hyperlink w:anchor="page7">
        <w:r>
          <w:rPr>
            <w:rFonts w:ascii="Arial" w:cs="Arial" w:eastAsia="Arial" w:hAnsi="Arial"/>
            <w:sz w:val="18"/>
            <w:szCs w:val="18"/>
            <w:u w:val="single" w:color="auto"/>
            <w:color w:val="0000EE"/>
          </w:rPr>
          <w:t>Consolidated Statements of Comprehensive Income—Three months ended March 31, 2007 and 2006</w:t>
        </w:r>
      </w:hyperlink>
      <w:r>
        <w:rPr>
          <w:rFonts w:ascii="Arial" w:cs="Arial" w:eastAsia="Arial" w:hAnsi="Arial"/>
          <w:sz w:val="18"/>
          <w:szCs w:val="18"/>
          <w:u w:val="single" w:color="auto"/>
          <w:color w:val="0000EE"/>
        </w:rPr>
        <w:t xml:space="preserve"> </w:t>
      </w:r>
      <w:hyperlink w:anchor="page8">
        <w:r>
          <w:rPr>
            <w:rFonts w:ascii="Arial" w:cs="Arial" w:eastAsia="Arial" w:hAnsi="Arial"/>
            <w:sz w:val="18"/>
            <w:szCs w:val="18"/>
            <w:u w:val="single" w:color="auto"/>
            <w:color w:val="0000EE"/>
          </w:rPr>
          <w:t>Consolidated Statements of Cash Flows—Three months ended March 31, 2007 and 2006</w:t>
        </w:r>
      </w:hyperlink>
      <w:r>
        <w:rPr>
          <w:rFonts w:ascii="Arial" w:cs="Arial" w:eastAsia="Arial" w:hAnsi="Arial"/>
          <w:sz w:val="18"/>
          <w:szCs w:val="18"/>
          <w:u w:val="single" w:color="auto"/>
          <w:color w:val="0000EE"/>
        </w:rPr>
        <w:t xml:space="preserve"> </w:t>
      </w:r>
      <w:hyperlink w:anchor="page9">
        <w:r>
          <w:rPr>
            <w:rFonts w:ascii="Arial" w:cs="Arial" w:eastAsia="Arial" w:hAnsi="Arial"/>
            <w:sz w:val="18"/>
            <w:szCs w:val="18"/>
            <w:u w:val="single" w:color="auto"/>
            <w:color w:val="0000EE"/>
          </w:rPr>
          <w:t>Notes to Consolidated Financial Statements—March 31, 2007</w:t>
        </w:r>
      </w:hyperlink>
    </w:p>
    <w:p>
      <w:pPr>
        <w:spacing w:after="0" w:line="4" w:lineRule="exact"/>
        <w:rPr>
          <w:rFonts w:ascii="Arial" w:cs="Arial" w:eastAsia="Arial" w:hAnsi="Arial"/>
          <w:sz w:val="18"/>
          <w:szCs w:val="18"/>
          <w:u w:val="single" w:color="auto"/>
          <w:color w:val="0000EE"/>
        </w:rPr>
      </w:pPr>
    </w:p>
    <w:p>
      <w:pPr>
        <w:ind w:right="2539"/>
        <w:spacing w:after="0" w:line="234" w:lineRule="auto"/>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2. 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44">
        <w:r>
          <w:rPr>
            <w:rFonts w:ascii="Arial" w:cs="Arial" w:eastAsia="Arial" w:hAnsi="Arial"/>
            <w:sz w:val="18"/>
            <w:szCs w:val="18"/>
            <w:u w:val="single" w:color="auto"/>
            <w:color w:val="0000EE"/>
          </w:rPr>
          <w:t>Item 3. Quantitative and Qualitative Disclosures About Market Risk</w:t>
        </w:r>
      </w:hyperlink>
      <w:r>
        <w:rPr>
          <w:rFonts w:ascii="Arial" w:cs="Arial" w:eastAsia="Arial" w:hAnsi="Arial"/>
          <w:sz w:val="18"/>
          <w:szCs w:val="18"/>
          <w:u w:val="single" w:color="auto"/>
          <w:color w:val="0000EE"/>
        </w:rPr>
        <w:t xml:space="preserve"> </w:t>
      </w:r>
      <w:hyperlink w:anchor="page45">
        <w:r>
          <w:rPr>
            <w:rFonts w:ascii="Arial" w:cs="Arial" w:eastAsia="Arial" w:hAnsi="Arial"/>
            <w:sz w:val="18"/>
            <w:szCs w:val="18"/>
            <w:u w:val="single" w:color="auto"/>
            <w:color w:val="0000EE"/>
          </w:rPr>
          <w:t>Item 4. Controls and Procedures</w:t>
        </w:r>
      </w:hyperlink>
    </w:p>
    <w:p>
      <w:pPr>
        <w:spacing w:after="0" w:line="237" w:lineRule="auto"/>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PART II. OTHER INFORMATION</w:t>
        </w:r>
      </w:hyperlink>
    </w:p>
    <w:p>
      <w:pPr>
        <w:spacing w:after="0" w:line="235" w:lineRule="auto"/>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1A. Risk Factors</w:t>
        </w:r>
      </w:hyperlink>
    </w:p>
    <w:p>
      <w:pPr>
        <w:spacing w:after="0" w:line="235" w:lineRule="auto"/>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2. Unregistered Sales of Equity Securities and Use of Proceeds</w:t>
        </w:r>
      </w:hyperlink>
    </w:p>
    <w:p>
      <w:pPr>
        <w:spacing w:after="0" w:line="235" w:lineRule="auto"/>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Item 6. Exhibits</w:t>
        </w:r>
      </w:hyperlink>
    </w:p>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SIGNATURES</w:t>
        </w:r>
      </w:hyperlink>
    </w:p>
    <w:p>
      <w:pPr>
        <w:ind w:left="60"/>
        <w:spacing w:after="0" w:line="234" w:lineRule="auto"/>
        <w:rPr>
          <w:sz w:val="20"/>
          <w:szCs w:val="20"/>
          <w:color w:val="auto"/>
        </w:rPr>
      </w:pPr>
      <w:r>
        <w:rPr>
          <w:rFonts w:ascii="Arial" w:cs="Arial" w:eastAsia="Arial" w:hAnsi="Arial"/>
          <w:sz w:val="18"/>
          <w:szCs w:val="18"/>
          <w:u w:val="single" w:color="auto"/>
          <w:color w:val="0000EE"/>
        </w:rPr>
        <w:t>EX-10.91</w:t>
      </w:r>
    </w:p>
    <w:p>
      <w:pPr>
        <w:ind w:left="60"/>
        <w:spacing w:after="0" w:line="235" w:lineRule="auto"/>
        <w:rPr>
          <w:sz w:val="20"/>
          <w:szCs w:val="20"/>
          <w:color w:val="auto"/>
        </w:rPr>
      </w:pPr>
      <w:r>
        <w:rPr>
          <w:rFonts w:ascii="Arial" w:cs="Arial" w:eastAsia="Arial" w:hAnsi="Arial"/>
          <w:sz w:val="18"/>
          <w:szCs w:val="18"/>
          <w:u w:val="single" w:color="auto"/>
          <w:color w:val="0000EE"/>
        </w:rPr>
        <w:t>EX-31.1</w:t>
      </w:r>
    </w:p>
    <w:p>
      <w:pPr>
        <w:ind w:left="60"/>
        <w:spacing w:after="0" w:line="235" w:lineRule="auto"/>
        <w:rPr>
          <w:sz w:val="20"/>
          <w:szCs w:val="20"/>
          <w:color w:val="auto"/>
        </w:rPr>
      </w:pPr>
      <w:r>
        <w:rPr>
          <w:rFonts w:ascii="Arial" w:cs="Arial" w:eastAsia="Arial" w:hAnsi="Arial"/>
          <w:sz w:val="18"/>
          <w:szCs w:val="18"/>
          <w:u w:val="single" w:color="auto"/>
          <w:color w:val="0000EE"/>
        </w:rPr>
        <w:t>EX-31.2</w:t>
      </w:r>
    </w:p>
    <w:p>
      <w:pPr>
        <w:spacing w:after="0" w:line="1" w:lineRule="exact"/>
        <w:rPr>
          <w:rFonts w:ascii="Arial" w:cs="Arial" w:eastAsia="Arial" w:hAnsi="Arial"/>
          <w:sz w:val="18"/>
          <w:szCs w:val="18"/>
          <w:u w:val="single" w:color="auto"/>
          <w:color w:val="0000EE"/>
        </w:rPr>
      </w:pPr>
    </w:p>
    <w:p>
      <w:pPr>
        <w:ind w:left="60"/>
        <w:spacing w:after="0"/>
        <w:rPr>
          <w:sz w:val="20"/>
          <w:szCs w:val="20"/>
          <w:color w:val="auto"/>
        </w:rPr>
      </w:pPr>
      <w:r>
        <w:rPr>
          <w:rFonts w:ascii="Arial" w:cs="Arial" w:eastAsia="Arial" w:hAnsi="Arial"/>
          <w:sz w:val="18"/>
          <w:szCs w:val="18"/>
          <w:u w:val="single" w:color="auto"/>
          <w:color w:val="0000EE"/>
        </w:rPr>
        <w:t>EX-32</w:t>
      </w:r>
    </w:p>
    <w:p>
      <w:pPr>
        <w:spacing w:after="0" w:line="181" w:lineRule="exact"/>
        <w:rPr>
          <w:rFonts w:ascii="Arial" w:cs="Arial" w:eastAsia="Arial" w:hAnsi="Arial"/>
          <w:sz w:val="18"/>
          <w:szCs w:val="18"/>
          <w:u w:val="single" w:color="auto"/>
          <w:color w:val="0000EE"/>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76"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 I. FINANCIAL INFORMATION</w:t>
      </w:r>
    </w:p>
    <w:p>
      <w:pPr>
        <w:spacing w:after="0"/>
        <w:rPr>
          <w:sz w:val="20"/>
          <w:szCs w:val="20"/>
          <w:color w:val="auto"/>
        </w:rPr>
      </w:pPr>
      <w:r>
        <w:rPr>
          <w:rFonts w:ascii="Arial" w:cs="Arial" w:eastAsia="Arial" w:hAnsi="Arial"/>
          <w:sz w:val="18"/>
          <w:szCs w:val="18"/>
          <w:color w:val="auto"/>
        </w:rPr>
        <w:t>ITEM 1. FINANCIAL STATEMENTS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INDEMNITY COMPANY</w:t>
      </w:r>
    </w:p>
    <w:p>
      <w:pPr>
        <w:jc w:val="center"/>
        <w:spacing w:after="0" w:line="234" w:lineRule="auto"/>
        <w:rPr>
          <w:sz w:val="20"/>
          <w:szCs w:val="20"/>
          <w:color w:val="auto"/>
        </w:rPr>
      </w:pPr>
      <w:r>
        <w:rPr>
          <w:rFonts w:ascii="Arial" w:cs="Arial" w:eastAsia="Arial" w:hAnsi="Arial"/>
          <w:sz w:val="18"/>
          <w:szCs w:val="18"/>
          <w:color w:val="auto"/>
        </w:rPr>
        <w:t>CONSOLIDATED STATEMENTS OF FINANCIAL POSITION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center"/>
              <w:ind w:right="412"/>
              <w:spacing w:after="0"/>
              <w:rPr>
                <w:sz w:val="20"/>
                <w:szCs w:val="20"/>
                <w:color w:val="auto"/>
              </w:rPr>
            </w:pPr>
            <w:r>
              <w:rPr>
                <w:rFonts w:ascii="Arial" w:cs="Arial" w:eastAsia="Arial" w:hAnsi="Arial"/>
                <w:sz w:val="14"/>
                <w:szCs w:val="14"/>
                <w:color w:val="auto"/>
              </w:rPr>
              <w:t>March 31,</w:t>
            </w:r>
          </w:p>
        </w:tc>
        <w:tc>
          <w:tcPr>
            <w:tcW w:w="1720" w:type="dxa"/>
            <w:vAlign w:val="bottom"/>
            <w:gridSpan w:val="2"/>
          </w:tcPr>
          <w:p>
            <w:pPr>
              <w:jc w:val="right"/>
              <w:ind w:right="171"/>
              <w:spacing w:after="0"/>
              <w:rPr>
                <w:sz w:val="20"/>
                <w:szCs w:val="20"/>
                <w:color w:val="auto"/>
              </w:rPr>
            </w:pPr>
            <w:r>
              <w:rPr>
                <w:rFonts w:ascii="Arial" w:cs="Arial" w:eastAsia="Arial" w:hAnsi="Arial"/>
                <w:sz w:val="14"/>
                <w:szCs w:val="14"/>
                <w:color w:val="auto"/>
              </w:rPr>
              <w:t>December 31,</w:t>
            </w:r>
          </w:p>
        </w:tc>
      </w:tr>
      <w:tr>
        <w:trPr>
          <w:trHeight w:val="157"/>
        </w:trPr>
        <w:tc>
          <w:tcPr>
            <w:tcW w:w="80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412"/>
              <w:spacing w:after="0" w:line="157" w:lineRule="exact"/>
              <w:rPr>
                <w:sz w:val="20"/>
                <w:szCs w:val="20"/>
                <w:color w:val="auto"/>
              </w:rPr>
            </w:pPr>
            <w:r>
              <w:rPr>
                <w:rFonts w:ascii="Arial" w:cs="Arial" w:eastAsia="Arial" w:hAnsi="Arial"/>
                <w:sz w:val="14"/>
                <w:szCs w:val="14"/>
                <w:color w:val="auto"/>
              </w:rPr>
              <w:t>2007</w:t>
            </w:r>
          </w:p>
        </w:tc>
        <w:tc>
          <w:tcPr>
            <w:tcW w:w="6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51"/>
              <w:spacing w:after="0" w:line="157" w:lineRule="exact"/>
              <w:rPr>
                <w:sz w:val="20"/>
                <w:szCs w:val="20"/>
                <w:color w:val="auto"/>
              </w:rPr>
            </w:pPr>
            <w:r>
              <w:rPr>
                <w:rFonts w:ascii="Arial" w:cs="Arial" w:eastAsia="Arial" w:hAnsi="Arial"/>
                <w:sz w:val="14"/>
                <w:szCs w:val="14"/>
                <w:color w:val="auto"/>
              </w:rPr>
              <w:t>2006</w:t>
            </w:r>
          </w:p>
        </w:tc>
      </w:tr>
      <w:tr>
        <w:trPr>
          <w:trHeight w:val="156"/>
        </w:trPr>
        <w:tc>
          <w:tcPr>
            <w:tcW w:w="8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jc w:val="center"/>
              <w:ind w:right="432"/>
              <w:spacing w:after="0" w:line="155" w:lineRule="exact"/>
              <w:rPr>
                <w:sz w:val="20"/>
                <w:szCs w:val="20"/>
                <w:color w:val="auto"/>
              </w:rPr>
            </w:pPr>
            <w:r>
              <w:rPr>
                <w:rFonts w:ascii="Arial" w:cs="Arial" w:eastAsia="Arial" w:hAnsi="Arial"/>
                <w:sz w:val="14"/>
                <w:szCs w:val="14"/>
                <w:color w:val="auto"/>
              </w:rPr>
              <w:t>(Unaudited)</w:t>
            </w: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3"/>
        </w:trPr>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405"/>
        </w:trPr>
        <w:tc>
          <w:tcPr>
            <w:tcW w:w="8080" w:type="dxa"/>
            <w:vAlign w:val="bottom"/>
          </w:tcPr>
          <w:p>
            <w:pPr>
              <w:spacing w:after="0"/>
              <w:rPr>
                <w:sz w:val="20"/>
                <w:szCs w:val="20"/>
                <w:color w:val="auto"/>
              </w:rPr>
            </w:pPr>
            <w:r>
              <w:rPr>
                <w:rFonts w:ascii="Arial" w:cs="Arial" w:eastAsia="Arial" w:hAnsi="Arial"/>
                <w:sz w:val="18"/>
                <w:szCs w:val="18"/>
                <w:b w:val="1"/>
                <w:bCs w:val="1"/>
                <w:color w:val="auto"/>
              </w:rPr>
              <w:t>INVESTMENTS</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80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Fixed maturities at fair value (amortized cost of $828,079 and $830,061, respectively)</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836,323</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836,738</w:t>
            </w:r>
          </w:p>
        </w:tc>
      </w:tr>
      <w:tr>
        <w:trPr>
          <w:trHeight w:val="203"/>
        </w:trPr>
        <w:tc>
          <w:tcPr>
            <w:tcW w:w="8080" w:type="dxa"/>
            <w:vAlign w:val="bottom"/>
          </w:tcPr>
          <w:p>
            <w:pPr>
              <w:ind w:left="220"/>
              <w:spacing w:after="0" w:line="202" w:lineRule="exact"/>
              <w:rPr>
                <w:sz w:val="20"/>
                <w:szCs w:val="20"/>
                <w:color w:val="auto"/>
              </w:rPr>
            </w:pPr>
            <w:r>
              <w:rPr>
                <w:rFonts w:ascii="Arial" w:cs="Arial" w:eastAsia="Arial" w:hAnsi="Arial"/>
                <w:sz w:val="18"/>
                <w:szCs w:val="18"/>
                <w:color w:val="auto"/>
              </w:rPr>
              <w:t>Equity securities at fair value (cost of $ 228,425 and $223,210, respectively)</w:t>
            </w:r>
          </w:p>
        </w:tc>
        <w:tc>
          <w:tcPr>
            <w:tcW w:w="320" w:type="dxa"/>
            <w:vAlign w:val="bottom"/>
          </w:tcPr>
          <w:p>
            <w:pPr>
              <w:spacing w:after="0"/>
              <w:rPr>
                <w:sz w:val="17"/>
                <w:szCs w:val="17"/>
                <w:color w:val="auto"/>
              </w:rPr>
            </w:pPr>
          </w:p>
        </w:tc>
        <w:tc>
          <w:tcPr>
            <w:tcW w:w="1300" w:type="dxa"/>
            <w:vAlign w:val="bottom"/>
          </w:tcPr>
          <w:p>
            <w:pPr>
              <w:jc w:val="right"/>
              <w:ind w:right="412"/>
              <w:spacing w:after="0" w:line="202" w:lineRule="exact"/>
              <w:rPr>
                <w:sz w:val="20"/>
                <w:szCs w:val="20"/>
                <w:color w:val="auto"/>
              </w:rPr>
            </w:pPr>
            <w:r>
              <w:rPr>
                <w:rFonts w:ascii="Arial" w:cs="Arial" w:eastAsia="Arial" w:hAnsi="Arial"/>
                <w:sz w:val="18"/>
                <w:szCs w:val="18"/>
                <w:color w:val="auto"/>
              </w:rPr>
              <w:t>254,970</w:t>
            </w:r>
          </w:p>
        </w:tc>
        <w:tc>
          <w:tcPr>
            <w:tcW w:w="620" w:type="dxa"/>
            <w:vAlign w:val="bottom"/>
          </w:tcPr>
          <w:p>
            <w:pPr>
              <w:spacing w:after="0"/>
              <w:rPr>
                <w:sz w:val="17"/>
                <w:szCs w:val="17"/>
                <w:color w:val="auto"/>
              </w:rPr>
            </w:pPr>
          </w:p>
        </w:tc>
        <w:tc>
          <w:tcPr>
            <w:tcW w:w="11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250,647</w:t>
            </w:r>
          </w:p>
        </w:tc>
      </w:tr>
      <w:tr>
        <w:trPr>
          <w:trHeight w:val="203"/>
        </w:trPr>
        <w:tc>
          <w:tcPr>
            <w:tcW w:w="80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Limited partnerships (cost of $210,916 and $200,166, respectively)</w:t>
            </w: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249,401</w:t>
            </w:r>
          </w:p>
        </w:tc>
        <w:tc>
          <w:tcPr>
            <w:tcW w:w="6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230,946</w:t>
            </w:r>
          </w:p>
        </w:tc>
      </w:tr>
      <w:tr>
        <w:trPr>
          <w:trHeight w:val="210"/>
        </w:trPr>
        <w:tc>
          <w:tcPr>
            <w:tcW w:w="8080" w:type="dxa"/>
            <w:vAlign w:val="bottom"/>
          </w:tcPr>
          <w:p>
            <w:pPr>
              <w:ind w:left="220"/>
              <w:spacing w:after="0" w:line="202" w:lineRule="exact"/>
              <w:rPr>
                <w:sz w:val="20"/>
                <w:szCs w:val="20"/>
                <w:color w:val="auto"/>
              </w:rPr>
            </w:pPr>
            <w:r>
              <w:rPr>
                <w:rFonts w:ascii="Arial" w:cs="Arial" w:eastAsia="Arial" w:hAnsi="Arial"/>
                <w:sz w:val="18"/>
                <w:szCs w:val="18"/>
                <w:color w:val="auto"/>
              </w:rPr>
              <w:t>Real estate mortgage loans</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2"/>
              <w:spacing w:after="0" w:line="202" w:lineRule="exact"/>
              <w:rPr>
                <w:sz w:val="20"/>
                <w:szCs w:val="20"/>
                <w:color w:val="auto"/>
              </w:rPr>
            </w:pPr>
            <w:r>
              <w:rPr>
                <w:rFonts w:ascii="Arial" w:cs="Arial" w:eastAsia="Arial" w:hAnsi="Arial"/>
                <w:sz w:val="18"/>
                <w:szCs w:val="18"/>
                <w:color w:val="auto"/>
              </w:rPr>
              <w:t>4,685</w:t>
            </w: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1"/>
              <w:spacing w:after="0" w:line="202" w:lineRule="exact"/>
              <w:rPr>
                <w:sz w:val="20"/>
                <w:szCs w:val="20"/>
                <w:color w:val="auto"/>
              </w:rPr>
            </w:pPr>
            <w:r>
              <w:rPr>
                <w:rFonts w:ascii="Arial" w:cs="Arial" w:eastAsia="Arial" w:hAnsi="Arial"/>
                <w:sz w:val="18"/>
                <w:szCs w:val="18"/>
                <w:color w:val="auto"/>
              </w:rPr>
              <w:t>4,726</w:t>
            </w:r>
          </w:p>
        </w:tc>
      </w:tr>
      <w:tr>
        <w:trPr>
          <w:trHeight w:val="203"/>
        </w:trPr>
        <w:tc>
          <w:tcPr>
            <w:tcW w:w="80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b w:val="1"/>
                <w:bCs w:val="1"/>
                <w:color w:val="auto"/>
              </w:rPr>
              <w:t>Total investments</w:t>
            </w: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b w:val="1"/>
                <w:bCs w:val="1"/>
                <w:color w:val="auto"/>
                <w:w w:val="97"/>
              </w:rPr>
              <w:t>1,345,379</w:t>
            </w:r>
          </w:p>
        </w:tc>
        <w:tc>
          <w:tcPr>
            <w:tcW w:w="6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b w:val="1"/>
                <w:bCs w:val="1"/>
                <w:color w:val="auto"/>
                <w:w w:val="97"/>
              </w:rPr>
              <w:t>1,323,057</w:t>
            </w:r>
          </w:p>
        </w:tc>
      </w:tr>
      <w:tr>
        <w:trPr>
          <w:trHeight w:val="405"/>
        </w:trPr>
        <w:tc>
          <w:tcPr>
            <w:tcW w:w="80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24"/>
                <w:szCs w:val="24"/>
                <w:color w:val="auto"/>
              </w:rPr>
            </w:pPr>
          </w:p>
        </w:tc>
        <w:tc>
          <w:tcPr>
            <w:tcW w:w="1300" w:type="dxa"/>
            <w:vAlign w:val="bottom"/>
          </w:tcPr>
          <w:p>
            <w:pPr>
              <w:jc w:val="right"/>
              <w:ind w:right="412"/>
              <w:spacing w:after="0"/>
              <w:rPr>
                <w:sz w:val="20"/>
                <w:szCs w:val="20"/>
                <w:color w:val="auto"/>
              </w:rPr>
            </w:pPr>
            <w:r>
              <w:rPr>
                <w:rFonts w:ascii="Arial" w:cs="Arial" w:eastAsia="Arial" w:hAnsi="Arial"/>
                <w:sz w:val="18"/>
                <w:szCs w:val="18"/>
                <w:color w:val="auto"/>
              </w:rPr>
              <w:t>10,578</w:t>
            </w:r>
          </w:p>
        </w:tc>
        <w:tc>
          <w:tcPr>
            <w:tcW w:w="620" w:type="dxa"/>
            <w:vAlign w:val="bottom"/>
          </w:tcPr>
          <w:p>
            <w:pPr>
              <w:spacing w:after="0"/>
              <w:rPr>
                <w:sz w:val="24"/>
                <w:szCs w:val="24"/>
                <w:color w:val="auto"/>
              </w:rPr>
            </w:pPr>
          </w:p>
        </w:tc>
        <w:tc>
          <w:tcPr>
            <w:tcW w:w="1100" w:type="dxa"/>
            <w:vAlign w:val="bottom"/>
          </w:tcPr>
          <w:p>
            <w:pPr>
              <w:jc w:val="right"/>
              <w:ind w:right="211"/>
              <w:spacing w:after="0"/>
              <w:rPr>
                <w:sz w:val="20"/>
                <w:szCs w:val="20"/>
                <w:color w:val="auto"/>
              </w:rPr>
            </w:pPr>
            <w:r>
              <w:rPr>
                <w:rFonts w:ascii="Arial" w:cs="Arial" w:eastAsia="Arial" w:hAnsi="Arial"/>
                <w:sz w:val="18"/>
                <w:szCs w:val="18"/>
                <w:color w:val="auto"/>
              </w:rPr>
              <w:t>60,241</w:t>
            </w:r>
          </w:p>
        </w:tc>
      </w:tr>
      <w:tr>
        <w:trPr>
          <w:trHeight w:val="203"/>
        </w:trPr>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investment income</w:t>
            </w: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12,000</w:t>
            </w:r>
          </w:p>
        </w:tc>
        <w:tc>
          <w:tcPr>
            <w:tcW w:w="6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11,374</w:t>
            </w:r>
          </w:p>
        </w:tc>
      </w:tr>
      <w:tr>
        <w:trPr>
          <w:trHeight w:val="203"/>
        </w:trPr>
        <w:tc>
          <w:tcPr>
            <w:tcW w:w="8080" w:type="dxa"/>
            <w:vAlign w:val="bottom"/>
          </w:tcPr>
          <w:p>
            <w:pPr>
              <w:spacing w:after="0" w:line="202" w:lineRule="exact"/>
              <w:rPr>
                <w:sz w:val="20"/>
                <w:szCs w:val="20"/>
                <w:color w:val="auto"/>
              </w:rPr>
            </w:pPr>
            <w:r>
              <w:rPr>
                <w:rFonts w:ascii="Arial" w:cs="Arial" w:eastAsia="Arial" w:hAnsi="Arial"/>
                <w:sz w:val="18"/>
                <w:szCs w:val="18"/>
                <w:color w:val="auto"/>
              </w:rPr>
              <w:t>Premiums receivable from policyholders</w:t>
            </w:r>
          </w:p>
        </w:tc>
        <w:tc>
          <w:tcPr>
            <w:tcW w:w="320" w:type="dxa"/>
            <w:vAlign w:val="bottom"/>
          </w:tcPr>
          <w:p>
            <w:pPr>
              <w:spacing w:after="0"/>
              <w:rPr>
                <w:sz w:val="17"/>
                <w:szCs w:val="17"/>
                <w:color w:val="auto"/>
              </w:rPr>
            </w:pPr>
          </w:p>
        </w:tc>
        <w:tc>
          <w:tcPr>
            <w:tcW w:w="1300" w:type="dxa"/>
            <w:vAlign w:val="bottom"/>
          </w:tcPr>
          <w:p>
            <w:pPr>
              <w:jc w:val="right"/>
              <w:ind w:right="412"/>
              <w:spacing w:after="0" w:line="202" w:lineRule="exact"/>
              <w:rPr>
                <w:sz w:val="20"/>
                <w:szCs w:val="20"/>
                <w:color w:val="auto"/>
              </w:rPr>
            </w:pPr>
            <w:r>
              <w:rPr>
                <w:rFonts w:ascii="Arial" w:cs="Arial" w:eastAsia="Arial" w:hAnsi="Arial"/>
                <w:sz w:val="18"/>
                <w:szCs w:val="18"/>
                <w:color w:val="auto"/>
              </w:rPr>
              <w:t>242,280</w:t>
            </w:r>
          </w:p>
        </w:tc>
        <w:tc>
          <w:tcPr>
            <w:tcW w:w="620" w:type="dxa"/>
            <w:vAlign w:val="bottom"/>
          </w:tcPr>
          <w:p>
            <w:pPr>
              <w:spacing w:after="0"/>
              <w:rPr>
                <w:sz w:val="17"/>
                <w:szCs w:val="17"/>
                <w:color w:val="auto"/>
              </w:rPr>
            </w:pPr>
          </w:p>
        </w:tc>
        <w:tc>
          <w:tcPr>
            <w:tcW w:w="11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247,187</w:t>
            </w:r>
          </w:p>
        </w:tc>
      </w:tr>
      <w:tr>
        <w:trPr>
          <w:trHeight w:val="203"/>
        </w:trPr>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income taxes recoverable</w:t>
            </w: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9,092</w:t>
            </w:r>
          </w:p>
        </w:tc>
      </w:tr>
      <w:tr>
        <w:trPr>
          <w:trHeight w:val="203"/>
        </w:trPr>
        <w:tc>
          <w:tcPr>
            <w:tcW w:w="8080" w:type="dxa"/>
            <w:vAlign w:val="bottom"/>
          </w:tcPr>
          <w:p>
            <w:pPr>
              <w:spacing w:after="0" w:line="202" w:lineRule="exact"/>
              <w:rPr>
                <w:sz w:val="20"/>
                <w:szCs w:val="20"/>
                <w:color w:val="auto"/>
              </w:rPr>
            </w:pPr>
            <w:r>
              <w:rPr>
                <w:rFonts w:ascii="Arial" w:cs="Arial" w:eastAsia="Arial" w:hAnsi="Arial"/>
                <w:sz w:val="18"/>
                <w:szCs w:val="18"/>
                <w:color w:val="auto"/>
              </w:rPr>
              <w:t>Reinsurance recoverable from Erie Insurance Exchange on unpaid losses</w:t>
            </w:r>
          </w:p>
        </w:tc>
        <w:tc>
          <w:tcPr>
            <w:tcW w:w="320" w:type="dxa"/>
            <w:vAlign w:val="bottom"/>
          </w:tcPr>
          <w:p>
            <w:pPr>
              <w:spacing w:after="0"/>
              <w:rPr>
                <w:sz w:val="17"/>
                <w:szCs w:val="17"/>
                <w:color w:val="auto"/>
              </w:rPr>
            </w:pPr>
          </w:p>
        </w:tc>
        <w:tc>
          <w:tcPr>
            <w:tcW w:w="1300" w:type="dxa"/>
            <w:vAlign w:val="bottom"/>
          </w:tcPr>
          <w:p>
            <w:pPr>
              <w:jc w:val="right"/>
              <w:ind w:right="412"/>
              <w:spacing w:after="0" w:line="202" w:lineRule="exact"/>
              <w:rPr>
                <w:sz w:val="20"/>
                <w:szCs w:val="20"/>
                <w:color w:val="auto"/>
              </w:rPr>
            </w:pPr>
            <w:r>
              <w:rPr>
                <w:rFonts w:ascii="Arial" w:cs="Arial" w:eastAsia="Arial" w:hAnsi="Arial"/>
                <w:sz w:val="18"/>
                <w:szCs w:val="18"/>
                <w:color w:val="auto"/>
              </w:rPr>
              <w:t>850,744</w:t>
            </w:r>
          </w:p>
        </w:tc>
        <w:tc>
          <w:tcPr>
            <w:tcW w:w="620" w:type="dxa"/>
            <w:vAlign w:val="bottom"/>
          </w:tcPr>
          <w:p>
            <w:pPr>
              <w:spacing w:after="0"/>
              <w:rPr>
                <w:sz w:val="17"/>
                <w:szCs w:val="17"/>
                <w:color w:val="auto"/>
              </w:rPr>
            </w:pPr>
          </w:p>
        </w:tc>
        <w:tc>
          <w:tcPr>
            <w:tcW w:w="11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872,388</w:t>
            </w:r>
          </w:p>
        </w:tc>
      </w:tr>
      <w:tr>
        <w:trPr>
          <w:trHeight w:val="203"/>
        </w:trPr>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Ceded unearned premiums to Erie Insurance Exchange</w:t>
            </w: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114,452</w:t>
            </w:r>
          </w:p>
        </w:tc>
        <w:tc>
          <w:tcPr>
            <w:tcW w:w="6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114,148</w:t>
            </w:r>
          </w:p>
        </w:tc>
      </w:tr>
      <w:tr>
        <w:trPr>
          <w:trHeight w:val="203"/>
        </w:trPr>
        <w:tc>
          <w:tcPr>
            <w:tcW w:w="8080" w:type="dxa"/>
            <w:vAlign w:val="bottom"/>
          </w:tcPr>
          <w:p>
            <w:pPr>
              <w:spacing w:after="0" w:line="202" w:lineRule="exact"/>
              <w:rPr>
                <w:sz w:val="20"/>
                <w:szCs w:val="20"/>
                <w:color w:val="auto"/>
              </w:rPr>
            </w:pPr>
            <w:r>
              <w:rPr>
                <w:rFonts w:ascii="Arial" w:cs="Arial" w:eastAsia="Arial" w:hAnsi="Arial"/>
                <w:sz w:val="18"/>
                <w:szCs w:val="18"/>
                <w:color w:val="auto"/>
              </w:rPr>
              <w:t>Note receivable from Erie Family Life Insurance</w:t>
            </w:r>
          </w:p>
        </w:tc>
        <w:tc>
          <w:tcPr>
            <w:tcW w:w="320" w:type="dxa"/>
            <w:vAlign w:val="bottom"/>
          </w:tcPr>
          <w:p>
            <w:pPr>
              <w:spacing w:after="0"/>
              <w:rPr>
                <w:sz w:val="17"/>
                <w:szCs w:val="17"/>
                <w:color w:val="auto"/>
              </w:rPr>
            </w:pPr>
          </w:p>
        </w:tc>
        <w:tc>
          <w:tcPr>
            <w:tcW w:w="1300" w:type="dxa"/>
            <w:vAlign w:val="bottom"/>
          </w:tcPr>
          <w:p>
            <w:pPr>
              <w:jc w:val="right"/>
              <w:ind w:right="412"/>
              <w:spacing w:after="0" w:line="202" w:lineRule="exact"/>
              <w:rPr>
                <w:sz w:val="20"/>
                <w:szCs w:val="20"/>
                <w:color w:val="auto"/>
              </w:rPr>
            </w:pPr>
            <w:r>
              <w:rPr>
                <w:rFonts w:ascii="Arial" w:cs="Arial" w:eastAsia="Arial" w:hAnsi="Arial"/>
                <w:sz w:val="18"/>
                <w:szCs w:val="18"/>
                <w:color w:val="auto"/>
              </w:rPr>
              <w:t>25,000</w:t>
            </w:r>
          </w:p>
        </w:tc>
        <w:tc>
          <w:tcPr>
            <w:tcW w:w="620" w:type="dxa"/>
            <w:vAlign w:val="bottom"/>
          </w:tcPr>
          <w:p>
            <w:pPr>
              <w:spacing w:after="0"/>
              <w:rPr>
                <w:sz w:val="17"/>
                <w:szCs w:val="17"/>
                <w:color w:val="auto"/>
              </w:rPr>
            </w:pPr>
          </w:p>
        </w:tc>
        <w:tc>
          <w:tcPr>
            <w:tcW w:w="11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25,000</w:t>
            </w:r>
          </w:p>
        </w:tc>
      </w:tr>
      <w:tr>
        <w:trPr>
          <w:trHeight w:val="203"/>
        </w:trPr>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receivables due from Erie Insurance Exchange and affiliates</w:t>
            </w: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193,622</w:t>
            </w:r>
          </w:p>
        </w:tc>
        <w:tc>
          <w:tcPr>
            <w:tcW w:w="6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208,522</w:t>
            </w:r>
          </w:p>
        </w:tc>
      </w:tr>
      <w:tr>
        <w:trPr>
          <w:trHeight w:val="203"/>
        </w:trPr>
        <w:tc>
          <w:tcPr>
            <w:tcW w:w="8080" w:type="dxa"/>
            <w:vAlign w:val="bottom"/>
          </w:tcPr>
          <w:p>
            <w:pPr>
              <w:spacing w:after="0" w:line="202" w:lineRule="exact"/>
              <w:rPr>
                <w:sz w:val="20"/>
                <w:szCs w:val="20"/>
                <w:color w:val="auto"/>
              </w:rPr>
            </w:pPr>
            <w:r>
              <w:rPr>
                <w:rFonts w:ascii="Arial" w:cs="Arial" w:eastAsia="Arial" w:hAnsi="Arial"/>
                <w:sz w:val="18"/>
                <w:szCs w:val="18"/>
                <w:color w:val="auto"/>
              </w:rPr>
              <w:t>Reinsurance recoverable from non-affiliates</w:t>
            </w:r>
          </w:p>
        </w:tc>
        <w:tc>
          <w:tcPr>
            <w:tcW w:w="320" w:type="dxa"/>
            <w:vAlign w:val="bottom"/>
          </w:tcPr>
          <w:p>
            <w:pPr>
              <w:spacing w:after="0"/>
              <w:rPr>
                <w:sz w:val="17"/>
                <w:szCs w:val="17"/>
                <w:color w:val="auto"/>
              </w:rPr>
            </w:pPr>
          </w:p>
        </w:tc>
        <w:tc>
          <w:tcPr>
            <w:tcW w:w="1300" w:type="dxa"/>
            <w:vAlign w:val="bottom"/>
          </w:tcPr>
          <w:p>
            <w:pPr>
              <w:jc w:val="right"/>
              <w:ind w:right="412"/>
              <w:spacing w:after="0" w:line="202" w:lineRule="exact"/>
              <w:rPr>
                <w:sz w:val="20"/>
                <w:szCs w:val="20"/>
                <w:color w:val="auto"/>
              </w:rPr>
            </w:pPr>
            <w:r>
              <w:rPr>
                <w:rFonts w:ascii="Arial" w:cs="Arial" w:eastAsia="Arial" w:hAnsi="Arial"/>
                <w:sz w:val="18"/>
                <w:szCs w:val="18"/>
                <w:color w:val="auto"/>
              </w:rPr>
              <w:t>2,104</w:t>
            </w:r>
          </w:p>
        </w:tc>
        <w:tc>
          <w:tcPr>
            <w:tcW w:w="620" w:type="dxa"/>
            <w:vAlign w:val="bottom"/>
          </w:tcPr>
          <w:p>
            <w:pPr>
              <w:spacing w:after="0"/>
              <w:rPr>
                <w:sz w:val="17"/>
                <w:szCs w:val="17"/>
                <w:color w:val="auto"/>
              </w:rPr>
            </w:pPr>
          </w:p>
        </w:tc>
        <w:tc>
          <w:tcPr>
            <w:tcW w:w="11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2,097</w:t>
            </w:r>
          </w:p>
        </w:tc>
      </w:tr>
      <w:tr>
        <w:trPr>
          <w:trHeight w:val="203"/>
        </w:trPr>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policy acquisition costs</w:t>
            </w: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15,956</w:t>
            </w:r>
          </w:p>
        </w:tc>
        <w:tc>
          <w:tcPr>
            <w:tcW w:w="6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16,197</w:t>
            </w:r>
          </w:p>
        </w:tc>
      </w:tr>
      <w:tr>
        <w:trPr>
          <w:trHeight w:val="203"/>
        </w:trPr>
        <w:tc>
          <w:tcPr>
            <w:tcW w:w="8080" w:type="dxa"/>
            <w:vAlign w:val="bottom"/>
          </w:tcPr>
          <w:p>
            <w:pPr>
              <w:spacing w:after="0" w:line="202" w:lineRule="exact"/>
              <w:rPr>
                <w:sz w:val="20"/>
                <w:szCs w:val="20"/>
                <w:color w:val="auto"/>
              </w:rPr>
            </w:pPr>
            <w:r>
              <w:rPr>
                <w:rFonts w:ascii="Arial" w:cs="Arial" w:eastAsia="Arial" w:hAnsi="Arial"/>
                <w:sz w:val="18"/>
                <w:szCs w:val="18"/>
                <w:color w:val="auto"/>
              </w:rPr>
              <w:t>Equity in Erie Family Life Insurance</w:t>
            </w:r>
          </w:p>
        </w:tc>
        <w:tc>
          <w:tcPr>
            <w:tcW w:w="320" w:type="dxa"/>
            <w:vAlign w:val="bottom"/>
          </w:tcPr>
          <w:p>
            <w:pPr>
              <w:spacing w:after="0"/>
              <w:rPr>
                <w:sz w:val="17"/>
                <w:szCs w:val="17"/>
                <w:color w:val="auto"/>
              </w:rPr>
            </w:pPr>
          </w:p>
        </w:tc>
        <w:tc>
          <w:tcPr>
            <w:tcW w:w="1300" w:type="dxa"/>
            <w:vAlign w:val="bottom"/>
          </w:tcPr>
          <w:p>
            <w:pPr>
              <w:jc w:val="right"/>
              <w:ind w:right="412"/>
              <w:spacing w:after="0" w:line="202" w:lineRule="exact"/>
              <w:rPr>
                <w:sz w:val="20"/>
                <w:szCs w:val="20"/>
                <w:color w:val="auto"/>
              </w:rPr>
            </w:pPr>
            <w:r>
              <w:rPr>
                <w:rFonts w:ascii="Arial" w:cs="Arial" w:eastAsia="Arial" w:hAnsi="Arial"/>
                <w:sz w:val="18"/>
                <w:szCs w:val="18"/>
                <w:color w:val="auto"/>
              </w:rPr>
              <w:t>59,033</w:t>
            </w:r>
          </w:p>
        </w:tc>
        <w:tc>
          <w:tcPr>
            <w:tcW w:w="620" w:type="dxa"/>
            <w:vAlign w:val="bottom"/>
          </w:tcPr>
          <w:p>
            <w:pPr>
              <w:spacing w:after="0"/>
              <w:rPr>
                <w:sz w:val="17"/>
                <w:szCs w:val="17"/>
                <w:color w:val="auto"/>
              </w:rPr>
            </w:pPr>
          </w:p>
        </w:tc>
        <w:tc>
          <w:tcPr>
            <w:tcW w:w="11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57,162</w:t>
            </w:r>
          </w:p>
        </w:tc>
      </w:tr>
      <w:tr>
        <w:trPr>
          <w:trHeight w:val="203"/>
        </w:trPr>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Securities lending collateral</w:t>
            </w: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30,467</w:t>
            </w:r>
          </w:p>
        </w:tc>
        <w:tc>
          <w:tcPr>
            <w:tcW w:w="6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22,784</w:t>
            </w:r>
          </w:p>
        </w:tc>
      </w:tr>
      <w:tr>
        <w:trPr>
          <w:trHeight w:val="203"/>
        </w:trPr>
        <w:tc>
          <w:tcPr>
            <w:tcW w:w="8080" w:type="dxa"/>
            <w:vAlign w:val="bottom"/>
          </w:tcPr>
          <w:p>
            <w:pPr>
              <w:spacing w:after="0" w:line="202" w:lineRule="exact"/>
              <w:rPr>
                <w:sz w:val="20"/>
                <w:szCs w:val="20"/>
                <w:color w:val="auto"/>
              </w:rPr>
            </w:pPr>
            <w:r>
              <w:rPr>
                <w:rFonts w:ascii="Arial" w:cs="Arial" w:eastAsia="Arial" w:hAnsi="Arial"/>
                <w:sz w:val="18"/>
                <w:szCs w:val="18"/>
                <w:color w:val="auto"/>
              </w:rPr>
              <w:t>Pension plan asset</w:t>
            </w:r>
          </w:p>
        </w:tc>
        <w:tc>
          <w:tcPr>
            <w:tcW w:w="320" w:type="dxa"/>
            <w:vAlign w:val="bottom"/>
          </w:tcPr>
          <w:p>
            <w:pPr>
              <w:spacing w:after="0"/>
              <w:rPr>
                <w:sz w:val="17"/>
                <w:szCs w:val="17"/>
                <w:color w:val="auto"/>
              </w:rPr>
            </w:pPr>
          </w:p>
        </w:tc>
        <w:tc>
          <w:tcPr>
            <w:tcW w:w="1300" w:type="dxa"/>
            <w:vAlign w:val="bottom"/>
          </w:tcPr>
          <w:p>
            <w:pPr>
              <w:jc w:val="right"/>
              <w:ind w:right="412"/>
              <w:spacing w:after="0" w:line="202" w:lineRule="exact"/>
              <w:rPr>
                <w:sz w:val="20"/>
                <w:szCs w:val="20"/>
                <w:color w:val="auto"/>
              </w:rPr>
            </w:pPr>
            <w:r>
              <w:rPr>
                <w:rFonts w:ascii="Arial" w:cs="Arial" w:eastAsia="Arial" w:hAnsi="Arial"/>
                <w:sz w:val="18"/>
                <w:szCs w:val="18"/>
                <w:color w:val="auto"/>
              </w:rPr>
              <w:t>4,783</w:t>
            </w:r>
          </w:p>
        </w:tc>
        <w:tc>
          <w:tcPr>
            <w:tcW w:w="620" w:type="dxa"/>
            <w:vAlign w:val="bottom"/>
          </w:tcPr>
          <w:p>
            <w:pPr>
              <w:spacing w:after="0"/>
              <w:rPr>
                <w:sz w:val="17"/>
                <w:szCs w:val="17"/>
                <w:color w:val="auto"/>
              </w:rPr>
            </w:pPr>
          </w:p>
        </w:tc>
        <w:tc>
          <w:tcPr>
            <w:tcW w:w="11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7,108</w:t>
            </w:r>
          </w:p>
        </w:tc>
      </w:tr>
      <w:tr>
        <w:trPr>
          <w:trHeight w:val="203"/>
        </w:trPr>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73,947</w:t>
            </w:r>
          </w:p>
        </w:tc>
        <w:tc>
          <w:tcPr>
            <w:tcW w:w="6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63,004</w:t>
            </w:r>
          </w:p>
        </w:tc>
      </w:tr>
      <w:tr>
        <w:trPr>
          <w:trHeight w:val="210"/>
        </w:trPr>
        <w:tc>
          <w:tcPr>
            <w:tcW w:w="8080" w:type="dxa"/>
            <w:vAlign w:val="bottom"/>
          </w:tcPr>
          <w:p>
            <w:pPr>
              <w:ind w:left="42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w w:val="97"/>
              </w:rPr>
              <w:t>2,980,345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w w:val="97"/>
              </w:rPr>
              <w:t>3,039,361</w:t>
            </w:r>
          </w:p>
        </w:tc>
      </w:tr>
      <w:tr>
        <w:trPr>
          <w:trHeight w:val="20"/>
        </w:trPr>
        <w:tc>
          <w:tcPr>
            <w:tcW w:w="8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INDEMNITY COMPANY</w:t>
      </w:r>
    </w:p>
    <w:p>
      <w:pPr>
        <w:jc w:val="center"/>
        <w:spacing w:after="0" w:line="234" w:lineRule="auto"/>
        <w:rPr>
          <w:sz w:val="20"/>
          <w:szCs w:val="20"/>
          <w:color w:val="auto"/>
        </w:rPr>
      </w:pPr>
      <w:r>
        <w:rPr>
          <w:rFonts w:ascii="Arial" w:cs="Arial" w:eastAsia="Arial" w:hAnsi="Arial"/>
          <w:sz w:val="18"/>
          <w:szCs w:val="18"/>
          <w:color w:val="auto"/>
        </w:rPr>
        <w:t>CONSOLIDATED STATEMENTS OF FINANCIAL POSITION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640" w:type="dxa"/>
            <w:vAlign w:val="bottom"/>
          </w:tcPr>
          <w:p>
            <w:pPr>
              <w:jc w:val="center"/>
              <w:ind w:right="152"/>
              <w:spacing w:after="0"/>
              <w:rPr>
                <w:sz w:val="20"/>
                <w:szCs w:val="20"/>
                <w:color w:val="auto"/>
              </w:rPr>
            </w:pPr>
            <w:r>
              <w:rPr>
                <w:rFonts w:ascii="Arial" w:cs="Arial" w:eastAsia="Arial" w:hAnsi="Arial"/>
                <w:sz w:val="14"/>
                <w:szCs w:val="14"/>
                <w:color w:val="auto"/>
              </w:rPr>
              <w:t>March 31,</w:t>
            </w:r>
          </w:p>
        </w:tc>
        <w:tc>
          <w:tcPr>
            <w:tcW w:w="1680" w:type="dxa"/>
            <w:vAlign w:val="bottom"/>
          </w:tcPr>
          <w:p>
            <w:pPr>
              <w:jc w:val="right"/>
              <w:ind w:right="17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80" w:type="dxa"/>
            <w:vAlign w:val="bottom"/>
          </w:tcPr>
          <w:p>
            <w:pPr>
              <w:spacing w:after="0"/>
              <w:rPr>
                <w:sz w:val="13"/>
                <w:szCs w:val="13"/>
                <w:color w:val="auto"/>
              </w:rPr>
            </w:pPr>
          </w:p>
        </w:tc>
        <w:tc>
          <w:tcPr>
            <w:tcW w:w="1640" w:type="dxa"/>
            <w:vAlign w:val="bottom"/>
            <w:tcBorders>
              <w:bottom w:val="single" w:sz="8" w:color="auto"/>
            </w:tcBorders>
          </w:tcPr>
          <w:p>
            <w:pPr>
              <w:jc w:val="center"/>
              <w:ind w:right="152"/>
              <w:spacing w:after="0" w:line="157" w:lineRule="exact"/>
              <w:rPr>
                <w:sz w:val="20"/>
                <w:szCs w:val="20"/>
                <w:color w:val="auto"/>
              </w:rPr>
            </w:pPr>
            <w:r>
              <w:rPr>
                <w:rFonts w:ascii="Arial" w:cs="Arial" w:eastAsia="Arial" w:hAnsi="Arial"/>
                <w:sz w:val="14"/>
                <w:szCs w:val="14"/>
                <w:color w:val="auto"/>
              </w:rPr>
              <w:t>2007</w:t>
            </w:r>
          </w:p>
        </w:tc>
        <w:tc>
          <w:tcPr>
            <w:tcW w:w="1680" w:type="dxa"/>
            <w:vAlign w:val="bottom"/>
            <w:tcBorders>
              <w:bottom w:val="single" w:sz="8" w:color="auto"/>
            </w:tcBorders>
          </w:tcPr>
          <w:p>
            <w:pPr>
              <w:jc w:val="right"/>
              <w:ind w:right="452"/>
              <w:spacing w:after="0" w:line="157" w:lineRule="exact"/>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80" w:type="dxa"/>
            <w:vAlign w:val="bottom"/>
          </w:tcPr>
          <w:p>
            <w:pPr>
              <w:spacing w:after="0"/>
              <w:rPr>
                <w:sz w:val="13"/>
                <w:szCs w:val="13"/>
                <w:color w:val="auto"/>
              </w:rPr>
            </w:pPr>
          </w:p>
        </w:tc>
        <w:tc>
          <w:tcPr>
            <w:tcW w:w="1640" w:type="dxa"/>
            <w:vAlign w:val="bottom"/>
          </w:tcPr>
          <w:p>
            <w:pPr>
              <w:jc w:val="center"/>
              <w:ind w:right="132"/>
              <w:spacing w:after="0" w:line="155" w:lineRule="exact"/>
              <w:rPr>
                <w:sz w:val="20"/>
                <w:szCs w:val="20"/>
                <w:color w:val="auto"/>
              </w:rPr>
            </w:pPr>
            <w:r>
              <w:rPr>
                <w:rFonts w:ascii="Arial" w:cs="Arial" w:eastAsia="Arial" w:hAnsi="Arial"/>
                <w:sz w:val="14"/>
                <w:szCs w:val="14"/>
                <w:color w:val="auto"/>
              </w:rPr>
              <w:t>(Unaudited)</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 AND SHAREHOLDERS’ EQUITY</w:t>
            </w:r>
          </w:p>
        </w:tc>
        <w:tc>
          <w:tcPr>
            <w:tcW w:w="16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Unpaid losses and loss adjustment expenses</w:t>
            </w:r>
          </w:p>
        </w:tc>
        <w:tc>
          <w:tcPr>
            <w:tcW w:w="164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$1,048,909</w:t>
            </w:r>
          </w:p>
        </w:tc>
        <w:tc>
          <w:tcPr>
            <w:tcW w:w="16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$1,073,570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color w:val="auto"/>
              </w:rPr>
              <w:t>Unearned premiums</w:t>
            </w:r>
          </w:p>
        </w:tc>
        <w:tc>
          <w:tcPr>
            <w:tcW w:w="164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418,949</w:t>
            </w:r>
          </w:p>
        </w:tc>
        <w:tc>
          <w:tcPr>
            <w:tcW w:w="16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424,282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Commissions payable and accrued</w:t>
            </w:r>
          </w:p>
        </w:tc>
        <w:tc>
          <w:tcPr>
            <w:tcW w:w="164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129,434</w:t>
            </w:r>
          </w:p>
        </w:tc>
        <w:tc>
          <w:tcPr>
            <w:tcW w:w="16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126,077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color w:val="auto"/>
              </w:rPr>
              <w:t>Agent bonuses</w:t>
            </w:r>
          </w:p>
        </w:tc>
        <w:tc>
          <w:tcPr>
            <w:tcW w:w="164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20,646</w:t>
            </w:r>
          </w:p>
        </w:tc>
        <w:tc>
          <w:tcPr>
            <w:tcW w:w="16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90,556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Securities lending collateral</w:t>
            </w:r>
          </w:p>
        </w:tc>
        <w:tc>
          <w:tcPr>
            <w:tcW w:w="164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30,467</w:t>
            </w:r>
          </w:p>
        </w:tc>
        <w:tc>
          <w:tcPr>
            <w:tcW w:w="16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22,784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 and accrued expenses</w:t>
            </w:r>
          </w:p>
        </w:tc>
        <w:tc>
          <w:tcPr>
            <w:tcW w:w="164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43,520</w:t>
            </w:r>
          </w:p>
        </w:tc>
        <w:tc>
          <w:tcPr>
            <w:tcW w:w="16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41,723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executive compensation</w:t>
            </w:r>
          </w:p>
        </w:tc>
        <w:tc>
          <w:tcPr>
            <w:tcW w:w="164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23,811</w:t>
            </w:r>
          </w:p>
        </w:tc>
        <w:tc>
          <w:tcPr>
            <w:tcW w:w="16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29,713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color w:val="auto"/>
              </w:rPr>
              <w:t>Federal income taxes payable</w:t>
            </w:r>
          </w:p>
        </w:tc>
        <w:tc>
          <w:tcPr>
            <w:tcW w:w="164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7,602</w:t>
            </w:r>
          </w:p>
        </w:tc>
        <w:tc>
          <w:tcPr>
            <w:tcW w:w="16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164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17,808</w:t>
            </w:r>
          </w:p>
        </w:tc>
        <w:tc>
          <w:tcPr>
            <w:tcW w:w="16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8,343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color w:val="auto"/>
              </w:rPr>
              <w:t>Dividends payable</w:t>
            </w:r>
          </w:p>
        </w:tc>
        <w:tc>
          <w:tcPr>
            <w:tcW w:w="164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23,152</w:t>
            </w:r>
          </w:p>
        </w:tc>
        <w:tc>
          <w:tcPr>
            <w:tcW w:w="16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23,265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Employee benefit obligations</w:t>
            </w:r>
          </w:p>
        </w:tc>
        <w:tc>
          <w:tcPr>
            <w:tcW w:w="1640" w:type="dxa"/>
            <w:vAlign w:val="bottom"/>
            <w:tcBorders>
              <w:bottom w:val="single" w:sz="8" w:color="auto"/>
            </w:tcBorders>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34,824</w:t>
            </w:r>
          </w:p>
        </w:tc>
        <w:tc>
          <w:tcPr>
            <w:tcW w:w="1680" w:type="dxa"/>
            <w:vAlign w:val="bottom"/>
            <w:tcBorders>
              <w:bottom w:val="single" w:sz="8" w:color="auto"/>
            </w:tcBorders>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37,200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Pr>
          <w:p>
            <w:pPr>
              <w:ind w:left="400"/>
              <w:spacing w:after="0"/>
              <w:rPr>
                <w:sz w:val="20"/>
                <w:szCs w:val="20"/>
                <w:color w:val="auto"/>
              </w:rPr>
            </w:pPr>
            <w:r>
              <w:rPr>
                <w:rFonts w:ascii="Arial" w:cs="Arial" w:eastAsia="Arial" w:hAnsi="Arial"/>
                <w:sz w:val="18"/>
                <w:szCs w:val="18"/>
                <w:b w:val="1"/>
                <w:bCs w:val="1"/>
                <w:color w:val="auto"/>
              </w:rPr>
              <w:t>Total liabilities</w:t>
            </w:r>
          </w:p>
        </w:tc>
        <w:tc>
          <w:tcPr>
            <w:tcW w:w="16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1,799,122</w:t>
            </w:r>
          </w:p>
        </w:tc>
        <w:tc>
          <w:tcPr>
            <w:tcW w:w="16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1,877,513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SHAREHOLDERS’ EQUITY</w:t>
            </w:r>
          </w:p>
        </w:tc>
        <w:tc>
          <w:tcPr>
            <w:tcW w:w="16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color w:val="auto"/>
              </w:rPr>
              <w:t>Capital stock:</w:t>
            </w:r>
          </w:p>
        </w:tc>
        <w:tc>
          <w:tcPr>
            <w:tcW w:w="1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Class A common, stated value $.0292 per share; authorized 74,996,930 shares; issued</w:t>
            </w:r>
          </w:p>
        </w:tc>
        <w:tc>
          <w:tcPr>
            <w:tcW w:w="16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ind w:left="600"/>
              <w:spacing w:after="0" w:line="203" w:lineRule="exact"/>
              <w:rPr>
                <w:sz w:val="20"/>
                <w:szCs w:val="20"/>
                <w:color w:val="auto"/>
              </w:rPr>
            </w:pPr>
            <w:r>
              <w:rPr>
                <w:rFonts w:ascii="Arial" w:cs="Arial" w:eastAsia="Arial" w:hAnsi="Arial"/>
                <w:sz w:val="18"/>
                <w:szCs w:val="18"/>
                <w:color w:val="auto"/>
              </w:rPr>
              <w:t>68,224,800 shares; 57,493,790 and 57,776,329 shares outstanding, respectively</w:t>
            </w:r>
          </w:p>
        </w:tc>
        <w:tc>
          <w:tcPr>
            <w:tcW w:w="1640" w:type="dxa"/>
            <w:vAlign w:val="bottom"/>
            <w:shd w:val="clear" w:color="auto" w:fill="CCEEFF"/>
          </w:tcPr>
          <w:p>
            <w:pPr>
              <w:jc w:val="right"/>
              <w:ind w:right="432"/>
              <w:spacing w:after="0" w:line="203" w:lineRule="exact"/>
              <w:rPr>
                <w:sz w:val="20"/>
                <w:szCs w:val="20"/>
                <w:color w:val="auto"/>
              </w:rPr>
            </w:pPr>
            <w:r>
              <w:rPr>
                <w:rFonts w:ascii="Arial" w:cs="Arial" w:eastAsia="Arial" w:hAnsi="Arial"/>
                <w:sz w:val="18"/>
                <w:szCs w:val="18"/>
                <w:color w:val="auto"/>
              </w:rPr>
              <w:t>1,990</w:t>
            </w:r>
          </w:p>
        </w:tc>
        <w:tc>
          <w:tcPr>
            <w:tcW w:w="1680" w:type="dxa"/>
            <w:vAlign w:val="bottom"/>
            <w:shd w:val="clear" w:color="auto" w:fill="CCEEFF"/>
          </w:tcPr>
          <w:p>
            <w:pPr>
              <w:jc w:val="right"/>
              <w:ind w:right="212"/>
              <w:spacing w:after="0" w:line="203" w:lineRule="exact"/>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tcPr>
          <w:p>
            <w:pPr>
              <w:ind w:left="400"/>
              <w:spacing w:after="0" w:line="201" w:lineRule="exact"/>
              <w:rPr>
                <w:sz w:val="20"/>
                <w:szCs w:val="20"/>
                <w:color w:val="auto"/>
              </w:rPr>
            </w:pPr>
            <w:r>
              <w:rPr>
                <w:rFonts w:ascii="Arial" w:cs="Arial" w:eastAsia="Arial" w:hAnsi="Arial"/>
                <w:sz w:val="18"/>
                <w:szCs w:val="18"/>
                <w:color w:val="auto"/>
              </w:rPr>
              <w:t>Class B common, convertible at a rate of 2,400 Class A shares for one Class B share,</w:t>
            </w:r>
          </w:p>
        </w:tc>
        <w:tc>
          <w:tcPr>
            <w:tcW w:w="1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600"/>
              <w:spacing w:after="0" w:line="203" w:lineRule="exact"/>
              <w:rPr>
                <w:sz w:val="20"/>
                <w:szCs w:val="20"/>
                <w:color w:val="auto"/>
              </w:rPr>
            </w:pPr>
            <w:r>
              <w:rPr>
                <w:rFonts w:ascii="Arial" w:cs="Arial" w:eastAsia="Arial" w:hAnsi="Arial"/>
                <w:sz w:val="18"/>
                <w:szCs w:val="18"/>
                <w:color w:val="auto"/>
              </w:rPr>
              <w:t>stated value $70 per share; and 2,573 shares authorized, issued and outstanding</w:t>
            </w:r>
          </w:p>
        </w:tc>
        <w:tc>
          <w:tcPr>
            <w:tcW w:w="1640" w:type="dxa"/>
            <w:vAlign w:val="bottom"/>
          </w:tcPr>
          <w:p>
            <w:pPr>
              <w:jc w:val="right"/>
              <w:ind w:right="432"/>
              <w:spacing w:after="0" w:line="203" w:lineRule="exact"/>
              <w:rPr>
                <w:sz w:val="20"/>
                <w:szCs w:val="20"/>
                <w:color w:val="auto"/>
              </w:rPr>
            </w:pPr>
            <w:r>
              <w:rPr>
                <w:rFonts w:ascii="Arial" w:cs="Arial" w:eastAsia="Arial" w:hAnsi="Arial"/>
                <w:sz w:val="18"/>
                <w:szCs w:val="18"/>
                <w:color w:val="auto"/>
              </w:rPr>
              <w:t>180</w:t>
            </w:r>
          </w:p>
        </w:tc>
        <w:tc>
          <w:tcPr>
            <w:tcW w:w="1680" w:type="dxa"/>
            <w:vAlign w:val="bottom"/>
          </w:tcPr>
          <w:p>
            <w:pPr>
              <w:jc w:val="right"/>
              <w:ind w:right="212"/>
              <w:spacing w:after="0" w:line="203"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164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7,830</w:t>
            </w:r>
          </w:p>
        </w:tc>
        <w:tc>
          <w:tcPr>
            <w:tcW w:w="16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7,830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color w:val="auto"/>
              </w:rPr>
              <w:t>Accumulated other comprehensive income</w:t>
            </w:r>
          </w:p>
        </w:tc>
        <w:tc>
          <w:tcPr>
            <w:tcW w:w="164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6,660</w:t>
            </w:r>
          </w:p>
        </w:tc>
        <w:tc>
          <w:tcPr>
            <w:tcW w:w="16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5,422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Retained earnings</w:t>
            </w:r>
          </w:p>
        </w:tc>
        <w:tc>
          <w:tcPr>
            <w:tcW w:w="1640" w:type="dxa"/>
            <w:vAlign w:val="bottom"/>
            <w:tcBorders>
              <w:bottom w:val="single" w:sz="8" w:color="auto"/>
            </w:tcBorders>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1,651,865</w:t>
            </w:r>
          </w:p>
        </w:tc>
        <w:tc>
          <w:tcPr>
            <w:tcW w:w="1680" w:type="dxa"/>
            <w:vAlign w:val="bottom"/>
            <w:tcBorders>
              <w:bottom w:val="single" w:sz="8" w:color="auto"/>
            </w:tcBorders>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1,618,656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ind w:left="600"/>
              <w:spacing w:after="0"/>
              <w:rPr>
                <w:sz w:val="20"/>
                <w:szCs w:val="20"/>
                <w:color w:val="auto"/>
              </w:rPr>
            </w:pPr>
            <w:r>
              <w:rPr>
                <w:rFonts w:ascii="Arial" w:cs="Arial" w:eastAsia="Arial" w:hAnsi="Arial"/>
                <w:sz w:val="18"/>
                <w:szCs w:val="18"/>
                <w:color w:val="auto"/>
              </w:rPr>
              <w:t>Total contributed capital and retained earnings</w:t>
            </w:r>
          </w:p>
        </w:tc>
        <w:tc>
          <w:tcPr>
            <w:tcW w:w="1640" w:type="dxa"/>
            <w:vAlign w:val="bottom"/>
          </w:tcPr>
          <w:p>
            <w:pPr>
              <w:jc w:val="right"/>
              <w:ind w:right="432"/>
              <w:spacing w:after="0"/>
              <w:rPr>
                <w:sz w:val="20"/>
                <w:szCs w:val="20"/>
                <w:color w:val="auto"/>
              </w:rPr>
            </w:pPr>
            <w:r>
              <w:rPr>
                <w:rFonts w:ascii="Arial" w:cs="Arial" w:eastAsia="Arial" w:hAnsi="Arial"/>
                <w:sz w:val="18"/>
                <w:szCs w:val="18"/>
                <w:color w:val="auto"/>
              </w:rPr>
              <w:t>1,668,525</w:t>
            </w:r>
          </w:p>
        </w:tc>
        <w:tc>
          <w:tcPr>
            <w:tcW w:w="1680" w:type="dxa"/>
            <w:vAlign w:val="bottom"/>
          </w:tcPr>
          <w:p>
            <w:pPr>
              <w:jc w:val="right"/>
              <w:ind w:right="212"/>
              <w:spacing w:after="0"/>
              <w:rPr>
                <w:sz w:val="20"/>
                <w:szCs w:val="20"/>
                <w:color w:val="auto"/>
              </w:rPr>
            </w:pPr>
            <w:r>
              <w:rPr>
                <w:rFonts w:ascii="Arial" w:cs="Arial" w:eastAsia="Arial" w:hAnsi="Arial"/>
                <w:sz w:val="18"/>
                <w:szCs w:val="18"/>
                <w:color w:val="auto"/>
              </w:rPr>
              <w:t>1,634,078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Treasury stock, at cost, 10,731,010 and 10,448,471 shares, respectively</w:t>
            </w:r>
          </w:p>
        </w:tc>
        <w:tc>
          <w:tcPr>
            <w:tcW w:w="1640" w:type="dxa"/>
            <w:vAlign w:val="bottom"/>
            <w:tcBorders>
              <w:bottom w:val="single" w:sz="8" w:color="auto"/>
            </w:tcBorders>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(487,302)</w:t>
            </w:r>
          </w:p>
        </w:tc>
        <w:tc>
          <w:tcPr>
            <w:tcW w:w="168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(472,230)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80" w:type="dxa"/>
            <w:vAlign w:val="bottom"/>
          </w:tcPr>
          <w:p>
            <w:pPr>
              <w:ind w:left="600"/>
              <w:spacing w:after="0"/>
              <w:rPr>
                <w:sz w:val="20"/>
                <w:szCs w:val="20"/>
                <w:color w:val="auto"/>
              </w:rPr>
            </w:pPr>
            <w:r>
              <w:rPr>
                <w:rFonts w:ascii="Arial" w:cs="Arial" w:eastAsia="Arial" w:hAnsi="Arial"/>
                <w:sz w:val="18"/>
                <w:szCs w:val="18"/>
                <w:b w:val="1"/>
                <w:bCs w:val="1"/>
                <w:color w:val="auto"/>
              </w:rPr>
              <w:t>Total shareholders’ equity</w:t>
            </w:r>
          </w:p>
        </w:tc>
        <w:tc>
          <w:tcPr>
            <w:tcW w:w="16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1,181,223</w:t>
            </w:r>
          </w:p>
        </w:tc>
        <w:tc>
          <w:tcPr>
            <w:tcW w:w="16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1,161,848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b w:val="1"/>
                <w:bCs w:val="1"/>
                <w:color w:val="auto"/>
              </w:rPr>
              <w:t>Total liabilities and shareholders’ equity</w:t>
            </w:r>
          </w:p>
        </w:tc>
        <w:tc>
          <w:tcPr>
            <w:tcW w:w="1640" w:type="dxa"/>
            <w:vAlign w:val="bottom"/>
            <w:tcBorders>
              <w:bottom w:val="single" w:sz="8" w:color="auto"/>
            </w:tcBorders>
            <w:shd w:val="clear" w:color="auto" w:fill="CCEEFF"/>
          </w:tcPr>
          <w:p>
            <w:pPr>
              <w:jc w:val="right"/>
              <w:ind w:right="432"/>
              <w:spacing w:after="0" w:line="202" w:lineRule="exact"/>
              <w:rPr>
                <w:sz w:val="20"/>
                <w:szCs w:val="20"/>
                <w:color w:val="auto"/>
              </w:rPr>
            </w:pPr>
            <w:r>
              <w:rPr>
                <w:rFonts w:ascii="Arial" w:cs="Arial" w:eastAsia="Arial" w:hAnsi="Arial"/>
                <w:sz w:val="18"/>
                <w:szCs w:val="18"/>
                <w:b w:val="1"/>
                <w:bCs w:val="1"/>
                <w:color w:val="auto"/>
              </w:rPr>
              <w:t>$2,980,345</w:t>
            </w:r>
          </w:p>
        </w:tc>
        <w:tc>
          <w:tcPr>
            <w:tcW w:w="1680" w:type="dxa"/>
            <w:vAlign w:val="bottom"/>
            <w:tcBorders>
              <w:bottom w:val="single" w:sz="8" w:color="auto"/>
            </w:tcBorders>
            <w:shd w:val="clear" w:color="auto" w:fill="CCEEFF"/>
          </w:tcPr>
          <w:p>
            <w:pPr>
              <w:jc w:val="right"/>
              <w:ind w:right="212"/>
              <w:spacing w:after="0" w:line="202" w:lineRule="exact"/>
              <w:rPr>
                <w:sz w:val="20"/>
                <w:szCs w:val="20"/>
                <w:color w:val="auto"/>
              </w:rPr>
            </w:pPr>
            <w:r>
              <w:rPr>
                <w:rFonts w:ascii="Arial" w:cs="Arial" w:eastAsia="Arial" w:hAnsi="Arial"/>
                <w:sz w:val="18"/>
                <w:szCs w:val="18"/>
                <w:b w:val="1"/>
                <w:bCs w:val="1"/>
                <w:color w:val="auto"/>
              </w:rPr>
              <w:t>$3,039,361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INDEMNITY COMPANY</w:t>
      </w:r>
    </w:p>
    <w:p>
      <w:pPr>
        <w:jc w:val="center"/>
        <w:spacing w:after="0" w:line="234" w:lineRule="auto"/>
        <w:rPr>
          <w:sz w:val="20"/>
          <w:szCs w:val="20"/>
          <w:color w:val="auto"/>
        </w:rPr>
      </w:pPr>
      <w:r>
        <w:rPr>
          <w:rFonts w:ascii="Arial" w:cs="Arial" w:eastAsia="Arial" w:hAnsi="Arial"/>
          <w:sz w:val="18"/>
          <w:szCs w:val="18"/>
          <w:color w:val="auto"/>
        </w:rPr>
        <w:t>CONSOLIDATED STATEMENTS OF OPERATIONS (UNAUDITED)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00" w:type="dxa"/>
            <w:vAlign w:val="bottom"/>
            <w:gridSpan w:val="5"/>
          </w:tcPr>
          <w:p>
            <w:pPr>
              <w:jc w:val="right"/>
              <w:ind w:right="900"/>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51"/>
              <w:spacing w:after="0" w:line="157" w:lineRule="exact"/>
              <w:rPr>
                <w:sz w:val="20"/>
                <w:szCs w:val="20"/>
                <w:color w:val="auto"/>
              </w:rPr>
            </w:pPr>
            <w:r>
              <w:rPr>
                <w:rFonts w:ascii="Arial" w:cs="Arial" w:eastAsia="Arial" w:hAnsi="Arial"/>
                <w:sz w:val="14"/>
                <w:szCs w:val="14"/>
                <w:color w:val="auto"/>
              </w:rPr>
              <w:t>2007</w:t>
            </w:r>
          </w:p>
        </w:tc>
        <w:tc>
          <w:tcPr>
            <w:tcW w:w="7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51"/>
              <w:spacing w:after="0" w:line="157" w:lineRule="exact"/>
              <w:rPr>
                <w:sz w:val="20"/>
                <w:szCs w:val="20"/>
                <w:color w:val="auto"/>
              </w:rPr>
            </w:pPr>
            <w:r>
              <w:rPr>
                <w:rFonts w:ascii="Arial" w:cs="Arial" w:eastAsia="Arial" w:hAnsi="Arial"/>
                <w:sz w:val="14"/>
                <w:szCs w:val="14"/>
                <w:color w:val="auto"/>
              </w:rPr>
              <w:t>2006</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ind w:left="200"/>
              <w:spacing w:after="0" w:line="202" w:lineRule="exact"/>
              <w:rPr>
                <w:sz w:val="20"/>
                <w:szCs w:val="20"/>
                <w:color w:val="auto"/>
              </w:rPr>
            </w:pPr>
            <w:r>
              <w:rPr>
                <w:rFonts w:ascii="Arial" w:cs="Arial" w:eastAsia="Arial" w:hAnsi="Arial"/>
                <w:sz w:val="18"/>
                <w:szCs w:val="18"/>
                <w:color w:val="auto"/>
              </w:rPr>
              <w:t>Management fee revenue, net</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216,020</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220,102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Premiums earned</w:t>
            </w:r>
          </w:p>
        </w:tc>
        <w:tc>
          <w:tcPr>
            <w:tcW w:w="22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51,974</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54,026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ind w:left="200"/>
              <w:spacing w:after="0" w:line="202" w:lineRule="exact"/>
              <w:rPr>
                <w:sz w:val="20"/>
                <w:szCs w:val="20"/>
                <w:color w:val="auto"/>
              </w:rPr>
            </w:pPr>
            <w:r>
              <w:rPr>
                <w:rFonts w:ascii="Arial" w:cs="Arial" w:eastAsia="Arial" w:hAnsi="Arial"/>
                <w:sz w:val="18"/>
                <w:szCs w:val="18"/>
                <w:color w:val="auto"/>
              </w:rPr>
              <w:t>Service agreement revenue</w:t>
            </w:r>
          </w:p>
        </w:tc>
        <w:tc>
          <w:tcPr>
            <w:tcW w:w="220" w:type="dxa"/>
            <w:vAlign w:val="bottom"/>
          </w:tcPr>
          <w:p>
            <w:pPr>
              <w:spacing w:after="0"/>
              <w:rPr>
                <w:sz w:val="17"/>
                <w:szCs w:val="17"/>
                <w:color w:val="auto"/>
              </w:rPr>
            </w:pPr>
          </w:p>
        </w:tc>
        <w:tc>
          <w:tcPr>
            <w:tcW w:w="178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7,418</w:t>
            </w:r>
          </w:p>
        </w:tc>
        <w:tc>
          <w:tcPr>
            <w:tcW w:w="220" w:type="dxa"/>
            <w:vAlign w:val="bottom"/>
          </w:tcPr>
          <w:p>
            <w:pPr>
              <w:spacing w:after="0"/>
              <w:rPr>
                <w:sz w:val="17"/>
                <w:szCs w:val="17"/>
                <w:color w:val="auto"/>
              </w:rPr>
            </w:pPr>
          </w:p>
        </w:tc>
        <w:tc>
          <w:tcPr>
            <w:tcW w:w="13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7,592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b w:val="1"/>
                <w:bCs w:val="1"/>
                <w:color w:val="auto"/>
              </w:rPr>
              <w:t>Total operating revenue</w:t>
            </w:r>
          </w:p>
        </w:tc>
        <w:tc>
          <w:tcPr>
            <w:tcW w:w="22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b w:val="1"/>
                <w:bCs w:val="1"/>
                <w:color w:val="auto"/>
              </w:rPr>
              <w:t>275,412</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281,720</w:t>
            </w:r>
          </w:p>
        </w:tc>
        <w:tc>
          <w:tcPr>
            <w:tcW w:w="0" w:type="dxa"/>
            <w:vAlign w:val="bottom"/>
          </w:tcPr>
          <w:p>
            <w:pPr>
              <w:spacing w:after="0"/>
              <w:rPr>
                <w:sz w:val="1"/>
                <w:szCs w:val="1"/>
                <w:color w:val="auto"/>
              </w:rPr>
            </w:pPr>
          </w:p>
        </w:tc>
      </w:tr>
      <w:tr>
        <w:trPr>
          <w:trHeight w:val="405"/>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management operations</w:t>
            </w:r>
          </w:p>
        </w:tc>
        <w:tc>
          <w:tcPr>
            <w:tcW w:w="22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179,886</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183,154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ind w:left="200"/>
              <w:spacing w:after="0" w:line="202" w:lineRule="exact"/>
              <w:rPr>
                <w:sz w:val="20"/>
                <w:szCs w:val="20"/>
                <w:color w:val="auto"/>
              </w:rPr>
            </w:pPr>
            <w:r>
              <w:rPr>
                <w:rFonts w:ascii="Arial" w:cs="Arial" w:eastAsia="Arial" w:hAnsi="Arial"/>
                <w:sz w:val="18"/>
                <w:szCs w:val="18"/>
                <w:color w:val="auto"/>
              </w:rPr>
              <w:t>Losses and loss adjustment expenses incurred</w:t>
            </w:r>
          </w:p>
        </w:tc>
        <w:tc>
          <w:tcPr>
            <w:tcW w:w="220" w:type="dxa"/>
            <w:vAlign w:val="bottom"/>
          </w:tcPr>
          <w:p>
            <w:pPr>
              <w:spacing w:after="0"/>
              <w:rPr>
                <w:sz w:val="17"/>
                <w:szCs w:val="17"/>
                <w:color w:val="auto"/>
              </w:rPr>
            </w:pPr>
          </w:p>
        </w:tc>
        <w:tc>
          <w:tcPr>
            <w:tcW w:w="178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32,234</w:t>
            </w:r>
          </w:p>
        </w:tc>
        <w:tc>
          <w:tcPr>
            <w:tcW w:w="220" w:type="dxa"/>
            <w:vAlign w:val="bottom"/>
          </w:tcPr>
          <w:p>
            <w:pPr>
              <w:spacing w:after="0"/>
              <w:rPr>
                <w:sz w:val="17"/>
                <w:szCs w:val="17"/>
                <w:color w:val="auto"/>
              </w:rPr>
            </w:pPr>
          </w:p>
        </w:tc>
        <w:tc>
          <w:tcPr>
            <w:tcW w:w="13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30,053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Policy acquisition and other underwriting expenses</w:t>
            </w:r>
          </w:p>
        </w:tc>
        <w:tc>
          <w:tcPr>
            <w:tcW w:w="22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11,995</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14,501</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80" w:type="dxa"/>
            <w:vAlign w:val="bottom"/>
          </w:tcPr>
          <w:p>
            <w:pPr>
              <w:ind w:left="400"/>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224,115</w:t>
            </w:r>
          </w:p>
        </w:tc>
        <w:tc>
          <w:tcPr>
            <w:tcW w:w="7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227,708</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7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INVESTMENT INCOME — UNAFFILIATED</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 net of expenses</w:t>
            </w:r>
          </w:p>
        </w:tc>
        <w:tc>
          <w:tcPr>
            <w:tcW w:w="220" w:type="dxa"/>
            <w:vAlign w:val="bottom"/>
          </w:tcPr>
          <w:p>
            <w:pPr>
              <w:spacing w:after="0"/>
              <w:rPr>
                <w:sz w:val="17"/>
                <w:szCs w:val="17"/>
                <w:color w:val="auto"/>
              </w:rPr>
            </w:pPr>
          </w:p>
        </w:tc>
        <w:tc>
          <w:tcPr>
            <w:tcW w:w="178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13,978</w:t>
            </w:r>
          </w:p>
        </w:tc>
        <w:tc>
          <w:tcPr>
            <w:tcW w:w="220" w:type="dxa"/>
            <w:vAlign w:val="bottom"/>
          </w:tcPr>
          <w:p>
            <w:pPr>
              <w:spacing w:after="0"/>
              <w:rPr>
                <w:sz w:val="17"/>
                <w:szCs w:val="17"/>
                <w:color w:val="auto"/>
              </w:rPr>
            </w:pPr>
          </w:p>
        </w:tc>
        <w:tc>
          <w:tcPr>
            <w:tcW w:w="13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realized gains on investments</w:t>
            </w:r>
          </w:p>
        </w:tc>
        <w:tc>
          <w:tcPr>
            <w:tcW w:w="22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1,890</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784</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ind w:left="200"/>
              <w:spacing w:after="0" w:line="202" w:lineRule="exact"/>
              <w:rPr>
                <w:sz w:val="20"/>
                <w:szCs w:val="20"/>
                <w:color w:val="auto"/>
              </w:rPr>
            </w:pPr>
            <w:r>
              <w:rPr>
                <w:rFonts w:ascii="Arial" w:cs="Arial" w:eastAsia="Arial" w:hAnsi="Arial"/>
                <w:sz w:val="18"/>
                <w:szCs w:val="18"/>
                <w:color w:val="auto"/>
              </w:rPr>
              <w:t>Equity in earnings of limited partnerships</w:t>
            </w:r>
          </w:p>
        </w:tc>
        <w:tc>
          <w:tcPr>
            <w:tcW w:w="220" w:type="dxa"/>
            <w:vAlign w:val="bottom"/>
          </w:tcPr>
          <w:p>
            <w:pPr>
              <w:spacing w:after="0"/>
              <w:rPr>
                <w:sz w:val="17"/>
                <w:szCs w:val="17"/>
                <w:color w:val="auto"/>
              </w:rPr>
            </w:pPr>
          </w:p>
        </w:tc>
        <w:tc>
          <w:tcPr>
            <w:tcW w:w="178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12,518</w:t>
            </w:r>
          </w:p>
        </w:tc>
        <w:tc>
          <w:tcPr>
            <w:tcW w:w="220" w:type="dxa"/>
            <w:vAlign w:val="bottom"/>
          </w:tcPr>
          <w:p>
            <w:pPr>
              <w:spacing w:after="0"/>
              <w:rPr>
                <w:sz w:val="17"/>
                <w:szCs w:val="17"/>
                <w:color w:val="auto"/>
              </w:rPr>
            </w:pPr>
          </w:p>
        </w:tc>
        <w:tc>
          <w:tcPr>
            <w:tcW w:w="13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4,142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b w:val="1"/>
                <w:bCs w:val="1"/>
                <w:color w:val="auto"/>
              </w:rPr>
              <w:t>Total investment income — unaffiliated</w:t>
            </w:r>
          </w:p>
        </w:tc>
        <w:tc>
          <w:tcPr>
            <w:tcW w:w="22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b w:val="1"/>
                <w:bCs w:val="1"/>
                <w:color w:val="auto"/>
              </w:rPr>
              <w:t>28,386</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19,926</w:t>
            </w:r>
          </w:p>
        </w:tc>
        <w:tc>
          <w:tcPr>
            <w:tcW w:w="0" w:type="dxa"/>
            <w:vAlign w:val="bottom"/>
          </w:tcPr>
          <w:p>
            <w:pPr>
              <w:spacing w:after="0"/>
              <w:rPr>
                <w:sz w:val="1"/>
                <w:szCs w:val="1"/>
                <w:color w:val="auto"/>
              </w:rPr>
            </w:pPr>
          </w:p>
        </w:tc>
      </w:tr>
      <w:tr>
        <w:trPr>
          <w:trHeight w:val="405"/>
        </w:trPr>
        <w:tc>
          <w:tcPr>
            <w:tcW w:w="7900" w:type="dxa"/>
            <w:vAlign w:val="bottom"/>
            <w:gridSpan w:val="2"/>
          </w:tcPr>
          <w:p>
            <w:pPr>
              <w:spacing w:after="0"/>
              <w:rPr>
                <w:sz w:val="20"/>
                <w:szCs w:val="20"/>
                <w:color w:val="auto"/>
              </w:rPr>
            </w:pPr>
            <w:r>
              <w:rPr>
                <w:rFonts w:ascii="Arial" w:cs="Arial" w:eastAsia="Arial" w:hAnsi="Arial"/>
                <w:sz w:val="18"/>
                <w:szCs w:val="18"/>
                <w:color w:val="auto"/>
              </w:rPr>
              <w:t>Income before income taxes and equity in earnings of Erie Family Life Insurance</w:t>
            </w:r>
          </w:p>
        </w:tc>
        <w:tc>
          <w:tcPr>
            <w:tcW w:w="220" w:type="dxa"/>
            <w:vAlign w:val="bottom"/>
          </w:tcPr>
          <w:p>
            <w:pPr>
              <w:spacing w:after="0"/>
              <w:rPr>
                <w:sz w:val="24"/>
                <w:szCs w:val="24"/>
                <w:color w:val="auto"/>
              </w:rPr>
            </w:pPr>
          </w:p>
        </w:tc>
        <w:tc>
          <w:tcPr>
            <w:tcW w:w="1780" w:type="dxa"/>
            <w:vAlign w:val="bottom"/>
            <w:gridSpan w:val="2"/>
          </w:tcPr>
          <w:p>
            <w:pPr>
              <w:jc w:val="right"/>
              <w:ind w:right="780"/>
              <w:spacing w:after="0"/>
              <w:rPr>
                <w:sz w:val="20"/>
                <w:szCs w:val="20"/>
                <w:color w:val="auto"/>
              </w:rPr>
            </w:pPr>
            <w:r>
              <w:rPr>
                <w:rFonts w:ascii="Arial" w:cs="Arial" w:eastAsia="Arial" w:hAnsi="Arial"/>
                <w:sz w:val="18"/>
                <w:szCs w:val="18"/>
                <w:color w:val="auto"/>
              </w:rPr>
              <w:t>79,683</w:t>
            </w:r>
          </w:p>
        </w:tc>
        <w:tc>
          <w:tcPr>
            <w:tcW w:w="220" w:type="dxa"/>
            <w:vAlign w:val="bottom"/>
          </w:tcPr>
          <w:p>
            <w:pPr>
              <w:spacing w:after="0"/>
              <w:rPr>
                <w:sz w:val="24"/>
                <w:szCs w:val="24"/>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73,938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24,592</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25,077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spacing w:after="0" w:line="202" w:lineRule="exact"/>
              <w:rPr>
                <w:sz w:val="20"/>
                <w:szCs w:val="20"/>
                <w:color w:val="auto"/>
              </w:rPr>
            </w:pPr>
            <w:r>
              <w:rPr>
                <w:rFonts w:ascii="Arial" w:cs="Arial" w:eastAsia="Arial" w:hAnsi="Arial"/>
                <w:sz w:val="18"/>
                <w:szCs w:val="18"/>
                <w:color w:val="auto"/>
              </w:rPr>
              <w:t>Equity in earnings of Erie Family Life Insurance, net of tax</w:t>
            </w:r>
          </w:p>
        </w:tc>
        <w:tc>
          <w:tcPr>
            <w:tcW w:w="220" w:type="dxa"/>
            <w:vAlign w:val="bottom"/>
          </w:tcPr>
          <w:p>
            <w:pPr>
              <w:spacing w:after="0"/>
              <w:rPr>
                <w:sz w:val="17"/>
                <w:szCs w:val="17"/>
                <w:color w:val="auto"/>
              </w:rPr>
            </w:pPr>
          </w:p>
        </w:tc>
        <w:tc>
          <w:tcPr>
            <w:tcW w:w="178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1,270</w:t>
            </w: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605</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78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b w:val="1"/>
                <w:bCs w:val="1"/>
                <w:color w:val="auto"/>
              </w:rPr>
              <w:t>56,361</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3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49,466</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9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Class A common stock – basic</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0.97</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0.81</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ind w:left="600"/>
              <w:spacing w:after="0" w:line="202" w:lineRule="exact"/>
              <w:rPr>
                <w:sz w:val="20"/>
                <w:szCs w:val="20"/>
                <w:color w:val="auto"/>
              </w:rPr>
            </w:pPr>
            <w:r>
              <w:rPr>
                <w:rFonts w:ascii="Arial" w:cs="Arial" w:eastAsia="Arial" w:hAnsi="Arial"/>
                <w:sz w:val="18"/>
                <w:szCs w:val="18"/>
                <w:b w:val="1"/>
                <w:bCs w:val="1"/>
                <w:color w:val="auto"/>
              </w:rPr>
              <w:t>Class A common stock – diluted</w:t>
            </w: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0.88</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0.73</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Class B common stock – basic and diluted</w:t>
            </w:r>
          </w:p>
        </w:tc>
        <w:tc>
          <w:tcPr>
            <w:tcW w:w="22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149.01</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121.08</w:t>
            </w:r>
          </w:p>
        </w:tc>
        <w:tc>
          <w:tcPr>
            <w:tcW w:w="0" w:type="dxa"/>
            <w:vAlign w:val="bottom"/>
          </w:tcPr>
          <w:p>
            <w:pPr>
              <w:spacing w:after="0"/>
              <w:rPr>
                <w:sz w:val="1"/>
                <w:szCs w:val="1"/>
                <w:color w:val="auto"/>
              </w:rPr>
            </w:pPr>
          </w:p>
        </w:tc>
      </w:tr>
      <w:tr>
        <w:trPr>
          <w:trHeight w:val="405"/>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shares outstanding – basic</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Class A common stock</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57,691,289</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60,630,395</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ind w:left="600"/>
              <w:spacing w:after="0" w:line="202" w:lineRule="exact"/>
              <w:rPr>
                <w:sz w:val="20"/>
                <w:szCs w:val="20"/>
                <w:color w:val="auto"/>
              </w:rPr>
            </w:pPr>
            <w:r>
              <w:rPr>
                <w:rFonts w:ascii="Arial" w:cs="Arial" w:eastAsia="Arial" w:hAnsi="Arial"/>
                <w:sz w:val="18"/>
                <w:szCs w:val="18"/>
                <w:color w:val="auto"/>
              </w:rPr>
              <w:t>Class B common stock</w:t>
            </w:r>
          </w:p>
        </w:tc>
        <w:tc>
          <w:tcPr>
            <w:tcW w:w="220" w:type="dxa"/>
            <w:vAlign w:val="bottom"/>
          </w:tcPr>
          <w:p>
            <w:pPr>
              <w:spacing w:after="0"/>
              <w:rPr>
                <w:sz w:val="17"/>
                <w:szCs w:val="17"/>
                <w:color w:val="auto"/>
              </w:rPr>
            </w:pPr>
          </w:p>
        </w:tc>
        <w:tc>
          <w:tcPr>
            <w:tcW w:w="178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2,573</w:t>
            </w:r>
          </w:p>
        </w:tc>
        <w:tc>
          <w:tcPr>
            <w:tcW w:w="220" w:type="dxa"/>
            <w:vAlign w:val="bottom"/>
          </w:tcPr>
          <w:p>
            <w:pPr>
              <w:spacing w:after="0"/>
              <w:rPr>
                <w:sz w:val="17"/>
                <w:szCs w:val="17"/>
                <w:color w:val="auto"/>
              </w:rPr>
            </w:pPr>
          </w:p>
        </w:tc>
        <w:tc>
          <w:tcPr>
            <w:tcW w:w="13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Weighted average shares outstanding – diluted</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ind w:left="600"/>
              <w:spacing w:after="0" w:line="202" w:lineRule="exact"/>
              <w:rPr>
                <w:sz w:val="20"/>
                <w:szCs w:val="20"/>
                <w:color w:val="auto"/>
              </w:rPr>
            </w:pPr>
            <w:r>
              <w:rPr>
                <w:rFonts w:ascii="Arial" w:cs="Arial" w:eastAsia="Arial" w:hAnsi="Arial"/>
                <w:sz w:val="18"/>
                <w:szCs w:val="18"/>
                <w:color w:val="auto"/>
              </w:rPr>
              <w:t>Class A common stock</w:t>
            </w: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63,906,458</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67,505,125</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Class B common stock</w:t>
            </w:r>
          </w:p>
        </w:tc>
        <w:tc>
          <w:tcPr>
            <w:tcW w:w="22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2,573</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405"/>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Dividends declared per share:</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Class A common stock</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0.40</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0.36</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80" w:type="dxa"/>
            <w:vAlign w:val="bottom"/>
          </w:tcPr>
          <w:p>
            <w:pPr>
              <w:ind w:left="600"/>
              <w:spacing w:after="0"/>
              <w:rPr>
                <w:sz w:val="20"/>
                <w:szCs w:val="20"/>
                <w:color w:val="auto"/>
              </w:rPr>
            </w:pPr>
            <w:r>
              <w:rPr>
                <w:rFonts w:ascii="Arial" w:cs="Arial" w:eastAsia="Arial" w:hAnsi="Arial"/>
                <w:sz w:val="18"/>
                <w:szCs w:val="18"/>
                <w:color w:val="auto"/>
              </w:rPr>
              <w:t>Class B common stock</w:t>
            </w:r>
          </w:p>
        </w:tc>
        <w:tc>
          <w:tcPr>
            <w:tcW w:w="220" w:type="dxa"/>
            <w:vAlign w:val="bottom"/>
          </w:tcPr>
          <w:p>
            <w:pPr>
              <w:spacing w:after="0"/>
              <w:rPr>
                <w:sz w:val="18"/>
                <w:szCs w:val="18"/>
                <w:color w:val="auto"/>
              </w:rPr>
            </w:pPr>
          </w:p>
        </w:tc>
        <w:tc>
          <w:tcPr>
            <w:tcW w:w="1780" w:type="dxa"/>
            <w:vAlign w:val="bottom"/>
            <w:gridSpan w:val="2"/>
          </w:tcPr>
          <w:p>
            <w:pPr>
              <w:jc w:val="right"/>
              <w:ind w:right="780"/>
              <w:spacing w:after="0"/>
              <w:rPr>
                <w:sz w:val="20"/>
                <w:szCs w:val="20"/>
                <w:color w:val="auto"/>
              </w:rPr>
            </w:pPr>
            <w:r>
              <w:rPr>
                <w:rFonts w:ascii="Arial" w:cs="Arial" w:eastAsia="Arial" w:hAnsi="Arial"/>
                <w:sz w:val="18"/>
                <w:szCs w:val="18"/>
                <w:color w:val="auto"/>
              </w:rPr>
              <w:t>60.00</w:t>
            </w:r>
          </w:p>
        </w:tc>
        <w:tc>
          <w:tcPr>
            <w:tcW w:w="2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INDEMNITY COMPANY</w:t>
      </w:r>
    </w:p>
    <w:p>
      <w:pPr>
        <w:jc w:val="center"/>
        <w:ind w:right="40"/>
        <w:spacing w:after="0" w:line="234" w:lineRule="auto"/>
        <w:rPr>
          <w:sz w:val="20"/>
          <w:szCs w:val="20"/>
          <w:color w:val="auto"/>
        </w:rPr>
      </w:pPr>
      <w:r>
        <w:rPr>
          <w:rFonts w:ascii="Arial" w:cs="Arial" w:eastAsia="Arial" w:hAnsi="Arial"/>
          <w:sz w:val="18"/>
          <w:szCs w:val="18"/>
          <w:color w:val="auto"/>
        </w:rPr>
        <w:t>CONSOLIDATED STATEMENTS OF COMPREHENSIVE INCOME (UNAUDITED)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0" w:type="dxa"/>
            <w:vAlign w:val="bottom"/>
            <w:gridSpan w:val="6"/>
          </w:tcPr>
          <w:p>
            <w:pPr>
              <w:jc w:val="right"/>
              <w:ind w:right="760"/>
              <w:spacing w:after="0"/>
              <w:rPr>
                <w:sz w:val="20"/>
                <w:szCs w:val="20"/>
                <w:color w:val="auto"/>
              </w:rPr>
            </w:pPr>
            <w:r>
              <w:rPr>
                <w:rFonts w:ascii="Arial" w:cs="Arial" w:eastAsia="Arial" w:hAnsi="Arial"/>
                <w:sz w:val="14"/>
                <w:szCs w:val="14"/>
                <w:color w:val="auto"/>
              </w:rPr>
              <w:t>Three months ended March 31,</w:t>
            </w:r>
          </w:p>
        </w:tc>
      </w:tr>
      <w:tr>
        <w:trPr>
          <w:trHeight w:val="157"/>
        </w:trPr>
        <w:tc>
          <w:tcPr>
            <w:tcW w:w="6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4"/>
              <w:spacing w:after="0" w:line="157" w:lineRule="exact"/>
              <w:rPr>
                <w:sz w:val="20"/>
                <w:szCs w:val="20"/>
                <w:color w:val="auto"/>
              </w:rPr>
            </w:pPr>
            <w:r>
              <w:rPr>
                <w:rFonts w:ascii="Arial" w:cs="Arial" w:eastAsia="Arial" w:hAnsi="Arial"/>
                <w:sz w:val="14"/>
                <w:szCs w:val="14"/>
                <w:color w:val="auto"/>
              </w:rPr>
              <w:t>2007</w:t>
            </w: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2"/>
              <w:spacing w:after="0" w:line="157" w:lineRule="exact"/>
              <w:rPr>
                <w:sz w:val="20"/>
                <w:szCs w:val="20"/>
                <w:color w:val="auto"/>
              </w:rPr>
            </w:pPr>
            <w:r>
              <w:rPr>
                <w:rFonts w:ascii="Arial" w:cs="Arial" w:eastAsia="Arial" w:hAnsi="Arial"/>
                <w:sz w:val="14"/>
                <w:szCs w:val="14"/>
                <w:color w:val="auto"/>
              </w:rPr>
              <w:t>2006</w:t>
            </w:r>
          </w:p>
        </w:tc>
        <w:tc>
          <w:tcPr>
            <w:tcW w:w="320" w:type="dxa"/>
            <w:vAlign w:val="bottom"/>
          </w:tcPr>
          <w:p>
            <w:pPr>
              <w:spacing w:after="0"/>
              <w:rPr>
                <w:sz w:val="13"/>
                <w:szCs w:val="13"/>
                <w:color w:val="auto"/>
              </w:rPr>
            </w:pPr>
          </w:p>
        </w:tc>
      </w:tr>
      <w:tr>
        <w:trPr>
          <w:trHeight w:val="196"/>
        </w:trPr>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520"/>
              <w:spacing w:after="0" w:line="196" w:lineRule="exact"/>
              <w:rPr>
                <w:sz w:val="20"/>
                <w:szCs w:val="20"/>
                <w:color w:val="auto"/>
              </w:rPr>
            </w:pPr>
            <w:r>
              <w:rPr>
                <w:rFonts w:ascii="Arial" w:cs="Arial" w:eastAsia="Arial" w:hAnsi="Arial"/>
                <w:sz w:val="18"/>
                <w:szCs w:val="18"/>
                <w:b w:val="1"/>
                <w:bCs w:val="1"/>
                <w:color w:val="auto"/>
              </w:rPr>
              <w:t>56,361</w:t>
            </w:r>
          </w:p>
        </w:tc>
        <w:tc>
          <w:tcPr>
            <w:tcW w:w="6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b w:val="1"/>
                <w:bCs w:val="1"/>
                <w:color w:val="auto"/>
              </w:rPr>
              <w:t>49,466</w:t>
            </w:r>
          </w:p>
        </w:tc>
      </w:tr>
      <w:tr>
        <w:trPr>
          <w:trHeight w:val="20"/>
        </w:trPr>
        <w:tc>
          <w:tcPr>
            <w:tcW w:w="6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6740" w:type="dxa"/>
            <w:vAlign w:val="bottom"/>
          </w:tcPr>
          <w:p>
            <w:pPr>
              <w:spacing w:after="0"/>
              <w:rPr>
                <w:sz w:val="20"/>
                <w:szCs w:val="20"/>
                <w:color w:val="auto"/>
              </w:rPr>
            </w:pPr>
            <w:r>
              <w:rPr>
                <w:rFonts w:ascii="Arial" w:cs="Arial" w:eastAsia="Arial" w:hAnsi="Arial"/>
                <w:sz w:val="18"/>
                <w:szCs w:val="18"/>
                <w:color w:val="auto"/>
              </w:rPr>
              <w:t>Gross unrealized gains (losses) arising during period</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3,794</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(9,361)</w:t>
            </w:r>
          </w:p>
        </w:tc>
      </w:tr>
      <w:tr>
        <w:trPr>
          <w:trHeight w:val="203"/>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Reclassification adjustment for gross gains included in net income</w:t>
            </w: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(1,890)</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(784)</w:t>
            </w:r>
          </w:p>
        </w:tc>
      </w:tr>
      <w:tr>
        <w:trPr>
          <w:trHeight w:val="20"/>
        </w:trPr>
        <w:tc>
          <w:tcPr>
            <w:tcW w:w="6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6740" w:type="dxa"/>
            <w:vAlign w:val="bottom"/>
          </w:tcPr>
          <w:p>
            <w:pPr>
              <w:spacing w:after="0"/>
              <w:rPr>
                <w:sz w:val="20"/>
                <w:szCs w:val="20"/>
                <w:color w:val="auto"/>
              </w:rPr>
            </w:pPr>
            <w:r>
              <w:rPr>
                <w:rFonts w:ascii="Arial" w:cs="Arial" w:eastAsia="Arial" w:hAnsi="Arial"/>
                <w:sz w:val="18"/>
                <w:szCs w:val="18"/>
                <w:color w:val="auto"/>
              </w:rPr>
              <w:t>Unrealized holding gains (losses) excluding realized gains, gross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1,904</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(10,145)</w:t>
            </w:r>
          </w:p>
        </w:tc>
      </w:tr>
      <w:tr>
        <w:trPr>
          <w:trHeight w:val="203"/>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 benefit related to unrealized gains (losses)</w:t>
            </w: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(666)</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3,552</w:t>
            </w:r>
          </w:p>
        </w:tc>
      </w:tr>
      <w:tr>
        <w:trPr>
          <w:trHeight w:val="20"/>
        </w:trPr>
        <w:tc>
          <w:tcPr>
            <w:tcW w:w="6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6740" w:type="dxa"/>
            <w:vAlign w:val="bottom"/>
          </w:tcPr>
          <w:p>
            <w:pPr>
              <w:spacing w:after="0"/>
              <w:rPr>
                <w:sz w:val="20"/>
                <w:szCs w:val="20"/>
                <w:color w:val="auto"/>
              </w:rPr>
            </w:pPr>
            <w:r>
              <w:rPr>
                <w:rFonts w:ascii="Arial" w:cs="Arial" w:eastAsia="Arial" w:hAnsi="Arial"/>
                <w:sz w:val="18"/>
                <w:szCs w:val="18"/>
                <w:color w:val="auto"/>
              </w:rPr>
              <w:t>Change in other comprehensive income, net of tax</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1,238</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(6,593)</w:t>
            </w:r>
          </w:p>
        </w:tc>
      </w:tr>
      <w:tr>
        <w:trPr>
          <w:trHeight w:val="27"/>
        </w:trPr>
        <w:tc>
          <w:tcPr>
            <w:tcW w:w="6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r>
      <w:tr>
        <w:trPr>
          <w:trHeight w:val="203"/>
        </w:trPr>
        <w:tc>
          <w:tcPr>
            <w:tcW w:w="67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b w:val="1"/>
                <w:bCs w:val="1"/>
                <w:color w:val="auto"/>
              </w:rPr>
              <w:t>Comprehensive income</w:t>
            </w:r>
          </w:p>
        </w:tc>
        <w:tc>
          <w:tcPr>
            <w:tcW w:w="1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b w:val="1"/>
                <w:bCs w:val="1"/>
                <w:color w:val="auto"/>
              </w:rPr>
              <w:t>57,599</w:t>
            </w: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b w:val="1"/>
                <w:bCs w:val="1"/>
                <w:color w:val="auto"/>
              </w:rPr>
              <w:t>42,873</w:t>
            </w:r>
          </w:p>
        </w:tc>
      </w:tr>
      <w:tr>
        <w:trPr>
          <w:trHeight w:val="20"/>
        </w:trPr>
        <w:tc>
          <w:tcPr>
            <w:tcW w:w="6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INDEMNITY COMPANY</w:t>
      </w:r>
    </w:p>
    <w:p>
      <w:pPr>
        <w:jc w:val="center"/>
        <w:spacing w:after="0" w:line="234" w:lineRule="auto"/>
        <w:rPr>
          <w:sz w:val="20"/>
          <w:szCs w:val="20"/>
          <w:color w:val="auto"/>
        </w:rPr>
      </w:pPr>
      <w:r>
        <w:rPr>
          <w:rFonts w:ascii="Arial" w:cs="Arial" w:eastAsia="Arial" w:hAnsi="Arial"/>
          <w:sz w:val="18"/>
          <w:szCs w:val="18"/>
          <w:color w:val="auto"/>
        </w:rPr>
        <w:t>CONSOLIDATED STATEMENTS OF CASH FLOWS (UNAUDITED)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0" w:type="dxa"/>
            <w:vAlign w:val="bottom"/>
            <w:gridSpan w:val="7"/>
          </w:tcPr>
          <w:p>
            <w:pPr>
              <w:jc w:val="right"/>
              <w:ind w:right="860"/>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1"/>
              <w:spacing w:after="0" w:line="157" w:lineRule="exact"/>
              <w:rPr>
                <w:sz w:val="20"/>
                <w:szCs w:val="20"/>
                <w:color w:val="auto"/>
              </w:rPr>
            </w:pPr>
            <w:r>
              <w:rPr>
                <w:rFonts w:ascii="Arial" w:cs="Arial" w:eastAsia="Arial" w:hAnsi="Arial"/>
                <w:sz w:val="14"/>
                <w:szCs w:val="14"/>
                <w:color w:val="auto"/>
              </w:rPr>
              <w:t>2007</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0"/>
              <w:spacing w:after="0" w:line="157" w:lineRule="exact"/>
              <w:rPr>
                <w:sz w:val="20"/>
                <w:szCs w:val="20"/>
                <w:color w:val="auto"/>
              </w:rPr>
            </w:pPr>
            <w:r>
              <w:rPr>
                <w:rFonts w:ascii="Arial" w:cs="Arial" w:eastAsia="Arial" w:hAnsi="Arial"/>
                <w:sz w:val="14"/>
                <w:szCs w:val="14"/>
                <w:color w:val="auto"/>
              </w:rPr>
              <w:t>2006</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ind w:left="200"/>
              <w:spacing w:after="0" w:line="202" w:lineRule="exact"/>
              <w:rPr>
                <w:sz w:val="20"/>
                <w:szCs w:val="20"/>
                <w:color w:val="auto"/>
              </w:rPr>
            </w:pPr>
            <w:r>
              <w:rPr>
                <w:rFonts w:ascii="Arial" w:cs="Arial" w:eastAsia="Arial" w:hAnsi="Arial"/>
                <w:sz w:val="18"/>
                <w:szCs w:val="18"/>
                <w:color w:val="auto"/>
              </w:rPr>
              <w:t>Management fee received</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223,952</w:t>
            </w:r>
          </w:p>
        </w:tc>
        <w:tc>
          <w:tcPr>
            <w:tcW w:w="500" w:type="dxa"/>
            <w:vAlign w:val="bottom"/>
          </w:tcPr>
          <w:p>
            <w:pPr>
              <w:spacing w:after="0"/>
              <w:rPr>
                <w:sz w:val="17"/>
                <w:szCs w:val="17"/>
                <w:color w:val="auto"/>
              </w:rPr>
            </w:pPr>
          </w:p>
        </w:tc>
        <w:tc>
          <w:tcPr>
            <w:tcW w:w="7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197,898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Service agreement fee received</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7,818</w:t>
            </w: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7,292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ind w:left="200"/>
              <w:spacing w:after="0" w:line="202" w:lineRule="exact"/>
              <w:rPr>
                <w:sz w:val="20"/>
                <w:szCs w:val="20"/>
                <w:color w:val="auto"/>
              </w:rPr>
            </w:pPr>
            <w:r>
              <w:rPr>
                <w:rFonts w:ascii="Arial" w:cs="Arial" w:eastAsia="Arial" w:hAnsi="Arial"/>
                <w:sz w:val="18"/>
                <w:szCs w:val="18"/>
                <w:color w:val="auto"/>
              </w:rPr>
              <w:t>Premiums collected</w:t>
            </w:r>
          </w:p>
        </w:tc>
        <w:tc>
          <w:tcPr>
            <w:tcW w:w="24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50,165</w:t>
            </w: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51,558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Settlement of commutation received from Exchange</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6,782</w:t>
            </w: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ind w:left="200"/>
              <w:spacing w:after="0" w:line="202" w:lineRule="exact"/>
              <w:rPr>
                <w:sz w:val="20"/>
                <w:szCs w:val="20"/>
                <w:color w:val="auto"/>
              </w:rPr>
            </w:pPr>
            <w:r>
              <w:rPr>
                <w:rFonts w:ascii="Arial" w:cs="Arial" w:eastAsia="Arial" w:hAnsi="Arial"/>
                <w:sz w:val="18"/>
                <w:szCs w:val="18"/>
                <w:color w:val="auto"/>
              </w:rPr>
              <w:t>Net investment income received</w:t>
            </w:r>
          </w:p>
        </w:tc>
        <w:tc>
          <w:tcPr>
            <w:tcW w:w="24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13,577</w:t>
            </w: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15,884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Limited partnership distributions</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15,776</w:t>
            </w: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9,446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ind w:left="200"/>
              <w:spacing w:after="0" w:line="202" w:lineRule="exact"/>
              <w:rPr>
                <w:sz w:val="20"/>
                <w:szCs w:val="20"/>
                <w:color w:val="auto"/>
              </w:rPr>
            </w:pPr>
            <w:r>
              <w:rPr>
                <w:rFonts w:ascii="Arial" w:cs="Arial" w:eastAsia="Arial" w:hAnsi="Arial"/>
                <w:sz w:val="18"/>
                <w:szCs w:val="18"/>
                <w:color w:val="auto"/>
              </w:rPr>
              <w:t>Dividends received from Erie Family Life Insurance</w:t>
            </w:r>
          </w:p>
        </w:tc>
        <w:tc>
          <w:tcPr>
            <w:tcW w:w="24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w:t>
            </w: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450</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Salaries and wages paid</w:t>
            </w:r>
          </w:p>
        </w:tc>
        <w:tc>
          <w:tcPr>
            <w:tcW w:w="24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(27,831)</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(26,374)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ind w:left="200"/>
              <w:spacing w:after="0" w:line="202" w:lineRule="exact"/>
              <w:rPr>
                <w:sz w:val="20"/>
                <w:szCs w:val="20"/>
                <w:color w:val="auto"/>
              </w:rPr>
            </w:pPr>
            <w:r>
              <w:rPr>
                <w:rFonts w:ascii="Arial" w:cs="Arial" w:eastAsia="Arial" w:hAnsi="Arial"/>
                <w:sz w:val="18"/>
                <w:szCs w:val="18"/>
                <w:color w:val="auto"/>
              </w:rPr>
              <w:t>Employee benefits paid</w:t>
            </w:r>
          </w:p>
        </w:tc>
        <w:tc>
          <w:tcPr>
            <w:tcW w:w="240" w:type="dxa"/>
            <w:vAlign w:val="bottom"/>
          </w:tcPr>
          <w:p>
            <w:pPr>
              <w:spacing w:after="0"/>
              <w:rPr>
                <w:sz w:val="17"/>
                <w:szCs w:val="17"/>
                <w:color w:val="auto"/>
              </w:rPr>
            </w:pPr>
          </w:p>
        </w:tc>
        <w:tc>
          <w:tcPr>
            <w:tcW w:w="13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(11,947)</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Commissions paid to agents</w:t>
            </w:r>
          </w:p>
        </w:tc>
        <w:tc>
          <w:tcPr>
            <w:tcW w:w="24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(105,999)</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(107,674)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ind w:left="200"/>
              <w:spacing w:after="0" w:line="202" w:lineRule="exact"/>
              <w:rPr>
                <w:sz w:val="20"/>
                <w:szCs w:val="20"/>
                <w:color w:val="auto"/>
              </w:rPr>
            </w:pPr>
            <w:r>
              <w:rPr>
                <w:rFonts w:ascii="Arial" w:cs="Arial" w:eastAsia="Arial" w:hAnsi="Arial"/>
                <w:sz w:val="18"/>
                <w:szCs w:val="18"/>
                <w:color w:val="auto"/>
              </w:rPr>
              <w:t>Agent bonuses paid</w:t>
            </w:r>
          </w:p>
        </w:tc>
        <w:tc>
          <w:tcPr>
            <w:tcW w:w="240" w:type="dxa"/>
            <w:vAlign w:val="bottom"/>
          </w:tcPr>
          <w:p>
            <w:pPr>
              <w:spacing w:after="0"/>
              <w:rPr>
                <w:sz w:val="17"/>
                <w:szCs w:val="17"/>
                <w:color w:val="auto"/>
              </w:rPr>
            </w:pPr>
          </w:p>
        </w:tc>
        <w:tc>
          <w:tcPr>
            <w:tcW w:w="13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(91,403)</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(71,544)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General operating expenses paid</w:t>
            </w:r>
          </w:p>
        </w:tc>
        <w:tc>
          <w:tcPr>
            <w:tcW w:w="24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(33,401)</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(33,371)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ind w:left="200"/>
              <w:spacing w:after="0" w:line="202" w:lineRule="exact"/>
              <w:rPr>
                <w:sz w:val="20"/>
                <w:szCs w:val="20"/>
                <w:color w:val="auto"/>
              </w:rPr>
            </w:pPr>
            <w:r>
              <w:rPr>
                <w:rFonts w:ascii="Arial" w:cs="Arial" w:eastAsia="Arial" w:hAnsi="Arial"/>
                <w:sz w:val="18"/>
                <w:szCs w:val="18"/>
                <w:color w:val="auto"/>
              </w:rPr>
              <w:t>Losses paid</w:t>
            </w:r>
          </w:p>
        </w:tc>
        <w:tc>
          <w:tcPr>
            <w:tcW w:w="240" w:type="dxa"/>
            <w:vAlign w:val="bottom"/>
          </w:tcPr>
          <w:p>
            <w:pPr>
              <w:spacing w:after="0"/>
              <w:rPr>
                <w:sz w:val="17"/>
                <w:szCs w:val="17"/>
                <w:color w:val="auto"/>
              </w:rPr>
            </w:pPr>
          </w:p>
        </w:tc>
        <w:tc>
          <w:tcPr>
            <w:tcW w:w="13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(30,895)</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(29,984)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Loss adjustment expenses paid</w:t>
            </w:r>
          </w:p>
        </w:tc>
        <w:tc>
          <w:tcPr>
            <w:tcW w:w="24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(4,326)</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(2,777)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ind w:left="200"/>
              <w:spacing w:after="0" w:line="202" w:lineRule="exact"/>
              <w:rPr>
                <w:sz w:val="20"/>
                <w:szCs w:val="20"/>
                <w:color w:val="auto"/>
              </w:rPr>
            </w:pPr>
            <w:r>
              <w:rPr>
                <w:rFonts w:ascii="Arial" w:cs="Arial" w:eastAsia="Arial" w:hAnsi="Arial"/>
                <w:sz w:val="18"/>
                <w:szCs w:val="18"/>
                <w:color w:val="auto"/>
              </w:rPr>
              <w:t>Other underwriting and acquisition costs paid</w:t>
            </w:r>
          </w:p>
        </w:tc>
        <w:tc>
          <w:tcPr>
            <w:tcW w:w="240" w:type="dxa"/>
            <w:vAlign w:val="bottom"/>
          </w:tcPr>
          <w:p>
            <w:pPr>
              <w:spacing w:after="0"/>
              <w:rPr>
                <w:sz w:val="17"/>
                <w:szCs w:val="17"/>
                <w:color w:val="auto"/>
              </w:rPr>
            </w:pPr>
          </w:p>
        </w:tc>
        <w:tc>
          <w:tcPr>
            <w:tcW w:w="13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(2,106)</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(4,363)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taxes recovered (paid)</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1,077</w:t>
            </w: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60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11,239</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6,505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ind w:left="200"/>
              <w:spacing w:after="0" w:line="202" w:lineRule="exact"/>
              <w:rPr>
                <w:sz w:val="20"/>
                <w:szCs w:val="20"/>
                <w:color w:val="auto"/>
              </w:rPr>
            </w:pPr>
            <w:r>
              <w:rPr>
                <w:rFonts w:ascii="Arial" w:cs="Arial" w:eastAsia="Arial" w:hAnsi="Arial"/>
                <w:sz w:val="18"/>
                <w:szCs w:val="18"/>
                <w:color w:val="auto"/>
              </w:rPr>
              <w:t>Purchase of investments: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Fixed maturities</w:t>
            </w:r>
          </w:p>
        </w:tc>
        <w:tc>
          <w:tcPr>
            <w:tcW w:w="24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(57,681)</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(65,088)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ind w:left="400"/>
              <w:spacing w:after="0" w:line="202" w:lineRule="exact"/>
              <w:rPr>
                <w:sz w:val="20"/>
                <w:szCs w:val="20"/>
                <w:color w:val="auto"/>
              </w:rPr>
            </w:pPr>
            <w:r>
              <w:rPr>
                <w:rFonts w:ascii="Arial" w:cs="Arial" w:eastAsia="Arial" w:hAnsi="Arial"/>
                <w:sz w:val="18"/>
                <w:szCs w:val="18"/>
                <w:color w:val="auto"/>
              </w:rPr>
              <w:t>Equity securities</w:t>
            </w:r>
          </w:p>
        </w:tc>
        <w:tc>
          <w:tcPr>
            <w:tcW w:w="240" w:type="dxa"/>
            <w:vAlign w:val="bottom"/>
          </w:tcPr>
          <w:p>
            <w:pPr>
              <w:spacing w:after="0"/>
              <w:rPr>
                <w:sz w:val="17"/>
                <w:szCs w:val="17"/>
                <w:color w:val="auto"/>
              </w:rPr>
            </w:pPr>
          </w:p>
        </w:tc>
        <w:tc>
          <w:tcPr>
            <w:tcW w:w="13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(23,381)</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(33,750)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Limited partnerships</w:t>
            </w:r>
          </w:p>
        </w:tc>
        <w:tc>
          <w:tcPr>
            <w:tcW w:w="24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(24,131)</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(31,089)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ind w:left="200"/>
              <w:spacing w:after="0" w:line="202" w:lineRule="exact"/>
              <w:rPr>
                <w:sz w:val="20"/>
                <w:szCs w:val="20"/>
                <w:color w:val="auto"/>
              </w:rPr>
            </w:pPr>
            <w:r>
              <w:rPr>
                <w:rFonts w:ascii="Arial" w:cs="Arial" w:eastAsia="Arial" w:hAnsi="Arial"/>
                <w:sz w:val="18"/>
                <w:szCs w:val="18"/>
                <w:color w:val="auto"/>
              </w:rPr>
              <w:t>Sales/maturities of investments: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Fixed maturity sales</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31,504</w:t>
            </w: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73,346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ind w:left="400"/>
              <w:spacing w:after="0" w:line="202" w:lineRule="exact"/>
              <w:rPr>
                <w:sz w:val="20"/>
                <w:szCs w:val="20"/>
                <w:color w:val="auto"/>
              </w:rPr>
            </w:pPr>
            <w:r>
              <w:rPr>
                <w:rFonts w:ascii="Arial" w:cs="Arial" w:eastAsia="Arial" w:hAnsi="Arial"/>
                <w:sz w:val="18"/>
                <w:szCs w:val="18"/>
                <w:color w:val="auto"/>
              </w:rPr>
              <w:t>Fixed maturity calls/maturities</w:t>
            </w:r>
          </w:p>
        </w:tc>
        <w:tc>
          <w:tcPr>
            <w:tcW w:w="24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25,992</w:t>
            </w: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25,010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Equity securities</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23,267</w:t>
            </w: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62,982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ind w:left="400"/>
              <w:spacing w:after="0" w:line="202" w:lineRule="exact"/>
              <w:rPr>
                <w:sz w:val="20"/>
                <w:szCs w:val="20"/>
                <w:color w:val="auto"/>
              </w:rPr>
            </w:pPr>
            <w:r>
              <w:rPr>
                <w:rFonts w:ascii="Arial" w:cs="Arial" w:eastAsia="Arial" w:hAnsi="Arial"/>
                <w:sz w:val="18"/>
                <w:szCs w:val="18"/>
                <w:color w:val="auto"/>
              </w:rPr>
              <w:t>Return on limited partnerships</w:t>
            </w:r>
          </w:p>
        </w:tc>
        <w:tc>
          <w:tcPr>
            <w:tcW w:w="24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2,849</w:t>
            </w: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Purchase of property and equipment</w:t>
            </w:r>
          </w:p>
        </w:tc>
        <w:tc>
          <w:tcPr>
            <w:tcW w:w="24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(753)</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ind w:left="200"/>
              <w:spacing w:after="0" w:line="202" w:lineRule="exact"/>
              <w:rPr>
                <w:sz w:val="20"/>
                <w:szCs w:val="20"/>
                <w:color w:val="auto"/>
              </w:rPr>
            </w:pPr>
            <w:r>
              <w:rPr>
                <w:rFonts w:ascii="Arial" w:cs="Arial" w:eastAsia="Arial" w:hAnsi="Arial"/>
                <w:sz w:val="18"/>
                <w:szCs w:val="18"/>
                <w:color w:val="auto"/>
              </w:rPr>
              <w:t>Net distributions on agent loans</w:t>
            </w:r>
          </w:p>
        </w:tc>
        <w:tc>
          <w:tcPr>
            <w:tcW w:w="240" w:type="dxa"/>
            <w:vAlign w:val="bottom"/>
          </w:tcPr>
          <w:p>
            <w:pPr>
              <w:spacing w:after="0"/>
              <w:rPr>
                <w:sz w:val="17"/>
                <w:szCs w:val="17"/>
                <w:color w:val="auto"/>
              </w:rPr>
            </w:pPr>
          </w:p>
        </w:tc>
        <w:tc>
          <w:tcPr>
            <w:tcW w:w="13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(231)</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b w:val="1"/>
                <w:bCs w:val="1"/>
                <w:color w:val="auto"/>
              </w:rPr>
              <w:t>Net cash (used in) provided by investing activities</w:t>
            </w:r>
          </w:p>
        </w:tc>
        <w:tc>
          <w:tcPr>
            <w:tcW w:w="24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(22,565)</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31,828</w:t>
            </w:r>
          </w:p>
        </w:tc>
        <w:tc>
          <w:tcPr>
            <w:tcW w:w="0" w:type="dxa"/>
            <w:vAlign w:val="bottom"/>
          </w:tcPr>
          <w:p>
            <w:pPr>
              <w:spacing w:after="0"/>
              <w:rPr>
                <w:sz w:val="1"/>
                <w:szCs w:val="1"/>
                <w:color w:val="auto"/>
              </w:rPr>
            </w:pPr>
          </w:p>
        </w:tc>
      </w:tr>
      <w:tr>
        <w:trPr>
          <w:trHeight w:val="412"/>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Purchase of treasury stock</w:t>
            </w:r>
          </w:p>
        </w:tc>
        <w:tc>
          <w:tcPr>
            <w:tcW w:w="24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(15,072)</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(40,695)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ind w:left="200"/>
              <w:spacing w:after="0" w:line="202" w:lineRule="exact"/>
              <w:rPr>
                <w:sz w:val="20"/>
                <w:szCs w:val="20"/>
                <w:color w:val="auto"/>
              </w:rPr>
            </w:pPr>
            <w:r>
              <w:rPr>
                <w:rFonts w:ascii="Arial" w:cs="Arial" w:eastAsia="Arial" w:hAnsi="Arial"/>
                <w:sz w:val="18"/>
                <w:szCs w:val="18"/>
                <w:color w:val="auto"/>
              </w:rPr>
              <w:t>Dividends paid to shareholders</w:t>
            </w:r>
          </w:p>
        </w:tc>
        <w:tc>
          <w:tcPr>
            <w:tcW w:w="240" w:type="dxa"/>
            <w:vAlign w:val="bottom"/>
          </w:tcPr>
          <w:p>
            <w:pPr>
              <w:spacing w:after="0"/>
              <w:rPr>
                <w:sz w:val="17"/>
                <w:szCs w:val="17"/>
                <w:color w:val="auto"/>
              </w:rPr>
            </w:pPr>
          </w:p>
        </w:tc>
        <w:tc>
          <w:tcPr>
            <w:tcW w:w="13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(23,265)</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(22,172)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Increase (decrease) in collateral from securities lending</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3,721</w:t>
            </w: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(4,085)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tcPr>
          <w:p>
            <w:pPr>
              <w:ind w:left="200"/>
              <w:spacing w:after="0" w:line="202" w:lineRule="exact"/>
              <w:rPr>
                <w:sz w:val="20"/>
                <w:szCs w:val="20"/>
                <w:color w:val="auto"/>
              </w:rPr>
            </w:pPr>
            <w:r>
              <w:rPr>
                <w:rFonts w:ascii="Arial" w:cs="Arial" w:eastAsia="Arial" w:hAnsi="Arial"/>
                <w:sz w:val="18"/>
                <w:szCs w:val="18"/>
                <w:color w:val="auto"/>
              </w:rPr>
              <w:t>Redemption of securities lending collateral</w:t>
            </w:r>
          </w:p>
        </w:tc>
        <w:tc>
          <w:tcPr>
            <w:tcW w:w="240" w:type="dxa"/>
            <w:vAlign w:val="bottom"/>
          </w:tcPr>
          <w:p>
            <w:pPr>
              <w:spacing w:after="0"/>
              <w:rPr>
                <w:sz w:val="17"/>
                <w:szCs w:val="17"/>
                <w:color w:val="auto"/>
              </w:rPr>
            </w:pPr>
          </w:p>
        </w:tc>
        <w:tc>
          <w:tcPr>
            <w:tcW w:w="13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(3,721)</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4,085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b w:val="1"/>
                <w:bCs w:val="1"/>
                <w:color w:val="auto"/>
              </w:rPr>
              <w:t>Net cash used in financing activities</w:t>
            </w:r>
          </w:p>
        </w:tc>
        <w:tc>
          <w:tcPr>
            <w:tcW w:w="24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(38,337)</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(62,867)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tcPr>
          <w:p>
            <w:pPr>
              <w:spacing w:after="0"/>
              <w:rPr>
                <w:sz w:val="24"/>
                <w:szCs w:val="24"/>
                <w:color w:val="auto"/>
              </w:rPr>
            </w:pPr>
          </w:p>
        </w:tc>
        <w:tc>
          <w:tcPr>
            <w:tcW w:w="1360" w:type="dxa"/>
            <w:vAlign w:val="bottom"/>
            <w:gridSpan w:val="3"/>
          </w:tcPr>
          <w:p>
            <w:pPr>
              <w:jc w:val="right"/>
              <w:ind w:right="460"/>
              <w:spacing w:after="0"/>
              <w:rPr>
                <w:sz w:val="20"/>
                <w:szCs w:val="20"/>
                <w:color w:val="auto"/>
              </w:rPr>
            </w:pPr>
            <w:r>
              <w:rPr>
                <w:rFonts w:ascii="Arial" w:cs="Arial" w:eastAsia="Arial" w:hAnsi="Arial"/>
                <w:sz w:val="18"/>
                <w:szCs w:val="18"/>
                <w:color w:val="auto"/>
              </w:rPr>
              <w:t>(49,663)</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(24,534)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60,241</w:t>
            </w: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31,666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600"/>
              <w:spacing w:after="0"/>
              <w:rPr>
                <w:sz w:val="20"/>
                <w:szCs w:val="20"/>
                <w:color w:val="auto"/>
              </w:rPr>
            </w:pPr>
            <w:r>
              <w:rPr>
                <w:rFonts w:ascii="Arial" w:cs="Arial" w:eastAsia="Arial" w:hAnsi="Arial"/>
                <w:sz w:val="18"/>
                <w:szCs w:val="18"/>
                <w:b w:val="1"/>
                <w:bCs w:val="1"/>
                <w:color w:val="auto"/>
              </w:rPr>
              <w:t>Cash and cash equivalents at end of period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10,578</w:t>
            </w:r>
          </w:p>
        </w:tc>
        <w:tc>
          <w:tcPr>
            <w:tcW w:w="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7,132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ERIE INDEMNITY COMPANY</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 (UNAUDITED)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NOTE 1 – BASIS OF PRESENTATION</w:t>
      </w:r>
    </w:p>
    <w:p>
      <w:pPr>
        <w:spacing w:after="0" w:line="10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accompanying unaudited consolidated financial statements, which include the accounts of Erie Indemnity Company and our wholly owned property/casualty insurance subsidiaries, Erie Insurance Company (EIC), Erie Insurance Company of New York (EINY) and Erie Insurance Property &amp; Casualty Company (EIPC), have been prepared in accordance with accounting principles generally accepted in the United States of America for interim financial information and the instructions to Form 10-Q and Article 10 of Regulation S-X. Accordingly, they do not include all of the information and footnotes required by generally accepted accounting principles (GAAP) for complete financial statements. In the opinion of management, all adjustments (consisting of normal recurring accruals) considered necessary for a fair presentation have been included. Operating results for the three-month period ended March 31, 2007 are not necessarily indicative of the results that may be expected for the year ending December 31, 2007. For further information, refer to the consolidated financial statements and footnotes thereto included in our Form 10-K for the year ended December 31, 2006 as filed with the Securities and Exchange Commission on February 26,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NOTE 2 – RECENT ACCOUNTING PRONOUNCEMENTS</w:t>
      </w:r>
    </w:p>
    <w:p>
      <w:pPr>
        <w:spacing w:after="0" w:line="86"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 xml:space="preserve">In February 2007, the Financial Accounting Standards Board (FASB) issued Financial Accounting Standard (FAS) 159 </w:t>
      </w:r>
      <w:r>
        <w:rPr>
          <w:rFonts w:ascii="Arial" w:cs="Arial" w:eastAsia="Arial" w:hAnsi="Arial"/>
          <w:sz w:val="17"/>
          <w:szCs w:val="17"/>
          <w:i w:val="1"/>
          <w:iCs w:val="1"/>
          <w:color w:val="auto"/>
        </w:rPr>
        <w:t>“The Fair Value Option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 Financial Assets and Liabilities.” </w:t>
      </w:r>
      <w:r>
        <w:rPr>
          <w:rFonts w:ascii="Arial" w:cs="Arial" w:eastAsia="Arial" w:hAnsi="Arial"/>
          <w:sz w:val="17"/>
          <w:szCs w:val="17"/>
          <w:color w:val="auto"/>
        </w:rPr>
        <w:t>FAS 159 allows us the option to report selected financial assets and liabilities at fair value at our discretion.</w:t>
      </w:r>
      <w:r>
        <w:rPr>
          <w:rFonts w:ascii="Arial" w:cs="Arial" w:eastAsia="Arial" w:hAnsi="Arial"/>
          <w:sz w:val="17"/>
          <w:szCs w:val="17"/>
          <w:i w:val="1"/>
          <w:iCs w:val="1"/>
          <w:color w:val="auto"/>
        </w:rPr>
        <w:t xml:space="preserve"> </w:t>
      </w:r>
      <w:r>
        <w:rPr>
          <w:rFonts w:ascii="Arial" w:cs="Arial" w:eastAsia="Arial" w:hAnsi="Arial"/>
          <w:sz w:val="17"/>
          <w:szCs w:val="17"/>
          <w:color w:val="auto"/>
        </w:rPr>
        <w:t>FAS 159 also establishes presentation and disclosure requirements designed to facilitate comparisons between companies that choose different measurement attributes for similar types of assets and liabilities. We decided not to elect the fair value measurement option during the early adoption period, however, we are currently evaluating certain assets for the election of fair value measurement as of January 1, 2008.</w:t>
      </w:r>
    </w:p>
    <w:p>
      <w:pPr>
        <w:spacing w:after="0" w:line="8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adopted FASB Interpretation (FIN) 48, “Accounting for Uncertainty in Income Taxes,” at the beginning of 2007. FIN 48 provides guidance for recognizing and measuring the financial statement impact of income tax positions taken or expected to be taken in an income tax return. Our evaluation identified two income tax positions that would be considered uncertain under this guidance. As a result of adoption, we recognized a liability for current income taxes payable and a temporary tax difference that, when considered net, had no impact on our financial position. Interest related to these positions amounted to $0.8 million and was recorded as income tax expense on the Consolidated Statement of Operations with the accrued obligation in the Consolidated Statement of Financial Position for the quarter. The Company’s open tax years subject to IRS examination are 2003 through 2006. Tax years 2003 and 2004 are currently being examined by the IRS.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NOTE 3 – RECLASSIFICATIONS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previously reported in the 2006 financial statements have been reclassified to conform to the current period’s presentation.</w:t>
      </w:r>
    </w:p>
    <w:p>
      <w:pPr>
        <w:spacing w:after="0"/>
        <w:rPr>
          <w:sz w:val="20"/>
          <w:szCs w:val="20"/>
          <w:color w:val="auto"/>
        </w:rPr>
      </w:pPr>
      <w:r>
        <w:rPr>
          <w:rFonts w:ascii="Arial" w:cs="Arial" w:eastAsia="Arial" w:hAnsi="Arial"/>
          <w:sz w:val="18"/>
          <w:szCs w:val="18"/>
          <w:color w:val="auto"/>
        </w:rPr>
        <w:t>Such reclassifications did not impact earnings or total shareholders’ equity.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NOTE 4 – EARNINGS PER SHARE</w:t>
      </w:r>
    </w:p>
    <w:p>
      <w:pPr>
        <w:spacing w:after="0" w:line="10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Earnings per share are calculated under the two-class method, which allocates earnings to each class of stock based on its dividend rights. Class B shares are convertible into Class A shares at a conversion ratio of 2,400 to 1. Class A diluted earnings per share are calculated under the if-converted method which reflects the conversion of Class B shares and the effect of potentially dilutive outstanding employee stock-based awards under the long-term incentive plan and awards not yet vested related to the outside directors’ stock compensation plan. A reconciliation of the numerators and denominators used in the basic and diluted per-share computations is presented below for each class of common stock:</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vMerge w:val="restart"/>
          </w:tcPr>
          <w:p>
            <w:pPr>
              <w:jc w:val="right"/>
              <w:ind w:right="498"/>
              <w:spacing w:after="0"/>
              <w:rPr>
                <w:sz w:val="20"/>
                <w:szCs w:val="20"/>
                <w:color w:val="auto"/>
              </w:rPr>
            </w:pPr>
            <w:r>
              <w:rPr>
                <w:rFonts w:ascii="Arial" w:cs="Arial" w:eastAsia="Arial" w:hAnsi="Arial"/>
                <w:sz w:val="14"/>
                <w:szCs w:val="14"/>
                <w:color w:val="auto"/>
              </w:rPr>
              <w:t>2007</w:t>
            </w:r>
          </w:p>
        </w:tc>
        <w:tc>
          <w:tcPr>
            <w:tcW w:w="3080" w:type="dxa"/>
            <w:vAlign w:val="bottom"/>
            <w:gridSpan w:val="4"/>
          </w:tcPr>
          <w:p>
            <w:pPr>
              <w:jc w:val="right"/>
              <w:ind w:right="453"/>
              <w:spacing w:after="0"/>
              <w:rPr>
                <w:sz w:val="20"/>
                <w:szCs w:val="20"/>
                <w:color w:val="auto"/>
              </w:rPr>
            </w:pPr>
            <w:r>
              <w:rPr>
                <w:rFonts w:ascii="Arial" w:cs="Arial" w:eastAsia="Arial" w:hAnsi="Arial"/>
                <w:sz w:val="14"/>
                <w:szCs w:val="14"/>
                <w:color w:val="auto"/>
              </w:rPr>
              <w:t>Three Months Ended March 31</w:t>
            </w:r>
          </w:p>
        </w:tc>
        <w:tc>
          <w:tcPr>
            <w:tcW w:w="1620" w:type="dxa"/>
            <w:vAlign w:val="bottom"/>
            <w:vMerge w:val="restart"/>
          </w:tcPr>
          <w:p>
            <w:pPr>
              <w:jc w:val="right"/>
              <w:ind w:right="658"/>
              <w:spacing w:after="0"/>
              <w:rPr>
                <w:sz w:val="20"/>
                <w:szCs w:val="20"/>
                <w:color w:val="auto"/>
              </w:rPr>
            </w:pPr>
            <w:r>
              <w:rPr>
                <w:rFonts w:ascii="Arial" w:cs="Arial" w:eastAsia="Arial" w:hAnsi="Arial"/>
                <w:sz w:val="14"/>
                <w:szCs w:val="14"/>
                <w:color w:val="auto"/>
              </w:rPr>
              <w:t>2006</w:t>
            </w: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400" w:type="dxa"/>
            <w:vAlign w:val="bottom"/>
            <w:gridSpan w:val="2"/>
          </w:tcPr>
          <w:p>
            <w:pPr>
              <w:jc w:val="right"/>
              <w:ind w:right="253"/>
              <w:spacing w:after="0"/>
              <w:rPr>
                <w:sz w:val="20"/>
                <w:szCs w:val="20"/>
                <w:color w:val="auto"/>
              </w:rPr>
            </w:pPr>
            <w:r>
              <w:rPr>
                <w:rFonts w:ascii="Arial" w:cs="Arial" w:eastAsia="Arial" w:hAnsi="Arial"/>
                <w:sz w:val="14"/>
                <w:szCs w:val="14"/>
                <w:color w:val="auto"/>
              </w:rPr>
              <w:t>Allocated Net</w:t>
            </w:r>
          </w:p>
        </w:tc>
        <w:tc>
          <w:tcPr>
            <w:tcW w:w="1440" w:type="dxa"/>
            <w:vAlign w:val="bottom"/>
          </w:tcPr>
          <w:p>
            <w:pPr>
              <w:jc w:val="center"/>
              <w:ind w:left="118"/>
              <w:spacing w:after="0"/>
              <w:rPr>
                <w:sz w:val="20"/>
                <w:szCs w:val="20"/>
                <w:color w:val="auto"/>
              </w:rPr>
            </w:pPr>
            <w:r>
              <w:rPr>
                <w:rFonts w:ascii="Arial" w:cs="Arial" w:eastAsia="Arial" w:hAnsi="Arial"/>
                <w:sz w:val="14"/>
                <w:szCs w:val="14"/>
                <w:color w:val="auto"/>
              </w:rPr>
              <w:t>Weighted</w:t>
            </w: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60" w:type="dxa"/>
            <w:vAlign w:val="bottom"/>
            <w:gridSpan w:val="2"/>
          </w:tcPr>
          <w:p>
            <w:pPr>
              <w:jc w:val="right"/>
              <w:ind w:right="293"/>
              <w:spacing w:after="0"/>
              <w:rPr>
                <w:sz w:val="20"/>
                <w:szCs w:val="20"/>
                <w:color w:val="auto"/>
              </w:rPr>
            </w:pPr>
            <w:r>
              <w:rPr>
                <w:rFonts w:ascii="Arial" w:cs="Arial" w:eastAsia="Arial" w:hAnsi="Arial"/>
                <w:sz w:val="14"/>
                <w:szCs w:val="14"/>
                <w:color w:val="auto"/>
              </w:rPr>
              <w:t>Allocated Net</w:t>
            </w:r>
          </w:p>
        </w:tc>
        <w:tc>
          <w:tcPr>
            <w:tcW w:w="1620" w:type="dxa"/>
            <w:vAlign w:val="bottom"/>
          </w:tcPr>
          <w:p>
            <w:pPr>
              <w:jc w:val="center"/>
              <w:spacing w:after="0"/>
              <w:rPr>
                <w:sz w:val="20"/>
                <w:szCs w:val="20"/>
                <w:color w:val="auto"/>
              </w:rPr>
            </w:pPr>
            <w:r>
              <w:rPr>
                <w:rFonts w:ascii="Arial" w:cs="Arial" w:eastAsia="Arial" w:hAnsi="Arial"/>
                <w:sz w:val="14"/>
                <w:szCs w:val="14"/>
                <w:color w:val="auto"/>
              </w:rPr>
              <w:t>Weighted</w:t>
            </w: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340" w:type="dxa"/>
            <w:vAlign w:val="bottom"/>
          </w:tcPr>
          <w:p>
            <w:pPr>
              <w:spacing w:after="0"/>
              <w:rPr>
                <w:sz w:val="14"/>
                <w:szCs w:val="14"/>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color w:val="auto"/>
              </w:rPr>
              <w:t>Income</w:t>
            </w:r>
          </w:p>
        </w:tc>
        <w:tc>
          <w:tcPr>
            <w:tcW w:w="1440" w:type="dxa"/>
            <w:vAlign w:val="bottom"/>
          </w:tcPr>
          <w:p>
            <w:pPr>
              <w:jc w:val="center"/>
              <w:ind w:left="98"/>
              <w:spacing w:after="0"/>
              <w:rPr>
                <w:sz w:val="20"/>
                <w:szCs w:val="20"/>
                <w:color w:val="auto"/>
              </w:rPr>
            </w:pPr>
            <w:r>
              <w:rPr>
                <w:rFonts w:ascii="Arial" w:cs="Arial" w:eastAsia="Arial" w:hAnsi="Arial"/>
                <w:sz w:val="14"/>
                <w:szCs w:val="14"/>
                <w:color w:val="auto"/>
              </w:rPr>
              <w:t>Shares</w:t>
            </w:r>
          </w:p>
        </w:tc>
        <w:tc>
          <w:tcPr>
            <w:tcW w:w="1520" w:type="dxa"/>
            <w:vAlign w:val="bottom"/>
            <w:gridSpan w:val="2"/>
          </w:tcPr>
          <w:p>
            <w:pPr>
              <w:jc w:val="right"/>
              <w:ind w:right="253"/>
              <w:spacing w:after="0"/>
              <w:rPr>
                <w:sz w:val="20"/>
                <w:szCs w:val="20"/>
                <w:color w:val="auto"/>
              </w:rPr>
            </w:pPr>
            <w:r>
              <w:rPr>
                <w:rFonts w:ascii="Arial" w:cs="Arial" w:eastAsia="Arial" w:hAnsi="Arial"/>
                <w:sz w:val="14"/>
                <w:szCs w:val="14"/>
                <w:color w:val="auto"/>
              </w:rPr>
              <w:t>Per-Share</w:t>
            </w:r>
          </w:p>
        </w:tc>
        <w:tc>
          <w:tcPr>
            <w:tcW w:w="480" w:type="dxa"/>
            <w:vAlign w:val="bottom"/>
          </w:tcPr>
          <w:p>
            <w:pPr>
              <w:spacing w:after="0"/>
              <w:rPr>
                <w:sz w:val="14"/>
                <w:szCs w:val="14"/>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color w:val="auto"/>
              </w:rPr>
              <w:t>Income</w:t>
            </w:r>
          </w:p>
        </w:tc>
        <w:tc>
          <w:tcPr>
            <w:tcW w:w="1620" w:type="dxa"/>
            <w:vAlign w:val="bottom"/>
          </w:tcPr>
          <w:p>
            <w:pPr>
              <w:jc w:val="center"/>
              <w:spacing w:after="0"/>
              <w:rPr>
                <w:sz w:val="20"/>
                <w:szCs w:val="20"/>
                <w:color w:val="auto"/>
              </w:rPr>
            </w:pPr>
            <w:r>
              <w:rPr>
                <w:rFonts w:ascii="Arial" w:cs="Arial" w:eastAsia="Arial" w:hAnsi="Arial"/>
                <w:sz w:val="14"/>
                <w:szCs w:val="14"/>
                <w:color w:val="auto"/>
                <w:w w:val="99"/>
              </w:rPr>
              <w:t>Shares</w:t>
            </w:r>
          </w:p>
        </w:tc>
        <w:tc>
          <w:tcPr>
            <w:tcW w:w="1220" w:type="dxa"/>
            <w:vAlign w:val="bottom"/>
            <w:gridSpan w:val="2"/>
          </w:tcPr>
          <w:p>
            <w:pPr>
              <w:jc w:val="right"/>
              <w:ind w:right="93"/>
              <w:spacing w:after="0"/>
              <w:rPr>
                <w:sz w:val="20"/>
                <w:szCs w:val="20"/>
                <w:color w:val="auto"/>
              </w:rPr>
            </w:pPr>
            <w:r>
              <w:rPr>
                <w:rFonts w:ascii="Arial" w:cs="Arial" w:eastAsia="Arial" w:hAnsi="Arial"/>
                <w:sz w:val="14"/>
                <w:szCs w:val="14"/>
                <w:color w:val="auto"/>
              </w:rPr>
              <w:t>Per-Share</w:t>
            </w:r>
          </w:p>
        </w:tc>
        <w:tc>
          <w:tcPr>
            <w:tcW w:w="0" w:type="dxa"/>
            <w:vAlign w:val="bottom"/>
          </w:tcPr>
          <w:p>
            <w:pPr>
              <w:spacing w:after="0"/>
              <w:rPr>
                <w:sz w:val="1"/>
                <w:szCs w:val="1"/>
                <w:color w:val="auto"/>
              </w:rPr>
            </w:pPr>
          </w:p>
        </w:tc>
      </w:tr>
      <w:tr>
        <w:trPr>
          <w:trHeight w:val="164"/>
        </w:trPr>
        <w:tc>
          <w:tcPr>
            <w:tcW w:w="2660" w:type="dxa"/>
            <w:vAlign w:val="bottom"/>
            <w:gridSpan w:val="2"/>
          </w:tcPr>
          <w:p>
            <w:pPr>
              <w:spacing w:after="0" w:line="157" w:lineRule="exact"/>
              <w:rPr>
                <w:sz w:val="20"/>
                <w:szCs w:val="20"/>
                <w:color w:val="auto"/>
              </w:rPr>
            </w:pPr>
            <w:r>
              <w:rPr>
                <w:rFonts w:ascii="Arial" w:cs="Arial" w:eastAsia="Arial" w:hAnsi="Arial"/>
                <w:sz w:val="14"/>
                <w:szCs w:val="14"/>
                <w:color w:val="auto"/>
              </w:rPr>
              <w:t>except per share data)</w:t>
            </w:r>
          </w:p>
        </w:tc>
        <w:tc>
          <w:tcPr>
            <w:tcW w:w="1400" w:type="dxa"/>
            <w:vAlign w:val="bottom"/>
            <w:tcBorders>
              <w:bottom w:val="single" w:sz="8" w:color="auto"/>
            </w:tcBorders>
            <w:gridSpan w:val="2"/>
          </w:tcPr>
          <w:p>
            <w:pPr>
              <w:ind w:left="240"/>
              <w:spacing w:after="0" w:line="157" w:lineRule="exact"/>
              <w:rPr>
                <w:sz w:val="20"/>
                <w:szCs w:val="20"/>
                <w:color w:val="auto"/>
              </w:rPr>
            </w:pPr>
            <w:r>
              <w:rPr>
                <w:rFonts w:ascii="Arial" w:cs="Arial" w:eastAsia="Arial" w:hAnsi="Arial"/>
                <w:sz w:val="14"/>
                <w:szCs w:val="14"/>
                <w:color w:val="auto"/>
              </w:rPr>
              <w:t>(Numerator)</w:t>
            </w:r>
          </w:p>
        </w:tc>
        <w:tc>
          <w:tcPr>
            <w:tcW w:w="1440" w:type="dxa"/>
            <w:vAlign w:val="bottom"/>
            <w:tcBorders>
              <w:bottom w:val="single" w:sz="8" w:color="auto"/>
            </w:tcBorders>
          </w:tcPr>
          <w:p>
            <w:pPr>
              <w:jc w:val="center"/>
              <w:ind w:left="118"/>
              <w:spacing w:after="0" w:line="157" w:lineRule="exact"/>
              <w:rPr>
                <w:sz w:val="20"/>
                <w:szCs w:val="20"/>
                <w:color w:val="auto"/>
              </w:rPr>
            </w:pPr>
            <w:r>
              <w:rPr>
                <w:rFonts w:ascii="Arial" w:cs="Arial" w:eastAsia="Arial" w:hAnsi="Arial"/>
                <w:sz w:val="14"/>
                <w:szCs w:val="14"/>
                <w:color w:val="auto"/>
              </w:rPr>
              <w:t>(Denominator)</w:t>
            </w:r>
          </w:p>
        </w:tc>
        <w:tc>
          <w:tcPr>
            <w:tcW w:w="5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3"/>
              <w:spacing w:after="0" w:line="157" w:lineRule="exact"/>
              <w:rPr>
                <w:sz w:val="20"/>
                <w:szCs w:val="20"/>
                <w:color w:val="auto"/>
              </w:rPr>
            </w:pPr>
            <w:r>
              <w:rPr>
                <w:rFonts w:ascii="Arial" w:cs="Arial" w:eastAsia="Arial" w:hAnsi="Arial"/>
                <w:sz w:val="14"/>
                <w:szCs w:val="14"/>
                <w:color w:val="auto"/>
              </w:rPr>
              <w:t>Amount</w:t>
            </w:r>
          </w:p>
        </w:tc>
        <w:tc>
          <w:tcPr>
            <w:tcW w:w="1560" w:type="dxa"/>
            <w:vAlign w:val="bottom"/>
            <w:tcBorders>
              <w:bottom w:val="single" w:sz="8" w:color="auto"/>
            </w:tcBorders>
            <w:gridSpan w:val="2"/>
          </w:tcPr>
          <w:p>
            <w:pPr>
              <w:ind w:left="380"/>
              <w:spacing w:after="0" w:line="157" w:lineRule="exact"/>
              <w:rPr>
                <w:sz w:val="20"/>
                <w:szCs w:val="20"/>
                <w:color w:val="auto"/>
              </w:rPr>
            </w:pPr>
            <w:r>
              <w:rPr>
                <w:rFonts w:ascii="Arial" w:cs="Arial" w:eastAsia="Arial" w:hAnsi="Arial"/>
                <w:sz w:val="14"/>
                <w:szCs w:val="14"/>
                <w:color w:val="auto"/>
              </w:rPr>
              <w:t>(Numerator)</w:t>
            </w:r>
          </w:p>
        </w:tc>
        <w:tc>
          <w:tcPr>
            <w:tcW w:w="16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(Denominator)</w:t>
            </w: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3"/>
              <w:spacing w:after="0" w:line="157" w:lineRule="exact"/>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Class A — Basic EPS: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Pr>
          <w:p>
            <w:pPr>
              <w:spacing w:after="0" w:line="201" w:lineRule="exact"/>
              <w:rPr>
                <w:sz w:val="20"/>
                <w:szCs w:val="20"/>
                <w:color w:val="auto"/>
              </w:rPr>
            </w:pPr>
            <w:r>
              <w:rPr>
                <w:rFonts w:ascii="Arial" w:cs="Arial" w:eastAsia="Arial" w:hAnsi="Arial"/>
                <w:sz w:val="18"/>
                <w:szCs w:val="18"/>
                <w:color w:val="auto"/>
              </w:rPr>
              <w:t>Income available to Class A</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ind w:left="200"/>
              <w:spacing w:after="0" w:line="203" w:lineRule="exact"/>
              <w:rPr>
                <w:sz w:val="20"/>
                <w:szCs w:val="20"/>
                <w:color w:val="auto"/>
              </w:rPr>
            </w:pPr>
            <w:r>
              <w:rPr>
                <w:rFonts w:ascii="Arial" w:cs="Arial" w:eastAsia="Arial" w:hAnsi="Arial"/>
                <w:sz w:val="18"/>
                <w:szCs w:val="18"/>
                <w:color w:val="auto"/>
              </w:rPr>
              <w:t>stockholders</w:t>
            </w:r>
          </w:p>
        </w:tc>
        <w:tc>
          <w:tcPr>
            <w:tcW w:w="340" w:type="dxa"/>
            <w:vAlign w:val="bottom"/>
            <w:tcBorders>
              <w:bottom w:val="single" w:sz="8" w:color="auto"/>
            </w:tcBorders>
          </w:tcPr>
          <w:p>
            <w:pPr>
              <w:ind w:left="24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413"/>
              <w:spacing w:after="0" w:line="203" w:lineRule="exact"/>
              <w:rPr>
                <w:sz w:val="20"/>
                <w:szCs w:val="20"/>
                <w:color w:val="auto"/>
              </w:rPr>
            </w:pPr>
            <w:r>
              <w:rPr>
                <w:rFonts w:ascii="Arial" w:cs="Arial" w:eastAsia="Arial" w:hAnsi="Arial"/>
                <w:sz w:val="18"/>
                <w:szCs w:val="18"/>
                <w:color w:val="auto"/>
                <w:w w:val="98"/>
              </w:rPr>
              <w:t>55,978</w:t>
            </w:r>
          </w:p>
        </w:tc>
        <w:tc>
          <w:tcPr>
            <w:tcW w:w="1440" w:type="dxa"/>
            <w:vAlign w:val="bottom"/>
            <w:tcBorders>
              <w:bottom w:val="single" w:sz="8" w:color="auto"/>
            </w:tcBorders>
          </w:tcPr>
          <w:p>
            <w:pPr>
              <w:jc w:val="right"/>
              <w:ind w:right="98"/>
              <w:spacing w:after="0" w:line="203" w:lineRule="exact"/>
              <w:rPr>
                <w:sz w:val="20"/>
                <w:szCs w:val="20"/>
                <w:color w:val="auto"/>
              </w:rPr>
            </w:pPr>
            <w:r>
              <w:rPr>
                <w:rFonts w:ascii="Arial" w:cs="Arial" w:eastAsia="Arial" w:hAnsi="Arial"/>
                <w:sz w:val="18"/>
                <w:szCs w:val="18"/>
                <w:color w:val="auto"/>
              </w:rPr>
              <w:t>57,691,289</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293"/>
              <w:spacing w:after="0" w:line="203" w:lineRule="exact"/>
              <w:rPr>
                <w:sz w:val="20"/>
                <w:szCs w:val="20"/>
                <w:color w:val="auto"/>
              </w:rPr>
            </w:pPr>
            <w:r>
              <w:rPr>
                <w:rFonts w:ascii="Arial" w:cs="Arial" w:eastAsia="Arial" w:hAnsi="Arial"/>
                <w:sz w:val="18"/>
                <w:szCs w:val="18"/>
                <w:color w:val="auto"/>
              </w:rPr>
              <w:t>0.97</w:t>
            </w:r>
          </w:p>
        </w:tc>
        <w:tc>
          <w:tcPr>
            <w:tcW w:w="480" w:type="dxa"/>
            <w:vAlign w:val="bottom"/>
            <w:tcBorders>
              <w:bottom w:val="single" w:sz="8" w:color="auto"/>
            </w:tcBorders>
          </w:tcPr>
          <w:p>
            <w:pPr>
              <w:ind w:left="38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433"/>
              <w:spacing w:after="0" w:line="203" w:lineRule="exact"/>
              <w:rPr>
                <w:sz w:val="20"/>
                <w:szCs w:val="20"/>
                <w:color w:val="auto"/>
              </w:rPr>
            </w:pPr>
            <w:r>
              <w:rPr>
                <w:rFonts w:ascii="Arial" w:cs="Arial" w:eastAsia="Arial" w:hAnsi="Arial"/>
                <w:sz w:val="18"/>
                <w:szCs w:val="18"/>
                <w:color w:val="auto"/>
                <w:w w:val="98"/>
              </w:rPr>
              <w:t>49,124</w:t>
            </w:r>
          </w:p>
        </w:tc>
        <w:tc>
          <w:tcPr>
            <w:tcW w:w="1620" w:type="dxa"/>
            <w:vAlign w:val="bottom"/>
            <w:tcBorders>
              <w:bottom w:val="single" w:sz="8" w:color="auto"/>
            </w:tcBorders>
          </w:tcPr>
          <w:p>
            <w:pPr>
              <w:jc w:val="right"/>
              <w:ind w:right="258"/>
              <w:spacing w:after="0" w:line="203" w:lineRule="exact"/>
              <w:rPr>
                <w:sz w:val="20"/>
                <w:szCs w:val="20"/>
                <w:color w:val="auto"/>
              </w:rPr>
            </w:pPr>
            <w:r>
              <w:rPr>
                <w:rFonts w:ascii="Arial" w:cs="Arial" w:eastAsia="Arial" w:hAnsi="Arial"/>
                <w:sz w:val="18"/>
                <w:szCs w:val="18"/>
                <w:color w:val="auto"/>
              </w:rPr>
              <w:t>60,630,395</w:t>
            </w:r>
          </w:p>
        </w:tc>
        <w:tc>
          <w:tcPr>
            <w:tcW w:w="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33"/>
              <w:spacing w:after="0" w:line="203" w:lineRule="exact"/>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Dilutive effect of stock</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awards</w:t>
            </w: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13"/>
              <w:spacing w:after="0" w:line="203" w:lineRule="exact"/>
              <w:rPr>
                <w:sz w:val="20"/>
                <w:szCs w:val="20"/>
                <w:color w:val="auto"/>
              </w:rPr>
            </w:pPr>
            <w:r>
              <w:rPr>
                <w:rFonts w:ascii="Arial" w:cs="Arial" w:eastAsia="Arial" w:hAnsi="Arial"/>
                <w:sz w:val="18"/>
                <w:szCs w:val="18"/>
                <w:color w:val="auto"/>
              </w:rPr>
              <w:t>0</w:t>
            </w:r>
          </w:p>
        </w:tc>
        <w:tc>
          <w:tcPr>
            <w:tcW w:w="1440" w:type="dxa"/>
            <w:vAlign w:val="bottom"/>
            <w:tcBorders>
              <w:bottom w:val="single" w:sz="8" w:color="auto"/>
            </w:tcBorders>
            <w:shd w:val="clear" w:color="auto" w:fill="CCEEFF"/>
          </w:tcPr>
          <w:p>
            <w:pPr>
              <w:jc w:val="right"/>
              <w:ind w:right="98"/>
              <w:spacing w:after="0" w:line="203" w:lineRule="exact"/>
              <w:rPr>
                <w:sz w:val="20"/>
                <w:szCs w:val="20"/>
                <w:color w:val="auto"/>
              </w:rPr>
            </w:pPr>
            <w:r>
              <w:rPr>
                <w:rFonts w:ascii="Arial" w:cs="Arial" w:eastAsia="Arial" w:hAnsi="Arial"/>
                <w:sz w:val="18"/>
                <w:szCs w:val="18"/>
                <w:color w:val="auto"/>
              </w:rPr>
              <w:t>39,969</w:t>
            </w:r>
          </w:p>
        </w:tc>
        <w:tc>
          <w:tcPr>
            <w:tcW w:w="5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93"/>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33"/>
              <w:spacing w:after="0" w:line="203" w:lineRule="exact"/>
              <w:rPr>
                <w:sz w:val="20"/>
                <w:szCs w:val="20"/>
                <w:color w:val="auto"/>
              </w:rPr>
            </w:pPr>
            <w:r>
              <w:rPr>
                <w:rFonts w:ascii="Arial" w:cs="Arial" w:eastAsia="Arial" w:hAnsi="Arial"/>
                <w:sz w:val="18"/>
                <w:szCs w:val="18"/>
                <w:color w:val="auto"/>
              </w:rPr>
              <w:t>0</w:t>
            </w:r>
          </w:p>
        </w:tc>
        <w:tc>
          <w:tcPr>
            <w:tcW w:w="1620" w:type="dxa"/>
            <w:vAlign w:val="bottom"/>
            <w:tcBorders>
              <w:bottom w:val="single" w:sz="8" w:color="auto"/>
            </w:tcBorders>
            <w:shd w:val="clear" w:color="auto" w:fill="CCEEFF"/>
          </w:tcPr>
          <w:p>
            <w:pPr>
              <w:jc w:val="right"/>
              <w:ind w:right="258"/>
              <w:spacing w:after="0" w:line="203" w:lineRule="exact"/>
              <w:rPr>
                <w:sz w:val="20"/>
                <w:szCs w:val="20"/>
                <w:color w:val="auto"/>
              </w:rPr>
            </w:pPr>
            <w:r>
              <w:rPr>
                <w:rFonts w:ascii="Arial" w:cs="Arial" w:eastAsia="Arial" w:hAnsi="Arial"/>
                <w:sz w:val="18"/>
                <w:szCs w:val="18"/>
                <w:color w:val="auto"/>
              </w:rPr>
              <w:t>75,530</w:t>
            </w:r>
          </w:p>
        </w:tc>
        <w:tc>
          <w:tcPr>
            <w:tcW w:w="4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33"/>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1"/>
        </w:trPr>
        <w:tc>
          <w:tcPr>
            <w:tcW w:w="2660" w:type="dxa"/>
            <w:vAlign w:val="bottom"/>
            <w:gridSpan w:val="2"/>
          </w:tcPr>
          <w:p>
            <w:pPr>
              <w:spacing w:after="0"/>
              <w:rPr>
                <w:sz w:val="20"/>
                <w:szCs w:val="20"/>
                <w:color w:val="auto"/>
              </w:rPr>
            </w:pPr>
            <w:r>
              <w:rPr>
                <w:rFonts w:ascii="Arial" w:cs="Arial" w:eastAsia="Arial" w:hAnsi="Arial"/>
                <w:sz w:val="18"/>
                <w:szCs w:val="18"/>
                <w:color w:val="auto"/>
              </w:rPr>
              <w:t>Assumed conversion of</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ind w:left="200"/>
              <w:spacing w:after="0" w:line="203" w:lineRule="exact"/>
              <w:rPr>
                <w:sz w:val="20"/>
                <w:szCs w:val="20"/>
                <w:color w:val="auto"/>
              </w:rPr>
            </w:pPr>
            <w:r>
              <w:rPr>
                <w:rFonts w:ascii="Arial" w:cs="Arial" w:eastAsia="Arial" w:hAnsi="Arial"/>
                <w:sz w:val="18"/>
                <w:szCs w:val="18"/>
                <w:color w:val="auto"/>
              </w:rPr>
              <w:t>Class B shares</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3"/>
              <w:spacing w:after="0" w:line="203" w:lineRule="exact"/>
              <w:rPr>
                <w:sz w:val="20"/>
                <w:szCs w:val="20"/>
                <w:color w:val="auto"/>
              </w:rPr>
            </w:pPr>
            <w:r>
              <w:rPr>
                <w:rFonts w:ascii="Arial" w:cs="Arial" w:eastAsia="Arial" w:hAnsi="Arial"/>
                <w:sz w:val="18"/>
                <w:szCs w:val="18"/>
                <w:color w:val="auto"/>
              </w:rPr>
              <w:t>383</w:t>
            </w:r>
          </w:p>
        </w:tc>
        <w:tc>
          <w:tcPr>
            <w:tcW w:w="1440" w:type="dxa"/>
            <w:vAlign w:val="bottom"/>
            <w:tcBorders>
              <w:bottom w:val="single" w:sz="8" w:color="auto"/>
            </w:tcBorders>
          </w:tcPr>
          <w:p>
            <w:pPr>
              <w:jc w:val="right"/>
              <w:ind w:right="98"/>
              <w:spacing w:after="0" w:line="203" w:lineRule="exact"/>
              <w:rPr>
                <w:sz w:val="20"/>
                <w:szCs w:val="20"/>
                <w:color w:val="auto"/>
              </w:rPr>
            </w:pPr>
            <w:r>
              <w:rPr>
                <w:rFonts w:ascii="Arial" w:cs="Arial" w:eastAsia="Arial" w:hAnsi="Arial"/>
                <w:sz w:val="18"/>
                <w:szCs w:val="18"/>
                <w:color w:val="auto"/>
              </w:rPr>
              <w:t>6,175,200</w:t>
            </w: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3"/>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3"/>
              <w:spacing w:after="0" w:line="203" w:lineRule="exact"/>
              <w:rPr>
                <w:sz w:val="20"/>
                <w:szCs w:val="20"/>
                <w:color w:val="auto"/>
              </w:rPr>
            </w:pPr>
            <w:r>
              <w:rPr>
                <w:rFonts w:ascii="Arial" w:cs="Arial" w:eastAsia="Arial" w:hAnsi="Arial"/>
                <w:sz w:val="18"/>
                <w:szCs w:val="18"/>
                <w:color w:val="auto"/>
              </w:rPr>
              <w:t>342</w:t>
            </w:r>
          </w:p>
        </w:tc>
        <w:tc>
          <w:tcPr>
            <w:tcW w:w="1620" w:type="dxa"/>
            <w:vAlign w:val="bottom"/>
            <w:tcBorders>
              <w:bottom w:val="single" w:sz="8" w:color="auto"/>
            </w:tcBorders>
          </w:tcPr>
          <w:p>
            <w:pPr>
              <w:jc w:val="right"/>
              <w:ind w:right="258"/>
              <w:spacing w:after="0" w:line="203" w:lineRule="exact"/>
              <w:rPr>
                <w:sz w:val="20"/>
                <w:szCs w:val="20"/>
                <w:color w:val="auto"/>
              </w:rPr>
            </w:pPr>
            <w:r>
              <w:rPr>
                <w:rFonts w:ascii="Arial" w:cs="Arial" w:eastAsia="Arial" w:hAnsi="Arial"/>
                <w:sz w:val="18"/>
                <w:szCs w:val="18"/>
                <w:color w:val="auto"/>
              </w:rPr>
              <w:t>6,799,200</w:t>
            </w:r>
          </w:p>
        </w:tc>
        <w:tc>
          <w:tcPr>
            <w:tcW w:w="4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3"/>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Class A — Diluted EPS: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Pr>
          <w:p>
            <w:pPr>
              <w:spacing w:after="0" w:line="201" w:lineRule="exact"/>
              <w:rPr>
                <w:sz w:val="20"/>
                <w:szCs w:val="20"/>
                <w:color w:val="auto"/>
              </w:rPr>
            </w:pPr>
            <w:r>
              <w:rPr>
                <w:rFonts w:ascii="Arial" w:cs="Arial" w:eastAsia="Arial" w:hAnsi="Arial"/>
                <w:sz w:val="18"/>
                <w:szCs w:val="18"/>
                <w:color w:val="auto"/>
              </w:rPr>
              <w:t>Income available to Class A</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ind w:left="200"/>
              <w:spacing w:after="0" w:line="202" w:lineRule="exact"/>
              <w:rPr>
                <w:sz w:val="20"/>
                <w:szCs w:val="20"/>
                <w:color w:val="auto"/>
              </w:rPr>
            </w:pPr>
            <w:r>
              <w:rPr>
                <w:rFonts w:ascii="Arial" w:cs="Arial" w:eastAsia="Arial" w:hAnsi="Arial"/>
                <w:sz w:val="18"/>
                <w:szCs w:val="18"/>
                <w:color w:val="auto"/>
              </w:rPr>
              <w:t>stockholders on Class A</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ind w:left="200"/>
              <w:spacing w:after="0" w:line="203" w:lineRule="exact"/>
              <w:rPr>
                <w:sz w:val="20"/>
                <w:szCs w:val="20"/>
                <w:color w:val="auto"/>
              </w:rPr>
            </w:pPr>
            <w:r>
              <w:rPr>
                <w:rFonts w:ascii="Arial" w:cs="Arial" w:eastAsia="Arial" w:hAnsi="Arial"/>
                <w:sz w:val="18"/>
                <w:szCs w:val="18"/>
                <w:color w:val="auto"/>
              </w:rPr>
              <w:t>equivalent shares</w:t>
            </w:r>
          </w:p>
        </w:tc>
        <w:tc>
          <w:tcPr>
            <w:tcW w:w="340" w:type="dxa"/>
            <w:vAlign w:val="bottom"/>
            <w:tcBorders>
              <w:bottom w:val="single" w:sz="8" w:color="auto"/>
            </w:tcBorders>
          </w:tcPr>
          <w:p>
            <w:pPr>
              <w:ind w:left="24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413"/>
              <w:spacing w:after="0" w:line="203" w:lineRule="exact"/>
              <w:rPr>
                <w:sz w:val="20"/>
                <w:szCs w:val="20"/>
                <w:color w:val="auto"/>
              </w:rPr>
            </w:pPr>
            <w:r>
              <w:rPr>
                <w:rFonts w:ascii="Arial" w:cs="Arial" w:eastAsia="Arial" w:hAnsi="Arial"/>
                <w:sz w:val="18"/>
                <w:szCs w:val="18"/>
                <w:color w:val="auto"/>
                <w:w w:val="98"/>
              </w:rPr>
              <w:t>56,361</w:t>
            </w:r>
          </w:p>
        </w:tc>
        <w:tc>
          <w:tcPr>
            <w:tcW w:w="1440" w:type="dxa"/>
            <w:vAlign w:val="bottom"/>
            <w:tcBorders>
              <w:bottom w:val="single" w:sz="8" w:color="auto"/>
            </w:tcBorders>
          </w:tcPr>
          <w:p>
            <w:pPr>
              <w:jc w:val="right"/>
              <w:ind w:right="98"/>
              <w:spacing w:after="0" w:line="203" w:lineRule="exact"/>
              <w:rPr>
                <w:sz w:val="20"/>
                <w:szCs w:val="20"/>
                <w:color w:val="auto"/>
              </w:rPr>
            </w:pPr>
            <w:r>
              <w:rPr>
                <w:rFonts w:ascii="Arial" w:cs="Arial" w:eastAsia="Arial" w:hAnsi="Arial"/>
                <w:sz w:val="18"/>
                <w:szCs w:val="18"/>
                <w:color w:val="auto"/>
              </w:rPr>
              <w:t>63,906,458</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293"/>
              <w:spacing w:after="0" w:line="203" w:lineRule="exact"/>
              <w:rPr>
                <w:sz w:val="20"/>
                <w:szCs w:val="20"/>
                <w:color w:val="auto"/>
              </w:rPr>
            </w:pPr>
            <w:r>
              <w:rPr>
                <w:rFonts w:ascii="Arial" w:cs="Arial" w:eastAsia="Arial" w:hAnsi="Arial"/>
                <w:sz w:val="18"/>
                <w:szCs w:val="18"/>
                <w:color w:val="auto"/>
              </w:rPr>
              <w:t>0.88</w:t>
            </w:r>
          </w:p>
        </w:tc>
        <w:tc>
          <w:tcPr>
            <w:tcW w:w="480" w:type="dxa"/>
            <w:vAlign w:val="bottom"/>
            <w:tcBorders>
              <w:bottom w:val="single" w:sz="8" w:color="auto"/>
            </w:tcBorders>
          </w:tcPr>
          <w:p>
            <w:pPr>
              <w:ind w:left="38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433"/>
              <w:spacing w:after="0" w:line="203" w:lineRule="exact"/>
              <w:rPr>
                <w:sz w:val="20"/>
                <w:szCs w:val="20"/>
                <w:color w:val="auto"/>
              </w:rPr>
            </w:pPr>
            <w:r>
              <w:rPr>
                <w:rFonts w:ascii="Arial" w:cs="Arial" w:eastAsia="Arial" w:hAnsi="Arial"/>
                <w:sz w:val="18"/>
                <w:szCs w:val="18"/>
                <w:color w:val="auto"/>
                <w:w w:val="98"/>
              </w:rPr>
              <w:t>49,466</w:t>
            </w:r>
          </w:p>
        </w:tc>
        <w:tc>
          <w:tcPr>
            <w:tcW w:w="1620" w:type="dxa"/>
            <w:vAlign w:val="bottom"/>
            <w:tcBorders>
              <w:bottom w:val="single" w:sz="8" w:color="auto"/>
            </w:tcBorders>
          </w:tcPr>
          <w:p>
            <w:pPr>
              <w:jc w:val="right"/>
              <w:ind w:right="258"/>
              <w:spacing w:after="0" w:line="203" w:lineRule="exact"/>
              <w:rPr>
                <w:sz w:val="20"/>
                <w:szCs w:val="20"/>
                <w:color w:val="auto"/>
              </w:rPr>
            </w:pPr>
            <w:r>
              <w:rPr>
                <w:rFonts w:ascii="Arial" w:cs="Arial" w:eastAsia="Arial" w:hAnsi="Arial"/>
                <w:sz w:val="18"/>
                <w:szCs w:val="18"/>
                <w:color w:val="auto"/>
              </w:rPr>
              <w:t>67,505,125</w:t>
            </w:r>
          </w:p>
        </w:tc>
        <w:tc>
          <w:tcPr>
            <w:tcW w:w="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33"/>
              <w:spacing w:after="0" w:line="203" w:lineRule="exact"/>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B — Basic and Diluted</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EPS: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Pr>
          <w:p>
            <w:pPr>
              <w:spacing w:after="0" w:line="201" w:lineRule="exact"/>
              <w:rPr>
                <w:sz w:val="20"/>
                <w:szCs w:val="20"/>
                <w:color w:val="auto"/>
              </w:rPr>
            </w:pPr>
            <w:r>
              <w:rPr>
                <w:rFonts w:ascii="Arial" w:cs="Arial" w:eastAsia="Arial" w:hAnsi="Arial"/>
                <w:sz w:val="18"/>
                <w:szCs w:val="18"/>
                <w:color w:val="auto"/>
              </w:rPr>
              <w:t>Income available to Class B</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ind w:left="200"/>
              <w:spacing w:after="0" w:line="203" w:lineRule="exact"/>
              <w:rPr>
                <w:sz w:val="20"/>
                <w:szCs w:val="20"/>
                <w:color w:val="auto"/>
              </w:rPr>
            </w:pPr>
            <w:r>
              <w:rPr>
                <w:rFonts w:ascii="Arial" w:cs="Arial" w:eastAsia="Arial" w:hAnsi="Arial"/>
                <w:sz w:val="18"/>
                <w:szCs w:val="18"/>
                <w:color w:val="auto"/>
              </w:rPr>
              <w:t>stockholders</w:t>
            </w:r>
          </w:p>
        </w:tc>
        <w:tc>
          <w:tcPr>
            <w:tcW w:w="340" w:type="dxa"/>
            <w:vAlign w:val="bottom"/>
            <w:tcBorders>
              <w:bottom w:val="single" w:sz="8" w:color="auto"/>
            </w:tcBorders>
          </w:tcPr>
          <w:p>
            <w:pPr>
              <w:ind w:left="24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413"/>
              <w:spacing w:after="0" w:line="203" w:lineRule="exact"/>
              <w:rPr>
                <w:sz w:val="20"/>
                <w:szCs w:val="20"/>
                <w:color w:val="auto"/>
              </w:rPr>
            </w:pPr>
            <w:r>
              <w:rPr>
                <w:rFonts w:ascii="Arial" w:cs="Arial" w:eastAsia="Arial" w:hAnsi="Arial"/>
                <w:sz w:val="18"/>
                <w:szCs w:val="18"/>
                <w:color w:val="auto"/>
              </w:rPr>
              <w:t>383</w:t>
            </w:r>
          </w:p>
        </w:tc>
        <w:tc>
          <w:tcPr>
            <w:tcW w:w="1440" w:type="dxa"/>
            <w:vAlign w:val="bottom"/>
            <w:tcBorders>
              <w:bottom w:val="single" w:sz="8" w:color="auto"/>
            </w:tcBorders>
          </w:tcPr>
          <w:p>
            <w:pPr>
              <w:jc w:val="right"/>
              <w:ind w:right="98"/>
              <w:spacing w:after="0" w:line="203" w:lineRule="exact"/>
              <w:rPr>
                <w:sz w:val="20"/>
                <w:szCs w:val="20"/>
                <w:color w:val="auto"/>
              </w:rPr>
            </w:pPr>
            <w:r>
              <w:rPr>
                <w:rFonts w:ascii="Arial" w:cs="Arial" w:eastAsia="Arial" w:hAnsi="Arial"/>
                <w:sz w:val="18"/>
                <w:szCs w:val="18"/>
                <w:color w:val="auto"/>
              </w:rPr>
              <w:t>2,573</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293"/>
              <w:spacing w:after="0" w:line="203" w:lineRule="exact"/>
              <w:rPr>
                <w:sz w:val="20"/>
                <w:szCs w:val="20"/>
                <w:color w:val="auto"/>
              </w:rPr>
            </w:pPr>
            <w:r>
              <w:rPr>
                <w:rFonts w:ascii="Arial" w:cs="Arial" w:eastAsia="Arial" w:hAnsi="Arial"/>
                <w:sz w:val="18"/>
                <w:szCs w:val="18"/>
                <w:color w:val="auto"/>
                <w:w w:val="98"/>
              </w:rPr>
              <w:t>149.01</w:t>
            </w:r>
          </w:p>
        </w:tc>
        <w:tc>
          <w:tcPr>
            <w:tcW w:w="480" w:type="dxa"/>
            <w:vAlign w:val="bottom"/>
            <w:tcBorders>
              <w:bottom w:val="single" w:sz="8" w:color="auto"/>
            </w:tcBorders>
          </w:tcPr>
          <w:p>
            <w:pPr>
              <w:ind w:left="38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433"/>
              <w:spacing w:after="0" w:line="203" w:lineRule="exact"/>
              <w:rPr>
                <w:sz w:val="20"/>
                <w:szCs w:val="20"/>
                <w:color w:val="auto"/>
              </w:rPr>
            </w:pPr>
            <w:r>
              <w:rPr>
                <w:rFonts w:ascii="Arial" w:cs="Arial" w:eastAsia="Arial" w:hAnsi="Arial"/>
                <w:sz w:val="18"/>
                <w:szCs w:val="18"/>
                <w:color w:val="auto"/>
              </w:rPr>
              <w:t>342</w:t>
            </w:r>
          </w:p>
        </w:tc>
        <w:tc>
          <w:tcPr>
            <w:tcW w:w="1620" w:type="dxa"/>
            <w:vAlign w:val="bottom"/>
            <w:tcBorders>
              <w:bottom w:val="single" w:sz="8" w:color="auto"/>
            </w:tcBorders>
          </w:tcPr>
          <w:p>
            <w:pPr>
              <w:jc w:val="right"/>
              <w:ind w:right="258"/>
              <w:spacing w:after="0" w:line="203" w:lineRule="exact"/>
              <w:rPr>
                <w:sz w:val="20"/>
                <w:szCs w:val="20"/>
                <w:color w:val="auto"/>
              </w:rPr>
            </w:pPr>
            <w:r>
              <w:rPr>
                <w:rFonts w:ascii="Arial" w:cs="Arial" w:eastAsia="Arial" w:hAnsi="Arial"/>
                <w:sz w:val="18"/>
                <w:szCs w:val="18"/>
                <w:color w:val="auto"/>
              </w:rPr>
              <w:t>2,833</w:t>
            </w:r>
          </w:p>
        </w:tc>
        <w:tc>
          <w:tcPr>
            <w:tcW w:w="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33"/>
              <w:spacing w:after="0" w:line="203" w:lineRule="exact"/>
              <w:rPr>
                <w:sz w:val="20"/>
                <w:szCs w:val="20"/>
                <w:color w:val="auto"/>
              </w:rPr>
            </w:pPr>
            <w:r>
              <w:rPr>
                <w:rFonts w:ascii="Arial" w:cs="Arial" w:eastAsia="Arial" w:hAnsi="Arial"/>
                <w:sz w:val="18"/>
                <w:szCs w:val="18"/>
                <w:color w:val="auto"/>
                <w:w w:val="94"/>
              </w:rPr>
              <w:t>121.08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80" w:type="dxa"/>
            <w:vAlign w:val="bottom"/>
          </w:tcPr>
          <w:p>
            <w:pPr>
              <w:jc w:val="right"/>
              <w:ind w:right="236"/>
              <w:spacing w:after="0"/>
              <w:rPr>
                <w:sz w:val="20"/>
                <w:szCs w:val="20"/>
                <w:color w:val="auto"/>
              </w:rPr>
            </w:pPr>
            <w:r>
              <w:rPr>
                <w:rFonts w:ascii="Arial" w:cs="Arial" w:eastAsia="Arial" w:hAnsi="Arial"/>
                <w:sz w:val="18"/>
                <w:szCs w:val="18"/>
                <w:color w:val="auto"/>
              </w:rPr>
              <w:t>9</w:t>
            </w: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106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spacing w:after="0"/>
              <w:rPr>
                <w:sz w:val="18"/>
                <w:szCs w:val="18"/>
                <w:color w:val="auto"/>
              </w:rPr>
            </w:pPr>
          </w:p>
        </w:tc>
        <w:tc>
          <w:tcPr>
            <w:tcW w:w="162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NOTE 4 – EARNINGS PER SHARE (Continued)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Included in the restricted stock awards not yet vested are awards of 37,716 and 73,471 for the first quarter of 2007 and 2006, respectively, related to our pre-2004 long-term incentive plan for executive and senior management. Awards not yet vested related to the outside directors stock compensation plan were 2,253 and 2,059 for the first quarters of 2007 and 2006,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NOTE 5 – INVESTMENTS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Fixed maturities and equity securities</w:t>
      </w:r>
    </w:p>
    <w:p>
      <w:pPr>
        <w:spacing w:after="0" w:line="12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Fixed maturities consist of bonds, notes and redeemable preferred stock. Equity securities include common and nonredeemable preferred stock. Fixed maturities and equity securities are classified as available-for-sale. Available-for-sale securities are stated at fair value, with the unrealized gains and losses, net of deferred tax, reflected in shareholders’ equity in accumulated other comprehensive income.</w:t>
      </w:r>
    </w:p>
    <w:p>
      <w:pPr>
        <w:spacing w:after="0" w:line="1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NOTE 5 – INVESTMENTS (Continued)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cost and market value of available-for-sale securities: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ind w:left="353"/>
              <w:spacing w:after="0"/>
              <w:rPr>
                <w:sz w:val="20"/>
                <w:szCs w:val="20"/>
                <w:color w:val="auto"/>
              </w:rPr>
            </w:pPr>
            <w:r>
              <w:rPr>
                <w:rFonts w:ascii="Arial" w:cs="Arial" w:eastAsia="Arial" w:hAnsi="Arial"/>
                <w:sz w:val="14"/>
                <w:szCs w:val="14"/>
                <w:color w:val="auto"/>
              </w:rPr>
              <w:t>March 31, 2007</w:t>
            </w: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3"/>
                <w:szCs w:val="13"/>
                <w:color w:val="auto"/>
              </w:rPr>
            </w:pPr>
          </w:p>
        </w:tc>
        <w:tc>
          <w:tcPr>
            <w:tcW w:w="1400" w:type="dxa"/>
            <w:vAlign w:val="bottom"/>
          </w:tcPr>
          <w:p>
            <w:pPr>
              <w:jc w:val="center"/>
              <w:ind w:right="672"/>
              <w:spacing w:after="0" w:line="155" w:lineRule="exact"/>
              <w:rPr>
                <w:sz w:val="20"/>
                <w:szCs w:val="20"/>
                <w:color w:val="auto"/>
              </w:rPr>
            </w:pPr>
            <w:r>
              <w:rPr>
                <w:rFonts w:ascii="Arial" w:cs="Arial" w:eastAsia="Arial" w:hAnsi="Arial"/>
                <w:sz w:val="14"/>
                <w:szCs w:val="14"/>
                <w:color w:val="auto"/>
              </w:rPr>
              <w:t>Amortized</w:t>
            </w:r>
          </w:p>
        </w:tc>
        <w:tc>
          <w:tcPr>
            <w:tcW w:w="3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jc w:val="center"/>
              <w:ind w:left="353"/>
              <w:spacing w:after="0" w:line="155" w:lineRule="exact"/>
              <w:rPr>
                <w:sz w:val="20"/>
                <w:szCs w:val="20"/>
                <w:color w:val="auto"/>
              </w:rPr>
            </w:pPr>
            <w:r>
              <w:rPr>
                <w:rFonts w:ascii="Arial" w:cs="Arial" w:eastAsia="Arial" w:hAnsi="Arial"/>
                <w:sz w:val="14"/>
                <w:szCs w:val="14"/>
                <w:color w:val="auto"/>
              </w:rPr>
              <w:t>Gross unrealized</w:t>
            </w:r>
          </w:p>
        </w:tc>
        <w:tc>
          <w:tcPr>
            <w:tcW w:w="740" w:type="dxa"/>
            <w:vAlign w:val="bottom"/>
            <w:tcBorders>
              <w:bottom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jc w:val="center"/>
              <w:ind w:right="212"/>
              <w:spacing w:after="0" w:line="155" w:lineRule="exact"/>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63"/>
        </w:trPr>
        <w:tc>
          <w:tcPr>
            <w:tcW w:w="5380" w:type="dxa"/>
            <w:vAlign w:val="bottom"/>
            <w:gridSpan w:val="2"/>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652"/>
              <w:spacing w:after="0" w:line="155" w:lineRule="exact"/>
              <w:rPr>
                <w:sz w:val="20"/>
                <w:szCs w:val="20"/>
                <w:color w:val="auto"/>
              </w:rPr>
            </w:pPr>
            <w:r>
              <w:rPr>
                <w:rFonts w:ascii="Arial" w:cs="Arial" w:eastAsia="Arial" w:hAnsi="Arial"/>
                <w:sz w:val="14"/>
                <w:szCs w:val="14"/>
                <w:color w:val="auto"/>
              </w:rPr>
              <w:t>cost</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color w:val="auto"/>
              </w:rPr>
              <w:t>gains</w:t>
            </w:r>
          </w:p>
        </w:tc>
        <w:tc>
          <w:tcPr>
            <w:tcW w:w="5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color w:val="auto"/>
              </w:rPr>
              <w:t>losses</w:t>
            </w:r>
          </w:p>
        </w:tc>
        <w:tc>
          <w:tcPr>
            <w:tcW w:w="7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12"/>
              <w:spacing w:after="0" w:line="155"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Fixed maturities</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U.S. treasuries and government agencies</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4,343</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73"/>
              <w:spacing w:after="0" w:line="202" w:lineRule="exact"/>
              <w:rPr>
                <w:sz w:val="20"/>
                <w:szCs w:val="20"/>
                <w:color w:val="auto"/>
              </w:rPr>
            </w:pPr>
            <w:r>
              <w:rPr>
                <w:rFonts w:ascii="Arial" w:cs="Arial" w:eastAsia="Arial" w:hAnsi="Arial"/>
                <w:sz w:val="18"/>
                <w:szCs w:val="18"/>
                <w:color w:val="auto"/>
              </w:rPr>
              <w:t>165</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22</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Municipal securities</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652"/>
              <w:spacing w:after="0" w:line="202" w:lineRule="exact"/>
              <w:rPr>
                <w:sz w:val="20"/>
                <w:szCs w:val="20"/>
                <w:color w:val="auto"/>
              </w:rPr>
            </w:pPr>
            <w:r>
              <w:rPr>
                <w:rFonts w:ascii="Arial" w:cs="Arial" w:eastAsia="Arial" w:hAnsi="Arial"/>
                <w:sz w:val="18"/>
                <w:szCs w:val="18"/>
                <w:color w:val="auto"/>
                <w:w w:val="98"/>
              </w:rPr>
              <w:t>330,483</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2,594</w:t>
            </w:r>
          </w:p>
        </w:tc>
        <w:tc>
          <w:tcPr>
            <w:tcW w:w="5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w w:val="97"/>
              </w:rPr>
              <w:t>1,600</w:t>
            </w: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8"/>
              </w:rPr>
              <w:t>331,477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Foreign government</w:t>
            </w:r>
          </w:p>
        </w:tc>
        <w:tc>
          <w:tcPr>
            <w:tcW w:w="300" w:type="dxa"/>
            <w:vAlign w:val="bottom"/>
          </w:tcPr>
          <w:p>
            <w:pPr>
              <w:spacing w:after="0"/>
              <w:rPr>
                <w:sz w:val="17"/>
                <w:szCs w:val="17"/>
                <w:color w:val="auto"/>
              </w:rPr>
            </w:pPr>
          </w:p>
        </w:tc>
        <w:tc>
          <w:tcPr>
            <w:tcW w:w="140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2,000</w:t>
            </w:r>
          </w:p>
        </w:tc>
        <w:tc>
          <w:tcPr>
            <w:tcW w:w="300" w:type="dxa"/>
            <w:vAlign w:val="bottom"/>
          </w:tcPr>
          <w:p>
            <w:pPr>
              <w:spacing w:after="0"/>
              <w:rPr>
                <w:sz w:val="17"/>
                <w:szCs w:val="17"/>
                <w:color w:val="auto"/>
              </w:rPr>
            </w:pPr>
          </w:p>
        </w:tc>
        <w:tc>
          <w:tcPr>
            <w:tcW w:w="1020" w:type="dxa"/>
            <w:vAlign w:val="bottom"/>
          </w:tcPr>
          <w:p>
            <w:pPr>
              <w:jc w:val="right"/>
              <w:ind w:right="373"/>
              <w:spacing w:after="0" w:line="202" w:lineRule="exact"/>
              <w:rPr>
                <w:sz w:val="20"/>
                <w:szCs w:val="20"/>
                <w:color w:val="auto"/>
              </w:rPr>
            </w:pPr>
            <w:r>
              <w:rPr>
                <w:rFonts w:ascii="Arial" w:cs="Arial" w:eastAsia="Arial" w:hAnsi="Arial"/>
                <w:sz w:val="18"/>
                <w:szCs w:val="18"/>
                <w:color w:val="auto"/>
              </w:rPr>
              <w:t>9</w:t>
            </w:r>
          </w:p>
        </w:tc>
        <w:tc>
          <w:tcPr>
            <w:tcW w:w="580" w:type="dxa"/>
            <w:vAlign w:val="bottom"/>
          </w:tcPr>
          <w:p>
            <w:pPr>
              <w:spacing w:after="0"/>
              <w:rPr>
                <w:sz w:val="17"/>
                <w:szCs w:val="17"/>
                <w:color w:val="auto"/>
              </w:rPr>
            </w:pPr>
          </w:p>
        </w:tc>
        <w:tc>
          <w:tcPr>
            <w:tcW w:w="7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0</w:t>
            </w:r>
          </w:p>
        </w:tc>
        <w:tc>
          <w:tcPr>
            <w:tcW w:w="760" w:type="dxa"/>
            <w:vAlign w:val="bottom"/>
          </w:tcPr>
          <w:p>
            <w:pPr>
              <w:spacing w:after="0"/>
              <w:rPr>
                <w:sz w:val="17"/>
                <w:szCs w:val="17"/>
                <w:color w:val="auto"/>
              </w:rPr>
            </w:pPr>
          </w:p>
        </w:tc>
        <w:tc>
          <w:tcPr>
            <w:tcW w:w="9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corporate debt</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652"/>
              <w:spacing w:after="0" w:line="202" w:lineRule="exact"/>
              <w:rPr>
                <w:sz w:val="20"/>
                <w:szCs w:val="20"/>
                <w:color w:val="auto"/>
              </w:rPr>
            </w:pPr>
            <w:r>
              <w:rPr>
                <w:rFonts w:ascii="Arial" w:cs="Arial" w:eastAsia="Arial" w:hAnsi="Arial"/>
                <w:sz w:val="18"/>
                <w:szCs w:val="18"/>
                <w:color w:val="auto"/>
                <w:w w:val="98"/>
              </w:rPr>
              <w:t>353,875</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6,056</w:t>
            </w:r>
          </w:p>
        </w:tc>
        <w:tc>
          <w:tcPr>
            <w:tcW w:w="5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w w:val="97"/>
              </w:rPr>
              <w:t>2,215</w:t>
            </w: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8"/>
              </w:rPr>
              <w:t>357,716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Foreign corporate debt</w:t>
            </w:r>
          </w:p>
        </w:tc>
        <w:tc>
          <w:tcPr>
            <w:tcW w:w="300" w:type="dxa"/>
            <w:vAlign w:val="bottom"/>
          </w:tcPr>
          <w:p>
            <w:pPr>
              <w:spacing w:after="0"/>
              <w:rPr>
                <w:sz w:val="17"/>
                <w:szCs w:val="17"/>
                <w:color w:val="auto"/>
              </w:rPr>
            </w:pPr>
          </w:p>
        </w:tc>
        <w:tc>
          <w:tcPr>
            <w:tcW w:w="140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87,532</w:t>
            </w:r>
          </w:p>
        </w:tc>
        <w:tc>
          <w:tcPr>
            <w:tcW w:w="300" w:type="dxa"/>
            <w:vAlign w:val="bottom"/>
          </w:tcPr>
          <w:p>
            <w:pPr>
              <w:spacing w:after="0"/>
              <w:rPr>
                <w:sz w:val="17"/>
                <w:szCs w:val="17"/>
                <w:color w:val="auto"/>
              </w:rPr>
            </w:pPr>
          </w:p>
        </w:tc>
        <w:tc>
          <w:tcPr>
            <w:tcW w:w="1020" w:type="dxa"/>
            <w:vAlign w:val="bottom"/>
          </w:tcPr>
          <w:p>
            <w:pPr>
              <w:jc w:val="right"/>
              <w:ind w:right="373"/>
              <w:spacing w:after="0" w:line="202" w:lineRule="exact"/>
              <w:rPr>
                <w:sz w:val="20"/>
                <w:szCs w:val="20"/>
                <w:color w:val="auto"/>
              </w:rPr>
            </w:pPr>
            <w:r>
              <w:rPr>
                <w:rFonts w:ascii="Arial" w:cs="Arial" w:eastAsia="Arial" w:hAnsi="Arial"/>
                <w:sz w:val="18"/>
                <w:szCs w:val="18"/>
                <w:color w:val="auto"/>
              </w:rPr>
              <w:t>2,499</w:t>
            </w:r>
          </w:p>
        </w:tc>
        <w:tc>
          <w:tcPr>
            <w:tcW w:w="580" w:type="dxa"/>
            <w:vAlign w:val="bottom"/>
          </w:tcPr>
          <w:p>
            <w:pPr>
              <w:spacing w:after="0"/>
              <w:rPr>
                <w:sz w:val="17"/>
                <w:szCs w:val="17"/>
                <w:color w:val="auto"/>
              </w:rPr>
            </w:pPr>
          </w:p>
        </w:tc>
        <w:tc>
          <w:tcPr>
            <w:tcW w:w="7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384</w:t>
            </w:r>
          </w:p>
        </w:tc>
        <w:tc>
          <w:tcPr>
            <w:tcW w:w="760" w:type="dxa"/>
            <w:vAlign w:val="bottom"/>
          </w:tcPr>
          <w:p>
            <w:pPr>
              <w:spacing w:after="0"/>
              <w:rPr>
                <w:sz w:val="17"/>
                <w:szCs w:val="17"/>
                <w:color w:val="auto"/>
              </w:rPr>
            </w:pPr>
          </w:p>
        </w:tc>
        <w:tc>
          <w:tcPr>
            <w:tcW w:w="9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89,647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Mortgage-backed securities</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652"/>
              <w:spacing w:after="0" w:line="202" w:lineRule="exact"/>
              <w:rPr>
                <w:sz w:val="20"/>
                <w:szCs w:val="20"/>
                <w:color w:val="auto"/>
              </w:rPr>
            </w:pPr>
            <w:r>
              <w:rPr>
                <w:rFonts w:ascii="Arial" w:cs="Arial" w:eastAsia="Arial" w:hAnsi="Arial"/>
                <w:sz w:val="18"/>
                <w:szCs w:val="18"/>
                <w:color w:val="auto"/>
              </w:rPr>
              <w:t>13,437</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428</w:t>
            </w:r>
          </w:p>
        </w:tc>
        <w:tc>
          <w:tcPr>
            <w:tcW w:w="5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73</w:t>
            </w: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13,792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Asset-backed securities</w:t>
            </w: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2"/>
              <w:spacing w:after="0" w:line="202" w:lineRule="exact"/>
              <w:rPr>
                <w:sz w:val="20"/>
                <w:szCs w:val="20"/>
                <w:color w:val="auto"/>
              </w:rPr>
            </w:pPr>
            <w:r>
              <w:rPr>
                <w:rFonts w:ascii="Arial" w:cs="Arial" w:eastAsia="Arial" w:hAnsi="Arial"/>
                <w:sz w:val="18"/>
                <w:szCs w:val="18"/>
                <w:color w:val="auto"/>
              </w:rPr>
              <w:t>16,185</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3"/>
              <w:spacing w:after="0" w:line="202" w:lineRule="exact"/>
              <w:rPr>
                <w:sz w:val="20"/>
                <w:szCs w:val="20"/>
                <w:color w:val="auto"/>
              </w:rPr>
            </w:pPr>
            <w:r>
              <w:rPr>
                <w:rFonts w:ascii="Arial" w:cs="Arial" w:eastAsia="Arial" w:hAnsi="Arial"/>
                <w:sz w:val="18"/>
                <w:szCs w:val="18"/>
                <w:color w:val="auto"/>
              </w:rPr>
              <w:t>34</w:t>
            </w:r>
          </w:p>
        </w:tc>
        <w:tc>
          <w:tcPr>
            <w:tcW w:w="5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1"/>
              <w:spacing w:after="0" w:line="202" w:lineRule="exact"/>
              <w:rPr>
                <w:sz w:val="20"/>
                <w:szCs w:val="20"/>
                <w:color w:val="auto"/>
              </w:rPr>
            </w:pPr>
            <w:r>
              <w:rPr>
                <w:rFonts w:ascii="Arial" w:cs="Arial" w:eastAsia="Arial" w:hAnsi="Arial"/>
                <w:sz w:val="18"/>
                <w:szCs w:val="18"/>
                <w:color w:val="auto"/>
              </w:rPr>
              <w:t>37</w:t>
            </w:r>
          </w:p>
        </w:tc>
        <w:tc>
          <w:tcPr>
            <w:tcW w:w="7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2"/>
              <w:spacing w:after="0" w:line="202" w:lineRule="exact"/>
              <w:rPr>
                <w:sz w:val="20"/>
                <w:szCs w:val="20"/>
                <w:color w:val="auto"/>
              </w:rPr>
            </w:pPr>
            <w:r>
              <w:rPr>
                <w:rFonts w:ascii="Arial" w:cs="Arial" w:eastAsia="Arial" w:hAnsi="Arial"/>
                <w:sz w:val="18"/>
                <w:szCs w:val="18"/>
                <w:color w:val="auto"/>
              </w:rPr>
              <w:t>16,182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bonds</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652"/>
              <w:spacing w:after="0" w:line="202" w:lineRule="exact"/>
              <w:rPr>
                <w:sz w:val="20"/>
                <w:szCs w:val="20"/>
                <w:color w:val="auto"/>
              </w:rPr>
            </w:pPr>
            <w:r>
              <w:rPr>
                <w:rFonts w:ascii="Arial" w:cs="Arial" w:eastAsia="Arial" w:hAnsi="Arial"/>
                <w:sz w:val="18"/>
                <w:szCs w:val="18"/>
                <w:color w:val="auto"/>
                <w:w w:val="98"/>
              </w:rPr>
              <w:t>807,855</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w w:val="98"/>
              </w:rPr>
              <w:t>11,785</w:t>
            </w:r>
          </w:p>
        </w:tc>
        <w:tc>
          <w:tcPr>
            <w:tcW w:w="5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w w:val="97"/>
              </w:rPr>
              <w:t>4,331</w:t>
            </w: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8"/>
              </w:rPr>
              <w:t>815,309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Redeemable preferred stock</w:t>
            </w: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2"/>
              <w:spacing w:after="0" w:line="202" w:lineRule="exact"/>
              <w:rPr>
                <w:sz w:val="20"/>
                <w:szCs w:val="20"/>
                <w:color w:val="auto"/>
              </w:rPr>
            </w:pPr>
            <w:r>
              <w:rPr>
                <w:rFonts w:ascii="Arial" w:cs="Arial" w:eastAsia="Arial" w:hAnsi="Arial"/>
                <w:sz w:val="18"/>
                <w:szCs w:val="18"/>
                <w:color w:val="auto"/>
              </w:rPr>
              <w:t>20,224</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3"/>
              <w:spacing w:after="0" w:line="202" w:lineRule="exact"/>
              <w:rPr>
                <w:sz w:val="20"/>
                <w:szCs w:val="20"/>
                <w:color w:val="auto"/>
              </w:rPr>
            </w:pPr>
            <w:r>
              <w:rPr>
                <w:rFonts w:ascii="Arial" w:cs="Arial" w:eastAsia="Arial" w:hAnsi="Arial"/>
                <w:sz w:val="18"/>
                <w:szCs w:val="18"/>
                <w:color w:val="auto"/>
              </w:rPr>
              <w:t>890</w:t>
            </w:r>
          </w:p>
        </w:tc>
        <w:tc>
          <w:tcPr>
            <w:tcW w:w="5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1"/>
              <w:spacing w:after="0" w:line="202" w:lineRule="exact"/>
              <w:rPr>
                <w:sz w:val="20"/>
                <w:szCs w:val="20"/>
                <w:color w:val="auto"/>
              </w:rPr>
            </w:pPr>
            <w:r>
              <w:rPr>
                <w:rFonts w:ascii="Arial" w:cs="Arial" w:eastAsia="Arial" w:hAnsi="Arial"/>
                <w:sz w:val="18"/>
                <w:szCs w:val="18"/>
                <w:color w:val="auto"/>
              </w:rPr>
              <w:t>100</w:t>
            </w:r>
          </w:p>
        </w:tc>
        <w:tc>
          <w:tcPr>
            <w:tcW w:w="7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2"/>
              <w:spacing w:after="0" w:line="202" w:lineRule="exact"/>
              <w:rPr>
                <w:sz w:val="20"/>
                <w:szCs w:val="20"/>
                <w:color w:val="auto"/>
              </w:rPr>
            </w:pPr>
            <w:r>
              <w:rPr>
                <w:rFonts w:ascii="Arial" w:cs="Arial" w:eastAsia="Arial" w:hAnsi="Arial"/>
                <w:sz w:val="18"/>
                <w:szCs w:val="18"/>
                <w:color w:val="auto"/>
              </w:rPr>
              <w:t>21,014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fixed maturities</w:t>
            </w:r>
          </w:p>
        </w:tc>
        <w:tc>
          <w:tcPr>
            <w:tcW w:w="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652"/>
              <w:spacing w:after="0" w:line="202" w:lineRule="exact"/>
              <w:rPr>
                <w:sz w:val="20"/>
                <w:szCs w:val="20"/>
                <w:color w:val="auto"/>
              </w:rPr>
            </w:pPr>
            <w:r>
              <w:rPr>
                <w:rFonts w:ascii="Arial" w:cs="Arial" w:eastAsia="Arial" w:hAnsi="Arial"/>
                <w:sz w:val="18"/>
                <w:szCs w:val="18"/>
                <w:color w:val="auto"/>
                <w:w w:val="98"/>
              </w:rPr>
              <w:t>828,079</w:t>
            </w:r>
          </w:p>
        </w:tc>
        <w:tc>
          <w:tcPr>
            <w:tcW w:w="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w w:val="98"/>
              </w:rPr>
              <w:t>12,675</w:t>
            </w: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w w:val="97"/>
              </w:rPr>
              <w:t>4,431</w:t>
            </w: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8"/>
              </w:rPr>
              <w:t>836,323</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 securities</w:t>
            </w: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common stock</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652"/>
              <w:spacing w:after="0" w:line="202" w:lineRule="exact"/>
              <w:rPr>
                <w:sz w:val="20"/>
                <w:szCs w:val="20"/>
                <w:color w:val="auto"/>
              </w:rPr>
            </w:pPr>
            <w:r>
              <w:rPr>
                <w:rFonts w:ascii="Arial" w:cs="Arial" w:eastAsia="Arial" w:hAnsi="Arial"/>
                <w:sz w:val="18"/>
                <w:szCs w:val="18"/>
                <w:color w:val="auto"/>
              </w:rPr>
              <w:t>72,276</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w w:val="98"/>
              </w:rPr>
              <w:t>16,659</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857</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88,078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Foreign common stock</w:t>
            </w:r>
          </w:p>
        </w:tc>
        <w:tc>
          <w:tcPr>
            <w:tcW w:w="300" w:type="dxa"/>
            <w:vAlign w:val="bottom"/>
          </w:tcPr>
          <w:p>
            <w:pPr>
              <w:spacing w:after="0"/>
              <w:rPr>
                <w:sz w:val="17"/>
                <w:szCs w:val="17"/>
                <w:color w:val="auto"/>
              </w:rPr>
            </w:pPr>
          </w:p>
        </w:tc>
        <w:tc>
          <w:tcPr>
            <w:tcW w:w="140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23,383</w:t>
            </w:r>
          </w:p>
        </w:tc>
        <w:tc>
          <w:tcPr>
            <w:tcW w:w="300" w:type="dxa"/>
            <w:vAlign w:val="bottom"/>
          </w:tcPr>
          <w:p>
            <w:pPr>
              <w:spacing w:after="0"/>
              <w:rPr>
                <w:sz w:val="17"/>
                <w:szCs w:val="17"/>
                <w:color w:val="auto"/>
              </w:rPr>
            </w:pPr>
          </w:p>
        </w:tc>
        <w:tc>
          <w:tcPr>
            <w:tcW w:w="1020" w:type="dxa"/>
            <w:vAlign w:val="bottom"/>
          </w:tcPr>
          <w:p>
            <w:pPr>
              <w:jc w:val="right"/>
              <w:ind w:right="373"/>
              <w:spacing w:after="0" w:line="202" w:lineRule="exact"/>
              <w:rPr>
                <w:sz w:val="20"/>
                <w:szCs w:val="20"/>
                <w:color w:val="auto"/>
              </w:rPr>
            </w:pPr>
            <w:r>
              <w:rPr>
                <w:rFonts w:ascii="Arial" w:cs="Arial" w:eastAsia="Arial" w:hAnsi="Arial"/>
                <w:sz w:val="18"/>
                <w:szCs w:val="18"/>
                <w:color w:val="auto"/>
              </w:rPr>
              <w:t>5,261</w:t>
            </w:r>
          </w:p>
        </w:tc>
        <w:tc>
          <w:tcPr>
            <w:tcW w:w="580" w:type="dxa"/>
            <w:vAlign w:val="bottom"/>
          </w:tcPr>
          <w:p>
            <w:pPr>
              <w:spacing w:after="0"/>
              <w:rPr>
                <w:sz w:val="17"/>
                <w:szCs w:val="17"/>
                <w:color w:val="auto"/>
              </w:rPr>
            </w:pPr>
          </w:p>
        </w:tc>
        <w:tc>
          <w:tcPr>
            <w:tcW w:w="7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231</w:t>
            </w:r>
          </w:p>
        </w:tc>
        <w:tc>
          <w:tcPr>
            <w:tcW w:w="760" w:type="dxa"/>
            <w:vAlign w:val="bottom"/>
          </w:tcPr>
          <w:p>
            <w:pPr>
              <w:spacing w:after="0"/>
              <w:rPr>
                <w:sz w:val="17"/>
                <w:szCs w:val="17"/>
                <w:color w:val="auto"/>
              </w:rPr>
            </w:pPr>
          </w:p>
        </w:tc>
        <w:tc>
          <w:tcPr>
            <w:tcW w:w="9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28,413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nonredeemable preferred stock</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652"/>
              <w:spacing w:after="0" w:line="202" w:lineRule="exact"/>
              <w:rPr>
                <w:sz w:val="20"/>
                <w:szCs w:val="20"/>
                <w:color w:val="auto"/>
              </w:rPr>
            </w:pPr>
            <w:r>
              <w:rPr>
                <w:rFonts w:ascii="Arial" w:cs="Arial" w:eastAsia="Arial" w:hAnsi="Arial"/>
                <w:sz w:val="18"/>
                <w:szCs w:val="18"/>
                <w:color w:val="auto"/>
                <w:w w:val="98"/>
              </w:rPr>
              <w:t>127,636</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5,599</w:t>
            </w:r>
          </w:p>
        </w:tc>
        <w:tc>
          <w:tcPr>
            <w:tcW w:w="5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327</w:t>
            </w: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8"/>
              </w:rPr>
              <w:t>132,908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Foreign nonredeemable preferred stock</w:t>
            </w: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2"/>
              <w:spacing w:after="0" w:line="202" w:lineRule="exact"/>
              <w:rPr>
                <w:sz w:val="20"/>
                <w:szCs w:val="20"/>
                <w:color w:val="auto"/>
              </w:rPr>
            </w:pPr>
            <w:r>
              <w:rPr>
                <w:rFonts w:ascii="Arial" w:cs="Arial" w:eastAsia="Arial" w:hAnsi="Arial"/>
                <w:sz w:val="18"/>
                <w:szCs w:val="18"/>
                <w:color w:val="auto"/>
              </w:rPr>
              <w:t>5,130</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3"/>
              <w:spacing w:after="0" w:line="202" w:lineRule="exact"/>
              <w:rPr>
                <w:sz w:val="20"/>
                <w:szCs w:val="20"/>
                <w:color w:val="auto"/>
              </w:rPr>
            </w:pPr>
            <w:r>
              <w:rPr>
                <w:rFonts w:ascii="Arial" w:cs="Arial" w:eastAsia="Arial" w:hAnsi="Arial"/>
                <w:sz w:val="18"/>
                <w:szCs w:val="18"/>
                <w:color w:val="auto"/>
              </w:rPr>
              <w:t>441</w:t>
            </w:r>
          </w:p>
        </w:tc>
        <w:tc>
          <w:tcPr>
            <w:tcW w:w="5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1"/>
              <w:spacing w:after="0" w:line="202" w:lineRule="exact"/>
              <w:rPr>
                <w:sz w:val="20"/>
                <w:szCs w:val="20"/>
                <w:color w:val="auto"/>
              </w:rPr>
            </w:pPr>
            <w:r>
              <w:rPr>
                <w:rFonts w:ascii="Arial" w:cs="Arial" w:eastAsia="Arial" w:hAnsi="Arial"/>
                <w:sz w:val="18"/>
                <w:szCs w:val="18"/>
                <w:color w:val="auto"/>
              </w:rPr>
              <w:t>0</w:t>
            </w:r>
          </w:p>
        </w:tc>
        <w:tc>
          <w:tcPr>
            <w:tcW w:w="7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2"/>
              <w:spacing w:after="0" w:line="202" w:lineRule="exact"/>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equity securities</w:t>
            </w:r>
          </w:p>
        </w:tc>
        <w:tc>
          <w:tcPr>
            <w:tcW w:w="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652"/>
              <w:spacing w:after="0" w:line="202" w:lineRule="exact"/>
              <w:rPr>
                <w:sz w:val="20"/>
                <w:szCs w:val="20"/>
                <w:color w:val="auto"/>
              </w:rPr>
            </w:pPr>
            <w:r>
              <w:rPr>
                <w:rFonts w:ascii="Arial" w:cs="Arial" w:eastAsia="Arial" w:hAnsi="Arial"/>
                <w:sz w:val="18"/>
                <w:szCs w:val="18"/>
                <w:color w:val="auto"/>
                <w:w w:val="98"/>
              </w:rPr>
              <w:t>228,425</w:t>
            </w:r>
          </w:p>
        </w:tc>
        <w:tc>
          <w:tcPr>
            <w:tcW w:w="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w w:val="98"/>
              </w:rPr>
              <w:t>27,960</w:t>
            </w: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w w:val="97"/>
              </w:rPr>
              <w:t>1,415</w:t>
            </w: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8"/>
              </w:rPr>
              <w:t>254,970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gridSpan w:val="3"/>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center"/>
              <w:ind w:right="211"/>
              <w:spacing w:after="0"/>
              <w:rPr>
                <w:sz w:val="20"/>
                <w:szCs w:val="20"/>
                <w:color w:val="auto"/>
              </w:rPr>
            </w:pPr>
            <w:r>
              <w:rPr>
                <w:rFonts w:ascii="Arial" w:cs="Arial" w:eastAsia="Arial" w:hAnsi="Arial"/>
                <w:sz w:val="14"/>
                <w:szCs w:val="14"/>
                <w:color w:val="auto"/>
              </w:rPr>
              <w:t>December 31, 2006</w:t>
            </w:r>
          </w:p>
        </w:tc>
        <w:tc>
          <w:tcPr>
            <w:tcW w:w="7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3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3"/>
                <w:szCs w:val="13"/>
                <w:color w:val="auto"/>
              </w:rPr>
            </w:pPr>
          </w:p>
        </w:tc>
        <w:tc>
          <w:tcPr>
            <w:tcW w:w="1400" w:type="dxa"/>
            <w:vAlign w:val="bottom"/>
          </w:tcPr>
          <w:p>
            <w:pPr>
              <w:jc w:val="center"/>
              <w:ind w:right="672"/>
              <w:spacing w:after="0" w:line="155" w:lineRule="exact"/>
              <w:rPr>
                <w:sz w:val="20"/>
                <w:szCs w:val="20"/>
                <w:color w:val="auto"/>
              </w:rPr>
            </w:pPr>
            <w:r>
              <w:rPr>
                <w:rFonts w:ascii="Arial" w:cs="Arial" w:eastAsia="Arial" w:hAnsi="Arial"/>
                <w:sz w:val="14"/>
                <w:szCs w:val="14"/>
                <w:color w:val="auto"/>
              </w:rPr>
              <w:t>Amortized</w:t>
            </w:r>
          </w:p>
        </w:tc>
        <w:tc>
          <w:tcPr>
            <w:tcW w:w="3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jc w:val="center"/>
              <w:ind w:left="353"/>
              <w:spacing w:after="0" w:line="155" w:lineRule="exact"/>
              <w:rPr>
                <w:sz w:val="20"/>
                <w:szCs w:val="20"/>
                <w:color w:val="auto"/>
              </w:rPr>
            </w:pPr>
            <w:r>
              <w:rPr>
                <w:rFonts w:ascii="Arial" w:cs="Arial" w:eastAsia="Arial" w:hAnsi="Arial"/>
                <w:sz w:val="14"/>
                <w:szCs w:val="14"/>
                <w:color w:val="auto"/>
              </w:rPr>
              <w:t>Gross unrealized</w:t>
            </w:r>
          </w:p>
        </w:tc>
        <w:tc>
          <w:tcPr>
            <w:tcW w:w="740" w:type="dxa"/>
            <w:vAlign w:val="bottom"/>
            <w:tcBorders>
              <w:bottom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jc w:val="center"/>
              <w:ind w:right="212"/>
              <w:spacing w:after="0" w:line="155" w:lineRule="exact"/>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63"/>
        </w:trPr>
        <w:tc>
          <w:tcPr>
            <w:tcW w:w="5380" w:type="dxa"/>
            <w:vAlign w:val="bottom"/>
            <w:gridSpan w:val="2"/>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652"/>
              <w:spacing w:after="0" w:line="155" w:lineRule="exact"/>
              <w:rPr>
                <w:sz w:val="20"/>
                <w:szCs w:val="20"/>
                <w:color w:val="auto"/>
              </w:rPr>
            </w:pPr>
            <w:r>
              <w:rPr>
                <w:rFonts w:ascii="Arial" w:cs="Arial" w:eastAsia="Arial" w:hAnsi="Arial"/>
                <w:sz w:val="14"/>
                <w:szCs w:val="14"/>
                <w:color w:val="auto"/>
              </w:rPr>
              <w:t>cost</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color w:val="auto"/>
              </w:rPr>
              <w:t>gains</w:t>
            </w:r>
          </w:p>
        </w:tc>
        <w:tc>
          <w:tcPr>
            <w:tcW w:w="5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color w:val="auto"/>
              </w:rPr>
              <w:t>losses</w:t>
            </w:r>
          </w:p>
        </w:tc>
        <w:tc>
          <w:tcPr>
            <w:tcW w:w="7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12"/>
              <w:spacing w:after="0" w:line="155"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Fixed maturities</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U.S. treasuries and government agencies</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3,765</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73"/>
              <w:spacing w:after="0" w:line="202" w:lineRule="exact"/>
              <w:rPr>
                <w:sz w:val="20"/>
                <w:szCs w:val="20"/>
                <w:color w:val="auto"/>
              </w:rPr>
            </w:pPr>
            <w:r>
              <w:rPr>
                <w:rFonts w:ascii="Arial" w:cs="Arial" w:eastAsia="Arial" w:hAnsi="Arial"/>
                <w:sz w:val="18"/>
                <w:szCs w:val="18"/>
                <w:color w:val="auto"/>
              </w:rPr>
              <w:t>159</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45</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3,879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Municipal securities</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652"/>
              <w:spacing w:after="0" w:line="202" w:lineRule="exact"/>
              <w:rPr>
                <w:sz w:val="20"/>
                <w:szCs w:val="20"/>
                <w:color w:val="auto"/>
              </w:rPr>
            </w:pPr>
            <w:r>
              <w:rPr>
                <w:rFonts w:ascii="Arial" w:cs="Arial" w:eastAsia="Arial" w:hAnsi="Arial"/>
                <w:sz w:val="18"/>
                <w:szCs w:val="18"/>
                <w:color w:val="auto"/>
                <w:w w:val="98"/>
              </w:rPr>
              <w:t>330,239</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2,935</w:t>
            </w:r>
          </w:p>
        </w:tc>
        <w:tc>
          <w:tcPr>
            <w:tcW w:w="5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w w:val="97"/>
              </w:rPr>
              <w:t>1,561</w:t>
            </w: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8"/>
              </w:rPr>
              <w:t>331,613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Foreign government</w:t>
            </w:r>
          </w:p>
        </w:tc>
        <w:tc>
          <w:tcPr>
            <w:tcW w:w="300" w:type="dxa"/>
            <w:vAlign w:val="bottom"/>
          </w:tcPr>
          <w:p>
            <w:pPr>
              <w:spacing w:after="0"/>
              <w:rPr>
                <w:sz w:val="17"/>
                <w:szCs w:val="17"/>
                <w:color w:val="auto"/>
              </w:rPr>
            </w:pPr>
          </w:p>
        </w:tc>
        <w:tc>
          <w:tcPr>
            <w:tcW w:w="140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2,000</w:t>
            </w:r>
          </w:p>
        </w:tc>
        <w:tc>
          <w:tcPr>
            <w:tcW w:w="300" w:type="dxa"/>
            <w:vAlign w:val="bottom"/>
          </w:tcPr>
          <w:p>
            <w:pPr>
              <w:spacing w:after="0"/>
              <w:rPr>
                <w:sz w:val="17"/>
                <w:szCs w:val="17"/>
                <w:color w:val="auto"/>
              </w:rPr>
            </w:pPr>
          </w:p>
        </w:tc>
        <w:tc>
          <w:tcPr>
            <w:tcW w:w="1020" w:type="dxa"/>
            <w:vAlign w:val="bottom"/>
          </w:tcPr>
          <w:p>
            <w:pPr>
              <w:jc w:val="right"/>
              <w:ind w:right="373"/>
              <w:spacing w:after="0" w:line="202" w:lineRule="exact"/>
              <w:rPr>
                <w:sz w:val="20"/>
                <w:szCs w:val="20"/>
                <w:color w:val="auto"/>
              </w:rPr>
            </w:pPr>
            <w:r>
              <w:rPr>
                <w:rFonts w:ascii="Arial" w:cs="Arial" w:eastAsia="Arial" w:hAnsi="Arial"/>
                <w:sz w:val="18"/>
                <w:szCs w:val="18"/>
                <w:color w:val="auto"/>
              </w:rPr>
              <w:t>9</w:t>
            </w:r>
          </w:p>
        </w:tc>
        <w:tc>
          <w:tcPr>
            <w:tcW w:w="580" w:type="dxa"/>
            <w:vAlign w:val="bottom"/>
          </w:tcPr>
          <w:p>
            <w:pPr>
              <w:spacing w:after="0"/>
              <w:rPr>
                <w:sz w:val="17"/>
                <w:szCs w:val="17"/>
                <w:color w:val="auto"/>
              </w:rPr>
            </w:pPr>
          </w:p>
        </w:tc>
        <w:tc>
          <w:tcPr>
            <w:tcW w:w="7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0</w:t>
            </w:r>
          </w:p>
        </w:tc>
        <w:tc>
          <w:tcPr>
            <w:tcW w:w="760" w:type="dxa"/>
            <w:vAlign w:val="bottom"/>
          </w:tcPr>
          <w:p>
            <w:pPr>
              <w:spacing w:after="0"/>
              <w:rPr>
                <w:sz w:val="17"/>
                <w:szCs w:val="17"/>
                <w:color w:val="auto"/>
              </w:rPr>
            </w:pPr>
          </w:p>
        </w:tc>
        <w:tc>
          <w:tcPr>
            <w:tcW w:w="9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corporate debt</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652"/>
              <w:spacing w:after="0" w:line="202" w:lineRule="exact"/>
              <w:rPr>
                <w:sz w:val="20"/>
                <w:szCs w:val="20"/>
                <w:color w:val="auto"/>
              </w:rPr>
            </w:pPr>
            <w:r>
              <w:rPr>
                <w:rFonts w:ascii="Arial" w:cs="Arial" w:eastAsia="Arial" w:hAnsi="Arial"/>
                <w:sz w:val="18"/>
                <w:szCs w:val="18"/>
                <w:color w:val="auto"/>
                <w:w w:val="98"/>
              </w:rPr>
              <w:t>357,177</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5,754</w:t>
            </w:r>
          </w:p>
        </w:tc>
        <w:tc>
          <w:tcPr>
            <w:tcW w:w="5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w w:val="97"/>
              </w:rPr>
              <w:t>3,196</w:t>
            </w: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8"/>
              </w:rPr>
              <w:t>359,735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Foreign corporate debt</w:t>
            </w:r>
          </w:p>
        </w:tc>
        <w:tc>
          <w:tcPr>
            <w:tcW w:w="300" w:type="dxa"/>
            <w:vAlign w:val="bottom"/>
          </w:tcPr>
          <w:p>
            <w:pPr>
              <w:spacing w:after="0"/>
              <w:rPr>
                <w:sz w:val="17"/>
                <w:szCs w:val="17"/>
                <w:color w:val="auto"/>
              </w:rPr>
            </w:pPr>
          </w:p>
        </w:tc>
        <w:tc>
          <w:tcPr>
            <w:tcW w:w="140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82,929</w:t>
            </w:r>
          </w:p>
        </w:tc>
        <w:tc>
          <w:tcPr>
            <w:tcW w:w="300" w:type="dxa"/>
            <w:vAlign w:val="bottom"/>
          </w:tcPr>
          <w:p>
            <w:pPr>
              <w:spacing w:after="0"/>
              <w:rPr>
                <w:sz w:val="17"/>
                <w:szCs w:val="17"/>
                <w:color w:val="auto"/>
              </w:rPr>
            </w:pPr>
          </w:p>
        </w:tc>
        <w:tc>
          <w:tcPr>
            <w:tcW w:w="1020" w:type="dxa"/>
            <w:vAlign w:val="bottom"/>
          </w:tcPr>
          <w:p>
            <w:pPr>
              <w:jc w:val="right"/>
              <w:ind w:right="373"/>
              <w:spacing w:after="0" w:line="202" w:lineRule="exact"/>
              <w:rPr>
                <w:sz w:val="20"/>
                <w:szCs w:val="20"/>
                <w:color w:val="auto"/>
              </w:rPr>
            </w:pPr>
            <w:r>
              <w:rPr>
                <w:rFonts w:ascii="Arial" w:cs="Arial" w:eastAsia="Arial" w:hAnsi="Arial"/>
                <w:sz w:val="18"/>
                <w:szCs w:val="18"/>
                <w:color w:val="auto"/>
              </w:rPr>
              <w:t>2,166</w:t>
            </w:r>
          </w:p>
        </w:tc>
        <w:tc>
          <w:tcPr>
            <w:tcW w:w="580" w:type="dxa"/>
            <w:vAlign w:val="bottom"/>
          </w:tcPr>
          <w:p>
            <w:pPr>
              <w:spacing w:after="0"/>
              <w:rPr>
                <w:sz w:val="17"/>
                <w:szCs w:val="17"/>
                <w:color w:val="auto"/>
              </w:rPr>
            </w:pPr>
          </w:p>
        </w:tc>
        <w:tc>
          <w:tcPr>
            <w:tcW w:w="7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563</w:t>
            </w:r>
          </w:p>
        </w:tc>
        <w:tc>
          <w:tcPr>
            <w:tcW w:w="760" w:type="dxa"/>
            <w:vAlign w:val="bottom"/>
          </w:tcPr>
          <w:p>
            <w:pPr>
              <w:spacing w:after="0"/>
              <w:rPr>
                <w:sz w:val="17"/>
                <w:szCs w:val="17"/>
                <w:color w:val="auto"/>
              </w:rPr>
            </w:pPr>
          </w:p>
        </w:tc>
        <w:tc>
          <w:tcPr>
            <w:tcW w:w="9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84,532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Mortgage-backed securities</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652"/>
              <w:spacing w:after="0" w:line="202" w:lineRule="exact"/>
              <w:rPr>
                <w:sz w:val="20"/>
                <w:szCs w:val="20"/>
                <w:color w:val="auto"/>
              </w:rPr>
            </w:pPr>
            <w:r>
              <w:rPr>
                <w:rFonts w:ascii="Arial" w:cs="Arial" w:eastAsia="Arial" w:hAnsi="Arial"/>
                <w:sz w:val="18"/>
                <w:szCs w:val="18"/>
                <w:color w:val="auto"/>
              </w:rPr>
              <w:t>14,611</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405</w:t>
            </w:r>
          </w:p>
        </w:tc>
        <w:tc>
          <w:tcPr>
            <w:tcW w:w="5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295</w:t>
            </w: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14,721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Asset-backed securities</w:t>
            </w: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2"/>
              <w:spacing w:after="0" w:line="202" w:lineRule="exact"/>
              <w:rPr>
                <w:sz w:val="20"/>
                <w:szCs w:val="20"/>
                <w:color w:val="auto"/>
              </w:rPr>
            </w:pPr>
            <w:r>
              <w:rPr>
                <w:rFonts w:ascii="Arial" w:cs="Arial" w:eastAsia="Arial" w:hAnsi="Arial"/>
                <w:sz w:val="18"/>
                <w:szCs w:val="18"/>
                <w:color w:val="auto"/>
              </w:rPr>
              <w:t>18,117</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3"/>
              <w:spacing w:after="0" w:line="202" w:lineRule="exact"/>
              <w:rPr>
                <w:sz w:val="20"/>
                <w:szCs w:val="20"/>
                <w:color w:val="auto"/>
              </w:rPr>
            </w:pPr>
            <w:r>
              <w:rPr>
                <w:rFonts w:ascii="Arial" w:cs="Arial" w:eastAsia="Arial" w:hAnsi="Arial"/>
                <w:sz w:val="18"/>
                <w:szCs w:val="18"/>
                <w:color w:val="auto"/>
              </w:rPr>
              <w:t>37</w:t>
            </w:r>
          </w:p>
        </w:tc>
        <w:tc>
          <w:tcPr>
            <w:tcW w:w="5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1"/>
              <w:spacing w:after="0" w:line="202" w:lineRule="exact"/>
              <w:rPr>
                <w:sz w:val="20"/>
                <w:szCs w:val="20"/>
                <w:color w:val="auto"/>
              </w:rPr>
            </w:pPr>
            <w:r>
              <w:rPr>
                <w:rFonts w:ascii="Arial" w:cs="Arial" w:eastAsia="Arial" w:hAnsi="Arial"/>
                <w:sz w:val="18"/>
                <w:szCs w:val="18"/>
                <w:color w:val="auto"/>
              </w:rPr>
              <w:t>64</w:t>
            </w:r>
          </w:p>
        </w:tc>
        <w:tc>
          <w:tcPr>
            <w:tcW w:w="7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2"/>
              <w:spacing w:after="0" w:line="202" w:lineRule="exact"/>
              <w:rPr>
                <w:sz w:val="20"/>
                <w:szCs w:val="20"/>
                <w:color w:val="auto"/>
              </w:rPr>
            </w:pPr>
            <w:r>
              <w:rPr>
                <w:rFonts w:ascii="Arial" w:cs="Arial" w:eastAsia="Arial" w:hAnsi="Arial"/>
                <w:sz w:val="18"/>
                <w:szCs w:val="18"/>
                <w:color w:val="auto"/>
              </w:rPr>
              <w:t>18,090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bonds</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652"/>
              <w:spacing w:after="0" w:line="202" w:lineRule="exact"/>
              <w:rPr>
                <w:sz w:val="20"/>
                <w:szCs w:val="20"/>
                <w:color w:val="auto"/>
              </w:rPr>
            </w:pPr>
            <w:r>
              <w:rPr>
                <w:rFonts w:ascii="Arial" w:cs="Arial" w:eastAsia="Arial" w:hAnsi="Arial"/>
                <w:sz w:val="18"/>
                <w:szCs w:val="18"/>
                <w:color w:val="auto"/>
                <w:w w:val="98"/>
              </w:rPr>
              <w:t>808,838</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w w:val="98"/>
              </w:rPr>
              <w:t>11,465</w:t>
            </w:r>
          </w:p>
        </w:tc>
        <w:tc>
          <w:tcPr>
            <w:tcW w:w="5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w w:val="97"/>
              </w:rPr>
              <w:t>5,724</w:t>
            </w: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8"/>
              </w:rPr>
              <w:t>814,579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Redeemable preferred stock</w:t>
            </w: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2"/>
              <w:spacing w:after="0" w:line="202" w:lineRule="exact"/>
              <w:rPr>
                <w:sz w:val="20"/>
                <w:szCs w:val="20"/>
                <w:color w:val="auto"/>
              </w:rPr>
            </w:pPr>
            <w:r>
              <w:rPr>
                <w:rFonts w:ascii="Arial" w:cs="Arial" w:eastAsia="Arial" w:hAnsi="Arial"/>
                <w:sz w:val="18"/>
                <w:szCs w:val="18"/>
                <w:color w:val="auto"/>
              </w:rPr>
              <w:t>21,223</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3"/>
              <w:spacing w:after="0" w:line="202" w:lineRule="exact"/>
              <w:rPr>
                <w:sz w:val="20"/>
                <w:szCs w:val="20"/>
                <w:color w:val="auto"/>
              </w:rPr>
            </w:pPr>
            <w:r>
              <w:rPr>
                <w:rFonts w:ascii="Arial" w:cs="Arial" w:eastAsia="Arial" w:hAnsi="Arial"/>
                <w:sz w:val="18"/>
                <w:szCs w:val="18"/>
                <w:color w:val="auto"/>
              </w:rPr>
              <w:t>1,036</w:t>
            </w:r>
          </w:p>
        </w:tc>
        <w:tc>
          <w:tcPr>
            <w:tcW w:w="5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1"/>
              <w:spacing w:after="0" w:line="202" w:lineRule="exact"/>
              <w:rPr>
                <w:sz w:val="20"/>
                <w:szCs w:val="20"/>
                <w:color w:val="auto"/>
              </w:rPr>
            </w:pPr>
            <w:r>
              <w:rPr>
                <w:rFonts w:ascii="Arial" w:cs="Arial" w:eastAsia="Arial" w:hAnsi="Arial"/>
                <w:sz w:val="18"/>
                <w:szCs w:val="18"/>
                <w:color w:val="auto"/>
              </w:rPr>
              <w:t>100</w:t>
            </w:r>
          </w:p>
        </w:tc>
        <w:tc>
          <w:tcPr>
            <w:tcW w:w="7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2"/>
              <w:spacing w:after="0" w:line="202" w:lineRule="exact"/>
              <w:rPr>
                <w:sz w:val="20"/>
                <w:szCs w:val="20"/>
                <w:color w:val="auto"/>
              </w:rPr>
            </w:pPr>
            <w:r>
              <w:rPr>
                <w:rFonts w:ascii="Arial" w:cs="Arial" w:eastAsia="Arial" w:hAnsi="Arial"/>
                <w:sz w:val="18"/>
                <w:szCs w:val="18"/>
                <w:color w:val="auto"/>
              </w:rPr>
              <w:t>22,159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fixed maturities</w:t>
            </w:r>
          </w:p>
        </w:tc>
        <w:tc>
          <w:tcPr>
            <w:tcW w:w="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652"/>
              <w:spacing w:after="0" w:line="202" w:lineRule="exact"/>
              <w:rPr>
                <w:sz w:val="20"/>
                <w:szCs w:val="20"/>
                <w:color w:val="auto"/>
              </w:rPr>
            </w:pPr>
            <w:r>
              <w:rPr>
                <w:rFonts w:ascii="Arial" w:cs="Arial" w:eastAsia="Arial" w:hAnsi="Arial"/>
                <w:sz w:val="18"/>
                <w:szCs w:val="18"/>
                <w:color w:val="auto"/>
                <w:w w:val="98"/>
              </w:rPr>
              <w:t>830,061</w:t>
            </w:r>
          </w:p>
        </w:tc>
        <w:tc>
          <w:tcPr>
            <w:tcW w:w="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w w:val="98"/>
              </w:rPr>
              <w:t>12,501</w:t>
            </w: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w w:val="97"/>
              </w:rPr>
              <w:t>5,824</w:t>
            </w: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8"/>
              </w:rPr>
              <w:t>836,738</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 securities</w:t>
            </w: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common stock</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652"/>
              <w:spacing w:after="0" w:line="202" w:lineRule="exact"/>
              <w:rPr>
                <w:sz w:val="20"/>
                <w:szCs w:val="20"/>
                <w:color w:val="auto"/>
              </w:rPr>
            </w:pPr>
            <w:r>
              <w:rPr>
                <w:rFonts w:ascii="Arial" w:cs="Arial" w:eastAsia="Arial" w:hAnsi="Arial"/>
                <w:sz w:val="18"/>
                <w:szCs w:val="18"/>
                <w:color w:val="auto"/>
              </w:rPr>
              <w:t>71,932</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w w:val="98"/>
              </w:rPr>
              <w:t>17,156</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785</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88,303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Foreign common stock</w:t>
            </w:r>
          </w:p>
        </w:tc>
        <w:tc>
          <w:tcPr>
            <w:tcW w:w="300" w:type="dxa"/>
            <w:vAlign w:val="bottom"/>
          </w:tcPr>
          <w:p>
            <w:pPr>
              <w:spacing w:after="0"/>
              <w:rPr>
                <w:sz w:val="17"/>
                <w:szCs w:val="17"/>
                <w:color w:val="auto"/>
              </w:rPr>
            </w:pPr>
          </w:p>
        </w:tc>
        <w:tc>
          <w:tcPr>
            <w:tcW w:w="140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23,106</w:t>
            </w:r>
          </w:p>
        </w:tc>
        <w:tc>
          <w:tcPr>
            <w:tcW w:w="300" w:type="dxa"/>
            <w:vAlign w:val="bottom"/>
          </w:tcPr>
          <w:p>
            <w:pPr>
              <w:spacing w:after="0"/>
              <w:rPr>
                <w:sz w:val="17"/>
                <w:szCs w:val="17"/>
                <w:color w:val="auto"/>
              </w:rPr>
            </w:pPr>
          </w:p>
        </w:tc>
        <w:tc>
          <w:tcPr>
            <w:tcW w:w="1020" w:type="dxa"/>
            <w:vAlign w:val="bottom"/>
          </w:tcPr>
          <w:p>
            <w:pPr>
              <w:jc w:val="right"/>
              <w:ind w:right="373"/>
              <w:spacing w:after="0" w:line="202" w:lineRule="exact"/>
              <w:rPr>
                <w:sz w:val="20"/>
                <w:szCs w:val="20"/>
                <w:color w:val="auto"/>
              </w:rPr>
            </w:pPr>
            <w:r>
              <w:rPr>
                <w:rFonts w:ascii="Arial" w:cs="Arial" w:eastAsia="Arial" w:hAnsi="Arial"/>
                <w:sz w:val="18"/>
                <w:szCs w:val="18"/>
                <w:color w:val="auto"/>
              </w:rPr>
              <w:t>5,897</w:t>
            </w:r>
          </w:p>
        </w:tc>
        <w:tc>
          <w:tcPr>
            <w:tcW w:w="580" w:type="dxa"/>
            <w:vAlign w:val="bottom"/>
          </w:tcPr>
          <w:p>
            <w:pPr>
              <w:spacing w:after="0"/>
              <w:rPr>
                <w:sz w:val="17"/>
                <w:szCs w:val="17"/>
                <w:color w:val="auto"/>
              </w:rPr>
            </w:pPr>
          </w:p>
        </w:tc>
        <w:tc>
          <w:tcPr>
            <w:tcW w:w="7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60</w:t>
            </w:r>
          </w:p>
        </w:tc>
        <w:tc>
          <w:tcPr>
            <w:tcW w:w="760" w:type="dxa"/>
            <w:vAlign w:val="bottom"/>
          </w:tcPr>
          <w:p>
            <w:pPr>
              <w:spacing w:after="0"/>
              <w:rPr>
                <w:sz w:val="17"/>
                <w:szCs w:val="17"/>
                <w:color w:val="auto"/>
              </w:rPr>
            </w:pPr>
          </w:p>
        </w:tc>
        <w:tc>
          <w:tcPr>
            <w:tcW w:w="9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28,943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nonredeemable preferred stock</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652"/>
              <w:spacing w:after="0" w:line="202" w:lineRule="exact"/>
              <w:rPr>
                <w:sz w:val="20"/>
                <w:szCs w:val="20"/>
                <w:color w:val="auto"/>
              </w:rPr>
            </w:pPr>
            <w:r>
              <w:rPr>
                <w:rFonts w:ascii="Arial" w:cs="Arial" w:eastAsia="Arial" w:hAnsi="Arial"/>
                <w:sz w:val="18"/>
                <w:szCs w:val="18"/>
                <w:color w:val="auto"/>
                <w:w w:val="98"/>
              </w:rPr>
              <w:t>123,042</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5,378</w:t>
            </w:r>
          </w:p>
        </w:tc>
        <w:tc>
          <w:tcPr>
            <w:tcW w:w="5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565</w:t>
            </w: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8"/>
              </w:rPr>
              <w:t>127,855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Foreign nonredeemable preferred stock</w:t>
            </w: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2"/>
              <w:spacing w:after="0" w:line="202" w:lineRule="exact"/>
              <w:rPr>
                <w:sz w:val="20"/>
                <w:szCs w:val="20"/>
                <w:color w:val="auto"/>
              </w:rPr>
            </w:pPr>
            <w:r>
              <w:rPr>
                <w:rFonts w:ascii="Arial" w:cs="Arial" w:eastAsia="Arial" w:hAnsi="Arial"/>
                <w:sz w:val="18"/>
                <w:szCs w:val="18"/>
                <w:color w:val="auto"/>
              </w:rPr>
              <w:t>5,130</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3"/>
              <w:spacing w:after="0" w:line="202" w:lineRule="exact"/>
              <w:rPr>
                <w:sz w:val="20"/>
                <w:szCs w:val="20"/>
                <w:color w:val="auto"/>
              </w:rPr>
            </w:pPr>
            <w:r>
              <w:rPr>
                <w:rFonts w:ascii="Arial" w:cs="Arial" w:eastAsia="Arial" w:hAnsi="Arial"/>
                <w:sz w:val="18"/>
                <w:szCs w:val="18"/>
                <w:color w:val="auto"/>
              </w:rPr>
              <w:t>416</w:t>
            </w:r>
          </w:p>
        </w:tc>
        <w:tc>
          <w:tcPr>
            <w:tcW w:w="5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1"/>
              <w:spacing w:after="0" w:line="202" w:lineRule="exact"/>
              <w:rPr>
                <w:sz w:val="20"/>
                <w:szCs w:val="20"/>
                <w:color w:val="auto"/>
              </w:rPr>
            </w:pPr>
            <w:r>
              <w:rPr>
                <w:rFonts w:ascii="Arial" w:cs="Arial" w:eastAsia="Arial" w:hAnsi="Arial"/>
                <w:sz w:val="18"/>
                <w:szCs w:val="18"/>
                <w:color w:val="auto"/>
              </w:rPr>
              <w:t>0</w:t>
            </w:r>
          </w:p>
        </w:tc>
        <w:tc>
          <w:tcPr>
            <w:tcW w:w="7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2"/>
              <w:spacing w:after="0" w:line="202" w:lineRule="exact"/>
              <w:rPr>
                <w:sz w:val="20"/>
                <w:szCs w:val="20"/>
                <w:color w:val="auto"/>
              </w:rPr>
            </w:pPr>
            <w:r>
              <w:rPr>
                <w:rFonts w:ascii="Arial" w:cs="Arial" w:eastAsia="Arial" w:hAnsi="Arial"/>
                <w:sz w:val="18"/>
                <w:szCs w:val="18"/>
                <w:color w:val="auto"/>
              </w:rPr>
              <w:t>5,546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equity securities</w:t>
            </w:r>
          </w:p>
        </w:tc>
        <w:tc>
          <w:tcPr>
            <w:tcW w:w="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652"/>
              <w:spacing w:after="0" w:line="202" w:lineRule="exact"/>
              <w:rPr>
                <w:sz w:val="20"/>
                <w:szCs w:val="20"/>
                <w:color w:val="auto"/>
              </w:rPr>
            </w:pPr>
            <w:r>
              <w:rPr>
                <w:rFonts w:ascii="Arial" w:cs="Arial" w:eastAsia="Arial" w:hAnsi="Arial"/>
                <w:sz w:val="18"/>
                <w:szCs w:val="18"/>
                <w:color w:val="auto"/>
                <w:w w:val="98"/>
              </w:rPr>
              <w:t>223,210</w:t>
            </w:r>
          </w:p>
        </w:tc>
        <w:tc>
          <w:tcPr>
            <w:tcW w:w="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w w:val="98"/>
              </w:rPr>
              <w:t>28,847</w:t>
            </w: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w w:val="97"/>
              </w:rPr>
              <w:t>1,410</w:t>
            </w: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8"/>
              </w:rPr>
              <w:t>250,647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700" w:type="dxa"/>
            <w:vAlign w:val="bottom"/>
            <w:gridSpan w:val="2"/>
          </w:tcPr>
          <w:p>
            <w:pPr>
              <w:jc w:val="right"/>
              <w:ind w:right="1172"/>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6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4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NOTE 5 – INVESTMENTS (Continued)</w:t>
      </w:r>
    </w:p>
    <w:p>
      <w:pPr>
        <w:spacing w:after="0" w:line="10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When a decline in the value of an investment is considered to be other-than-temporary by management, the investment is written down to net estimated realizable value. Investment impairments are evaluated on an individual security basis. Adjustments to the carrying value of marketable equity securities and fixed maturities that are considered impaired are recorded as realized losses in the Consolidated Statements of Operations.</w:t>
      </w:r>
    </w:p>
    <w:p>
      <w:pPr>
        <w:spacing w:after="0" w:line="94"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The components of net realized gains on investments as reported in the Consolidated Statements of Operations are included below. Impairment charges for the three months ended March 31, 2007 include securities primarily in the finance and freight industries. Impairment charges on securities were primarily in the media and consumer products industries in the first quarter of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gridSpan w:val="6"/>
          </w:tcPr>
          <w:p>
            <w:pPr>
              <w:jc w:val="right"/>
              <w:ind w:right="660"/>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57"/>
        </w:trPr>
        <w:tc>
          <w:tcPr>
            <w:tcW w:w="4260" w:type="dxa"/>
            <w:vAlign w:val="bottom"/>
            <w:vMerge w:val="continue"/>
          </w:tcPr>
          <w:p>
            <w:pPr>
              <w:spacing w:after="0"/>
              <w:rPr>
                <w:sz w:val="13"/>
                <w:szCs w:val="13"/>
                <w:color w:val="auto"/>
              </w:rPr>
            </w:pPr>
          </w:p>
        </w:tc>
        <w:tc>
          <w:tcPr>
            <w:tcW w:w="4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3"/>
              <w:spacing w:after="0" w:line="157" w:lineRule="exact"/>
              <w:rPr>
                <w:sz w:val="20"/>
                <w:szCs w:val="20"/>
                <w:color w:val="auto"/>
              </w:rPr>
            </w:pPr>
            <w:r>
              <w:rPr>
                <w:rFonts w:ascii="Arial" w:cs="Arial" w:eastAsia="Arial" w:hAnsi="Arial"/>
                <w:sz w:val="14"/>
                <w:szCs w:val="14"/>
                <w:color w:val="auto"/>
              </w:rPr>
              <w:t>2007</w:t>
            </w: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2"/>
              <w:spacing w:after="0" w:line="157" w:lineRule="exact"/>
              <w:rPr>
                <w:sz w:val="20"/>
                <w:szCs w:val="20"/>
                <w:color w:val="auto"/>
              </w:rPr>
            </w:pPr>
            <w:r>
              <w:rPr>
                <w:rFonts w:ascii="Arial" w:cs="Arial" w:eastAsia="Arial" w:hAnsi="Arial"/>
                <w:sz w:val="14"/>
                <w:szCs w:val="14"/>
                <w:color w:val="auto"/>
              </w:rPr>
              <w:t>2006</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Fixed maturities:</w:t>
            </w:r>
          </w:p>
        </w:tc>
        <w:tc>
          <w:tcPr>
            <w:tcW w:w="4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Gross realized gains</w:t>
            </w:r>
          </w:p>
        </w:tc>
        <w:tc>
          <w:tcPr>
            <w:tcW w:w="4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316</w:t>
            </w:r>
          </w:p>
        </w:tc>
        <w:tc>
          <w:tcPr>
            <w:tcW w:w="520" w:type="dxa"/>
            <w:vAlign w:val="bottom"/>
          </w:tcPr>
          <w:p>
            <w:pPr>
              <w:spacing w:after="0"/>
              <w:rPr>
                <w:sz w:val="17"/>
                <w:szCs w:val="17"/>
                <w:color w:val="auto"/>
              </w:rPr>
            </w:pPr>
          </w:p>
        </w:tc>
        <w:tc>
          <w:tcPr>
            <w:tcW w:w="6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realized losses</w:t>
            </w:r>
          </w:p>
        </w:tc>
        <w:tc>
          <w:tcPr>
            <w:tcW w:w="4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(109)</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Impairment charges</w:t>
            </w:r>
          </w:p>
        </w:tc>
        <w:tc>
          <w:tcPr>
            <w:tcW w:w="4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(246)</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Net realized losses</w:t>
            </w:r>
          </w:p>
        </w:tc>
        <w:tc>
          <w:tcPr>
            <w:tcW w:w="4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(39)</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412"/>
        </w:trPr>
        <w:tc>
          <w:tcPr>
            <w:tcW w:w="4260" w:type="dxa"/>
            <w:vAlign w:val="bottom"/>
          </w:tcPr>
          <w:p>
            <w:pPr>
              <w:spacing w:after="0"/>
              <w:rPr>
                <w:sz w:val="20"/>
                <w:szCs w:val="20"/>
                <w:color w:val="auto"/>
              </w:rPr>
            </w:pPr>
            <w:r>
              <w:rPr>
                <w:rFonts w:ascii="Arial" w:cs="Arial" w:eastAsia="Arial" w:hAnsi="Arial"/>
                <w:sz w:val="18"/>
                <w:szCs w:val="18"/>
                <w:color w:val="auto"/>
              </w:rPr>
              <w:t>Equity securities:</w:t>
            </w:r>
          </w:p>
        </w:tc>
        <w:tc>
          <w:tcPr>
            <w:tcW w:w="4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realized gains</w:t>
            </w:r>
          </w:p>
        </w:tc>
        <w:tc>
          <w:tcPr>
            <w:tcW w:w="4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3,333</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4,227</w:t>
            </w:r>
          </w:p>
        </w:tc>
        <w:tc>
          <w:tcPr>
            <w:tcW w:w="0" w:type="dxa"/>
            <w:vAlign w:val="bottom"/>
          </w:tcPr>
          <w:p>
            <w:pPr>
              <w:spacing w:after="0"/>
              <w:rPr>
                <w:sz w:val="1"/>
                <w:szCs w:val="1"/>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Gross realized losses</w:t>
            </w:r>
          </w:p>
        </w:tc>
        <w:tc>
          <w:tcPr>
            <w:tcW w:w="4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(997)</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Impairment charges</w:t>
            </w:r>
          </w:p>
        </w:tc>
        <w:tc>
          <w:tcPr>
            <w:tcW w:w="4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(407)</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tcPr>
          <w:p>
            <w:pPr>
              <w:ind w:left="220"/>
              <w:spacing w:after="0"/>
              <w:rPr>
                <w:sz w:val="20"/>
                <w:szCs w:val="20"/>
                <w:color w:val="auto"/>
              </w:rPr>
            </w:pPr>
            <w:r>
              <w:rPr>
                <w:rFonts w:ascii="Arial" w:cs="Arial" w:eastAsia="Arial" w:hAnsi="Arial"/>
                <w:sz w:val="18"/>
                <w:szCs w:val="18"/>
                <w:color w:val="auto"/>
              </w:rPr>
              <w:t>Net realized gains</w:t>
            </w:r>
          </w:p>
        </w:tc>
        <w:tc>
          <w:tcPr>
            <w:tcW w:w="4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1,929</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Net realized gains on investments</w:t>
            </w:r>
          </w:p>
        </w:tc>
        <w:tc>
          <w:tcPr>
            <w:tcW w:w="4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1,890</w:t>
            </w:r>
          </w:p>
        </w:tc>
        <w:tc>
          <w:tcPr>
            <w:tcW w:w="6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160" w:type="dxa"/>
            <w:vAlign w:val="bottom"/>
            <w:vMerge w:val="restart"/>
          </w:tcPr>
          <w:p>
            <w:pPr>
              <w:jc w:val="right"/>
              <w:ind w:right="2510"/>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26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260" w:type="dxa"/>
            <w:vAlign w:val="bottom"/>
            <w:tcBorders>
              <w:bottom w:val="single" w:sz="8" w:color="808080"/>
            </w:tcBorders>
          </w:tcPr>
          <w:p>
            <w:pPr>
              <w:spacing w:after="0"/>
              <w:rPr>
                <w:sz w:val="18"/>
                <w:szCs w:val="18"/>
                <w:color w:val="auto"/>
              </w:rPr>
            </w:pPr>
          </w:p>
        </w:tc>
        <w:tc>
          <w:tcPr>
            <w:tcW w:w="41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5600"/>
        <w:spacing w:after="0" w:line="360" w:lineRule="auto"/>
        <w:rPr>
          <w:sz w:val="20"/>
          <w:szCs w:val="20"/>
          <w:color w:val="auto"/>
        </w:rPr>
      </w:pPr>
      <w:r>
        <w:rPr>
          <w:rFonts w:ascii="Arial" w:cs="Arial" w:eastAsia="Arial" w:hAnsi="Arial"/>
          <w:sz w:val="18"/>
          <w:szCs w:val="18"/>
          <w:color w:val="auto"/>
        </w:rPr>
        <w:t xml:space="preserve">NOTES TO CONSOLIDATED FINANCIAL STATEMENTS (UNAUDITED) NOTE 5 – INVESTMENTS (Continued) </w:t>
      </w:r>
      <w:r>
        <w:rPr>
          <w:rFonts w:ascii="Arial" w:cs="Arial" w:eastAsia="Arial" w:hAnsi="Arial"/>
          <w:sz w:val="18"/>
          <w:szCs w:val="18"/>
          <w:i w:val="1"/>
          <w:iCs w:val="1"/>
          <w:u w:val="single" w:color="auto"/>
          <w:color w:val="auto"/>
        </w:rPr>
        <w:t>Limited partnerships</w:t>
      </w:r>
    </w:p>
    <w:p>
      <w:pPr>
        <w:ind w:right="180"/>
        <w:spacing w:after="0" w:line="237" w:lineRule="auto"/>
        <w:rPr>
          <w:sz w:val="20"/>
          <w:szCs w:val="20"/>
          <w:color w:val="auto"/>
        </w:rPr>
      </w:pPr>
      <w:r>
        <w:rPr>
          <w:rFonts w:ascii="Arial" w:cs="Arial" w:eastAsia="Arial" w:hAnsi="Arial"/>
          <w:sz w:val="18"/>
          <w:szCs w:val="18"/>
          <w:color w:val="auto"/>
        </w:rPr>
        <w:t>Our limited partnerships are classified into three primary categories based upon the unique investment characteristic of each: real estate, private equity and mezzanine debt. At March 31, 2007 our equity in earnings from these partnerships as reported on the Consolidated Statements of Operations totaled 15.7% of our pre-tax income. While we do not exert significant influence over any of these partnerships, it is because we account for them under the equity method of accounting that we are providing summarized financial information in the following table for the three months ended March 31, 2007 and December 31, 2006. Amounts provided in the “recorded by partnerships” section of the table are presented using the latest available financial statements received from the partnerships.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360" w:type="dxa"/>
            <w:vAlign w:val="bottom"/>
            <w:gridSpan w:val="4"/>
          </w:tcPr>
          <w:p>
            <w:pPr>
              <w:jc w:val="center"/>
              <w:ind w:right="255"/>
              <w:spacing w:after="0"/>
              <w:rPr>
                <w:sz w:val="20"/>
                <w:szCs w:val="20"/>
                <w:color w:val="auto"/>
              </w:rPr>
            </w:pPr>
            <w:r>
              <w:rPr>
                <w:rFonts w:ascii="Arial" w:cs="Arial" w:eastAsia="Arial" w:hAnsi="Arial"/>
                <w:sz w:val="14"/>
                <w:szCs w:val="14"/>
                <w:color w:val="auto"/>
              </w:rPr>
              <w:t>Equity Recorded by Erie Indemnity</w:t>
            </w:r>
          </w:p>
        </w:tc>
        <w:tc>
          <w:tcPr>
            <w:tcW w:w="1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color w:val="auto"/>
              </w:rPr>
              <w:t>Company</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color w:val="auto"/>
              </w:rPr>
              <w:t>as of March 31, 2007</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rPr>
              <w:t>Net</w:t>
            </w:r>
          </w:p>
        </w:tc>
        <w:tc>
          <w:tcPr>
            <w:tcW w:w="1340" w:type="dxa"/>
            <w:vAlign w:val="bottom"/>
          </w:tcPr>
          <w:p>
            <w:pPr>
              <w:spacing w:after="0"/>
              <w:rPr>
                <w:sz w:val="14"/>
                <w:szCs w:val="14"/>
                <w:color w:val="auto"/>
              </w:rPr>
            </w:pPr>
          </w:p>
        </w:tc>
        <w:tc>
          <w:tcPr>
            <w:tcW w:w="1840" w:type="dxa"/>
            <w:vAlign w:val="bottom"/>
          </w:tcPr>
          <w:p>
            <w:pPr>
              <w:jc w:val="right"/>
              <w:ind w:right="13"/>
              <w:spacing w:after="0"/>
              <w:rPr>
                <w:sz w:val="20"/>
                <w:szCs w:val="20"/>
                <w:color w:val="auto"/>
              </w:rPr>
            </w:pPr>
            <w:r>
              <w:rPr>
                <w:rFonts w:ascii="Arial" w:cs="Arial" w:eastAsia="Arial" w:hAnsi="Arial"/>
                <w:sz w:val="14"/>
                <w:szCs w:val="14"/>
                <w:color w:val="auto"/>
              </w:rPr>
              <w:t>Recorded by Partnerships</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3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80" w:type="dxa"/>
            <w:vAlign w:val="bottom"/>
            <w:gridSpan w:val="2"/>
          </w:tcPr>
          <w:p>
            <w:pPr>
              <w:jc w:val="right"/>
              <w:ind w:right="330"/>
              <w:spacing w:after="0"/>
              <w:rPr>
                <w:sz w:val="20"/>
                <w:szCs w:val="20"/>
                <w:color w:val="auto"/>
              </w:rPr>
            </w:pPr>
            <w:r>
              <w:rPr>
                <w:rFonts w:ascii="Arial" w:cs="Arial" w:eastAsia="Arial" w:hAnsi="Arial"/>
                <w:sz w:val="14"/>
                <w:szCs w:val="14"/>
                <w:color w:val="auto"/>
              </w:rPr>
              <w:t>Valuation</w:t>
            </w:r>
          </w:p>
        </w:tc>
        <w:tc>
          <w:tcPr>
            <w:tcW w:w="1040" w:type="dxa"/>
            <w:vAlign w:val="bottom"/>
          </w:tcPr>
          <w:p>
            <w:pPr>
              <w:jc w:val="center"/>
              <w:spacing w:after="0"/>
              <w:rPr>
                <w:sz w:val="20"/>
                <w:szCs w:val="20"/>
                <w:color w:val="auto"/>
              </w:rPr>
            </w:pPr>
            <w:r>
              <w:rPr>
                <w:rFonts w:ascii="Arial" w:cs="Arial" w:eastAsia="Arial" w:hAnsi="Arial"/>
                <w:sz w:val="14"/>
                <w:szCs w:val="14"/>
                <w:color w:val="auto"/>
              </w:rPr>
              <w:t>income</w:t>
            </w:r>
          </w:p>
        </w:tc>
        <w:tc>
          <w:tcPr>
            <w:tcW w:w="1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gridSpan w:val="2"/>
          </w:tcPr>
          <w:p>
            <w:pPr>
              <w:spacing w:after="0"/>
              <w:rPr>
                <w:sz w:val="20"/>
                <w:szCs w:val="20"/>
                <w:color w:val="auto"/>
              </w:rPr>
            </w:pPr>
            <w:r>
              <w:rPr>
                <w:rFonts w:ascii="Arial" w:cs="Arial" w:eastAsia="Arial" w:hAnsi="Arial"/>
                <w:sz w:val="14"/>
                <w:szCs w:val="14"/>
                <w:color w:val="auto"/>
              </w:rPr>
              <w:t>Erie Indemnity Company</w:t>
            </w:r>
          </w:p>
        </w:tc>
        <w:tc>
          <w:tcPr>
            <w:tcW w:w="1100" w:type="dxa"/>
            <w:vAlign w:val="bottom"/>
          </w:tcPr>
          <w:p>
            <w:pPr>
              <w:jc w:val="right"/>
              <w:ind w:right="192"/>
              <w:spacing w:after="0"/>
              <w:rPr>
                <w:sz w:val="20"/>
                <w:szCs w:val="20"/>
                <w:color w:val="auto"/>
              </w:rPr>
            </w:pPr>
            <w:r>
              <w:rPr>
                <w:rFonts w:ascii="Arial" w:cs="Arial" w:eastAsia="Arial" w:hAnsi="Arial"/>
                <w:sz w:val="14"/>
                <w:szCs w:val="14"/>
                <w:color w:val="auto"/>
              </w:rPr>
              <w:t>Number of</w:t>
            </w:r>
          </w:p>
        </w:tc>
        <w:tc>
          <w:tcPr>
            <w:tcW w:w="340" w:type="dxa"/>
            <w:vAlign w:val="bottom"/>
          </w:tcPr>
          <w:p>
            <w:pPr>
              <w:spacing w:after="0"/>
              <w:rPr>
                <w:sz w:val="14"/>
                <w:szCs w:val="14"/>
                <w:color w:val="auto"/>
              </w:rPr>
            </w:pPr>
          </w:p>
        </w:tc>
        <w:tc>
          <w:tcPr>
            <w:tcW w:w="740" w:type="dxa"/>
            <w:vAlign w:val="bottom"/>
          </w:tcPr>
          <w:p>
            <w:pPr>
              <w:jc w:val="right"/>
              <w:ind w:right="173"/>
              <w:spacing w:after="0"/>
              <w:rPr>
                <w:sz w:val="20"/>
                <w:szCs w:val="20"/>
                <w:color w:val="auto"/>
              </w:rPr>
            </w:pPr>
            <w:r>
              <w:rPr>
                <w:rFonts w:ascii="Arial" w:cs="Arial" w:eastAsia="Arial" w:hAnsi="Arial"/>
                <w:sz w:val="14"/>
                <w:szCs w:val="14"/>
                <w:color w:val="auto"/>
              </w:rPr>
              <w:t>Asset</w:t>
            </w:r>
          </w:p>
        </w:tc>
        <w:tc>
          <w:tcPr>
            <w:tcW w:w="1580" w:type="dxa"/>
            <w:vAlign w:val="bottom"/>
            <w:gridSpan w:val="2"/>
          </w:tcPr>
          <w:p>
            <w:pPr>
              <w:ind w:left="520"/>
              <w:spacing w:after="0"/>
              <w:rPr>
                <w:sz w:val="20"/>
                <w:szCs w:val="20"/>
                <w:color w:val="auto"/>
              </w:rPr>
            </w:pPr>
            <w:r>
              <w:rPr>
                <w:rFonts w:ascii="Arial" w:cs="Arial" w:eastAsia="Arial" w:hAnsi="Arial"/>
                <w:sz w:val="14"/>
                <w:szCs w:val="14"/>
                <w:color w:val="auto"/>
              </w:rPr>
              <w:t>adjustment</w:t>
            </w:r>
          </w:p>
        </w:tc>
        <w:tc>
          <w:tcPr>
            <w:tcW w:w="1040" w:type="dxa"/>
            <w:vAlign w:val="bottom"/>
          </w:tcPr>
          <w:p>
            <w:pPr>
              <w:jc w:val="center"/>
              <w:spacing w:after="0"/>
              <w:rPr>
                <w:sz w:val="20"/>
                <w:szCs w:val="20"/>
                <w:color w:val="auto"/>
              </w:rPr>
            </w:pPr>
            <w:r>
              <w:rPr>
                <w:rFonts w:ascii="Arial" w:cs="Arial" w:eastAsia="Arial" w:hAnsi="Arial"/>
                <w:sz w:val="14"/>
                <w:szCs w:val="14"/>
                <w:color w:val="auto"/>
              </w:rPr>
              <w:t>(loss)</w:t>
            </w:r>
          </w:p>
        </w:tc>
        <w:tc>
          <w:tcPr>
            <w:tcW w:w="1340" w:type="dxa"/>
            <w:vAlign w:val="bottom"/>
          </w:tcPr>
          <w:p>
            <w:pPr>
              <w:jc w:val="right"/>
              <w:ind w:right="312"/>
              <w:spacing w:after="0"/>
              <w:rPr>
                <w:sz w:val="20"/>
                <w:szCs w:val="20"/>
                <w:color w:val="auto"/>
              </w:rPr>
            </w:pPr>
            <w:r>
              <w:rPr>
                <w:rFonts w:ascii="Arial" w:cs="Arial" w:eastAsia="Arial" w:hAnsi="Arial"/>
                <w:sz w:val="14"/>
                <w:szCs w:val="14"/>
                <w:color w:val="auto"/>
              </w:rPr>
              <w:t>Total</w:t>
            </w:r>
          </w:p>
        </w:tc>
        <w:tc>
          <w:tcPr>
            <w:tcW w:w="1840" w:type="dxa"/>
            <w:vAlign w:val="bottom"/>
          </w:tcPr>
          <w:p>
            <w:pPr>
              <w:jc w:val="right"/>
              <w:ind w:right="513"/>
              <w:spacing w:after="0"/>
              <w:rPr>
                <w:sz w:val="20"/>
                <w:szCs w:val="20"/>
                <w:color w:val="auto"/>
              </w:rPr>
            </w:pPr>
            <w:r>
              <w:rPr>
                <w:rFonts w:ascii="Arial" w:cs="Arial" w:eastAsia="Arial" w:hAnsi="Arial"/>
                <w:sz w:val="14"/>
                <w:szCs w:val="14"/>
                <w:color w:val="auto"/>
              </w:rPr>
              <w:t>Valuation</w:t>
            </w:r>
          </w:p>
        </w:tc>
        <w:tc>
          <w:tcPr>
            <w:tcW w:w="1200" w:type="dxa"/>
            <w:vAlign w:val="bottom"/>
          </w:tcPr>
          <w:p>
            <w:pPr>
              <w:jc w:val="right"/>
              <w:ind w:right="172"/>
              <w:spacing w:after="0"/>
              <w:rPr>
                <w:sz w:val="20"/>
                <w:szCs w:val="20"/>
                <w:color w:val="auto"/>
              </w:rPr>
            </w:pPr>
            <w:r>
              <w:rPr>
                <w:rFonts w:ascii="Arial" w:cs="Arial" w:eastAsia="Arial" w:hAnsi="Arial"/>
                <w:sz w:val="14"/>
                <w:szCs w:val="14"/>
                <w:color w:val="auto"/>
              </w:rPr>
              <w:t>Net income</w:t>
            </w:r>
          </w:p>
        </w:tc>
        <w:tc>
          <w:tcPr>
            <w:tcW w:w="0" w:type="dxa"/>
            <w:vAlign w:val="bottom"/>
          </w:tcPr>
          <w:p>
            <w:pPr>
              <w:spacing w:after="0"/>
              <w:rPr>
                <w:sz w:val="1"/>
                <w:szCs w:val="1"/>
                <w:color w:val="auto"/>
              </w:rPr>
            </w:pPr>
          </w:p>
        </w:tc>
      </w:tr>
      <w:tr>
        <w:trPr>
          <w:trHeight w:val="157"/>
        </w:trPr>
        <w:tc>
          <w:tcPr>
            <w:tcW w:w="2240" w:type="dxa"/>
            <w:vAlign w:val="bottom"/>
            <w:gridSpan w:val="2"/>
          </w:tcPr>
          <w:p>
            <w:pPr>
              <w:spacing w:after="0" w:line="157" w:lineRule="exact"/>
              <w:rPr>
                <w:sz w:val="20"/>
                <w:szCs w:val="20"/>
                <w:color w:val="auto"/>
              </w:rPr>
            </w:pPr>
            <w:r>
              <w:rPr>
                <w:rFonts w:ascii="Arial" w:cs="Arial" w:eastAsia="Arial" w:hAnsi="Arial"/>
                <w:sz w:val="14"/>
                <w:szCs w:val="14"/>
                <w:color w:val="auto"/>
              </w:rPr>
              <w:t>ownership interest</w:t>
            </w:r>
          </w:p>
        </w:tc>
        <w:tc>
          <w:tcPr>
            <w:tcW w:w="1100" w:type="dxa"/>
            <w:vAlign w:val="bottom"/>
          </w:tcPr>
          <w:p>
            <w:pPr>
              <w:jc w:val="right"/>
              <w:ind w:right="132"/>
              <w:spacing w:after="0" w:line="157" w:lineRule="exact"/>
              <w:rPr>
                <w:sz w:val="20"/>
                <w:szCs w:val="20"/>
                <w:color w:val="auto"/>
              </w:rPr>
            </w:pPr>
            <w:r>
              <w:rPr>
                <w:rFonts w:ascii="Arial" w:cs="Arial" w:eastAsia="Arial" w:hAnsi="Arial"/>
                <w:sz w:val="14"/>
                <w:szCs w:val="14"/>
                <w:color w:val="auto"/>
              </w:rPr>
              <w:t>partnerships</w:t>
            </w:r>
          </w:p>
        </w:tc>
        <w:tc>
          <w:tcPr>
            <w:tcW w:w="340" w:type="dxa"/>
            <w:vAlign w:val="bottom"/>
          </w:tcPr>
          <w:p>
            <w:pPr>
              <w:spacing w:after="0"/>
              <w:rPr>
                <w:sz w:val="13"/>
                <w:szCs w:val="13"/>
                <w:color w:val="auto"/>
              </w:rPr>
            </w:pPr>
          </w:p>
        </w:tc>
        <w:tc>
          <w:tcPr>
            <w:tcW w:w="740" w:type="dxa"/>
            <w:vAlign w:val="bottom"/>
          </w:tcPr>
          <w:p>
            <w:pPr>
              <w:jc w:val="right"/>
              <w:ind w:right="73"/>
              <w:spacing w:after="0" w:line="157" w:lineRule="exact"/>
              <w:rPr>
                <w:sz w:val="20"/>
                <w:szCs w:val="20"/>
                <w:color w:val="auto"/>
              </w:rPr>
            </w:pPr>
            <w:r>
              <w:rPr>
                <w:rFonts w:ascii="Arial" w:cs="Arial" w:eastAsia="Arial" w:hAnsi="Arial"/>
                <w:sz w:val="14"/>
                <w:szCs w:val="14"/>
                <w:color w:val="auto"/>
              </w:rPr>
              <w:t>recorded</w:t>
            </w:r>
          </w:p>
        </w:tc>
        <w:tc>
          <w:tcPr>
            <w:tcW w:w="1580" w:type="dxa"/>
            <w:vAlign w:val="bottom"/>
            <w:gridSpan w:val="2"/>
          </w:tcPr>
          <w:p>
            <w:pPr>
              <w:jc w:val="right"/>
              <w:ind w:right="330"/>
              <w:spacing w:after="0" w:line="157" w:lineRule="exact"/>
              <w:rPr>
                <w:sz w:val="20"/>
                <w:szCs w:val="20"/>
                <w:color w:val="auto"/>
              </w:rPr>
            </w:pPr>
            <w:r>
              <w:rPr>
                <w:rFonts w:ascii="Arial" w:cs="Arial" w:eastAsia="Arial" w:hAnsi="Arial"/>
                <w:sz w:val="14"/>
                <w:szCs w:val="14"/>
                <w:color w:val="auto"/>
              </w:rPr>
              <w:t>recorded</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rPr>
              <w:t>recorded</w:t>
            </w:r>
          </w:p>
        </w:tc>
        <w:tc>
          <w:tcPr>
            <w:tcW w:w="1340" w:type="dxa"/>
            <w:vAlign w:val="bottom"/>
          </w:tcPr>
          <w:p>
            <w:pPr>
              <w:jc w:val="right"/>
              <w:ind w:right="272"/>
              <w:spacing w:after="0" w:line="157" w:lineRule="exact"/>
              <w:rPr>
                <w:sz w:val="20"/>
                <w:szCs w:val="20"/>
                <w:color w:val="auto"/>
              </w:rPr>
            </w:pPr>
            <w:r>
              <w:rPr>
                <w:rFonts w:ascii="Arial" w:cs="Arial" w:eastAsia="Arial" w:hAnsi="Arial"/>
                <w:sz w:val="14"/>
                <w:szCs w:val="14"/>
                <w:color w:val="auto"/>
              </w:rPr>
              <w:t>assets</w:t>
            </w:r>
          </w:p>
        </w:tc>
        <w:tc>
          <w:tcPr>
            <w:tcW w:w="1840" w:type="dxa"/>
            <w:vAlign w:val="bottom"/>
          </w:tcPr>
          <w:p>
            <w:pPr>
              <w:jc w:val="right"/>
              <w:ind w:right="413"/>
              <w:spacing w:after="0" w:line="157" w:lineRule="exact"/>
              <w:rPr>
                <w:sz w:val="20"/>
                <w:szCs w:val="20"/>
                <w:color w:val="auto"/>
              </w:rPr>
            </w:pPr>
            <w:r>
              <w:rPr>
                <w:rFonts w:ascii="Arial" w:cs="Arial" w:eastAsia="Arial" w:hAnsi="Arial"/>
                <w:sz w:val="14"/>
                <w:szCs w:val="14"/>
                <w:color w:val="auto"/>
              </w:rPr>
              <w:t>adjustments</w:t>
            </w:r>
          </w:p>
        </w:tc>
        <w:tc>
          <w:tcPr>
            <w:tcW w:w="1200" w:type="dxa"/>
            <w:vAlign w:val="bottom"/>
          </w:tcPr>
          <w:p>
            <w:pPr>
              <w:jc w:val="right"/>
              <w:ind w:right="352"/>
              <w:spacing w:after="0" w:line="157" w:lineRule="exact"/>
              <w:rPr>
                <w:sz w:val="20"/>
                <w:szCs w:val="20"/>
                <w:color w:val="auto"/>
              </w:rPr>
            </w:pPr>
            <w:r>
              <w:rPr>
                <w:rFonts w:ascii="Arial" w:cs="Arial" w:eastAsia="Arial" w:hAnsi="Arial"/>
                <w:sz w:val="14"/>
                <w:szCs w:val="14"/>
                <w:color w:val="auto"/>
              </w:rPr>
              <w:t>(loss)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380" w:type="dxa"/>
            <w:vAlign w:val="bottom"/>
            <w:tcBorders>
              <w:top w:val="single" w:sz="8" w:color="auto"/>
            </w:tcBorders>
            <w:gridSpan w:val="2"/>
          </w:tcPr>
          <w:p>
            <w:pPr>
              <w:jc w:val="right"/>
              <w:ind w:right="772"/>
              <w:spacing w:after="0"/>
              <w:rPr>
                <w:sz w:val="20"/>
                <w:szCs w:val="20"/>
                <w:color w:val="auto"/>
              </w:rPr>
            </w:pPr>
            <w:r>
              <w:rPr>
                <w:rFonts w:ascii="Arial" w:cs="Arial" w:eastAsia="Arial" w:hAnsi="Arial"/>
                <w:sz w:val="14"/>
                <w:szCs w:val="14"/>
                <w:i w:val="1"/>
                <w:iCs w:val="1"/>
                <w:color w:val="auto"/>
              </w:rPr>
              <w:t>(dollars in thousands)</w:t>
            </w:r>
          </w:p>
        </w:tc>
        <w:tc>
          <w:tcPr>
            <w:tcW w:w="18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Private equity:</w:t>
            </w: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line="202" w:lineRule="exact"/>
              <w:rPr>
                <w:sz w:val="20"/>
                <w:szCs w:val="20"/>
                <w:color w:val="auto"/>
              </w:rPr>
            </w:pPr>
            <w:r>
              <w:rPr>
                <w:rFonts w:ascii="Arial" w:cs="Arial" w:eastAsia="Arial" w:hAnsi="Arial"/>
                <w:sz w:val="18"/>
                <w:szCs w:val="18"/>
                <w:color w:val="auto"/>
              </w:rPr>
              <w:t>Less than 10%</w:t>
            </w:r>
          </w:p>
        </w:tc>
        <w:tc>
          <w:tcPr>
            <w:tcW w:w="110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36</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77,726</w:t>
            </w:r>
          </w:p>
        </w:tc>
        <w:tc>
          <w:tcPr>
            <w:tcW w:w="640" w:type="dxa"/>
            <w:vAlign w:val="bottom"/>
          </w:tcPr>
          <w:p>
            <w:pPr>
              <w:ind w:left="54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706</w:t>
            </w:r>
          </w:p>
        </w:tc>
        <w:tc>
          <w:tcPr>
            <w:tcW w:w="104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$3,474</w:t>
            </w:r>
          </w:p>
        </w:tc>
        <w:tc>
          <w:tcPr>
            <w:tcW w:w="13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$19,484,458</w:t>
            </w:r>
          </w:p>
        </w:tc>
        <w:tc>
          <w:tcPr>
            <w:tcW w:w="1840" w:type="dxa"/>
            <w:vAlign w:val="bottom"/>
          </w:tcPr>
          <w:p>
            <w:pPr>
              <w:jc w:val="right"/>
              <w:ind w:right="393"/>
              <w:spacing w:after="0" w:line="202" w:lineRule="exact"/>
              <w:rPr>
                <w:sz w:val="20"/>
                <w:szCs w:val="20"/>
                <w:color w:val="auto"/>
              </w:rPr>
            </w:pPr>
            <w:r>
              <w:rPr>
                <w:rFonts w:ascii="Arial" w:cs="Arial" w:eastAsia="Arial" w:hAnsi="Arial"/>
                <w:sz w:val="18"/>
                <w:szCs w:val="18"/>
                <w:color w:val="auto"/>
              </w:rPr>
              <w:t>$3,542,150</w:t>
            </w:r>
          </w:p>
        </w:tc>
        <w:tc>
          <w:tcPr>
            <w:tcW w:w="12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$2,503,460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Greater than or equal to</w:t>
            </w: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10% but less than</w:t>
            </w: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50%</w:t>
            </w:r>
          </w:p>
        </w:tc>
        <w:tc>
          <w:tcPr>
            <w:tcW w:w="1100" w:type="dxa"/>
            <w:vAlign w:val="bottom"/>
            <w:shd w:val="clear" w:color="auto" w:fill="CCEEFF"/>
          </w:tcPr>
          <w:p>
            <w:pPr>
              <w:jc w:val="right"/>
              <w:ind w:right="372"/>
              <w:spacing w:after="0" w:line="203" w:lineRule="exact"/>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11,201</w:t>
            </w: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0"/>
              <w:spacing w:after="0" w:line="203" w:lineRule="exact"/>
              <w:rPr>
                <w:sz w:val="20"/>
                <w:szCs w:val="20"/>
                <w:color w:val="auto"/>
              </w:rPr>
            </w:pPr>
            <w:r>
              <w:rPr>
                <w:rFonts w:ascii="Arial" w:cs="Arial" w:eastAsia="Arial" w:hAnsi="Arial"/>
                <w:sz w:val="18"/>
                <w:szCs w:val="18"/>
                <w:color w:val="auto"/>
              </w:rPr>
              <w:t>294</w:t>
            </w:r>
          </w:p>
        </w:tc>
        <w:tc>
          <w:tcPr>
            <w:tcW w:w="1040" w:type="dxa"/>
            <w:vAlign w:val="bottom"/>
            <w:shd w:val="clear" w:color="auto" w:fill="CCEEFF"/>
          </w:tcPr>
          <w:p>
            <w:pPr>
              <w:jc w:val="right"/>
              <w:ind w:right="215"/>
              <w:spacing w:after="0" w:line="203" w:lineRule="exact"/>
              <w:rPr>
                <w:sz w:val="20"/>
                <w:szCs w:val="20"/>
                <w:color w:val="auto"/>
              </w:rPr>
            </w:pPr>
            <w:r>
              <w:rPr>
                <w:rFonts w:ascii="Arial" w:cs="Arial" w:eastAsia="Arial" w:hAnsi="Arial"/>
                <w:sz w:val="18"/>
                <w:szCs w:val="18"/>
                <w:color w:val="auto"/>
              </w:rPr>
              <w:t>99</w:t>
            </w:r>
          </w:p>
        </w:tc>
        <w:tc>
          <w:tcPr>
            <w:tcW w:w="134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420,644</w:t>
            </w:r>
          </w:p>
        </w:tc>
        <w:tc>
          <w:tcPr>
            <w:tcW w:w="1840" w:type="dxa"/>
            <w:vAlign w:val="bottom"/>
            <w:shd w:val="clear" w:color="auto" w:fill="CCEEFF"/>
          </w:tcPr>
          <w:p>
            <w:pPr>
              <w:jc w:val="right"/>
              <w:ind w:right="393"/>
              <w:spacing w:after="0" w:line="203" w:lineRule="exact"/>
              <w:rPr>
                <w:sz w:val="20"/>
                <w:szCs w:val="20"/>
                <w:color w:val="auto"/>
              </w:rPr>
            </w:pPr>
            <w:r>
              <w:rPr>
                <w:rFonts w:ascii="Arial" w:cs="Arial" w:eastAsia="Arial" w:hAnsi="Arial"/>
                <w:sz w:val="18"/>
                <w:szCs w:val="18"/>
                <w:color w:val="auto"/>
              </w:rPr>
              <w:t>73,753</w:t>
            </w:r>
          </w:p>
        </w:tc>
        <w:tc>
          <w:tcPr>
            <w:tcW w:w="1200" w:type="dxa"/>
            <w:vAlign w:val="bottom"/>
            <w:shd w:val="clear" w:color="auto" w:fill="CCEEFF"/>
          </w:tcPr>
          <w:p>
            <w:pPr>
              <w:jc w:val="right"/>
              <w:ind w:right="112"/>
              <w:spacing w:after="0" w:line="203" w:lineRule="exact"/>
              <w:rPr>
                <w:sz w:val="20"/>
                <w:szCs w:val="20"/>
                <w:color w:val="auto"/>
              </w:rPr>
            </w:pPr>
            <w:r>
              <w:rPr>
                <w:rFonts w:ascii="Arial" w:cs="Arial" w:eastAsia="Arial" w:hAnsi="Arial"/>
                <w:sz w:val="18"/>
                <w:szCs w:val="18"/>
                <w:color w:val="auto"/>
              </w:rPr>
              <w:t>6,814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spacing w:after="0" w:line="201" w:lineRule="exact"/>
              <w:rPr>
                <w:sz w:val="20"/>
                <w:szCs w:val="20"/>
                <w:color w:val="auto"/>
              </w:rPr>
            </w:pPr>
            <w:r>
              <w:rPr>
                <w:rFonts w:ascii="Arial" w:cs="Arial" w:eastAsia="Arial" w:hAnsi="Arial"/>
                <w:sz w:val="18"/>
                <w:szCs w:val="18"/>
                <w:color w:val="auto"/>
              </w:rPr>
              <w:t>Greater than or equal to</w:t>
            </w: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40" w:type="dxa"/>
            <w:vAlign w:val="bottom"/>
            <w:gridSpan w:val="2"/>
          </w:tcPr>
          <w:p>
            <w:pPr>
              <w:ind w:left="220"/>
              <w:spacing w:after="0" w:line="203" w:lineRule="exact"/>
              <w:rPr>
                <w:sz w:val="20"/>
                <w:szCs w:val="20"/>
                <w:color w:val="auto"/>
              </w:rPr>
            </w:pPr>
            <w:r>
              <w:rPr>
                <w:rFonts w:ascii="Arial" w:cs="Arial" w:eastAsia="Arial" w:hAnsi="Arial"/>
                <w:sz w:val="18"/>
                <w:szCs w:val="18"/>
                <w:color w:val="auto"/>
              </w:rPr>
              <w:t>50%</w:t>
            </w:r>
          </w:p>
        </w:tc>
        <w:tc>
          <w:tcPr>
            <w:tcW w:w="1100" w:type="dxa"/>
            <w:vAlign w:val="bottom"/>
            <w:tcBorders>
              <w:bottom w:val="single" w:sz="8" w:color="auto"/>
            </w:tcBorders>
          </w:tcPr>
          <w:p>
            <w:pPr>
              <w:jc w:val="right"/>
              <w:ind w:right="372"/>
              <w:spacing w:after="0" w:line="203" w:lineRule="exact"/>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line="203" w:lineRule="exact"/>
              <w:rPr>
                <w:sz w:val="20"/>
                <w:szCs w:val="20"/>
                <w:color w:val="auto"/>
              </w:rPr>
            </w:pPr>
            <w:r>
              <w:rPr>
                <w:rFonts w:ascii="Arial" w:cs="Arial" w:eastAsia="Arial" w:hAnsi="Arial"/>
                <w:sz w:val="18"/>
                <w:szCs w:val="18"/>
                <w:color w:val="auto"/>
              </w:rPr>
              <w:t>2,965</w:t>
            </w:r>
          </w:p>
        </w:tc>
        <w:tc>
          <w:tcPr>
            <w:tcW w:w="6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0</w:t>
            </w:r>
          </w:p>
        </w:tc>
        <w:tc>
          <w:tcPr>
            <w:tcW w:w="1040" w:type="dxa"/>
            <w:vAlign w:val="bottom"/>
            <w:tcBorders>
              <w:bottom w:val="single" w:sz="8" w:color="auto"/>
            </w:tcBorders>
          </w:tcPr>
          <w:p>
            <w:pPr>
              <w:jc w:val="right"/>
              <w:ind w:right="155"/>
              <w:spacing w:after="0" w:line="203" w:lineRule="exact"/>
              <w:rPr>
                <w:sz w:val="20"/>
                <w:szCs w:val="20"/>
                <w:color w:val="auto"/>
              </w:rPr>
            </w:pPr>
            <w:r>
              <w:rPr>
                <w:rFonts w:ascii="Arial" w:cs="Arial" w:eastAsia="Arial" w:hAnsi="Arial"/>
                <w:sz w:val="18"/>
                <w:szCs w:val="18"/>
                <w:color w:val="auto"/>
              </w:rPr>
              <w:t>(34)</w:t>
            </w:r>
          </w:p>
        </w:tc>
        <w:tc>
          <w:tcPr>
            <w:tcW w:w="1340" w:type="dxa"/>
            <w:vAlign w:val="bottom"/>
            <w:tcBorders>
              <w:bottom w:val="single" w:sz="8" w:color="auto"/>
            </w:tcBorders>
          </w:tcPr>
          <w:p>
            <w:pPr>
              <w:jc w:val="right"/>
              <w:ind w:right="12"/>
              <w:spacing w:after="0" w:line="203" w:lineRule="exact"/>
              <w:rPr>
                <w:sz w:val="20"/>
                <w:szCs w:val="20"/>
                <w:color w:val="auto"/>
              </w:rPr>
            </w:pPr>
            <w:r>
              <w:rPr>
                <w:rFonts w:ascii="Arial" w:cs="Arial" w:eastAsia="Arial" w:hAnsi="Arial"/>
                <w:sz w:val="18"/>
                <w:szCs w:val="18"/>
                <w:color w:val="auto"/>
              </w:rPr>
              <w:t>9,225</w:t>
            </w:r>
          </w:p>
        </w:tc>
        <w:tc>
          <w:tcPr>
            <w:tcW w:w="1840" w:type="dxa"/>
            <w:vAlign w:val="bottom"/>
            <w:tcBorders>
              <w:bottom w:val="single" w:sz="8" w:color="auto"/>
            </w:tcBorders>
          </w:tcPr>
          <w:p>
            <w:pPr>
              <w:jc w:val="right"/>
              <w:ind w:right="393"/>
              <w:spacing w:after="0" w:line="203" w:lineRule="exact"/>
              <w:rPr>
                <w:sz w:val="20"/>
                <w:szCs w:val="20"/>
                <w:color w:val="auto"/>
              </w:rPr>
            </w:pPr>
            <w:r>
              <w:rPr>
                <w:rFonts w:ascii="Arial" w:cs="Arial" w:eastAsia="Arial" w:hAnsi="Arial"/>
                <w:sz w:val="18"/>
                <w:szCs w:val="18"/>
                <w:color w:val="auto"/>
              </w:rPr>
              <w:t>0</w:t>
            </w:r>
          </w:p>
        </w:tc>
        <w:tc>
          <w:tcPr>
            <w:tcW w:w="1200" w:type="dxa"/>
            <w:vAlign w:val="bottom"/>
            <w:tcBorders>
              <w:bottom w:val="single" w:sz="8" w:color="auto"/>
            </w:tcBorders>
          </w:tcPr>
          <w:p>
            <w:pPr>
              <w:jc w:val="right"/>
              <w:ind w:right="52"/>
              <w:spacing w:after="0" w:line="203"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private equity</w:t>
            </w:r>
          </w:p>
        </w:tc>
        <w:tc>
          <w:tcPr>
            <w:tcW w:w="1100" w:type="dxa"/>
            <w:vAlign w:val="bottom"/>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44</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91,892</w:t>
            </w: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w w:val="97"/>
              </w:rPr>
              <w:t>1,000</w:t>
            </w:r>
          </w:p>
        </w:tc>
        <w:tc>
          <w:tcPr>
            <w:tcW w:w="1040" w:type="dxa"/>
            <w:vAlign w:val="bottom"/>
            <w:shd w:val="clear" w:color="auto" w:fill="CCEEFF"/>
          </w:tcPr>
          <w:p>
            <w:pPr>
              <w:jc w:val="right"/>
              <w:ind w:right="215"/>
              <w:spacing w:after="0" w:line="202" w:lineRule="exact"/>
              <w:rPr>
                <w:sz w:val="20"/>
                <w:szCs w:val="20"/>
                <w:color w:val="auto"/>
              </w:rPr>
            </w:pPr>
            <w:r>
              <w:rPr>
                <w:rFonts w:ascii="Arial" w:cs="Arial" w:eastAsia="Arial" w:hAnsi="Arial"/>
                <w:sz w:val="18"/>
                <w:szCs w:val="18"/>
                <w:color w:val="auto"/>
              </w:rPr>
              <w:t>3,539</w:t>
            </w:r>
          </w:p>
        </w:tc>
        <w:tc>
          <w:tcPr>
            <w:tcW w:w="13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19,914,327</w:t>
            </w:r>
          </w:p>
        </w:tc>
        <w:tc>
          <w:tcPr>
            <w:tcW w:w="184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3,615,903</w:t>
            </w:r>
          </w:p>
        </w:tc>
        <w:tc>
          <w:tcPr>
            <w:tcW w:w="12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2,510,171</w:t>
            </w:r>
          </w:p>
        </w:tc>
        <w:tc>
          <w:tcPr>
            <w:tcW w:w="0" w:type="dxa"/>
            <w:vAlign w:val="bottom"/>
          </w:tcPr>
          <w:p>
            <w:pPr>
              <w:spacing w:after="0"/>
              <w:rPr>
                <w:sz w:val="1"/>
                <w:szCs w:val="1"/>
                <w:color w:val="auto"/>
              </w:rPr>
            </w:pPr>
          </w:p>
        </w:tc>
      </w:tr>
      <w:tr>
        <w:trPr>
          <w:trHeight w:val="405"/>
        </w:trPr>
        <w:tc>
          <w:tcPr>
            <w:tcW w:w="2240" w:type="dxa"/>
            <w:vAlign w:val="bottom"/>
            <w:gridSpan w:val="2"/>
          </w:tcPr>
          <w:p>
            <w:pPr>
              <w:spacing w:after="0"/>
              <w:rPr>
                <w:sz w:val="20"/>
                <w:szCs w:val="20"/>
                <w:color w:val="auto"/>
              </w:rPr>
            </w:pPr>
            <w:r>
              <w:rPr>
                <w:rFonts w:ascii="Arial" w:cs="Arial" w:eastAsia="Arial" w:hAnsi="Arial"/>
                <w:sz w:val="18"/>
                <w:szCs w:val="18"/>
                <w:b w:val="1"/>
                <w:bCs w:val="1"/>
                <w:color w:val="auto"/>
              </w:rPr>
              <w:t>Mezzanine debt:</w:t>
            </w: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than 10%</w:t>
            </w:r>
          </w:p>
        </w:tc>
        <w:tc>
          <w:tcPr>
            <w:tcW w:w="1100" w:type="dxa"/>
            <w:vAlign w:val="bottom"/>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27,160</w:t>
            </w: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928</w:t>
            </w:r>
          </w:p>
        </w:tc>
        <w:tc>
          <w:tcPr>
            <w:tcW w:w="1040" w:type="dxa"/>
            <w:vAlign w:val="bottom"/>
            <w:shd w:val="clear" w:color="auto" w:fill="CCEEFF"/>
          </w:tcPr>
          <w:p>
            <w:pPr>
              <w:jc w:val="right"/>
              <w:ind w:right="215"/>
              <w:spacing w:after="0" w:line="202" w:lineRule="exact"/>
              <w:rPr>
                <w:sz w:val="20"/>
                <w:szCs w:val="20"/>
                <w:color w:val="auto"/>
              </w:rPr>
            </w:pPr>
            <w:r>
              <w:rPr>
                <w:rFonts w:ascii="Arial" w:cs="Arial" w:eastAsia="Arial" w:hAnsi="Arial"/>
                <w:sz w:val="18"/>
                <w:szCs w:val="18"/>
                <w:color w:val="auto"/>
              </w:rPr>
              <w:t>128</w:t>
            </w:r>
          </w:p>
        </w:tc>
        <w:tc>
          <w:tcPr>
            <w:tcW w:w="13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3,484,177</w:t>
            </w:r>
          </w:p>
        </w:tc>
        <w:tc>
          <w:tcPr>
            <w:tcW w:w="184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137,909</w:t>
            </w:r>
          </w:p>
        </w:tc>
        <w:tc>
          <w:tcPr>
            <w:tcW w:w="12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189,718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spacing w:after="0" w:line="201" w:lineRule="exact"/>
              <w:rPr>
                <w:sz w:val="20"/>
                <w:szCs w:val="20"/>
                <w:color w:val="auto"/>
              </w:rPr>
            </w:pPr>
            <w:r>
              <w:rPr>
                <w:rFonts w:ascii="Arial" w:cs="Arial" w:eastAsia="Arial" w:hAnsi="Arial"/>
                <w:sz w:val="18"/>
                <w:szCs w:val="18"/>
                <w:color w:val="auto"/>
              </w:rPr>
              <w:t>Greater than or equal to</w:t>
            </w: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200"/>
              <w:spacing w:after="0" w:line="202" w:lineRule="exact"/>
              <w:rPr>
                <w:sz w:val="20"/>
                <w:szCs w:val="20"/>
                <w:color w:val="auto"/>
              </w:rPr>
            </w:pPr>
            <w:r>
              <w:rPr>
                <w:rFonts w:ascii="Arial" w:cs="Arial" w:eastAsia="Arial" w:hAnsi="Arial"/>
                <w:sz w:val="18"/>
                <w:szCs w:val="18"/>
                <w:color w:val="auto"/>
              </w:rPr>
              <w:t>10% but less than</w:t>
            </w: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gridSpan w:val="2"/>
          </w:tcPr>
          <w:p>
            <w:pPr>
              <w:ind w:left="220"/>
              <w:spacing w:after="0" w:line="203" w:lineRule="exact"/>
              <w:rPr>
                <w:sz w:val="20"/>
                <w:szCs w:val="20"/>
                <w:color w:val="auto"/>
              </w:rPr>
            </w:pPr>
            <w:r>
              <w:rPr>
                <w:rFonts w:ascii="Arial" w:cs="Arial" w:eastAsia="Arial" w:hAnsi="Arial"/>
                <w:sz w:val="18"/>
                <w:szCs w:val="18"/>
                <w:color w:val="auto"/>
              </w:rPr>
              <w:t>50%</w:t>
            </w:r>
          </w:p>
        </w:tc>
        <w:tc>
          <w:tcPr>
            <w:tcW w:w="1100" w:type="dxa"/>
            <w:vAlign w:val="bottom"/>
          </w:tcPr>
          <w:p>
            <w:pPr>
              <w:jc w:val="right"/>
              <w:ind w:right="372"/>
              <w:spacing w:after="0" w:line="203" w:lineRule="exact"/>
              <w:rPr>
                <w:sz w:val="20"/>
                <w:szCs w:val="20"/>
                <w:color w:val="auto"/>
              </w:rPr>
            </w:pPr>
            <w:r>
              <w:rPr>
                <w:rFonts w:ascii="Arial" w:cs="Arial" w:eastAsia="Arial" w:hAnsi="Arial"/>
                <w:sz w:val="18"/>
                <w:szCs w:val="18"/>
                <w:color w:val="auto"/>
              </w:rPr>
              <w:t>3</w:t>
            </w:r>
          </w:p>
        </w:tc>
        <w:tc>
          <w:tcPr>
            <w:tcW w:w="340" w:type="dxa"/>
            <w:vAlign w:val="bottom"/>
          </w:tcPr>
          <w:p>
            <w:pPr>
              <w:spacing w:after="0"/>
              <w:rPr>
                <w:sz w:val="17"/>
                <w:szCs w:val="17"/>
                <w:color w:val="auto"/>
              </w:rPr>
            </w:pPr>
          </w:p>
        </w:tc>
        <w:tc>
          <w:tcPr>
            <w:tcW w:w="740" w:type="dxa"/>
            <w:vAlign w:val="bottom"/>
          </w:tcPr>
          <w:p>
            <w:pPr>
              <w:jc w:val="right"/>
              <w:ind w:right="13"/>
              <w:spacing w:after="0" w:line="203" w:lineRule="exact"/>
              <w:rPr>
                <w:sz w:val="20"/>
                <w:szCs w:val="20"/>
                <w:color w:val="auto"/>
              </w:rPr>
            </w:pPr>
            <w:r>
              <w:rPr>
                <w:rFonts w:ascii="Arial" w:cs="Arial" w:eastAsia="Arial" w:hAnsi="Arial"/>
                <w:sz w:val="18"/>
                <w:szCs w:val="18"/>
                <w:color w:val="auto"/>
              </w:rPr>
              <w:t>7,718</w:t>
            </w:r>
          </w:p>
        </w:tc>
        <w:tc>
          <w:tcPr>
            <w:tcW w:w="640" w:type="dxa"/>
            <w:vAlign w:val="bottom"/>
          </w:tcPr>
          <w:p>
            <w:pPr>
              <w:spacing w:after="0"/>
              <w:rPr>
                <w:sz w:val="17"/>
                <w:szCs w:val="17"/>
                <w:color w:val="auto"/>
              </w:rPr>
            </w:pPr>
          </w:p>
        </w:tc>
        <w:tc>
          <w:tcPr>
            <w:tcW w:w="940" w:type="dxa"/>
            <w:vAlign w:val="bottom"/>
          </w:tcPr>
          <w:p>
            <w:pPr>
              <w:jc w:val="right"/>
              <w:ind w:right="330"/>
              <w:spacing w:after="0" w:line="203" w:lineRule="exact"/>
              <w:rPr>
                <w:sz w:val="20"/>
                <w:szCs w:val="20"/>
                <w:color w:val="auto"/>
              </w:rPr>
            </w:pPr>
            <w:r>
              <w:rPr>
                <w:rFonts w:ascii="Arial" w:cs="Arial" w:eastAsia="Arial" w:hAnsi="Arial"/>
                <w:sz w:val="18"/>
                <w:szCs w:val="18"/>
                <w:color w:val="auto"/>
              </w:rPr>
              <w:t>(496)</w:t>
            </w:r>
          </w:p>
        </w:tc>
        <w:tc>
          <w:tcPr>
            <w:tcW w:w="1040" w:type="dxa"/>
            <w:vAlign w:val="bottom"/>
          </w:tcPr>
          <w:p>
            <w:pPr>
              <w:jc w:val="right"/>
              <w:ind w:right="215"/>
              <w:spacing w:after="0" w:line="203" w:lineRule="exact"/>
              <w:rPr>
                <w:sz w:val="20"/>
                <w:szCs w:val="20"/>
                <w:color w:val="auto"/>
              </w:rPr>
            </w:pPr>
            <w:r>
              <w:rPr>
                <w:rFonts w:ascii="Arial" w:cs="Arial" w:eastAsia="Arial" w:hAnsi="Arial"/>
                <w:sz w:val="18"/>
                <w:szCs w:val="18"/>
                <w:color w:val="auto"/>
              </w:rPr>
              <w:t>924</w:t>
            </w:r>
          </w:p>
        </w:tc>
        <w:tc>
          <w:tcPr>
            <w:tcW w:w="1340" w:type="dxa"/>
            <w:vAlign w:val="bottom"/>
          </w:tcPr>
          <w:p>
            <w:pPr>
              <w:jc w:val="right"/>
              <w:ind w:right="12"/>
              <w:spacing w:after="0" w:line="203" w:lineRule="exact"/>
              <w:rPr>
                <w:sz w:val="20"/>
                <w:szCs w:val="20"/>
                <w:color w:val="auto"/>
              </w:rPr>
            </w:pPr>
            <w:r>
              <w:rPr>
                <w:rFonts w:ascii="Arial" w:cs="Arial" w:eastAsia="Arial" w:hAnsi="Arial"/>
                <w:sz w:val="18"/>
                <w:szCs w:val="18"/>
                <w:color w:val="auto"/>
              </w:rPr>
              <w:t>351,368</w:t>
            </w:r>
          </w:p>
        </w:tc>
        <w:tc>
          <w:tcPr>
            <w:tcW w:w="1840" w:type="dxa"/>
            <w:vAlign w:val="bottom"/>
          </w:tcPr>
          <w:p>
            <w:pPr>
              <w:jc w:val="right"/>
              <w:ind w:right="333"/>
              <w:spacing w:after="0" w:line="203" w:lineRule="exact"/>
              <w:rPr>
                <w:sz w:val="20"/>
                <w:szCs w:val="20"/>
                <w:color w:val="auto"/>
              </w:rPr>
            </w:pPr>
            <w:r>
              <w:rPr>
                <w:rFonts w:ascii="Arial" w:cs="Arial" w:eastAsia="Arial" w:hAnsi="Arial"/>
                <w:sz w:val="18"/>
                <w:szCs w:val="18"/>
                <w:color w:val="auto"/>
              </w:rPr>
              <w:t>(1,680)</w:t>
            </w:r>
          </w:p>
        </w:tc>
        <w:tc>
          <w:tcPr>
            <w:tcW w:w="1200" w:type="dxa"/>
            <w:vAlign w:val="bottom"/>
          </w:tcPr>
          <w:p>
            <w:pPr>
              <w:jc w:val="right"/>
              <w:ind w:right="112"/>
              <w:spacing w:after="0" w:line="203" w:lineRule="exact"/>
              <w:rPr>
                <w:sz w:val="20"/>
                <w:szCs w:val="20"/>
                <w:color w:val="auto"/>
              </w:rPr>
            </w:pPr>
            <w:r>
              <w:rPr>
                <w:rFonts w:ascii="Arial" w:cs="Arial" w:eastAsia="Arial" w:hAnsi="Arial"/>
                <w:sz w:val="18"/>
                <w:szCs w:val="18"/>
                <w:color w:val="auto"/>
              </w:rPr>
              <w:t>48,365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Greater than or equal to</w:t>
            </w: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50%</w:t>
            </w:r>
          </w:p>
        </w:tc>
        <w:tc>
          <w:tcPr>
            <w:tcW w:w="1100" w:type="dxa"/>
            <w:vAlign w:val="bottom"/>
            <w:tcBorders>
              <w:bottom w:val="single" w:sz="8" w:color="auto"/>
            </w:tcBorders>
            <w:shd w:val="clear" w:color="auto" w:fill="CCEEFF"/>
          </w:tcPr>
          <w:p>
            <w:pPr>
              <w:jc w:val="right"/>
              <w:ind w:right="372"/>
              <w:spacing w:after="0" w:line="203" w:lineRule="exact"/>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5,220</w:t>
            </w:r>
          </w:p>
        </w:tc>
        <w:tc>
          <w:tcPr>
            <w:tcW w:w="6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90"/>
              <w:spacing w:after="0" w:line="203" w:lineRule="exact"/>
              <w:rPr>
                <w:sz w:val="20"/>
                <w:szCs w:val="20"/>
                <w:color w:val="auto"/>
              </w:rPr>
            </w:pPr>
            <w:r>
              <w:rPr>
                <w:rFonts w:ascii="Arial" w:cs="Arial" w:eastAsia="Arial" w:hAnsi="Arial"/>
                <w:sz w:val="18"/>
                <w:szCs w:val="18"/>
                <w:color w:val="auto"/>
              </w:rPr>
              <w:t>0</w:t>
            </w:r>
          </w:p>
        </w:tc>
        <w:tc>
          <w:tcPr>
            <w:tcW w:w="1040" w:type="dxa"/>
            <w:vAlign w:val="bottom"/>
            <w:tcBorders>
              <w:bottom w:val="single" w:sz="8" w:color="auto"/>
            </w:tcBorders>
            <w:shd w:val="clear" w:color="auto" w:fill="CCEEFF"/>
          </w:tcPr>
          <w:p>
            <w:pPr>
              <w:jc w:val="right"/>
              <w:ind w:right="215"/>
              <w:spacing w:after="0" w:line="203" w:lineRule="exact"/>
              <w:rPr>
                <w:sz w:val="20"/>
                <w:szCs w:val="20"/>
                <w:color w:val="auto"/>
              </w:rPr>
            </w:pPr>
            <w:r>
              <w:rPr>
                <w:rFonts w:ascii="Arial" w:cs="Arial" w:eastAsia="Arial" w:hAnsi="Arial"/>
                <w:sz w:val="18"/>
                <w:szCs w:val="18"/>
                <w:color w:val="auto"/>
              </w:rPr>
              <w:t>0</w:t>
            </w:r>
          </w:p>
        </w:tc>
        <w:tc>
          <w:tcPr>
            <w:tcW w:w="1340" w:type="dxa"/>
            <w:vAlign w:val="bottom"/>
            <w:tcBorders>
              <w:bottom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41,958</w:t>
            </w:r>
          </w:p>
        </w:tc>
        <w:tc>
          <w:tcPr>
            <w:tcW w:w="1840" w:type="dxa"/>
            <w:vAlign w:val="bottom"/>
            <w:tcBorders>
              <w:bottom w:val="single" w:sz="8" w:color="auto"/>
            </w:tcBorders>
            <w:shd w:val="clear" w:color="auto" w:fill="CCEEFF"/>
          </w:tcPr>
          <w:p>
            <w:pPr>
              <w:jc w:val="right"/>
              <w:ind w:right="333"/>
              <w:spacing w:after="0" w:line="203" w:lineRule="exact"/>
              <w:rPr>
                <w:sz w:val="20"/>
                <w:szCs w:val="20"/>
                <w:color w:val="auto"/>
              </w:rPr>
            </w:pPr>
            <w:r>
              <w:rPr>
                <w:rFonts w:ascii="Arial" w:cs="Arial" w:eastAsia="Arial" w:hAnsi="Arial"/>
                <w:sz w:val="18"/>
                <w:szCs w:val="18"/>
                <w:color w:val="auto"/>
              </w:rPr>
              <w:t>(357)</w:t>
            </w:r>
          </w:p>
        </w:tc>
        <w:tc>
          <w:tcPr>
            <w:tcW w:w="1200" w:type="dxa"/>
            <w:vAlign w:val="bottom"/>
            <w:tcBorders>
              <w:bottom w:val="single" w:sz="8" w:color="auto"/>
            </w:tcBorders>
            <w:shd w:val="clear" w:color="auto" w:fill="CCEEFF"/>
          </w:tcPr>
          <w:p>
            <w:pPr>
              <w:jc w:val="right"/>
              <w:ind w:right="112"/>
              <w:spacing w:after="0" w:line="203" w:lineRule="exact"/>
              <w:rPr>
                <w:sz w:val="20"/>
                <w:szCs w:val="20"/>
                <w:color w:val="auto"/>
              </w:rPr>
            </w:pPr>
            <w:r>
              <w:rPr>
                <w:rFonts w:ascii="Arial" w:cs="Arial" w:eastAsia="Arial" w:hAnsi="Arial"/>
                <w:sz w:val="18"/>
                <w:szCs w:val="18"/>
                <w:color w:val="auto"/>
              </w:rPr>
              <w:t>2,615</w:t>
            </w:r>
          </w:p>
        </w:tc>
        <w:tc>
          <w:tcPr>
            <w:tcW w:w="0" w:type="dxa"/>
            <w:vAlign w:val="bottom"/>
          </w:tcPr>
          <w:p>
            <w:pPr>
              <w:spacing w:after="0"/>
              <w:rPr>
                <w:sz w:val="1"/>
                <w:szCs w:val="1"/>
                <w:color w:val="auto"/>
              </w:rPr>
            </w:pPr>
          </w:p>
        </w:tc>
      </w:tr>
      <w:tr>
        <w:trPr>
          <w:trHeight w:val="223"/>
        </w:trPr>
        <w:tc>
          <w:tcPr>
            <w:tcW w:w="2240" w:type="dxa"/>
            <w:vAlign w:val="bottom"/>
            <w:gridSpan w:val="2"/>
          </w:tcPr>
          <w:p>
            <w:pPr>
              <w:spacing w:after="0"/>
              <w:rPr>
                <w:sz w:val="20"/>
                <w:szCs w:val="20"/>
                <w:color w:val="auto"/>
              </w:rPr>
            </w:pPr>
            <w:r>
              <w:rPr>
                <w:rFonts w:ascii="Arial" w:cs="Arial" w:eastAsia="Arial" w:hAnsi="Arial"/>
                <w:sz w:val="18"/>
                <w:szCs w:val="18"/>
                <w:color w:val="auto"/>
              </w:rPr>
              <w:t>Total mezzanine debt</w:t>
            </w:r>
          </w:p>
        </w:tc>
        <w:tc>
          <w:tcPr>
            <w:tcW w:w="1100" w:type="dxa"/>
            <w:vAlign w:val="bottom"/>
          </w:tcPr>
          <w:p>
            <w:pPr>
              <w:jc w:val="right"/>
              <w:ind w:right="372"/>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40,098</w:t>
            </w:r>
          </w:p>
        </w:tc>
        <w:tc>
          <w:tcPr>
            <w:tcW w:w="640" w:type="dxa"/>
            <w:vAlign w:val="bottom"/>
          </w:tcPr>
          <w:p>
            <w:pPr>
              <w:spacing w:after="0"/>
              <w:rPr>
                <w:sz w:val="19"/>
                <w:szCs w:val="19"/>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color w:val="auto"/>
              </w:rPr>
              <w:t>432</w:t>
            </w:r>
          </w:p>
        </w:tc>
        <w:tc>
          <w:tcPr>
            <w:tcW w:w="1040" w:type="dxa"/>
            <w:vAlign w:val="bottom"/>
          </w:tcPr>
          <w:p>
            <w:pPr>
              <w:jc w:val="right"/>
              <w:ind w:right="215"/>
              <w:spacing w:after="0"/>
              <w:rPr>
                <w:sz w:val="20"/>
                <w:szCs w:val="20"/>
                <w:color w:val="auto"/>
              </w:rPr>
            </w:pPr>
            <w:r>
              <w:rPr>
                <w:rFonts w:ascii="Arial" w:cs="Arial" w:eastAsia="Arial" w:hAnsi="Arial"/>
                <w:sz w:val="18"/>
                <w:szCs w:val="18"/>
                <w:color w:val="auto"/>
              </w:rPr>
              <w:t>1,052</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3,877,503</w:t>
            </w:r>
          </w:p>
        </w:tc>
        <w:tc>
          <w:tcPr>
            <w:tcW w:w="1840" w:type="dxa"/>
            <w:vAlign w:val="bottom"/>
          </w:tcPr>
          <w:p>
            <w:pPr>
              <w:jc w:val="right"/>
              <w:ind w:right="393"/>
              <w:spacing w:after="0"/>
              <w:rPr>
                <w:sz w:val="20"/>
                <w:szCs w:val="20"/>
                <w:color w:val="auto"/>
              </w:rPr>
            </w:pPr>
            <w:r>
              <w:rPr>
                <w:rFonts w:ascii="Arial" w:cs="Arial" w:eastAsia="Arial" w:hAnsi="Arial"/>
                <w:sz w:val="18"/>
                <w:szCs w:val="18"/>
                <w:color w:val="auto"/>
              </w:rPr>
              <w:t>135,872</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240,698</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Real estate:</w:t>
            </w: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line="202" w:lineRule="exact"/>
              <w:rPr>
                <w:sz w:val="20"/>
                <w:szCs w:val="20"/>
                <w:color w:val="auto"/>
              </w:rPr>
            </w:pPr>
            <w:r>
              <w:rPr>
                <w:rFonts w:ascii="Arial" w:cs="Arial" w:eastAsia="Arial" w:hAnsi="Arial"/>
                <w:sz w:val="18"/>
                <w:szCs w:val="18"/>
                <w:color w:val="auto"/>
              </w:rPr>
              <w:t>Less than 10%</w:t>
            </w:r>
          </w:p>
        </w:tc>
        <w:tc>
          <w:tcPr>
            <w:tcW w:w="110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22</w:t>
            </w:r>
          </w:p>
        </w:tc>
        <w:tc>
          <w:tcPr>
            <w:tcW w:w="3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76,533</w:t>
            </w:r>
          </w:p>
        </w:tc>
        <w:tc>
          <w:tcPr>
            <w:tcW w:w="640" w:type="dxa"/>
            <w:vAlign w:val="bottom"/>
          </w:tcPr>
          <w:p>
            <w:pPr>
              <w:spacing w:after="0"/>
              <w:rPr>
                <w:sz w:val="17"/>
                <w:szCs w:val="17"/>
                <w:color w:val="auto"/>
              </w:rPr>
            </w:pPr>
          </w:p>
        </w:tc>
        <w:tc>
          <w:tcPr>
            <w:tcW w:w="940" w:type="dxa"/>
            <w:vAlign w:val="bottom"/>
          </w:tcPr>
          <w:p>
            <w:pPr>
              <w:jc w:val="right"/>
              <w:ind w:right="390"/>
              <w:spacing w:after="0" w:line="202" w:lineRule="exact"/>
              <w:rPr>
                <w:sz w:val="20"/>
                <w:szCs w:val="20"/>
                <w:color w:val="auto"/>
              </w:rPr>
            </w:pPr>
            <w:r>
              <w:rPr>
                <w:rFonts w:ascii="Arial" w:cs="Arial" w:eastAsia="Arial" w:hAnsi="Arial"/>
                <w:sz w:val="18"/>
                <w:szCs w:val="18"/>
                <w:color w:val="auto"/>
                <w:w w:val="97"/>
              </w:rPr>
              <w:t>5,347</w:t>
            </w:r>
          </w:p>
        </w:tc>
        <w:tc>
          <w:tcPr>
            <w:tcW w:w="104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631</w:t>
            </w:r>
          </w:p>
        </w:tc>
        <w:tc>
          <w:tcPr>
            <w:tcW w:w="13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18,687,647</w:t>
            </w:r>
          </w:p>
        </w:tc>
        <w:tc>
          <w:tcPr>
            <w:tcW w:w="1840" w:type="dxa"/>
            <w:vAlign w:val="bottom"/>
          </w:tcPr>
          <w:p>
            <w:pPr>
              <w:jc w:val="right"/>
              <w:ind w:right="393"/>
              <w:spacing w:after="0" w:line="202" w:lineRule="exact"/>
              <w:rPr>
                <w:sz w:val="20"/>
                <w:szCs w:val="20"/>
                <w:color w:val="auto"/>
              </w:rPr>
            </w:pPr>
            <w:r>
              <w:rPr>
                <w:rFonts w:ascii="Arial" w:cs="Arial" w:eastAsia="Arial" w:hAnsi="Arial"/>
                <w:sz w:val="18"/>
                <w:szCs w:val="18"/>
                <w:color w:val="auto"/>
              </w:rPr>
              <w:t>1,360,604</w:t>
            </w:r>
          </w:p>
        </w:tc>
        <w:tc>
          <w:tcPr>
            <w:tcW w:w="12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264,039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Greater than or equal to</w:t>
            </w: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10% but less than</w:t>
            </w: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50%</w:t>
            </w:r>
          </w:p>
        </w:tc>
        <w:tc>
          <w:tcPr>
            <w:tcW w:w="1100" w:type="dxa"/>
            <w:vAlign w:val="bottom"/>
            <w:shd w:val="clear" w:color="auto" w:fill="CCEEFF"/>
          </w:tcPr>
          <w:p>
            <w:pPr>
              <w:jc w:val="right"/>
              <w:ind w:right="372"/>
              <w:spacing w:after="0" w:line="203" w:lineRule="exact"/>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22,573</w:t>
            </w: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0"/>
              <w:spacing w:after="0" w:line="203" w:lineRule="exact"/>
              <w:rPr>
                <w:sz w:val="20"/>
                <w:szCs w:val="20"/>
                <w:color w:val="auto"/>
              </w:rPr>
            </w:pPr>
            <w:r>
              <w:rPr>
                <w:rFonts w:ascii="Arial" w:cs="Arial" w:eastAsia="Arial" w:hAnsi="Arial"/>
                <w:sz w:val="18"/>
                <w:szCs w:val="18"/>
                <w:color w:val="auto"/>
              </w:rPr>
              <w:t>447</w:t>
            </w:r>
          </w:p>
        </w:tc>
        <w:tc>
          <w:tcPr>
            <w:tcW w:w="1040" w:type="dxa"/>
            <w:vAlign w:val="bottom"/>
            <w:shd w:val="clear" w:color="auto" w:fill="CCEEFF"/>
          </w:tcPr>
          <w:p>
            <w:pPr>
              <w:jc w:val="right"/>
              <w:ind w:right="155"/>
              <w:spacing w:after="0" w:line="203" w:lineRule="exact"/>
              <w:rPr>
                <w:sz w:val="20"/>
                <w:szCs w:val="20"/>
                <w:color w:val="auto"/>
              </w:rPr>
            </w:pPr>
            <w:r>
              <w:rPr>
                <w:rFonts w:ascii="Arial" w:cs="Arial" w:eastAsia="Arial" w:hAnsi="Arial"/>
                <w:sz w:val="18"/>
                <w:szCs w:val="18"/>
                <w:color w:val="auto"/>
              </w:rPr>
              <w:t>(196)</w:t>
            </w:r>
          </w:p>
        </w:tc>
        <w:tc>
          <w:tcPr>
            <w:tcW w:w="134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1,310,590</w:t>
            </w:r>
          </w:p>
        </w:tc>
        <w:tc>
          <w:tcPr>
            <w:tcW w:w="1840" w:type="dxa"/>
            <w:vAlign w:val="bottom"/>
            <w:shd w:val="clear" w:color="auto" w:fill="CCEEFF"/>
          </w:tcPr>
          <w:p>
            <w:pPr>
              <w:jc w:val="right"/>
              <w:ind w:right="333"/>
              <w:spacing w:after="0" w:line="203" w:lineRule="exact"/>
              <w:rPr>
                <w:sz w:val="20"/>
                <w:szCs w:val="20"/>
                <w:color w:val="auto"/>
              </w:rPr>
            </w:pPr>
            <w:r>
              <w:rPr>
                <w:rFonts w:ascii="Arial" w:cs="Arial" w:eastAsia="Arial" w:hAnsi="Arial"/>
                <w:sz w:val="18"/>
                <w:szCs w:val="18"/>
                <w:color w:val="auto"/>
              </w:rPr>
              <w:t>(2,412)</w:t>
            </w:r>
          </w:p>
        </w:tc>
        <w:tc>
          <w:tcPr>
            <w:tcW w:w="1200" w:type="dxa"/>
            <w:vAlign w:val="bottom"/>
            <w:shd w:val="clear" w:color="auto" w:fill="CCEEFF"/>
          </w:tcPr>
          <w:p>
            <w:pPr>
              <w:jc w:val="right"/>
              <w:ind w:right="112"/>
              <w:spacing w:after="0" w:line="203" w:lineRule="exact"/>
              <w:rPr>
                <w:sz w:val="20"/>
                <w:szCs w:val="20"/>
                <w:color w:val="auto"/>
              </w:rPr>
            </w:pPr>
            <w:r>
              <w:rPr>
                <w:rFonts w:ascii="Arial" w:cs="Arial" w:eastAsia="Arial" w:hAnsi="Arial"/>
                <w:sz w:val="18"/>
                <w:szCs w:val="18"/>
                <w:color w:val="auto"/>
              </w:rPr>
              <w:t>25,836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spacing w:after="0" w:line="201" w:lineRule="exact"/>
              <w:rPr>
                <w:sz w:val="20"/>
                <w:szCs w:val="20"/>
                <w:color w:val="auto"/>
              </w:rPr>
            </w:pPr>
            <w:r>
              <w:rPr>
                <w:rFonts w:ascii="Arial" w:cs="Arial" w:eastAsia="Arial" w:hAnsi="Arial"/>
                <w:sz w:val="18"/>
                <w:szCs w:val="18"/>
                <w:color w:val="auto"/>
              </w:rPr>
              <w:t>Greater than or equal to</w:t>
            </w: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40" w:type="dxa"/>
            <w:vAlign w:val="bottom"/>
            <w:gridSpan w:val="2"/>
          </w:tcPr>
          <w:p>
            <w:pPr>
              <w:ind w:left="220"/>
              <w:spacing w:after="0" w:line="203" w:lineRule="exact"/>
              <w:rPr>
                <w:sz w:val="20"/>
                <w:szCs w:val="20"/>
                <w:color w:val="auto"/>
              </w:rPr>
            </w:pPr>
            <w:r>
              <w:rPr>
                <w:rFonts w:ascii="Arial" w:cs="Arial" w:eastAsia="Arial" w:hAnsi="Arial"/>
                <w:sz w:val="18"/>
                <w:szCs w:val="18"/>
                <w:color w:val="auto"/>
              </w:rPr>
              <w:t>50%</w:t>
            </w:r>
          </w:p>
        </w:tc>
        <w:tc>
          <w:tcPr>
            <w:tcW w:w="1100" w:type="dxa"/>
            <w:vAlign w:val="bottom"/>
            <w:tcBorders>
              <w:bottom w:val="single" w:sz="8" w:color="auto"/>
            </w:tcBorders>
          </w:tcPr>
          <w:p>
            <w:pPr>
              <w:jc w:val="right"/>
              <w:ind w:right="372"/>
              <w:spacing w:after="0" w:line="203" w:lineRule="exact"/>
              <w:rPr>
                <w:sz w:val="20"/>
                <w:szCs w:val="20"/>
                <w:color w:val="auto"/>
              </w:rPr>
            </w:pPr>
            <w:r>
              <w:rPr>
                <w:rFonts w:ascii="Arial" w:cs="Arial" w:eastAsia="Arial" w:hAnsi="Arial"/>
                <w:sz w:val="18"/>
                <w:szCs w:val="18"/>
                <w:color w:val="auto"/>
              </w:rPr>
              <w:t>8</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18,305</w:t>
            </w:r>
          </w:p>
        </w:tc>
        <w:tc>
          <w:tcPr>
            <w:tcW w:w="6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0</w:t>
            </w:r>
          </w:p>
        </w:tc>
        <w:tc>
          <w:tcPr>
            <w:tcW w:w="1040" w:type="dxa"/>
            <w:vAlign w:val="bottom"/>
            <w:tcBorders>
              <w:bottom w:val="single" w:sz="8" w:color="auto"/>
            </w:tcBorders>
          </w:tcPr>
          <w:p>
            <w:pPr>
              <w:jc w:val="right"/>
              <w:ind w:right="215"/>
              <w:spacing w:after="0" w:line="203" w:lineRule="exact"/>
              <w:rPr>
                <w:sz w:val="20"/>
                <w:szCs w:val="20"/>
                <w:color w:val="auto"/>
              </w:rPr>
            </w:pPr>
            <w:r>
              <w:rPr>
                <w:rFonts w:ascii="Arial" w:cs="Arial" w:eastAsia="Arial" w:hAnsi="Arial"/>
                <w:sz w:val="18"/>
                <w:szCs w:val="18"/>
                <w:color w:val="auto"/>
              </w:rPr>
              <w:t>266</w:t>
            </w:r>
          </w:p>
        </w:tc>
        <w:tc>
          <w:tcPr>
            <w:tcW w:w="1340" w:type="dxa"/>
            <w:vAlign w:val="bottom"/>
            <w:tcBorders>
              <w:bottom w:val="single" w:sz="8" w:color="auto"/>
            </w:tcBorders>
          </w:tcPr>
          <w:p>
            <w:pPr>
              <w:jc w:val="right"/>
              <w:ind w:right="12"/>
              <w:spacing w:after="0" w:line="203" w:lineRule="exact"/>
              <w:rPr>
                <w:sz w:val="20"/>
                <w:szCs w:val="20"/>
                <w:color w:val="auto"/>
              </w:rPr>
            </w:pPr>
            <w:r>
              <w:rPr>
                <w:rFonts w:ascii="Arial" w:cs="Arial" w:eastAsia="Arial" w:hAnsi="Arial"/>
                <w:sz w:val="18"/>
                <w:szCs w:val="18"/>
                <w:color w:val="auto"/>
              </w:rPr>
              <w:t>265,659</w:t>
            </w:r>
          </w:p>
        </w:tc>
        <w:tc>
          <w:tcPr>
            <w:tcW w:w="1840" w:type="dxa"/>
            <w:vAlign w:val="bottom"/>
            <w:tcBorders>
              <w:bottom w:val="single" w:sz="8" w:color="auto"/>
            </w:tcBorders>
          </w:tcPr>
          <w:p>
            <w:pPr>
              <w:jc w:val="right"/>
              <w:ind w:right="393"/>
              <w:spacing w:after="0" w:line="203" w:lineRule="exact"/>
              <w:rPr>
                <w:sz w:val="20"/>
                <w:szCs w:val="20"/>
                <w:color w:val="auto"/>
              </w:rPr>
            </w:pPr>
            <w:r>
              <w:rPr>
                <w:rFonts w:ascii="Arial" w:cs="Arial" w:eastAsia="Arial" w:hAnsi="Arial"/>
                <w:sz w:val="18"/>
                <w:szCs w:val="18"/>
                <w:color w:val="auto"/>
              </w:rPr>
              <w:t>0</w:t>
            </w:r>
          </w:p>
        </w:tc>
        <w:tc>
          <w:tcPr>
            <w:tcW w:w="1200" w:type="dxa"/>
            <w:vAlign w:val="bottom"/>
            <w:tcBorders>
              <w:bottom w:val="single" w:sz="8" w:color="auto"/>
            </w:tcBorders>
          </w:tcPr>
          <w:p>
            <w:pPr>
              <w:jc w:val="right"/>
              <w:ind w:right="112"/>
              <w:spacing w:after="0" w:line="203" w:lineRule="exact"/>
              <w:rPr>
                <w:sz w:val="20"/>
                <w:szCs w:val="20"/>
                <w:color w:val="auto"/>
              </w:rPr>
            </w:pPr>
            <w:r>
              <w:rPr>
                <w:rFonts w:ascii="Arial" w:cs="Arial" w:eastAsia="Arial" w:hAnsi="Arial"/>
                <w:sz w:val="18"/>
                <w:szCs w:val="18"/>
                <w:color w:val="auto"/>
              </w:rPr>
              <w:t>11,275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real estate</w:t>
            </w:r>
          </w:p>
        </w:tc>
        <w:tc>
          <w:tcPr>
            <w:tcW w:w="1100" w:type="dxa"/>
            <w:vAlign w:val="bottom"/>
            <w:tcBorders>
              <w:bottom w:val="single" w:sz="8" w:color="auto"/>
            </w:tcBorders>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39</w:t>
            </w:r>
          </w:p>
        </w:tc>
        <w:tc>
          <w:tcPr>
            <w:tcW w:w="3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w w:val="95"/>
              </w:rPr>
              <w:t>117,411</w:t>
            </w:r>
          </w:p>
        </w:tc>
        <w:tc>
          <w:tcPr>
            <w:tcW w:w="6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w w:val="97"/>
              </w:rPr>
              <w:t>5,794</w:t>
            </w:r>
          </w:p>
        </w:tc>
        <w:tc>
          <w:tcPr>
            <w:tcW w:w="1040" w:type="dxa"/>
            <w:vAlign w:val="bottom"/>
            <w:tcBorders>
              <w:bottom w:val="single" w:sz="8" w:color="auto"/>
            </w:tcBorders>
            <w:shd w:val="clear" w:color="auto" w:fill="CCEEFF"/>
          </w:tcPr>
          <w:p>
            <w:pPr>
              <w:jc w:val="right"/>
              <w:ind w:right="215"/>
              <w:spacing w:after="0" w:line="202" w:lineRule="exact"/>
              <w:rPr>
                <w:sz w:val="20"/>
                <w:szCs w:val="20"/>
                <w:color w:val="auto"/>
              </w:rPr>
            </w:pPr>
            <w:r>
              <w:rPr>
                <w:rFonts w:ascii="Arial" w:cs="Arial" w:eastAsia="Arial" w:hAnsi="Arial"/>
                <w:sz w:val="18"/>
                <w:szCs w:val="18"/>
                <w:color w:val="auto"/>
              </w:rPr>
              <w:t>701</w:t>
            </w:r>
          </w:p>
        </w:tc>
        <w:tc>
          <w:tcPr>
            <w:tcW w:w="134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20,263,896</w:t>
            </w:r>
          </w:p>
        </w:tc>
        <w:tc>
          <w:tcPr>
            <w:tcW w:w="1840" w:type="dxa"/>
            <w:vAlign w:val="bottom"/>
            <w:tcBorders>
              <w:bottom w:val="single" w:sz="8" w:color="auto"/>
            </w:tcBorders>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1,358,192</w:t>
            </w:r>
          </w:p>
        </w:tc>
        <w:tc>
          <w:tcPr>
            <w:tcW w:w="120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301,150</w:t>
            </w:r>
          </w:p>
        </w:tc>
        <w:tc>
          <w:tcPr>
            <w:tcW w:w="0" w:type="dxa"/>
            <w:vAlign w:val="bottom"/>
          </w:tcPr>
          <w:p>
            <w:pPr>
              <w:spacing w:after="0"/>
              <w:rPr>
                <w:sz w:val="1"/>
                <w:szCs w:val="1"/>
                <w:color w:val="auto"/>
              </w:rPr>
            </w:pPr>
          </w:p>
        </w:tc>
      </w:tr>
      <w:tr>
        <w:trPr>
          <w:trHeight w:val="412"/>
        </w:trPr>
        <w:tc>
          <w:tcPr>
            <w:tcW w:w="2240" w:type="dxa"/>
            <w:vAlign w:val="bottom"/>
            <w:gridSpan w:val="2"/>
          </w:tcPr>
          <w:p>
            <w:pPr>
              <w:spacing w:after="0"/>
              <w:rPr>
                <w:sz w:val="20"/>
                <w:szCs w:val="20"/>
                <w:color w:val="auto"/>
              </w:rPr>
            </w:pPr>
            <w:r>
              <w:rPr>
                <w:rFonts w:ascii="Arial" w:cs="Arial" w:eastAsia="Arial" w:hAnsi="Arial"/>
                <w:sz w:val="18"/>
                <w:szCs w:val="18"/>
                <w:color w:val="auto"/>
              </w:rPr>
              <w:t>Total limited partnerships</w:t>
            </w: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100</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5"/>
              </w:rPr>
              <w:t>249,401</w:t>
            </w:r>
          </w:p>
        </w:tc>
        <w:tc>
          <w:tcPr>
            <w:tcW w:w="6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7"/>
              </w:rPr>
              <w:t>7,226</w:t>
            </w:r>
          </w:p>
        </w:tc>
        <w:tc>
          <w:tcPr>
            <w:tcW w:w="104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$5,292</w:t>
            </w: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$44,055,726</w:t>
            </w:r>
          </w:p>
        </w:tc>
        <w:tc>
          <w:tcPr>
            <w:tcW w:w="184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rPr>
              <w:t>$5,109,967</w:t>
            </w: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$3,052,019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2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1840" w:type="dxa"/>
            <w:vAlign w:val="bottom"/>
            <w:tcBorders>
              <w:bottom w:val="single" w:sz="8" w:color="808080"/>
            </w:tcBorders>
          </w:tcPr>
          <w:p>
            <w:pPr>
              <w:spacing w:after="0"/>
              <w:rPr>
                <w:sz w:val="18"/>
                <w:szCs w:val="18"/>
                <w:color w:val="auto"/>
              </w:rPr>
            </w:pPr>
          </w:p>
        </w:tc>
        <w:tc>
          <w:tcPr>
            <w:tcW w:w="12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NOTE 5 – INVESTMENTS (Continued)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40" w:type="dxa"/>
            <w:vAlign w:val="bottom"/>
            <w:gridSpan w:val="5"/>
          </w:tcPr>
          <w:p>
            <w:pPr>
              <w:jc w:val="right"/>
              <w:ind w:right="651"/>
              <w:spacing w:after="0"/>
              <w:rPr>
                <w:sz w:val="20"/>
                <w:szCs w:val="20"/>
                <w:color w:val="auto"/>
              </w:rPr>
            </w:pPr>
            <w:r>
              <w:rPr>
                <w:rFonts w:ascii="Arial" w:cs="Arial" w:eastAsia="Arial" w:hAnsi="Arial"/>
                <w:sz w:val="14"/>
                <w:szCs w:val="14"/>
                <w:color w:val="auto"/>
              </w:rPr>
              <w:t>Equity Recorded by Erie Indemnity</w:t>
            </w:r>
          </w:p>
        </w:tc>
        <w:tc>
          <w:tcPr>
            <w:tcW w:w="1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60" w:type="dxa"/>
            <w:vAlign w:val="bottom"/>
            <w:gridSpan w:val="2"/>
          </w:tcPr>
          <w:p>
            <w:pPr>
              <w:ind w:left="520"/>
              <w:spacing w:after="0"/>
              <w:rPr>
                <w:sz w:val="20"/>
                <w:szCs w:val="20"/>
                <w:color w:val="auto"/>
              </w:rPr>
            </w:pPr>
            <w:r>
              <w:rPr>
                <w:rFonts w:ascii="Arial" w:cs="Arial" w:eastAsia="Arial" w:hAnsi="Arial"/>
                <w:sz w:val="14"/>
                <w:szCs w:val="14"/>
                <w:color w:val="auto"/>
              </w:rPr>
              <w:t>Company</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as of December 31, 2006</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40" w:type="dxa"/>
            <w:vAlign w:val="bottom"/>
          </w:tcPr>
          <w:p>
            <w:pPr>
              <w:jc w:val="right"/>
              <w:ind w:right="13"/>
              <w:spacing w:after="0"/>
              <w:rPr>
                <w:sz w:val="20"/>
                <w:szCs w:val="20"/>
                <w:color w:val="auto"/>
              </w:rPr>
            </w:pPr>
            <w:r>
              <w:rPr>
                <w:rFonts w:ascii="Arial" w:cs="Arial" w:eastAsia="Arial" w:hAnsi="Arial"/>
                <w:sz w:val="14"/>
                <w:szCs w:val="14"/>
                <w:color w:val="auto"/>
              </w:rPr>
              <w:t>Recorded by Partnerships</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60" w:type="dxa"/>
            <w:vAlign w:val="bottom"/>
            <w:gridSpan w:val="2"/>
          </w:tcPr>
          <w:p>
            <w:pPr>
              <w:jc w:val="right"/>
              <w:ind w:right="410"/>
              <w:spacing w:after="0"/>
              <w:rPr>
                <w:sz w:val="20"/>
                <w:szCs w:val="20"/>
                <w:color w:val="auto"/>
              </w:rPr>
            </w:pPr>
            <w:r>
              <w:rPr>
                <w:rFonts w:ascii="Arial" w:cs="Arial" w:eastAsia="Arial" w:hAnsi="Arial"/>
                <w:sz w:val="14"/>
                <w:szCs w:val="14"/>
                <w:color w:val="auto"/>
              </w:rPr>
              <w:t>Valuation</w:t>
            </w:r>
          </w:p>
        </w:tc>
        <w:tc>
          <w:tcPr>
            <w:tcW w:w="1000" w:type="dxa"/>
            <w:vAlign w:val="bottom"/>
            <w:gridSpan w:val="2"/>
          </w:tcPr>
          <w:p>
            <w:pPr>
              <w:ind w:left="40"/>
              <w:spacing w:after="0"/>
              <w:rPr>
                <w:sz w:val="20"/>
                <w:szCs w:val="20"/>
                <w:color w:val="auto"/>
              </w:rPr>
            </w:pPr>
            <w:r>
              <w:rPr>
                <w:rFonts w:ascii="Arial" w:cs="Arial" w:eastAsia="Arial" w:hAnsi="Arial"/>
                <w:sz w:val="14"/>
                <w:szCs w:val="14"/>
                <w:color w:val="auto"/>
              </w:rPr>
              <w:t>Net income</w:t>
            </w:r>
          </w:p>
        </w:tc>
        <w:tc>
          <w:tcPr>
            <w:tcW w:w="1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gridSpan w:val="2"/>
          </w:tcPr>
          <w:p>
            <w:pPr>
              <w:spacing w:after="0"/>
              <w:rPr>
                <w:sz w:val="20"/>
                <w:szCs w:val="20"/>
                <w:color w:val="auto"/>
              </w:rPr>
            </w:pPr>
            <w:r>
              <w:rPr>
                <w:rFonts w:ascii="Arial" w:cs="Arial" w:eastAsia="Arial" w:hAnsi="Arial"/>
                <w:sz w:val="14"/>
                <w:szCs w:val="14"/>
                <w:color w:val="auto"/>
              </w:rPr>
              <w:t>Erie Indemnity Company</w:t>
            </w:r>
          </w:p>
        </w:tc>
        <w:tc>
          <w:tcPr>
            <w:tcW w:w="1120" w:type="dxa"/>
            <w:vAlign w:val="bottom"/>
          </w:tcPr>
          <w:p>
            <w:pPr>
              <w:jc w:val="right"/>
              <w:ind w:right="192"/>
              <w:spacing w:after="0"/>
              <w:rPr>
                <w:sz w:val="20"/>
                <w:szCs w:val="20"/>
                <w:color w:val="auto"/>
              </w:rPr>
            </w:pPr>
            <w:r>
              <w:rPr>
                <w:rFonts w:ascii="Arial" w:cs="Arial" w:eastAsia="Arial" w:hAnsi="Arial"/>
                <w:sz w:val="14"/>
                <w:szCs w:val="14"/>
                <w:color w:val="auto"/>
              </w:rPr>
              <w:t>Number of</w:t>
            </w:r>
          </w:p>
        </w:tc>
        <w:tc>
          <w:tcPr>
            <w:tcW w:w="320" w:type="dxa"/>
            <w:vAlign w:val="bottom"/>
          </w:tcPr>
          <w:p>
            <w:pPr>
              <w:spacing w:after="0"/>
              <w:rPr>
                <w:sz w:val="14"/>
                <w:szCs w:val="14"/>
                <w:color w:val="auto"/>
              </w:rPr>
            </w:pPr>
          </w:p>
        </w:tc>
        <w:tc>
          <w:tcPr>
            <w:tcW w:w="680" w:type="dxa"/>
            <w:vAlign w:val="bottom"/>
          </w:tcPr>
          <w:p>
            <w:pPr>
              <w:jc w:val="right"/>
              <w:ind w:right="93"/>
              <w:spacing w:after="0"/>
              <w:rPr>
                <w:sz w:val="20"/>
                <w:szCs w:val="20"/>
                <w:color w:val="auto"/>
              </w:rPr>
            </w:pPr>
            <w:r>
              <w:rPr>
                <w:rFonts w:ascii="Arial" w:cs="Arial" w:eastAsia="Arial" w:hAnsi="Arial"/>
                <w:sz w:val="14"/>
                <w:szCs w:val="14"/>
                <w:color w:val="auto"/>
              </w:rPr>
              <w:t>Asset</w:t>
            </w:r>
          </w:p>
        </w:tc>
        <w:tc>
          <w:tcPr>
            <w:tcW w:w="1660" w:type="dxa"/>
            <w:vAlign w:val="bottom"/>
            <w:gridSpan w:val="2"/>
          </w:tcPr>
          <w:p>
            <w:pPr>
              <w:ind w:left="520"/>
              <w:spacing w:after="0"/>
              <w:rPr>
                <w:sz w:val="20"/>
                <w:szCs w:val="20"/>
                <w:color w:val="auto"/>
              </w:rPr>
            </w:pPr>
            <w:r>
              <w:rPr>
                <w:rFonts w:ascii="Arial" w:cs="Arial" w:eastAsia="Arial" w:hAnsi="Arial"/>
                <w:sz w:val="14"/>
                <w:szCs w:val="14"/>
                <w:color w:val="auto"/>
              </w:rPr>
              <w:t>adjustment</w:t>
            </w:r>
          </w:p>
        </w:tc>
        <w:tc>
          <w:tcPr>
            <w:tcW w:w="140" w:type="dxa"/>
            <w:vAlign w:val="bottom"/>
          </w:tcPr>
          <w:p>
            <w:pPr>
              <w:spacing w:after="0"/>
              <w:rPr>
                <w:sz w:val="14"/>
                <w:szCs w:val="14"/>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color w:val="auto"/>
              </w:rPr>
              <w:t>(loss)</w:t>
            </w:r>
          </w:p>
        </w:tc>
        <w:tc>
          <w:tcPr>
            <w:tcW w:w="1340" w:type="dxa"/>
            <w:vAlign w:val="bottom"/>
          </w:tcPr>
          <w:p>
            <w:pPr>
              <w:jc w:val="right"/>
              <w:ind w:right="312"/>
              <w:spacing w:after="0"/>
              <w:rPr>
                <w:sz w:val="20"/>
                <w:szCs w:val="20"/>
                <w:color w:val="auto"/>
              </w:rPr>
            </w:pPr>
            <w:r>
              <w:rPr>
                <w:rFonts w:ascii="Arial" w:cs="Arial" w:eastAsia="Arial" w:hAnsi="Arial"/>
                <w:sz w:val="14"/>
                <w:szCs w:val="14"/>
                <w:color w:val="auto"/>
              </w:rPr>
              <w:t>Total</w:t>
            </w:r>
          </w:p>
        </w:tc>
        <w:tc>
          <w:tcPr>
            <w:tcW w:w="1840" w:type="dxa"/>
            <w:vAlign w:val="bottom"/>
          </w:tcPr>
          <w:p>
            <w:pPr>
              <w:jc w:val="right"/>
              <w:ind w:right="513"/>
              <w:spacing w:after="0"/>
              <w:rPr>
                <w:sz w:val="20"/>
                <w:szCs w:val="20"/>
                <w:color w:val="auto"/>
              </w:rPr>
            </w:pPr>
            <w:r>
              <w:rPr>
                <w:rFonts w:ascii="Arial" w:cs="Arial" w:eastAsia="Arial" w:hAnsi="Arial"/>
                <w:sz w:val="14"/>
                <w:szCs w:val="14"/>
                <w:color w:val="auto"/>
              </w:rPr>
              <w:t>Valuation</w:t>
            </w:r>
          </w:p>
        </w:tc>
        <w:tc>
          <w:tcPr>
            <w:tcW w:w="1200" w:type="dxa"/>
            <w:vAlign w:val="bottom"/>
          </w:tcPr>
          <w:p>
            <w:pPr>
              <w:jc w:val="right"/>
              <w:ind w:right="172"/>
              <w:spacing w:after="0"/>
              <w:rPr>
                <w:sz w:val="20"/>
                <w:szCs w:val="20"/>
                <w:color w:val="auto"/>
              </w:rPr>
            </w:pPr>
            <w:r>
              <w:rPr>
                <w:rFonts w:ascii="Arial" w:cs="Arial" w:eastAsia="Arial" w:hAnsi="Arial"/>
                <w:sz w:val="14"/>
                <w:szCs w:val="14"/>
                <w:color w:val="auto"/>
              </w:rPr>
              <w:t>Net income</w:t>
            </w:r>
          </w:p>
        </w:tc>
        <w:tc>
          <w:tcPr>
            <w:tcW w:w="0" w:type="dxa"/>
            <w:vAlign w:val="bottom"/>
          </w:tcPr>
          <w:p>
            <w:pPr>
              <w:spacing w:after="0"/>
              <w:rPr>
                <w:sz w:val="1"/>
                <w:szCs w:val="1"/>
                <w:color w:val="auto"/>
              </w:rPr>
            </w:pPr>
          </w:p>
        </w:tc>
      </w:tr>
      <w:tr>
        <w:trPr>
          <w:trHeight w:val="157"/>
        </w:trPr>
        <w:tc>
          <w:tcPr>
            <w:tcW w:w="2260" w:type="dxa"/>
            <w:vAlign w:val="bottom"/>
            <w:gridSpan w:val="2"/>
          </w:tcPr>
          <w:p>
            <w:pPr>
              <w:spacing w:after="0" w:line="157" w:lineRule="exact"/>
              <w:rPr>
                <w:sz w:val="20"/>
                <w:szCs w:val="20"/>
                <w:color w:val="auto"/>
              </w:rPr>
            </w:pPr>
            <w:r>
              <w:rPr>
                <w:rFonts w:ascii="Arial" w:cs="Arial" w:eastAsia="Arial" w:hAnsi="Arial"/>
                <w:sz w:val="14"/>
                <w:szCs w:val="14"/>
                <w:color w:val="auto"/>
              </w:rPr>
              <w:t>ownership interest</w:t>
            </w:r>
          </w:p>
        </w:tc>
        <w:tc>
          <w:tcPr>
            <w:tcW w:w="1120" w:type="dxa"/>
            <w:vAlign w:val="bottom"/>
          </w:tcPr>
          <w:p>
            <w:pPr>
              <w:jc w:val="right"/>
              <w:ind w:right="132"/>
              <w:spacing w:after="0" w:line="157" w:lineRule="exact"/>
              <w:rPr>
                <w:sz w:val="20"/>
                <w:szCs w:val="20"/>
                <w:color w:val="auto"/>
              </w:rPr>
            </w:pPr>
            <w:r>
              <w:rPr>
                <w:rFonts w:ascii="Arial" w:cs="Arial" w:eastAsia="Arial" w:hAnsi="Arial"/>
                <w:sz w:val="14"/>
                <w:szCs w:val="14"/>
                <w:color w:val="auto"/>
              </w:rPr>
              <w:t>partnerships</w:t>
            </w:r>
          </w:p>
        </w:tc>
        <w:tc>
          <w:tcPr>
            <w:tcW w:w="32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recorded</w:t>
            </w:r>
          </w:p>
        </w:tc>
        <w:tc>
          <w:tcPr>
            <w:tcW w:w="1660" w:type="dxa"/>
            <w:vAlign w:val="bottom"/>
            <w:gridSpan w:val="2"/>
          </w:tcPr>
          <w:p>
            <w:pPr>
              <w:jc w:val="right"/>
              <w:ind w:right="410"/>
              <w:spacing w:after="0" w:line="157" w:lineRule="exact"/>
              <w:rPr>
                <w:sz w:val="20"/>
                <w:szCs w:val="20"/>
                <w:color w:val="auto"/>
              </w:rPr>
            </w:pPr>
            <w:r>
              <w:rPr>
                <w:rFonts w:ascii="Arial" w:cs="Arial" w:eastAsia="Arial" w:hAnsi="Arial"/>
                <w:sz w:val="14"/>
                <w:szCs w:val="14"/>
                <w:color w:val="auto"/>
              </w:rPr>
              <w:t>recorded</w:t>
            </w:r>
          </w:p>
        </w:tc>
        <w:tc>
          <w:tcPr>
            <w:tcW w:w="1000" w:type="dxa"/>
            <w:vAlign w:val="bottom"/>
            <w:gridSpan w:val="2"/>
          </w:tcPr>
          <w:p>
            <w:pPr>
              <w:ind w:left="120"/>
              <w:spacing w:after="0" w:line="157" w:lineRule="exact"/>
              <w:rPr>
                <w:sz w:val="20"/>
                <w:szCs w:val="20"/>
                <w:color w:val="auto"/>
              </w:rPr>
            </w:pPr>
            <w:r>
              <w:rPr>
                <w:rFonts w:ascii="Arial" w:cs="Arial" w:eastAsia="Arial" w:hAnsi="Arial"/>
                <w:sz w:val="14"/>
                <w:szCs w:val="14"/>
                <w:color w:val="auto"/>
              </w:rPr>
              <w:t>recorded</w:t>
            </w:r>
          </w:p>
        </w:tc>
        <w:tc>
          <w:tcPr>
            <w:tcW w:w="1340" w:type="dxa"/>
            <w:vAlign w:val="bottom"/>
          </w:tcPr>
          <w:p>
            <w:pPr>
              <w:jc w:val="right"/>
              <w:ind w:right="272"/>
              <w:spacing w:after="0" w:line="157" w:lineRule="exact"/>
              <w:rPr>
                <w:sz w:val="20"/>
                <w:szCs w:val="20"/>
                <w:color w:val="auto"/>
              </w:rPr>
            </w:pPr>
            <w:r>
              <w:rPr>
                <w:rFonts w:ascii="Arial" w:cs="Arial" w:eastAsia="Arial" w:hAnsi="Arial"/>
                <w:sz w:val="14"/>
                <w:szCs w:val="14"/>
                <w:color w:val="auto"/>
              </w:rPr>
              <w:t>assets</w:t>
            </w:r>
          </w:p>
        </w:tc>
        <w:tc>
          <w:tcPr>
            <w:tcW w:w="1840" w:type="dxa"/>
            <w:vAlign w:val="bottom"/>
          </w:tcPr>
          <w:p>
            <w:pPr>
              <w:jc w:val="right"/>
              <w:ind w:right="413"/>
              <w:spacing w:after="0" w:line="157" w:lineRule="exact"/>
              <w:rPr>
                <w:sz w:val="20"/>
                <w:szCs w:val="20"/>
                <w:color w:val="auto"/>
              </w:rPr>
            </w:pPr>
            <w:r>
              <w:rPr>
                <w:rFonts w:ascii="Arial" w:cs="Arial" w:eastAsia="Arial" w:hAnsi="Arial"/>
                <w:sz w:val="14"/>
                <w:szCs w:val="14"/>
                <w:color w:val="auto"/>
              </w:rPr>
              <w:t>adjustments</w:t>
            </w:r>
          </w:p>
        </w:tc>
        <w:tc>
          <w:tcPr>
            <w:tcW w:w="1200" w:type="dxa"/>
            <w:vAlign w:val="bottom"/>
          </w:tcPr>
          <w:p>
            <w:pPr>
              <w:jc w:val="right"/>
              <w:ind w:right="352"/>
              <w:spacing w:after="0" w:line="157" w:lineRule="exact"/>
              <w:rPr>
                <w:sz w:val="20"/>
                <w:szCs w:val="20"/>
                <w:color w:val="auto"/>
              </w:rPr>
            </w:pPr>
            <w:r>
              <w:rPr>
                <w:rFonts w:ascii="Arial" w:cs="Arial" w:eastAsia="Arial" w:hAnsi="Arial"/>
                <w:sz w:val="14"/>
                <w:szCs w:val="14"/>
                <w:color w:val="auto"/>
              </w:rPr>
              <w:t>(loss)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340" w:type="dxa"/>
            <w:vAlign w:val="bottom"/>
            <w:tcBorders>
              <w:top w:val="single" w:sz="8" w:color="auto"/>
            </w:tcBorders>
            <w:gridSpan w:val="3"/>
          </w:tcPr>
          <w:p>
            <w:pPr>
              <w:ind w:left="120"/>
              <w:spacing w:after="0"/>
              <w:rPr>
                <w:sz w:val="20"/>
                <w:szCs w:val="20"/>
                <w:color w:val="auto"/>
              </w:rPr>
            </w:pPr>
            <w:r>
              <w:rPr>
                <w:rFonts w:ascii="Arial" w:cs="Arial" w:eastAsia="Arial" w:hAnsi="Arial"/>
                <w:sz w:val="14"/>
                <w:szCs w:val="14"/>
                <w:i w:val="1"/>
                <w:iCs w:val="1"/>
                <w:color w:val="auto"/>
              </w:rPr>
              <w:t>(dollars in thousands)</w:t>
            </w:r>
          </w:p>
        </w:tc>
        <w:tc>
          <w:tcPr>
            <w:tcW w:w="18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Private equity:</w:t>
            </w: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tcPr>
          <w:p>
            <w:pPr>
              <w:spacing w:after="0" w:line="202" w:lineRule="exact"/>
              <w:rPr>
                <w:sz w:val="20"/>
                <w:szCs w:val="20"/>
                <w:color w:val="auto"/>
              </w:rPr>
            </w:pPr>
            <w:r>
              <w:rPr>
                <w:rFonts w:ascii="Arial" w:cs="Arial" w:eastAsia="Arial" w:hAnsi="Arial"/>
                <w:sz w:val="18"/>
                <w:szCs w:val="18"/>
                <w:color w:val="auto"/>
              </w:rPr>
              <w:t>Less than 10%</w:t>
            </w:r>
          </w:p>
        </w:tc>
        <w:tc>
          <w:tcPr>
            <w:tcW w:w="112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38</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71,216</w:t>
            </w:r>
          </w:p>
        </w:tc>
        <w:tc>
          <w:tcPr>
            <w:tcW w:w="620" w:type="dxa"/>
            <w:vAlign w:val="bottom"/>
          </w:tcPr>
          <w:p>
            <w:pPr>
              <w:ind w:left="52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8,386</w:t>
            </w:r>
          </w:p>
        </w:tc>
        <w:tc>
          <w:tcPr>
            <w:tcW w:w="140" w:type="dxa"/>
            <w:vAlign w:val="bottom"/>
          </w:tcPr>
          <w:p>
            <w:pPr>
              <w:ind w:left="4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9,237</w:t>
            </w:r>
          </w:p>
        </w:tc>
        <w:tc>
          <w:tcPr>
            <w:tcW w:w="13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$17,976,053</w:t>
            </w:r>
          </w:p>
        </w:tc>
        <w:tc>
          <w:tcPr>
            <w:tcW w:w="1840" w:type="dxa"/>
            <w:vAlign w:val="bottom"/>
          </w:tcPr>
          <w:p>
            <w:pPr>
              <w:jc w:val="right"/>
              <w:ind w:right="393"/>
              <w:spacing w:after="0" w:line="202" w:lineRule="exact"/>
              <w:rPr>
                <w:sz w:val="20"/>
                <w:szCs w:val="20"/>
                <w:color w:val="auto"/>
              </w:rPr>
            </w:pPr>
            <w:r>
              <w:rPr>
                <w:rFonts w:ascii="Arial" w:cs="Arial" w:eastAsia="Arial" w:hAnsi="Arial"/>
                <w:sz w:val="18"/>
                <w:szCs w:val="18"/>
                <w:color w:val="auto"/>
              </w:rPr>
              <w:t>$1,655,077</w:t>
            </w:r>
          </w:p>
        </w:tc>
        <w:tc>
          <w:tcPr>
            <w:tcW w:w="12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$1,976,202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Greater than or equal to</w:t>
            </w: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10% but less than</w:t>
            </w: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50%</w:t>
            </w:r>
          </w:p>
        </w:tc>
        <w:tc>
          <w:tcPr>
            <w:tcW w:w="1120" w:type="dxa"/>
            <w:vAlign w:val="bottom"/>
            <w:shd w:val="clear" w:color="auto" w:fill="CCEEFF"/>
          </w:tcPr>
          <w:p>
            <w:pPr>
              <w:jc w:val="right"/>
              <w:ind w:right="372"/>
              <w:spacing w:after="0" w:line="203" w:lineRule="exact"/>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8,453</w:t>
            </w:r>
          </w:p>
        </w:tc>
        <w:tc>
          <w:tcPr>
            <w:tcW w:w="6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50"/>
              <w:spacing w:after="0" w:line="203" w:lineRule="exact"/>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11"/>
              <w:spacing w:after="0" w:line="203" w:lineRule="exact"/>
              <w:rPr>
                <w:sz w:val="20"/>
                <w:szCs w:val="20"/>
                <w:color w:val="auto"/>
              </w:rPr>
            </w:pPr>
            <w:r>
              <w:rPr>
                <w:rFonts w:ascii="Arial" w:cs="Arial" w:eastAsia="Arial" w:hAnsi="Arial"/>
                <w:sz w:val="18"/>
                <w:szCs w:val="18"/>
                <w:color w:val="auto"/>
              </w:rPr>
              <w:t>1,240</w:t>
            </w:r>
          </w:p>
        </w:tc>
        <w:tc>
          <w:tcPr>
            <w:tcW w:w="134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351,278</w:t>
            </w:r>
          </w:p>
        </w:tc>
        <w:tc>
          <w:tcPr>
            <w:tcW w:w="1840" w:type="dxa"/>
            <w:vAlign w:val="bottom"/>
            <w:shd w:val="clear" w:color="auto" w:fill="CCEEFF"/>
          </w:tcPr>
          <w:p>
            <w:pPr>
              <w:jc w:val="right"/>
              <w:ind w:right="393"/>
              <w:spacing w:after="0" w:line="203" w:lineRule="exact"/>
              <w:rPr>
                <w:sz w:val="20"/>
                <w:szCs w:val="20"/>
                <w:color w:val="auto"/>
              </w:rPr>
            </w:pPr>
            <w:r>
              <w:rPr>
                <w:rFonts w:ascii="Arial" w:cs="Arial" w:eastAsia="Arial" w:hAnsi="Arial"/>
                <w:sz w:val="18"/>
                <w:szCs w:val="18"/>
                <w:color w:val="auto"/>
              </w:rPr>
              <w:t>26,755</w:t>
            </w:r>
          </w:p>
        </w:tc>
        <w:tc>
          <w:tcPr>
            <w:tcW w:w="1200" w:type="dxa"/>
            <w:vAlign w:val="bottom"/>
            <w:shd w:val="clear" w:color="auto" w:fill="CCEEFF"/>
          </w:tcPr>
          <w:p>
            <w:pPr>
              <w:jc w:val="right"/>
              <w:ind w:right="112"/>
              <w:spacing w:after="0" w:line="203" w:lineRule="exact"/>
              <w:rPr>
                <w:sz w:val="20"/>
                <w:szCs w:val="20"/>
                <w:color w:val="auto"/>
              </w:rPr>
            </w:pPr>
            <w:r>
              <w:rPr>
                <w:rFonts w:ascii="Arial" w:cs="Arial" w:eastAsia="Arial" w:hAnsi="Arial"/>
                <w:sz w:val="18"/>
                <w:szCs w:val="18"/>
                <w:color w:val="auto"/>
              </w:rPr>
              <w:t>7,844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rPr>
              <w:t>Greater than or equal to</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60" w:type="dxa"/>
            <w:vAlign w:val="bottom"/>
            <w:gridSpan w:val="2"/>
          </w:tcPr>
          <w:p>
            <w:pPr>
              <w:ind w:left="220"/>
              <w:spacing w:after="0" w:line="203" w:lineRule="exact"/>
              <w:rPr>
                <w:sz w:val="20"/>
                <w:szCs w:val="20"/>
                <w:color w:val="auto"/>
              </w:rPr>
            </w:pPr>
            <w:r>
              <w:rPr>
                <w:rFonts w:ascii="Arial" w:cs="Arial" w:eastAsia="Arial" w:hAnsi="Arial"/>
                <w:sz w:val="18"/>
                <w:szCs w:val="18"/>
                <w:color w:val="auto"/>
              </w:rPr>
              <w:t>50%</w:t>
            </w:r>
          </w:p>
        </w:tc>
        <w:tc>
          <w:tcPr>
            <w:tcW w:w="1120" w:type="dxa"/>
            <w:vAlign w:val="bottom"/>
            <w:tcBorders>
              <w:bottom w:val="single" w:sz="8" w:color="auto"/>
            </w:tcBorders>
          </w:tcPr>
          <w:p>
            <w:pPr>
              <w:jc w:val="right"/>
              <w:ind w:right="372"/>
              <w:spacing w:after="0" w:line="203" w:lineRule="exact"/>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2,795</w:t>
            </w:r>
          </w:p>
        </w:tc>
        <w:tc>
          <w:tcPr>
            <w:tcW w:w="6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0</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1"/>
              <w:spacing w:after="0" w:line="203" w:lineRule="exact"/>
              <w:rPr>
                <w:sz w:val="20"/>
                <w:szCs w:val="20"/>
                <w:color w:val="auto"/>
              </w:rPr>
            </w:pPr>
            <w:r>
              <w:rPr>
                <w:rFonts w:ascii="Arial" w:cs="Arial" w:eastAsia="Arial" w:hAnsi="Arial"/>
                <w:sz w:val="18"/>
                <w:szCs w:val="18"/>
                <w:color w:val="auto"/>
              </w:rPr>
              <w:t>(49)</w:t>
            </w:r>
          </w:p>
        </w:tc>
        <w:tc>
          <w:tcPr>
            <w:tcW w:w="1340" w:type="dxa"/>
            <w:vAlign w:val="bottom"/>
            <w:tcBorders>
              <w:bottom w:val="single" w:sz="8" w:color="auto"/>
            </w:tcBorders>
          </w:tcPr>
          <w:p>
            <w:pPr>
              <w:jc w:val="right"/>
              <w:ind w:right="12"/>
              <w:spacing w:after="0" w:line="203" w:lineRule="exact"/>
              <w:rPr>
                <w:sz w:val="20"/>
                <w:szCs w:val="20"/>
                <w:color w:val="auto"/>
              </w:rPr>
            </w:pPr>
            <w:r>
              <w:rPr>
                <w:rFonts w:ascii="Arial" w:cs="Arial" w:eastAsia="Arial" w:hAnsi="Arial"/>
                <w:sz w:val="18"/>
                <w:szCs w:val="18"/>
                <w:color w:val="auto"/>
              </w:rPr>
              <w:t>5,992</w:t>
            </w:r>
          </w:p>
        </w:tc>
        <w:tc>
          <w:tcPr>
            <w:tcW w:w="1840" w:type="dxa"/>
            <w:vAlign w:val="bottom"/>
            <w:tcBorders>
              <w:bottom w:val="single" w:sz="8" w:color="auto"/>
            </w:tcBorders>
          </w:tcPr>
          <w:p>
            <w:pPr>
              <w:jc w:val="right"/>
              <w:ind w:right="393"/>
              <w:spacing w:after="0" w:line="203" w:lineRule="exact"/>
              <w:rPr>
                <w:sz w:val="20"/>
                <w:szCs w:val="20"/>
                <w:color w:val="auto"/>
              </w:rPr>
            </w:pPr>
            <w:r>
              <w:rPr>
                <w:rFonts w:ascii="Arial" w:cs="Arial" w:eastAsia="Arial" w:hAnsi="Arial"/>
                <w:sz w:val="18"/>
                <w:szCs w:val="18"/>
                <w:color w:val="auto"/>
              </w:rPr>
              <w:t>0</w:t>
            </w:r>
          </w:p>
        </w:tc>
        <w:tc>
          <w:tcPr>
            <w:tcW w:w="1200" w:type="dxa"/>
            <w:vAlign w:val="bottom"/>
            <w:tcBorders>
              <w:bottom w:val="single" w:sz="8" w:color="auto"/>
            </w:tcBorders>
          </w:tcPr>
          <w:p>
            <w:pPr>
              <w:jc w:val="right"/>
              <w:ind w:right="52"/>
              <w:spacing w:after="0" w:line="203"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private equity</w:t>
            </w:r>
          </w:p>
        </w:tc>
        <w:tc>
          <w:tcPr>
            <w:tcW w:w="1120" w:type="dxa"/>
            <w:vAlign w:val="bottom"/>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82,464</w:t>
            </w:r>
          </w:p>
        </w:tc>
        <w:tc>
          <w:tcPr>
            <w:tcW w:w="6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8,237</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w w:val="98"/>
              </w:rPr>
              <w:t>10,428</w:t>
            </w:r>
          </w:p>
        </w:tc>
        <w:tc>
          <w:tcPr>
            <w:tcW w:w="13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18,333,323</w:t>
            </w:r>
          </w:p>
        </w:tc>
        <w:tc>
          <w:tcPr>
            <w:tcW w:w="184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1,681,832</w:t>
            </w:r>
          </w:p>
        </w:tc>
        <w:tc>
          <w:tcPr>
            <w:tcW w:w="12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1,983,896</w:t>
            </w:r>
          </w:p>
        </w:tc>
        <w:tc>
          <w:tcPr>
            <w:tcW w:w="0" w:type="dxa"/>
            <w:vAlign w:val="bottom"/>
          </w:tcPr>
          <w:p>
            <w:pPr>
              <w:spacing w:after="0"/>
              <w:rPr>
                <w:sz w:val="1"/>
                <w:szCs w:val="1"/>
                <w:color w:val="auto"/>
              </w:rPr>
            </w:pPr>
          </w:p>
        </w:tc>
      </w:tr>
      <w:tr>
        <w:trPr>
          <w:trHeight w:val="405"/>
        </w:trPr>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Mezzanine debt:</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than 10%</w:t>
            </w:r>
          </w:p>
        </w:tc>
        <w:tc>
          <w:tcPr>
            <w:tcW w:w="1120" w:type="dxa"/>
            <w:vAlign w:val="bottom"/>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26,250</w:t>
            </w:r>
          </w:p>
        </w:tc>
        <w:tc>
          <w:tcPr>
            <w:tcW w:w="6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169</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3,988</w:t>
            </w:r>
          </w:p>
        </w:tc>
        <w:tc>
          <w:tcPr>
            <w:tcW w:w="13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3,239,894</w:t>
            </w:r>
          </w:p>
        </w:tc>
        <w:tc>
          <w:tcPr>
            <w:tcW w:w="184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49,383</w:t>
            </w:r>
          </w:p>
        </w:tc>
        <w:tc>
          <w:tcPr>
            <w:tcW w:w="12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132,642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rPr>
              <w:t>Greater than or equal to</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tcPr>
          <w:p>
            <w:pPr>
              <w:ind w:left="200"/>
              <w:spacing w:after="0" w:line="202" w:lineRule="exact"/>
              <w:rPr>
                <w:sz w:val="20"/>
                <w:szCs w:val="20"/>
                <w:color w:val="auto"/>
              </w:rPr>
            </w:pPr>
            <w:r>
              <w:rPr>
                <w:rFonts w:ascii="Arial" w:cs="Arial" w:eastAsia="Arial" w:hAnsi="Arial"/>
                <w:sz w:val="18"/>
                <w:szCs w:val="18"/>
                <w:color w:val="auto"/>
              </w:rPr>
              <w:t>10% but less than</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gridSpan w:val="2"/>
          </w:tcPr>
          <w:p>
            <w:pPr>
              <w:ind w:left="220"/>
              <w:spacing w:after="0" w:line="203" w:lineRule="exact"/>
              <w:rPr>
                <w:sz w:val="20"/>
                <w:szCs w:val="20"/>
                <w:color w:val="auto"/>
              </w:rPr>
            </w:pPr>
            <w:r>
              <w:rPr>
                <w:rFonts w:ascii="Arial" w:cs="Arial" w:eastAsia="Arial" w:hAnsi="Arial"/>
                <w:sz w:val="18"/>
                <w:szCs w:val="18"/>
                <w:color w:val="auto"/>
              </w:rPr>
              <w:t>50%</w:t>
            </w:r>
          </w:p>
        </w:tc>
        <w:tc>
          <w:tcPr>
            <w:tcW w:w="1120" w:type="dxa"/>
            <w:vAlign w:val="bottom"/>
          </w:tcPr>
          <w:p>
            <w:pPr>
              <w:jc w:val="right"/>
              <w:ind w:right="372"/>
              <w:spacing w:after="0" w:line="203" w:lineRule="exact"/>
              <w:rPr>
                <w:sz w:val="20"/>
                <w:szCs w:val="20"/>
                <w:color w:val="auto"/>
              </w:rPr>
            </w:pPr>
            <w:r>
              <w:rPr>
                <w:rFonts w:ascii="Arial" w:cs="Arial" w:eastAsia="Arial" w:hAnsi="Arial"/>
                <w:sz w:val="18"/>
                <w:szCs w:val="18"/>
                <w:color w:val="auto"/>
              </w:rPr>
              <w:t>3</w:t>
            </w:r>
          </w:p>
        </w:tc>
        <w:tc>
          <w:tcPr>
            <w:tcW w:w="3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7,799</w:t>
            </w:r>
          </w:p>
        </w:tc>
        <w:tc>
          <w:tcPr>
            <w:tcW w:w="620" w:type="dxa"/>
            <w:vAlign w:val="bottom"/>
          </w:tcPr>
          <w:p>
            <w:pPr>
              <w:spacing w:after="0"/>
              <w:rPr>
                <w:sz w:val="17"/>
                <w:szCs w:val="17"/>
                <w:color w:val="auto"/>
              </w:rPr>
            </w:pPr>
          </w:p>
        </w:tc>
        <w:tc>
          <w:tcPr>
            <w:tcW w:w="1040" w:type="dxa"/>
            <w:vAlign w:val="bottom"/>
          </w:tcPr>
          <w:p>
            <w:pPr>
              <w:jc w:val="right"/>
              <w:ind w:right="410"/>
              <w:spacing w:after="0" w:line="203" w:lineRule="exact"/>
              <w:rPr>
                <w:sz w:val="20"/>
                <w:szCs w:val="20"/>
                <w:color w:val="auto"/>
              </w:rPr>
            </w:pPr>
            <w:r>
              <w:rPr>
                <w:rFonts w:ascii="Arial" w:cs="Arial" w:eastAsia="Arial" w:hAnsi="Arial"/>
                <w:sz w:val="18"/>
                <w:szCs w:val="18"/>
                <w:color w:val="auto"/>
              </w:rPr>
              <w:t>505</w:t>
            </w:r>
          </w:p>
        </w:tc>
        <w:tc>
          <w:tcPr>
            <w:tcW w:w="140" w:type="dxa"/>
            <w:vAlign w:val="bottom"/>
          </w:tcPr>
          <w:p>
            <w:pPr>
              <w:spacing w:after="0"/>
              <w:rPr>
                <w:sz w:val="17"/>
                <w:szCs w:val="17"/>
                <w:color w:val="auto"/>
              </w:rPr>
            </w:pPr>
          </w:p>
        </w:tc>
        <w:tc>
          <w:tcPr>
            <w:tcW w:w="860" w:type="dxa"/>
            <w:vAlign w:val="bottom"/>
          </w:tcPr>
          <w:p>
            <w:pPr>
              <w:jc w:val="right"/>
              <w:ind w:right="211"/>
              <w:spacing w:after="0" w:line="203" w:lineRule="exact"/>
              <w:rPr>
                <w:sz w:val="20"/>
                <w:szCs w:val="20"/>
                <w:color w:val="auto"/>
              </w:rPr>
            </w:pPr>
            <w:r>
              <w:rPr>
                <w:rFonts w:ascii="Arial" w:cs="Arial" w:eastAsia="Arial" w:hAnsi="Arial"/>
                <w:sz w:val="18"/>
                <w:szCs w:val="18"/>
                <w:color w:val="auto"/>
              </w:rPr>
              <w:t>357</w:t>
            </w:r>
          </w:p>
        </w:tc>
        <w:tc>
          <w:tcPr>
            <w:tcW w:w="1340" w:type="dxa"/>
            <w:vAlign w:val="bottom"/>
          </w:tcPr>
          <w:p>
            <w:pPr>
              <w:jc w:val="right"/>
              <w:ind w:right="12"/>
              <w:spacing w:after="0" w:line="203" w:lineRule="exact"/>
              <w:rPr>
                <w:sz w:val="20"/>
                <w:szCs w:val="20"/>
                <w:color w:val="auto"/>
              </w:rPr>
            </w:pPr>
            <w:r>
              <w:rPr>
                <w:rFonts w:ascii="Arial" w:cs="Arial" w:eastAsia="Arial" w:hAnsi="Arial"/>
                <w:sz w:val="18"/>
                <w:szCs w:val="18"/>
                <w:color w:val="auto"/>
              </w:rPr>
              <w:t>336,363</w:t>
            </w:r>
          </w:p>
        </w:tc>
        <w:tc>
          <w:tcPr>
            <w:tcW w:w="1840" w:type="dxa"/>
            <w:vAlign w:val="bottom"/>
          </w:tcPr>
          <w:p>
            <w:pPr>
              <w:jc w:val="right"/>
              <w:ind w:right="393"/>
              <w:spacing w:after="0" w:line="203" w:lineRule="exact"/>
              <w:rPr>
                <w:sz w:val="20"/>
                <w:szCs w:val="20"/>
                <w:color w:val="auto"/>
              </w:rPr>
            </w:pPr>
            <w:r>
              <w:rPr>
                <w:rFonts w:ascii="Arial" w:cs="Arial" w:eastAsia="Arial" w:hAnsi="Arial"/>
                <w:sz w:val="18"/>
                <w:szCs w:val="18"/>
                <w:color w:val="auto"/>
              </w:rPr>
              <w:t>17,496</w:t>
            </w:r>
          </w:p>
        </w:tc>
        <w:tc>
          <w:tcPr>
            <w:tcW w:w="1200" w:type="dxa"/>
            <w:vAlign w:val="bottom"/>
          </w:tcPr>
          <w:p>
            <w:pPr>
              <w:jc w:val="right"/>
              <w:ind w:right="112"/>
              <w:spacing w:after="0" w:line="203" w:lineRule="exact"/>
              <w:rPr>
                <w:sz w:val="20"/>
                <w:szCs w:val="20"/>
                <w:color w:val="auto"/>
              </w:rPr>
            </w:pPr>
            <w:r>
              <w:rPr>
                <w:rFonts w:ascii="Arial" w:cs="Arial" w:eastAsia="Arial" w:hAnsi="Arial"/>
                <w:sz w:val="18"/>
                <w:szCs w:val="18"/>
                <w:color w:val="auto"/>
              </w:rPr>
              <w:t>14,074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Greater than or equal to</w:t>
            </w: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50%</w:t>
            </w:r>
          </w:p>
        </w:tc>
        <w:tc>
          <w:tcPr>
            <w:tcW w:w="1120" w:type="dxa"/>
            <w:vAlign w:val="bottom"/>
            <w:tcBorders>
              <w:bottom w:val="single" w:sz="8" w:color="auto"/>
            </w:tcBorders>
            <w:shd w:val="clear" w:color="auto" w:fill="CCEEFF"/>
          </w:tcPr>
          <w:p>
            <w:pPr>
              <w:jc w:val="right"/>
              <w:ind w:right="372"/>
              <w:spacing w:after="0" w:line="203" w:lineRule="exact"/>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5,722</w:t>
            </w:r>
          </w:p>
        </w:tc>
        <w:tc>
          <w:tcPr>
            <w:tcW w:w="6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50"/>
              <w:spacing w:after="0" w:line="203" w:lineRule="exact"/>
              <w:rPr>
                <w:sz w:val="20"/>
                <w:szCs w:val="20"/>
                <w:color w:val="auto"/>
              </w:rPr>
            </w:pPr>
            <w:r>
              <w:rPr>
                <w:rFonts w:ascii="Arial" w:cs="Arial" w:eastAsia="Arial" w:hAnsi="Arial"/>
                <w:sz w:val="18"/>
                <w:szCs w:val="18"/>
                <w:color w:val="auto"/>
              </w:rPr>
              <w:t>(76)</w:t>
            </w: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211"/>
              <w:spacing w:after="0" w:line="203" w:lineRule="exact"/>
              <w:rPr>
                <w:sz w:val="20"/>
                <w:szCs w:val="20"/>
                <w:color w:val="auto"/>
              </w:rPr>
            </w:pPr>
            <w:r>
              <w:rPr>
                <w:rFonts w:ascii="Arial" w:cs="Arial" w:eastAsia="Arial" w:hAnsi="Arial"/>
                <w:sz w:val="18"/>
                <w:szCs w:val="18"/>
                <w:color w:val="auto"/>
              </w:rPr>
              <w:t>524</w:t>
            </w:r>
          </w:p>
        </w:tc>
        <w:tc>
          <w:tcPr>
            <w:tcW w:w="1340" w:type="dxa"/>
            <w:vAlign w:val="bottom"/>
            <w:tcBorders>
              <w:bottom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41,958</w:t>
            </w:r>
          </w:p>
        </w:tc>
        <w:tc>
          <w:tcPr>
            <w:tcW w:w="1840" w:type="dxa"/>
            <w:vAlign w:val="bottom"/>
            <w:tcBorders>
              <w:bottom w:val="single" w:sz="8" w:color="auto"/>
            </w:tcBorders>
            <w:shd w:val="clear" w:color="auto" w:fill="CCEEFF"/>
          </w:tcPr>
          <w:p>
            <w:pPr>
              <w:jc w:val="right"/>
              <w:ind w:right="333"/>
              <w:spacing w:after="0" w:line="203" w:lineRule="exact"/>
              <w:rPr>
                <w:sz w:val="20"/>
                <w:szCs w:val="20"/>
                <w:color w:val="auto"/>
              </w:rPr>
            </w:pPr>
            <w:r>
              <w:rPr>
                <w:rFonts w:ascii="Arial" w:cs="Arial" w:eastAsia="Arial" w:hAnsi="Arial"/>
                <w:sz w:val="18"/>
                <w:szCs w:val="18"/>
                <w:color w:val="auto"/>
              </w:rPr>
              <w:t>(357)</w:t>
            </w:r>
          </w:p>
        </w:tc>
        <w:tc>
          <w:tcPr>
            <w:tcW w:w="1200" w:type="dxa"/>
            <w:vAlign w:val="bottom"/>
            <w:tcBorders>
              <w:bottom w:val="single" w:sz="8" w:color="auto"/>
            </w:tcBorders>
            <w:shd w:val="clear" w:color="auto" w:fill="CCEEFF"/>
          </w:tcPr>
          <w:p>
            <w:pPr>
              <w:jc w:val="right"/>
              <w:ind w:right="112"/>
              <w:spacing w:after="0" w:line="203" w:lineRule="exact"/>
              <w:rPr>
                <w:sz w:val="20"/>
                <w:szCs w:val="20"/>
                <w:color w:val="auto"/>
              </w:rPr>
            </w:pPr>
            <w:r>
              <w:rPr>
                <w:rFonts w:ascii="Arial" w:cs="Arial" w:eastAsia="Arial" w:hAnsi="Arial"/>
                <w:sz w:val="18"/>
                <w:szCs w:val="18"/>
                <w:color w:val="auto"/>
              </w:rPr>
              <w:t>2,615</w:t>
            </w:r>
          </w:p>
        </w:tc>
        <w:tc>
          <w:tcPr>
            <w:tcW w:w="0" w:type="dxa"/>
            <w:vAlign w:val="bottom"/>
          </w:tcPr>
          <w:p>
            <w:pPr>
              <w:spacing w:after="0"/>
              <w:rPr>
                <w:sz w:val="1"/>
                <w:szCs w:val="1"/>
                <w:color w:val="auto"/>
              </w:rPr>
            </w:pPr>
          </w:p>
        </w:tc>
      </w:tr>
      <w:tr>
        <w:trPr>
          <w:trHeight w:val="223"/>
        </w:trPr>
        <w:tc>
          <w:tcPr>
            <w:tcW w:w="2260" w:type="dxa"/>
            <w:vAlign w:val="bottom"/>
            <w:gridSpan w:val="2"/>
          </w:tcPr>
          <w:p>
            <w:pPr>
              <w:spacing w:after="0"/>
              <w:rPr>
                <w:sz w:val="20"/>
                <w:szCs w:val="20"/>
                <w:color w:val="auto"/>
              </w:rPr>
            </w:pPr>
            <w:r>
              <w:rPr>
                <w:rFonts w:ascii="Arial" w:cs="Arial" w:eastAsia="Arial" w:hAnsi="Arial"/>
                <w:sz w:val="18"/>
                <w:szCs w:val="18"/>
                <w:color w:val="auto"/>
              </w:rPr>
              <w:t>Total mezzanine debt</w:t>
            </w:r>
          </w:p>
        </w:tc>
        <w:tc>
          <w:tcPr>
            <w:tcW w:w="1120" w:type="dxa"/>
            <w:vAlign w:val="bottom"/>
          </w:tcPr>
          <w:p>
            <w:pPr>
              <w:jc w:val="right"/>
              <w:ind w:right="372"/>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39,771</w:t>
            </w:r>
          </w:p>
        </w:tc>
        <w:tc>
          <w:tcPr>
            <w:tcW w:w="62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598</w:t>
            </w:r>
          </w:p>
        </w:tc>
        <w:tc>
          <w:tcPr>
            <w:tcW w:w="140" w:type="dxa"/>
            <w:vAlign w:val="bottom"/>
          </w:tcPr>
          <w:p>
            <w:pPr>
              <w:spacing w:after="0"/>
              <w:rPr>
                <w:sz w:val="19"/>
                <w:szCs w:val="19"/>
                <w:color w:val="auto"/>
              </w:rPr>
            </w:pPr>
          </w:p>
        </w:tc>
        <w:tc>
          <w:tcPr>
            <w:tcW w:w="860" w:type="dxa"/>
            <w:vAlign w:val="bottom"/>
          </w:tcPr>
          <w:p>
            <w:pPr>
              <w:jc w:val="right"/>
              <w:ind w:right="211"/>
              <w:spacing w:after="0"/>
              <w:rPr>
                <w:sz w:val="20"/>
                <w:szCs w:val="20"/>
                <w:color w:val="auto"/>
              </w:rPr>
            </w:pPr>
            <w:r>
              <w:rPr>
                <w:rFonts w:ascii="Arial" w:cs="Arial" w:eastAsia="Arial" w:hAnsi="Arial"/>
                <w:sz w:val="18"/>
                <w:szCs w:val="18"/>
                <w:color w:val="auto"/>
              </w:rPr>
              <w:t>4,869</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3,618,215</w:t>
            </w:r>
          </w:p>
        </w:tc>
        <w:tc>
          <w:tcPr>
            <w:tcW w:w="1840" w:type="dxa"/>
            <w:vAlign w:val="bottom"/>
          </w:tcPr>
          <w:p>
            <w:pPr>
              <w:jc w:val="right"/>
              <w:ind w:right="393"/>
              <w:spacing w:after="0"/>
              <w:rPr>
                <w:sz w:val="20"/>
                <w:szCs w:val="20"/>
                <w:color w:val="auto"/>
              </w:rPr>
            </w:pPr>
            <w:r>
              <w:rPr>
                <w:rFonts w:ascii="Arial" w:cs="Arial" w:eastAsia="Arial" w:hAnsi="Arial"/>
                <w:sz w:val="18"/>
                <w:szCs w:val="18"/>
                <w:color w:val="auto"/>
              </w:rPr>
              <w:t>66,522</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149,331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Real estate:</w:t>
            </w: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tcPr>
          <w:p>
            <w:pPr>
              <w:spacing w:after="0" w:line="202" w:lineRule="exact"/>
              <w:rPr>
                <w:sz w:val="20"/>
                <w:szCs w:val="20"/>
                <w:color w:val="auto"/>
              </w:rPr>
            </w:pPr>
            <w:r>
              <w:rPr>
                <w:rFonts w:ascii="Arial" w:cs="Arial" w:eastAsia="Arial" w:hAnsi="Arial"/>
                <w:sz w:val="18"/>
                <w:szCs w:val="18"/>
                <w:color w:val="auto"/>
              </w:rPr>
              <w:t>Less than 10%</w:t>
            </w:r>
          </w:p>
        </w:tc>
        <w:tc>
          <w:tcPr>
            <w:tcW w:w="112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22</w:t>
            </w:r>
          </w:p>
        </w:tc>
        <w:tc>
          <w:tcPr>
            <w:tcW w:w="3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67,840</w:t>
            </w:r>
          </w:p>
        </w:tc>
        <w:tc>
          <w:tcPr>
            <w:tcW w:w="620" w:type="dxa"/>
            <w:vAlign w:val="bottom"/>
          </w:tcPr>
          <w:p>
            <w:pPr>
              <w:spacing w:after="0"/>
              <w:rPr>
                <w:sz w:val="17"/>
                <w:szCs w:val="17"/>
                <w:color w:val="auto"/>
              </w:rPr>
            </w:pPr>
          </w:p>
        </w:tc>
        <w:tc>
          <w:tcPr>
            <w:tcW w:w="104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5,882</w:t>
            </w:r>
          </w:p>
        </w:tc>
        <w:tc>
          <w:tcPr>
            <w:tcW w:w="140" w:type="dxa"/>
            <w:vAlign w:val="bottom"/>
          </w:tcPr>
          <w:p>
            <w:pPr>
              <w:spacing w:after="0"/>
              <w:rPr>
                <w:sz w:val="17"/>
                <w:szCs w:val="17"/>
                <w:color w:val="auto"/>
              </w:rPr>
            </w:pPr>
          </w:p>
        </w:tc>
        <w:tc>
          <w:tcPr>
            <w:tcW w:w="86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9,284</w:t>
            </w:r>
          </w:p>
        </w:tc>
        <w:tc>
          <w:tcPr>
            <w:tcW w:w="13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16,832,702</w:t>
            </w:r>
          </w:p>
        </w:tc>
        <w:tc>
          <w:tcPr>
            <w:tcW w:w="1840" w:type="dxa"/>
            <w:vAlign w:val="bottom"/>
          </w:tcPr>
          <w:p>
            <w:pPr>
              <w:jc w:val="right"/>
              <w:ind w:right="393"/>
              <w:spacing w:after="0" w:line="202" w:lineRule="exact"/>
              <w:rPr>
                <w:sz w:val="20"/>
                <w:szCs w:val="20"/>
                <w:color w:val="auto"/>
              </w:rPr>
            </w:pPr>
            <w:r>
              <w:rPr>
                <w:rFonts w:ascii="Arial" w:cs="Arial" w:eastAsia="Arial" w:hAnsi="Arial"/>
                <w:sz w:val="18"/>
                <w:szCs w:val="18"/>
                <w:color w:val="auto"/>
              </w:rPr>
              <w:t>299,053</w:t>
            </w:r>
          </w:p>
        </w:tc>
        <w:tc>
          <w:tcPr>
            <w:tcW w:w="12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281,569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Greater than or equal to</w:t>
            </w: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10% but less than</w:t>
            </w: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50%</w:t>
            </w:r>
          </w:p>
        </w:tc>
        <w:tc>
          <w:tcPr>
            <w:tcW w:w="1120" w:type="dxa"/>
            <w:vAlign w:val="bottom"/>
            <w:shd w:val="clear" w:color="auto" w:fill="CCEEFF"/>
          </w:tcPr>
          <w:p>
            <w:pPr>
              <w:jc w:val="right"/>
              <w:ind w:right="372"/>
              <w:spacing w:after="0" w:line="203" w:lineRule="exact"/>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36,590</w:t>
            </w:r>
          </w:p>
        </w:tc>
        <w:tc>
          <w:tcPr>
            <w:tcW w:w="6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10"/>
              <w:spacing w:after="0" w:line="203" w:lineRule="exact"/>
              <w:rPr>
                <w:sz w:val="20"/>
                <w:szCs w:val="20"/>
                <w:color w:val="auto"/>
              </w:rPr>
            </w:pPr>
            <w:r>
              <w:rPr>
                <w:rFonts w:ascii="Arial" w:cs="Arial" w:eastAsia="Arial" w:hAnsi="Arial"/>
                <w:sz w:val="18"/>
                <w:szCs w:val="18"/>
                <w:color w:val="auto"/>
              </w:rPr>
              <w:t>1,127</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11"/>
              <w:spacing w:after="0" w:line="203" w:lineRule="exact"/>
              <w:rPr>
                <w:sz w:val="20"/>
                <w:szCs w:val="20"/>
                <w:color w:val="auto"/>
              </w:rPr>
            </w:pPr>
            <w:r>
              <w:rPr>
                <w:rFonts w:ascii="Arial" w:cs="Arial" w:eastAsia="Arial" w:hAnsi="Arial"/>
                <w:sz w:val="18"/>
                <w:szCs w:val="18"/>
                <w:color w:val="auto"/>
              </w:rPr>
              <w:t>1,377</w:t>
            </w:r>
          </w:p>
        </w:tc>
        <w:tc>
          <w:tcPr>
            <w:tcW w:w="134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1,053,175</w:t>
            </w:r>
          </w:p>
        </w:tc>
        <w:tc>
          <w:tcPr>
            <w:tcW w:w="1840" w:type="dxa"/>
            <w:vAlign w:val="bottom"/>
            <w:shd w:val="clear" w:color="auto" w:fill="CCEEFF"/>
          </w:tcPr>
          <w:p>
            <w:pPr>
              <w:jc w:val="right"/>
              <w:ind w:right="333"/>
              <w:spacing w:after="0" w:line="203" w:lineRule="exact"/>
              <w:rPr>
                <w:sz w:val="20"/>
                <w:szCs w:val="20"/>
                <w:color w:val="auto"/>
              </w:rPr>
            </w:pPr>
            <w:r>
              <w:rPr>
                <w:rFonts w:ascii="Arial" w:cs="Arial" w:eastAsia="Arial" w:hAnsi="Arial"/>
                <w:sz w:val="18"/>
                <w:szCs w:val="18"/>
                <w:color w:val="auto"/>
              </w:rPr>
              <w:t>(4,299)</w:t>
            </w:r>
          </w:p>
        </w:tc>
        <w:tc>
          <w:tcPr>
            <w:tcW w:w="1200" w:type="dxa"/>
            <w:vAlign w:val="bottom"/>
            <w:shd w:val="clear" w:color="auto" w:fill="CCEEFF"/>
          </w:tcPr>
          <w:p>
            <w:pPr>
              <w:jc w:val="right"/>
              <w:ind w:right="112"/>
              <w:spacing w:after="0" w:line="203" w:lineRule="exact"/>
              <w:rPr>
                <w:sz w:val="20"/>
                <w:szCs w:val="20"/>
                <w:color w:val="auto"/>
              </w:rPr>
            </w:pPr>
            <w:r>
              <w:rPr>
                <w:rFonts w:ascii="Arial" w:cs="Arial" w:eastAsia="Arial" w:hAnsi="Arial"/>
                <w:sz w:val="18"/>
                <w:szCs w:val="18"/>
                <w:color w:val="auto"/>
              </w:rPr>
              <w:t>19,244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rPr>
              <w:t>Greater than or equal to</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60" w:type="dxa"/>
            <w:vAlign w:val="bottom"/>
            <w:gridSpan w:val="2"/>
          </w:tcPr>
          <w:p>
            <w:pPr>
              <w:ind w:left="220"/>
              <w:spacing w:after="0" w:line="203" w:lineRule="exact"/>
              <w:rPr>
                <w:sz w:val="20"/>
                <w:szCs w:val="20"/>
                <w:color w:val="auto"/>
              </w:rPr>
            </w:pPr>
            <w:r>
              <w:rPr>
                <w:rFonts w:ascii="Arial" w:cs="Arial" w:eastAsia="Arial" w:hAnsi="Arial"/>
                <w:sz w:val="18"/>
                <w:szCs w:val="18"/>
                <w:color w:val="auto"/>
              </w:rPr>
              <w:t>50%</w:t>
            </w:r>
          </w:p>
        </w:tc>
        <w:tc>
          <w:tcPr>
            <w:tcW w:w="1120" w:type="dxa"/>
            <w:vAlign w:val="bottom"/>
            <w:tcBorders>
              <w:bottom w:val="single" w:sz="8" w:color="auto"/>
            </w:tcBorders>
          </w:tcPr>
          <w:p>
            <w:pPr>
              <w:jc w:val="right"/>
              <w:ind w:right="372"/>
              <w:spacing w:after="0" w:line="203" w:lineRule="exact"/>
              <w:rPr>
                <w:sz w:val="20"/>
                <w:szCs w:val="20"/>
                <w:color w:val="auto"/>
              </w:rPr>
            </w:pPr>
            <w:r>
              <w:rPr>
                <w:rFonts w:ascii="Arial" w:cs="Arial" w:eastAsia="Arial" w:hAnsi="Arial"/>
                <w:sz w:val="18"/>
                <w:szCs w:val="18"/>
                <w:color w:val="auto"/>
              </w:rPr>
              <w:t>7</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4,281</w:t>
            </w:r>
          </w:p>
        </w:tc>
        <w:tc>
          <w:tcPr>
            <w:tcW w:w="6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0</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1"/>
              <w:spacing w:after="0" w:line="203" w:lineRule="exact"/>
              <w:rPr>
                <w:sz w:val="20"/>
                <w:szCs w:val="20"/>
                <w:color w:val="auto"/>
              </w:rPr>
            </w:pPr>
            <w:r>
              <w:rPr>
                <w:rFonts w:ascii="Arial" w:cs="Arial" w:eastAsia="Arial" w:hAnsi="Arial"/>
                <w:sz w:val="18"/>
                <w:szCs w:val="18"/>
                <w:color w:val="auto"/>
              </w:rPr>
              <w:t>(36)</w:t>
            </w:r>
          </w:p>
        </w:tc>
        <w:tc>
          <w:tcPr>
            <w:tcW w:w="1340" w:type="dxa"/>
            <w:vAlign w:val="bottom"/>
            <w:tcBorders>
              <w:bottom w:val="single" w:sz="8" w:color="auto"/>
            </w:tcBorders>
          </w:tcPr>
          <w:p>
            <w:pPr>
              <w:jc w:val="right"/>
              <w:ind w:right="12"/>
              <w:spacing w:after="0" w:line="203" w:lineRule="exact"/>
              <w:rPr>
                <w:sz w:val="20"/>
                <w:szCs w:val="20"/>
                <w:color w:val="auto"/>
              </w:rPr>
            </w:pPr>
            <w:r>
              <w:rPr>
                <w:rFonts w:ascii="Arial" w:cs="Arial" w:eastAsia="Arial" w:hAnsi="Arial"/>
                <w:sz w:val="18"/>
                <w:szCs w:val="18"/>
                <w:color w:val="auto"/>
              </w:rPr>
              <w:t>244,242</w:t>
            </w:r>
          </w:p>
        </w:tc>
        <w:tc>
          <w:tcPr>
            <w:tcW w:w="1840" w:type="dxa"/>
            <w:vAlign w:val="bottom"/>
            <w:tcBorders>
              <w:bottom w:val="single" w:sz="8" w:color="auto"/>
            </w:tcBorders>
          </w:tcPr>
          <w:p>
            <w:pPr>
              <w:jc w:val="right"/>
              <w:ind w:right="393"/>
              <w:spacing w:after="0" w:line="203" w:lineRule="exact"/>
              <w:rPr>
                <w:sz w:val="20"/>
                <w:szCs w:val="20"/>
                <w:color w:val="auto"/>
              </w:rPr>
            </w:pPr>
            <w:r>
              <w:rPr>
                <w:rFonts w:ascii="Arial" w:cs="Arial" w:eastAsia="Arial" w:hAnsi="Arial"/>
                <w:sz w:val="18"/>
                <w:szCs w:val="18"/>
                <w:color w:val="auto"/>
              </w:rPr>
              <w:t>0</w:t>
            </w:r>
          </w:p>
        </w:tc>
        <w:tc>
          <w:tcPr>
            <w:tcW w:w="1200" w:type="dxa"/>
            <w:vAlign w:val="bottom"/>
            <w:tcBorders>
              <w:bottom w:val="single" w:sz="8" w:color="auto"/>
            </w:tcBorders>
          </w:tcPr>
          <w:p>
            <w:pPr>
              <w:jc w:val="right"/>
              <w:ind w:right="112"/>
              <w:spacing w:after="0" w:line="203" w:lineRule="exact"/>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real estate</w:t>
            </w:r>
          </w:p>
        </w:tc>
        <w:tc>
          <w:tcPr>
            <w:tcW w:w="1120" w:type="dxa"/>
            <w:vAlign w:val="bottom"/>
            <w:tcBorders>
              <w:bottom w:val="single" w:sz="8" w:color="auto"/>
            </w:tcBorders>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39</w:t>
            </w:r>
          </w:p>
        </w:tc>
        <w:tc>
          <w:tcPr>
            <w:tcW w:w="3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108,711</w:t>
            </w:r>
          </w:p>
        </w:tc>
        <w:tc>
          <w:tcPr>
            <w:tcW w:w="6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7,009</w:t>
            </w: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w w:val="98"/>
              </w:rPr>
              <w:t>10,625</w:t>
            </w:r>
          </w:p>
        </w:tc>
        <w:tc>
          <w:tcPr>
            <w:tcW w:w="134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18,130,119</w:t>
            </w:r>
          </w:p>
        </w:tc>
        <w:tc>
          <w:tcPr>
            <w:tcW w:w="1840" w:type="dxa"/>
            <w:vAlign w:val="bottom"/>
            <w:tcBorders>
              <w:bottom w:val="single" w:sz="8" w:color="auto"/>
            </w:tcBorders>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294,754</w:t>
            </w:r>
          </w:p>
        </w:tc>
        <w:tc>
          <w:tcPr>
            <w:tcW w:w="120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301,845</w:t>
            </w:r>
          </w:p>
        </w:tc>
        <w:tc>
          <w:tcPr>
            <w:tcW w:w="0" w:type="dxa"/>
            <w:vAlign w:val="bottom"/>
          </w:tcPr>
          <w:p>
            <w:pPr>
              <w:spacing w:after="0"/>
              <w:rPr>
                <w:sz w:val="1"/>
                <w:szCs w:val="1"/>
                <w:color w:val="auto"/>
              </w:rPr>
            </w:pPr>
          </w:p>
        </w:tc>
      </w:tr>
      <w:tr>
        <w:trPr>
          <w:trHeight w:val="412"/>
        </w:trPr>
        <w:tc>
          <w:tcPr>
            <w:tcW w:w="2260" w:type="dxa"/>
            <w:vAlign w:val="bottom"/>
            <w:gridSpan w:val="2"/>
          </w:tcPr>
          <w:p>
            <w:pPr>
              <w:spacing w:after="0"/>
              <w:rPr>
                <w:sz w:val="20"/>
                <w:szCs w:val="20"/>
                <w:color w:val="auto"/>
              </w:rPr>
            </w:pPr>
            <w:r>
              <w:rPr>
                <w:rFonts w:ascii="Arial" w:cs="Arial" w:eastAsia="Arial" w:hAnsi="Arial"/>
                <w:sz w:val="18"/>
                <w:szCs w:val="18"/>
                <w:color w:val="auto"/>
              </w:rPr>
              <w:t>Total limited partnerships</w:t>
            </w: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101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230,946</w:t>
            </w:r>
          </w:p>
        </w:tc>
        <w:tc>
          <w:tcPr>
            <w:tcW w:w="6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15,844</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8"/>
              </w:rPr>
              <w:t>25,922</w:t>
            </w: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$40,081,657</w:t>
            </w:r>
          </w:p>
        </w:tc>
        <w:tc>
          <w:tcPr>
            <w:tcW w:w="184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rPr>
              <w:t>$2,043,108</w:t>
            </w: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$2,435,072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Securities Lending Program</w:t>
      </w:r>
    </w:p>
    <w:p>
      <w:pPr>
        <w:spacing w:after="0" w:line="12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have loaned securities, included as part of our invested assets, with a market value of $29.5 million and $22.1 million at March 31, 2007 and December 31, 2006, respectively. We receive marketable securities as collateral for the loaned securities. We recognize the receipt of the collateral held by the third party custodian and the obligation to return the collateral on our Consolidated Statements of Financial Position. The proceeds from the collateral are invested in cash and short-term investments. We share a portion of the interest earned on lent securities with the third party custodian and the borrowing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4850765</wp:posOffset>
            </wp:positionH>
            <wp:positionV relativeFrom="paragraph">
              <wp:posOffset>-539115</wp:posOffset>
            </wp:positionV>
            <wp:extent cx="317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750" cy="8890"/>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NOTE 6 – SUMMARIZED FINANCIAL STATEMENT INFORMATION OF AFFILIATE</w:t>
      </w:r>
    </w:p>
    <w:p>
      <w:pPr>
        <w:spacing w:after="0" w:line="104"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EFL is an affiliated Pennsylvania-domiciled life insurance company operating in 10 states and the District of Columbia. We own 21.6% of Erie Family Life Insurance Company’s (EFL) outstanding common shares and account for this investment using the equity method of accounting. The remaining 78.4% of EFL is owned by the Erie Insurance Exchange.</w:t>
      </w:r>
    </w:p>
    <w:p>
      <w:pPr>
        <w:spacing w:after="0" w:line="95"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During the second quarter of 2006, the Exchange completed its tender offer and following short-form merger for all of the publicly held outstanding common stock of EFL excluding the shares owned by us. The Exchange acquired all publicly held EFL common stock at $32.00 per share, increasing its ownership percentage from 53.5% to 78.4% of the outstanding common stock of EFL. The aggregate consideration paid by the Exchange for the outstanding EFL shares was $75.2 million. Our 21.6% stake in EFL was unaffected by this transaction.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unaudited condensed financial statement information for EFL on a GAAP basis: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2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00" w:type="dxa"/>
            <w:vAlign w:val="bottom"/>
            <w:gridSpan w:val="5"/>
          </w:tcPr>
          <w:p>
            <w:pPr>
              <w:jc w:val="right"/>
              <w:ind w:right="468"/>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57"/>
        </w:trPr>
        <w:tc>
          <w:tcPr>
            <w:tcW w:w="4520" w:type="dxa"/>
            <w:vAlign w:val="bottom"/>
            <w:vMerge w:val="continue"/>
          </w:tcPr>
          <w:p>
            <w:pPr>
              <w:spacing w:after="0"/>
              <w:rPr>
                <w:sz w:val="13"/>
                <w:szCs w:val="13"/>
                <w:color w:val="auto"/>
              </w:rPr>
            </w:pPr>
          </w:p>
        </w:tc>
        <w:tc>
          <w:tcPr>
            <w:tcW w:w="3800" w:type="dxa"/>
            <w:vAlign w:val="bottom"/>
            <w:gridSpan w:val="2"/>
          </w:tcPr>
          <w:p>
            <w:pPr>
              <w:spacing w:after="0"/>
              <w:rPr>
                <w:sz w:val="13"/>
                <w:szCs w:val="13"/>
                <w:color w:val="auto"/>
              </w:rPr>
            </w:pPr>
          </w:p>
        </w:tc>
        <w:tc>
          <w:tcPr>
            <w:tcW w:w="1180" w:type="dxa"/>
            <w:vAlign w:val="bottom"/>
            <w:tcBorders>
              <w:bottom w:val="single" w:sz="8" w:color="auto"/>
            </w:tcBorders>
          </w:tcPr>
          <w:p>
            <w:pPr>
              <w:jc w:val="right"/>
              <w:ind w:right="328"/>
              <w:spacing w:after="0" w:line="157" w:lineRule="exact"/>
              <w:rPr>
                <w:sz w:val="20"/>
                <w:szCs w:val="20"/>
                <w:color w:val="auto"/>
              </w:rPr>
            </w:pPr>
            <w:r>
              <w:rPr>
                <w:rFonts w:ascii="Arial" w:cs="Arial" w:eastAsia="Arial" w:hAnsi="Arial"/>
                <w:sz w:val="14"/>
                <w:szCs w:val="14"/>
                <w:color w:val="auto"/>
              </w:rPr>
              <w:t>2007</w:t>
            </w:r>
          </w:p>
        </w:tc>
        <w:tc>
          <w:tcPr>
            <w:tcW w:w="60" w:type="dxa"/>
            <w:vAlign w:val="bottom"/>
            <w:tcBorders>
              <w:bottom w:val="single" w:sz="8" w:color="auto"/>
            </w:tcBorders>
          </w:tcPr>
          <w:p>
            <w:pPr>
              <w:spacing w:after="0"/>
              <w:rPr>
                <w:sz w:val="13"/>
                <w:szCs w:val="13"/>
                <w:color w:val="auto"/>
              </w:rPr>
            </w:pPr>
          </w:p>
        </w:tc>
        <w:tc>
          <w:tcPr>
            <w:tcW w:w="560" w:type="dxa"/>
            <w:vAlign w:val="bottom"/>
            <w:gridSpan w:val="2"/>
          </w:tcPr>
          <w:p>
            <w:pPr>
              <w:spacing w:after="0"/>
              <w:rPr>
                <w:sz w:val="13"/>
                <w:szCs w:val="13"/>
                <w:color w:val="auto"/>
              </w:rPr>
            </w:pPr>
          </w:p>
        </w:tc>
        <w:tc>
          <w:tcPr>
            <w:tcW w:w="1300" w:type="dxa"/>
            <w:vAlign w:val="bottom"/>
            <w:tcBorders>
              <w:bottom w:val="single" w:sz="8" w:color="auto"/>
            </w:tcBorders>
          </w:tcPr>
          <w:p>
            <w:pPr>
              <w:jc w:val="right"/>
              <w:ind w:right="408"/>
              <w:spacing w:after="0" w:line="157" w:lineRule="exact"/>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4980" w:type="dxa"/>
            <w:vAlign w:val="bottom"/>
            <w:gridSpan w:val="3"/>
            <w:shd w:val="clear" w:color="auto" w:fill="CCEEFF"/>
          </w:tcPr>
          <w:p>
            <w:pPr>
              <w:jc w:val="right"/>
              <w:ind w:right="208"/>
              <w:spacing w:after="0" w:line="196" w:lineRule="exact"/>
              <w:rPr>
                <w:sz w:val="20"/>
                <w:szCs w:val="20"/>
                <w:color w:val="auto"/>
              </w:rPr>
            </w:pPr>
            <w:r>
              <w:rPr>
                <w:rFonts w:ascii="Arial" w:cs="Arial" w:eastAsia="Arial" w:hAnsi="Arial"/>
                <w:sz w:val="18"/>
                <w:szCs w:val="18"/>
                <w:color w:val="auto"/>
              </w:rPr>
              <w:t>$40,575</w:t>
            </w:r>
          </w:p>
        </w:tc>
        <w:tc>
          <w:tcPr>
            <w:tcW w:w="60" w:type="dxa"/>
            <w:vAlign w:val="bottom"/>
            <w:shd w:val="clear" w:color="auto" w:fill="CCEEFF"/>
          </w:tcPr>
          <w:p>
            <w:pPr>
              <w:spacing w:after="0"/>
              <w:rPr>
                <w:sz w:val="17"/>
                <w:szCs w:val="17"/>
                <w:color w:val="auto"/>
              </w:rPr>
            </w:pPr>
          </w:p>
        </w:tc>
        <w:tc>
          <w:tcPr>
            <w:tcW w:w="1860" w:type="dxa"/>
            <w:vAlign w:val="bottom"/>
            <w:gridSpan w:val="3"/>
            <w:shd w:val="clear" w:color="auto" w:fill="CCEEFF"/>
          </w:tcPr>
          <w:p>
            <w:pPr>
              <w:jc w:val="right"/>
              <w:ind w:right="268"/>
              <w:spacing w:after="0" w:line="196" w:lineRule="exact"/>
              <w:rPr>
                <w:sz w:val="20"/>
                <w:szCs w:val="20"/>
                <w:color w:val="auto"/>
              </w:rPr>
            </w:pPr>
            <w:r>
              <w:rPr>
                <w:rFonts w:ascii="Arial" w:cs="Arial" w:eastAsia="Arial" w:hAnsi="Arial"/>
                <w:sz w:val="18"/>
                <w:szCs w:val="18"/>
                <w:color w:val="auto"/>
              </w:rPr>
              <w:t>$ 37,050</w:t>
            </w:r>
          </w:p>
        </w:tc>
        <w:tc>
          <w:tcPr>
            <w:tcW w:w="0" w:type="dxa"/>
            <w:vAlign w:val="bottom"/>
          </w:tcPr>
          <w:p>
            <w:pPr>
              <w:spacing w:after="0"/>
              <w:rPr>
                <w:sz w:val="1"/>
                <w:szCs w:val="1"/>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Benefits and expenses</w:t>
            </w:r>
          </w:p>
        </w:tc>
        <w:tc>
          <w:tcPr>
            <w:tcW w:w="4980" w:type="dxa"/>
            <w:vAlign w:val="bottom"/>
            <w:gridSpan w:val="3"/>
          </w:tcPr>
          <w:p>
            <w:pPr>
              <w:jc w:val="right"/>
              <w:ind w:right="208"/>
              <w:spacing w:after="0" w:line="202" w:lineRule="exact"/>
              <w:rPr>
                <w:sz w:val="20"/>
                <w:szCs w:val="20"/>
                <w:color w:val="auto"/>
              </w:rPr>
            </w:pPr>
            <w:r>
              <w:rPr>
                <w:rFonts w:ascii="Arial" w:cs="Arial" w:eastAsia="Arial" w:hAnsi="Arial"/>
                <w:sz w:val="18"/>
                <w:szCs w:val="18"/>
                <w:color w:val="auto"/>
              </w:rPr>
              <w:t>32,105</w:t>
            </w:r>
          </w:p>
        </w:tc>
        <w:tc>
          <w:tcPr>
            <w:tcW w:w="60" w:type="dxa"/>
            <w:vAlign w:val="bottom"/>
          </w:tcPr>
          <w:p>
            <w:pPr>
              <w:spacing w:after="0"/>
              <w:rPr>
                <w:sz w:val="17"/>
                <w:szCs w:val="17"/>
                <w:color w:val="auto"/>
              </w:rPr>
            </w:pPr>
          </w:p>
        </w:tc>
        <w:tc>
          <w:tcPr>
            <w:tcW w:w="1860" w:type="dxa"/>
            <w:vAlign w:val="bottom"/>
            <w:gridSpan w:val="3"/>
          </w:tcPr>
          <w:p>
            <w:pPr>
              <w:jc w:val="right"/>
              <w:ind w:right="268"/>
              <w:spacing w:after="0" w:line="202" w:lineRule="exact"/>
              <w:rPr>
                <w:sz w:val="20"/>
                <w:szCs w:val="20"/>
                <w:color w:val="auto"/>
              </w:rPr>
            </w:pPr>
            <w:r>
              <w:rPr>
                <w:rFonts w:ascii="Arial" w:cs="Arial" w:eastAsia="Arial" w:hAnsi="Arial"/>
                <w:sz w:val="18"/>
                <w:szCs w:val="18"/>
                <w:color w:val="auto"/>
              </w:rPr>
              <w:t>32,427</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4980" w:type="dxa"/>
            <w:vAlign w:val="bottom"/>
            <w:gridSpan w:val="3"/>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8,470</w:t>
            </w:r>
          </w:p>
        </w:tc>
        <w:tc>
          <w:tcPr>
            <w:tcW w:w="60" w:type="dxa"/>
            <w:vAlign w:val="bottom"/>
            <w:shd w:val="clear" w:color="auto" w:fill="CCEEFF"/>
          </w:tcPr>
          <w:p>
            <w:pPr>
              <w:spacing w:after="0"/>
              <w:rPr>
                <w:sz w:val="17"/>
                <w:szCs w:val="17"/>
                <w:color w:val="auto"/>
              </w:rPr>
            </w:pPr>
          </w:p>
        </w:tc>
        <w:tc>
          <w:tcPr>
            <w:tcW w:w="1860" w:type="dxa"/>
            <w:vAlign w:val="bottom"/>
            <w:gridSpan w:val="3"/>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4,623</w:t>
            </w:r>
          </w:p>
        </w:tc>
        <w:tc>
          <w:tcPr>
            <w:tcW w:w="0" w:type="dxa"/>
            <w:vAlign w:val="bottom"/>
          </w:tcPr>
          <w:p>
            <w:pPr>
              <w:spacing w:after="0"/>
              <w:rPr>
                <w:sz w:val="1"/>
                <w:szCs w:val="1"/>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4980" w:type="dxa"/>
            <w:vAlign w:val="bottom"/>
            <w:gridSpan w:val="3"/>
          </w:tcPr>
          <w:p>
            <w:pPr>
              <w:jc w:val="right"/>
              <w:ind w:right="208"/>
              <w:spacing w:after="0" w:line="202" w:lineRule="exact"/>
              <w:rPr>
                <w:sz w:val="20"/>
                <w:szCs w:val="20"/>
                <w:color w:val="auto"/>
              </w:rPr>
            </w:pPr>
            <w:r>
              <w:rPr>
                <w:rFonts w:ascii="Arial" w:cs="Arial" w:eastAsia="Arial" w:hAnsi="Arial"/>
                <w:sz w:val="18"/>
                <w:szCs w:val="18"/>
                <w:color w:val="auto"/>
              </w:rPr>
              <w:t>6,315</w:t>
            </w:r>
          </w:p>
        </w:tc>
        <w:tc>
          <w:tcPr>
            <w:tcW w:w="60" w:type="dxa"/>
            <w:vAlign w:val="bottom"/>
          </w:tcPr>
          <w:p>
            <w:pPr>
              <w:spacing w:after="0"/>
              <w:rPr>
                <w:sz w:val="17"/>
                <w:szCs w:val="17"/>
                <w:color w:val="auto"/>
              </w:rPr>
            </w:pPr>
          </w:p>
        </w:tc>
        <w:tc>
          <w:tcPr>
            <w:tcW w:w="1860" w:type="dxa"/>
            <w:vAlign w:val="bottom"/>
            <w:gridSpan w:val="3"/>
          </w:tcPr>
          <w:p>
            <w:pPr>
              <w:jc w:val="right"/>
              <w:ind w:right="268"/>
              <w:spacing w:after="0" w:line="202" w:lineRule="exact"/>
              <w:rPr>
                <w:sz w:val="20"/>
                <w:szCs w:val="20"/>
                <w:color w:val="auto"/>
              </w:rPr>
            </w:pPr>
            <w:r>
              <w:rPr>
                <w:rFonts w:ascii="Arial" w:cs="Arial" w:eastAsia="Arial" w:hAnsi="Arial"/>
                <w:sz w:val="18"/>
                <w:szCs w:val="18"/>
                <w:color w:val="auto"/>
              </w:rPr>
              <w:t>3,279</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Comprehensive income (loss)</w:t>
            </w:r>
          </w:p>
        </w:tc>
        <w:tc>
          <w:tcPr>
            <w:tcW w:w="4980" w:type="dxa"/>
            <w:vAlign w:val="bottom"/>
            <w:gridSpan w:val="3"/>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8,680</w:t>
            </w:r>
          </w:p>
        </w:tc>
        <w:tc>
          <w:tcPr>
            <w:tcW w:w="60" w:type="dxa"/>
            <w:vAlign w:val="bottom"/>
            <w:shd w:val="clear" w:color="auto" w:fill="CCEEFF"/>
          </w:tcPr>
          <w:p>
            <w:pPr>
              <w:spacing w:after="0"/>
              <w:rPr>
                <w:sz w:val="17"/>
                <w:szCs w:val="17"/>
                <w:color w:val="auto"/>
              </w:rPr>
            </w:pPr>
          </w:p>
        </w:tc>
        <w:tc>
          <w:tcPr>
            <w:tcW w:w="1860" w:type="dxa"/>
            <w:vAlign w:val="bottom"/>
            <w:gridSpan w:val="3"/>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(11,460)</w:t>
            </w:r>
          </w:p>
        </w:tc>
        <w:tc>
          <w:tcPr>
            <w:tcW w:w="0" w:type="dxa"/>
            <w:vAlign w:val="bottom"/>
          </w:tcPr>
          <w:p>
            <w:pPr>
              <w:spacing w:after="0"/>
              <w:rPr>
                <w:sz w:val="1"/>
                <w:szCs w:val="1"/>
                <w:color w:val="auto"/>
              </w:rPr>
            </w:pPr>
          </w:p>
        </w:tc>
      </w:tr>
      <w:tr>
        <w:trPr>
          <w:trHeight w:val="217"/>
        </w:trPr>
        <w:tc>
          <w:tcPr>
            <w:tcW w:w="4520" w:type="dxa"/>
            <w:vAlign w:val="bottom"/>
          </w:tcPr>
          <w:p>
            <w:pPr>
              <w:spacing w:after="0"/>
              <w:rPr>
                <w:sz w:val="20"/>
                <w:szCs w:val="20"/>
                <w:color w:val="auto"/>
              </w:rPr>
            </w:pPr>
            <w:r>
              <w:rPr>
                <w:rFonts w:ascii="Arial" w:cs="Arial" w:eastAsia="Arial" w:hAnsi="Arial"/>
                <w:sz w:val="18"/>
                <w:szCs w:val="18"/>
                <w:color w:val="auto"/>
              </w:rPr>
              <w:t>Dividends paid to shareholders</w:t>
            </w:r>
          </w:p>
        </w:tc>
        <w:tc>
          <w:tcPr>
            <w:tcW w:w="4980" w:type="dxa"/>
            <w:vAlign w:val="bottom"/>
            <w:gridSpan w:val="3"/>
          </w:tcPr>
          <w:p>
            <w:pPr>
              <w:jc w:val="right"/>
              <w:ind w:right="208"/>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860" w:type="dxa"/>
            <w:vAlign w:val="bottom"/>
            <w:gridSpan w:val="3"/>
          </w:tcPr>
          <w:p>
            <w:pPr>
              <w:jc w:val="right"/>
              <w:ind w:right="268"/>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350"/>
        </w:trPr>
        <w:tc>
          <w:tcPr>
            <w:tcW w:w="45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1428"/>
              <w:spacing w:after="0"/>
              <w:rPr>
                <w:sz w:val="20"/>
                <w:szCs w:val="20"/>
                <w:color w:val="auto"/>
              </w:rPr>
            </w:pPr>
            <w:r>
              <w:rPr>
                <w:rFonts w:ascii="Arial" w:cs="Arial" w:eastAsia="Arial" w:hAnsi="Arial"/>
                <w:sz w:val="14"/>
                <w:szCs w:val="14"/>
                <w:color w:val="auto"/>
              </w:rPr>
              <w:t>As of</w:t>
            </w:r>
          </w:p>
        </w:tc>
        <w:tc>
          <w:tcPr>
            <w:tcW w:w="0" w:type="dxa"/>
            <w:vAlign w:val="bottom"/>
          </w:tcPr>
          <w:p>
            <w:pPr>
              <w:spacing w:after="0"/>
              <w:rPr>
                <w:sz w:val="1"/>
                <w:szCs w:val="1"/>
                <w:color w:val="auto"/>
              </w:rPr>
            </w:pPr>
          </w:p>
        </w:tc>
      </w:tr>
      <w:tr>
        <w:trPr>
          <w:trHeight w:val="160"/>
        </w:trPr>
        <w:tc>
          <w:tcPr>
            <w:tcW w:w="452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March 31,</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57"/>
        </w:trPr>
        <w:tc>
          <w:tcPr>
            <w:tcW w:w="4520" w:type="dxa"/>
            <w:vAlign w:val="bottom"/>
            <w:vMerge w:val="continue"/>
          </w:tcPr>
          <w:p>
            <w:pPr>
              <w:spacing w:after="0"/>
              <w:rPr>
                <w:sz w:val="13"/>
                <w:szCs w:val="13"/>
                <w:color w:val="auto"/>
              </w:rPr>
            </w:pPr>
          </w:p>
        </w:tc>
        <w:tc>
          <w:tcPr>
            <w:tcW w:w="3560" w:type="dxa"/>
            <w:vAlign w:val="bottom"/>
          </w:tcPr>
          <w:p>
            <w:pPr>
              <w:spacing w:after="0"/>
              <w:rPr>
                <w:sz w:val="13"/>
                <w:szCs w:val="13"/>
                <w:color w:val="auto"/>
              </w:rPr>
            </w:pPr>
          </w:p>
        </w:tc>
        <w:tc>
          <w:tcPr>
            <w:tcW w:w="1420" w:type="dxa"/>
            <w:vAlign w:val="bottom"/>
            <w:tcBorders>
              <w:bottom w:val="single" w:sz="8" w:color="auto"/>
            </w:tcBorders>
            <w:gridSpan w:val="2"/>
          </w:tcPr>
          <w:p>
            <w:pPr>
              <w:jc w:val="right"/>
              <w:ind w:right="468"/>
              <w:spacing w:after="0" w:line="157" w:lineRule="exact"/>
              <w:rPr>
                <w:sz w:val="20"/>
                <w:szCs w:val="20"/>
                <w:color w:val="auto"/>
              </w:rPr>
            </w:pPr>
            <w:r>
              <w:rPr>
                <w:rFonts w:ascii="Arial" w:cs="Arial" w:eastAsia="Arial" w:hAnsi="Arial"/>
                <w:sz w:val="14"/>
                <w:szCs w:val="14"/>
                <w:color w:val="auto"/>
              </w:rPr>
              <w:t>2007</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tcBorders>
              <w:bottom w:val="single" w:sz="8" w:color="auto"/>
            </w:tcBorders>
            <w:gridSpan w:val="2"/>
          </w:tcPr>
          <w:p>
            <w:pPr>
              <w:jc w:val="right"/>
              <w:ind w:right="468"/>
              <w:spacing w:after="0" w:line="157" w:lineRule="exact"/>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4980" w:type="dxa"/>
            <w:vAlign w:val="bottom"/>
            <w:gridSpan w:val="3"/>
            <w:shd w:val="clear" w:color="auto" w:fill="CCEEFF"/>
          </w:tcPr>
          <w:p>
            <w:pPr>
              <w:jc w:val="right"/>
              <w:ind w:right="228"/>
              <w:spacing w:after="0" w:line="196" w:lineRule="exact"/>
              <w:rPr>
                <w:sz w:val="20"/>
                <w:szCs w:val="20"/>
                <w:color w:val="auto"/>
              </w:rPr>
            </w:pPr>
            <w:r>
              <w:rPr>
                <w:rFonts w:ascii="Arial" w:cs="Arial" w:eastAsia="Arial" w:hAnsi="Arial"/>
                <w:sz w:val="18"/>
                <w:szCs w:val="18"/>
                <w:color w:val="auto"/>
              </w:rPr>
              <w:t>$1,521,031</w:t>
            </w:r>
          </w:p>
        </w:tc>
        <w:tc>
          <w:tcPr>
            <w:tcW w:w="60" w:type="dxa"/>
            <w:vAlign w:val="bottom"/>
            <w:shd w:val="clear" w:color="auto" w:fill="CCEEFF"/>
          </w:tcPr>
          <w:p>
            <w:pPr>
              <w:spacing w:after="0"/>
              <w:rPr>
                <w:sz w:val="17"/>
                <w:szCs w:val="17"/>
                <w:color w:val="auto"/>
              </w:rPr>
            </w:pPr>
          </w:p>
        </w:tc>
        <w:tc>
          <w:tcPr>
            <w:tcW w:w="1860" w:type="dxa"/>
            <w:vAlign w:val="bottom"/>
            <w:gridSpan w:val="3"/>
            <w:shd w:val="clear" w:color="auto" w:fill="CCEEFF"/>
          </w:tcPr>
          <w:p>
            <w:pPr>
              <w:jc w:val="right"/>
              <w:ind w:right="228"/>
              <w:spacing w:after="0" w:line="196" w:lineRule="exact"/>
              <w:rPr>
                <w:sz w:val="20"/>
                <w:szCs w:val="20"/>
                <w:color w:val="auto"/>
              </w:rPr>
            </w:pPr>
            <w:r>
              <w:rPr>
                <w:rFonts w:ascii="Arial" w:cs="Arial" w:eastAsia="Arial" w:hAnsi="Arial"/>
                <w:sz w:val="18"/>
                <w:szCs w:val="18"/>
                <w:color w:val="auto"/>
              </w:rPr>
              <w:t>$1,488,846</w:t>
            </w:r>
          </w:p>
        </w:tc>
        <w:tc>
          <w:tcPr>
            <w:tcW w:w="0" w:type="dxa"/>
            <w:vAlign w:val="bottom"/>
          </w:tcPr>
          <w:p>
            <w:pPr>
              <w:spacing w:after="0"/>
              <w:rPr>
                <w:sz w:val="1"/>
                <w:szCs w:val="1"/>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4980" w:type="dxa"/>
            <w:vAlign w:val="bottom"/>
            <w:gridSpan w:val="3"/>
          </w:tcPr>
          <w:p>
            <w:pPr>
              <w:jc w:val="right"/>
              <w:ind w:right="228"/>
              <w:spacing w:after="0" w:line="202" w:lineRule="exact"/>
              <w:rPr>
                <w:sz w:val="20"/>
                <w:szCs w:val="20"/>
                <w:color w:val="auto"/>
              </w:rPr>
            </w:pPr>
            <w:r>
              <w:rPr>
                <w:rFonts w:ascii="Arial" w:cs="Arial" w:eastAsia="Arial" w:hAnsi="Arial"/>
                <w:sz w:val="18"/>
                <w:szCs w:val="18"/>
                <w:color w:val="auto"/>
              </w:rPr>
              <w:t>1,748,676</w:t>
            </w:r>
          </w:p>
        </w:tc>
        <w:tc>
          <w:tcPr>
            <w:tcW w:w="60" w:type="dxa"/>
            <w:vAlign w:val="bottom"/>
          </w:tcPr>
          <w:p>
            <w:pPr>
              <w:spacing w:after="0"/>
              <w:rPr>
                <w:sz w:val="17"/>
                <w:szCs w:val="17"/>
                <w:color w:val="auto"/>
              </w:rPr>
            </w:pPr>
          </w:p>
        </w:tc>
        <w:tc>
          <w:tcPr>
            <w:tcW w:w="1860" w:type="dxa"/>
            <w:vAlign w:val="bottom"/>
            <w:gridSpan w:val="3"/>
          </w:tcPr>
          <w:p>
            <w:pPr>
              <w:jc w:val="right"/>
              <w:ind w:right="228"/>
              <w:spacing w:after="0" w:line="202" w:lineRule="exact"/>
              <w:rPr>
                <w:sz w:val="20"/>
                <w:szCs w:val="20"/>
                <w:color w:val="auto"/>
              </w:rPr>
            </w:pPr>
            <w:r>
              <w:rPr>
                <w:rFonts w:ascii="Arial" w:cs="Arial" w:eastAsia="Arial" w:hAnsi="Arial"/>
                <w:sz w:val="18"/>
                <w:szCs w:val="18"/>
                <w:color w:val="auto"/>
              </w:rPr>
              <w:t>1,737,353</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w:t>
            </w:r>
          </w:p>
        </w:tc>
        <w:tc>
          <w:tcPr>
            <w:tcW w:w="4980" w:type="dxa"/>
            <w:vAlign w:val="bottom"/>
            <w:gridSpan w:val="3"/>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1,475,737</w:t>
            </w:r>
          </w:p>
        </w:tc>
        <w:tc>
          <w:tcPr>
            <w:tcW w:w="60" w:type="dxa"/>
            <w:vAlign w:val="bottom"/>
            <w:shd w:val="clear" w:color="auto" w:fill="CCEEFF"/>
          </w:tcPr>
          <w:p>
            <w:pPr>
              <w:spacing w:after="0"/>
              <w:rPr>
                <w:sz w:val="17"/>
                <w:szCs w:val="17"/>
                <w:color w:val="auto"/>
              </w:rPr>
            </w:pPr>
          </w:p>
        </w:tc>
        <w:tc>
          <w:tcPr>
            <w:tcW w:w="1860" w:type="dxa"/>
            <w:vAlign w:val="bottom"/>
            <w:gridSpan w:val="3"/>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1,473,094</w:t>
            </w:r>
          </w:p>
        </w:tc>
        <w:tc>
          <w:tcPr>
            <w:tcW w:w="0" w:type="dxa"/>
            <w:vAlign w:val="bottom"/>
          </w:tcPr>
          <w:p>
            <w:pPr>
              <w:spacing w:after="0"/>
              <w:rPr>
                <w:sz w:val="1"/>
                <w:szCs w:val="1"/>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Accumulated other comprehensive income</w:t>
            </w:r>
          </w:p>
        </w:tc>
        <w:tc>
          <w:tcPr>
            <w:tcW w:w="4980" w:type="dxa"/>
            <w:vAlign w:val="bottom"/>
            <w:gridSpan w:val="3"/>
          </w:tcPr>
          <w:p>
            <w:pPr>
              <w:jc w:val="right"/>
              <w:ind w:right="228"/>
              <w:spacing w:after="0" w:line="202" w:lineRule="exact"/>
              <w:rPr>
                <w:sz w:val="20"/>
                <w:szCs w:val="20"/>
                <w:color w:val="auto"/>
              </w:rPr>
            </w:pPr>
            <w:r>
              <w:rPr>
                <w:rFonts w:ascii="Arial" w:cs="Arial" w:eastAsia="Arial" w:hAnsi="Arial"/>
                <w:sz w:val="18"/>
                <w:szCs w:val="18"/>
                <w:color w:val="auto"/>
              </w:rPr>
              <w:t>6,648</w:t>
            </w:r>
          </w:p>
        </w:tc>
        <w:tc>
          <w:tcPr>
            <w:tcW w:w="60" w:type="dxa"/>
            <w:vAlign w:val="bottom"/>
          </w:tcPr>
          <w:p>
            <w:pPr>
              <w:spacing w:after="0"/>
              <w:rPr>
                <w:sz w:val="17"/>
                <w:szCs w:val="17"/>
                <w:color w:val="auto"/>
              </w:rPr>
            </w:pPr>
          </w:p>
        </w:tc>
        <w:tc>
          <w:tcPr>
            <w:tcW w:w="1860" w:type="dxa"/>
            <w:vAlign w:val="bottom"/>
            <w:gridSpan w:val="3"/>
          </w:tcPr>
          <w:p>
            <w:pPr>
              <w:jc w:val="right"/>
              <w:ind w:right="228"/>
              <w:spacing w:after="0" w:line="202" w:lineRule="exact"/>
              <w:rPr>
                <w:sz w:val="20"/>
                <w:szCs w:val="20"/>
                <w:color w:val="auto"/>
              </w:rPr>
            </w:pPr>
            <w:r>
              <w:rPr>
                <w:rFonts w:ascii="Arial" w:cs="Arial" w:eastAsia="Arial" w:hAnsi="Arial"/>
                <w:sz w:val="18"/>
                <w:szCs w:val="18"/>
                <w:color w:val="auto"/>
              </w:rPr>
              <w:t>4,283</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shareholders’ equity</w:t>
            </w:r>
          </w:p>
        </w:tc>
        <w:tc>
          <w:tcPr>
            <w:tcW w:w="4980" w:type="dxa"/>
            <w:vAlign w:val="bottom"/>
            <w:gridSpan w:val="3"/>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272,939</w:t>
            </w:r>
          </w:p>
        </w:tc>
        <w:tc>
          <w:tcPr>
            <w:tcW w:w="60" w:type="dxa"/>
            <w:vAlign w:val="bottom"/>
            <w:shd w:val="clear" w:color="auto" w:fill="CCEEFF"/>
          </w:tcPr>
          <w:p>
            <w:pPr>
              <w:spacing w:after="0"/>
              <w:rPr>
                <w:sz w:val="17"/>
                <w:szCs w:val="17"/>
                <w:color w:val="auto"/>
              </w:rPr>
            </w:pPr>
          </w:p>
        </w:tc>
        <w:tc>
          <w:tcPr>
            <w:tcW w:w="1860" w:type="dxa"/>
            <w:vAlign w:val="bottom"/>
            <w:gridSpan w:val="3"/>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264,259</w:t>
            </w:r>
          </w:p>
        </w:tc>
        <w:tc>
          <w:tcPr>
            <w:tcW w:w="0" w:type="dxa"/>
            <w:vAlign w:val="bottom"/>
          </w:tcPr>
          <w:p>
            <w:pPr>
              <w:spacing w:after="0"/>
              <w:rPr>
                <w:sz w:val="1"/>
                <w:szCs w:val="1"/>
                <w:color w:val="auto"/>
              </w:rPr>
            </w:pPr>
          </w:p>
        </w:tc>
      </w:tr>
      <w:tr>
        <w:trPr>
          <w:trHeight w:val="405"/>
        </w:trPr>
        <w:tc>
          <w:tcPr>
            <w:tcW w:w="4520" w:type="dxa"/>
            <w:vAlign w:val="bottom"/>
          </w:tcPr>
          <w:p>
            <w:pPr>
              <w:spacing w:after="0"/>
              <w:rPr>
                <w:sz w:val="24"/>
                <w:szCs w:val="24"/>
                <w:color w:val="auto"/>
              </w:rPr>
            </w:pPr>
          </w:p>
        </w:tc>
        <w:tc>
          <w:tcPr>
            <w:tcW w:w="3560" w:type="dxa"/>
            <w:vAlign w:val="bottom"/>
          </w:tcPr>
          <w:p>
            <w:pPr>
              <w:jc w:val="right"/>
              <w:ind w:right="217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520" w:type="dxa"/>
            <w:vAlign w:val="bottom"/>
            <w:tcBorders>
              <w:bottom w:val="single" w:sz="8" w:color="808080"/>
            </w:tcBorders>
          </w:tcPr>
          <w:p>
            <w:pPr>
              <w:spacing w:after="0"/>
              <w:rPr>
                <w:sz w:val="18"/>
                <w:szCs w:val="18"/>
                <w:color w:val="auto"/>
              </w:rPr>
            </w:pPr>
          </w:p>
        </w:tc>
        <w:tc>
          <w:tcPr>
            <w:tcW w:w="356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18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3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NOTE 7 – POSTRETIREMENT BENEFITS</w:t>
      </w:r>
    </w:p>
    <w:p>
      <w:pPr>
        <w:spacing w:after="0" w:line="104"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The liabilities for the plans described in this note are presented in total for all employees of the Group. The gross liability for the pension and retiree health benefit plans is presented in the Consolidated Statements of Financial Position as employee benefit obligations. A portion of annual expenses related to the pension and retiree health benefit plans are allocated to related entities within the Group.</w:t>
      </w:r>
    </w:p>
    <w:p>
      <w:pPr>
        <w:spacing w:after="0" w:line="9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pension plans consist of: 1) a noncontributory defined benefit pension plan covering substantially all employees, 2) an unfunded supplemental employee retirement plan (SERP) for executive and senior management and 3) an unfunded pension plan (discontinued in 1997) for certain outside directors.</w:t>
      </w:r>
    </w:p>
    <w:p>
      <w:pPr>
        <w:spacing w:after="0" w:line="95"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Effective May 1, 2006, our retiree health benefit plan, which previously provided retiree health benefits in the form of medical and pharmacy health plans, was curtailed by an amendment that restricted eligibility to those who attain age 60 and 15 years of service on or before July 1, 2010. A one-time curtailment benefit was recognized in the second quarter of 2006 as a result of this amendment.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Components of Net Periodic Benefit Cost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center"/>
              <w:ind w:right="53"/>
              <w:spacing w:after="0"/>
              <w:rPr>
                <w:sz w:val="20"/>
                <w:szCs w:val="20"/>
                <w:color w:val="auto"/>
              </w:rPr>
            </w:pPr>
            <w:r>
              <w:rPr>
                <w:rFonts w:ascii="Arial" w:cs="Arial" w:eastAsia="Arial" w:hAnsi="Arial"/>
                <w:sz w:val="14"/>
                <w:szCs w:val="14"/>
                <w:color w:val="auto"/>
              </w:rPr>
              <w:t>Pension Benefits</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center"/>
              <w:ind w:right="53"/>
              <w:spacing w:after="0"/>
              <w:rPr>
                <w:sz w:val="20"/>
                <w:szCs w:val="20"/>
                <w:color w:val="auto"/>
              </w:rPr>
            </w:pPr>
            <w:r>
              <w:rPr>
                <w:rFonts w:ascii="Arial" w:cs="Arial" w:eastAsia="Arial" w:hAnsi="Arial"/>
                <w:sz w:val="14"/>
                <w:szCs w:val="14"/>
                <w:color w:val="auto"/>
              </w:rPr>
              <w:t>Retiree Health Benefits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0" w:type="dxa"/>
            <w:vAlign w:val="bottom"/>
            <w:gridSpan w:val="6"/>
          </w:tcPr>
          <w:p>
            <w:pPr>
              <w:jc w:val="center"/>
              <w:ind w:right="82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3"/>
                <w:szCs w:val="13"/>
                <w:color w:val="auto"/>
              </w:rPr>
            </w:pPr>
          </w:p>
        </w:tc>
        <w:tc>
          <w:tcPr>
            <w:tcW w:w="2000" w:type="dxa"/>
            <w:vAlign w:val="bottom"/>
            <w:gridSpan w:val="6"/>
          </w:tcPr>
          <w:p>
            <w:pPr>
              <w:jc w:val="center"/>
              <w:ind w:right="24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72"/>
        </w:trPr>
        <w:tc>
          <w:tcPr>
            <w:tcW w:w="6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jc w:val="right"/>
              <w:ind w:right="116"/>
              <w:spacing w:after="0"/>
              <w:rPr>
                <w:sz w:val="20"/>
                <w:szCs w:val="20"/>
                <w:color w:val="auto"/>
              </w:rPr>
            </w:pPr>
            <w:r>
              <w:rPr>
                <w:rFonts w:ascii="Arial" w:cs="Arial" w:eastAsia="Arial" w:hAnsi="Arial"/>
                <w:sz w:val="14"/>
                <w:szCs w:val="14"/>
                <w:color w:val="auto"/>
              </w:rPr>
              <w:t>2007</w:t>
            </w:r>
          </w:p>
        </w:tc>
        <w:tc>
          <w:tcPr>
            <w:tcW w:w="660" w:type="dxa"/>
            <w:vAlign w:val="bottom"/>
          </w:tcPr>
          <w:p>
            <w:pPr>
              <w:jc w:val="center"/>
              <w:spacing w:after="0"/>
              <w:rPr>
                <w:sz w:val="20"/>
                <w:szCs w:val="20"/>
                <w:color w:val="auto"/>
              </w:rPr>
            </w:pPr>
            <w:r>
              <w:rPr>
                <w:rFonts w:ascii="Arial" w:cs="Arial" w:eastAsia="Arial" w:hAnsi="Arial"/>
                <w:sz w:val="14"/>
                <w:szCs w:val="14"/>
                <w:color w:val="auto"/>
              </w:rPr>
              <w:t>March 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restart"/>
          </w:tcPr>
          <w:p>
            <w:pPr>
              <w:jc w:val="right"/>
              <w:ind w:right="93"/>
              <w:spacing w:after="0"/>
              <w:rPr>
                <w:sz w:val="20"/>
                <w:szCs w:val="20"/>
                <w:color w:val="auto"/>
              </w:rPr>
            </w:pPr>
            <w:r>
              <w:rPr>
                <w:rFonts w:ascii="Arial" w:cs="Arial" w:eastAsia="Arial" w:hAnsi="Arial"/>
                <w:sz w:val="14"/>
                <w:szCs w:val="14"/>
                <w:color w:val="auto"/>
              </w:rPr>
              <w:t>2006</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ind w:right="96"/>
              <w:spacing w:after="0"/>
              <w:rPr>
                <w:sz w:val="20"/>
                <w:szCs w:val="20"/>
                <w:color w:val="auto"/>
              </w:rPr>
            </w:pPr>
            <w:r>
              <w:rPr>
                <w:rFonts w:ascii="Arial" w:cs="Arial" w:eastAsia="Arial" w:hAnsi="Arial"/>
                <w:sz w:val="14"/>
                <w:szCs w:val="14"/>
                <w:color w:val="auto"/>
              </w:rPr>
              <w:t>2007</w:t>
            </w:r>
          </w:p>
        </w:tc>
        <w:tc>
          <w:tcPr>
            <w:tcW w:w="660" w:type="dxa"/>
            <w:vAlign w:val="bottom"/>
          </w:tcPr>
          <w:p>
            <w:pPr>
              <w:jc w:val="center"/>
              <w:spacing w:after="0"/>
              <w:rPr>
                <w:sz w:val="20"/>
                <w:szCs w:val="20"/>
                <w:color w:val="auto"/>
              </w:rPr>
            </w:pPr>
            <w:r>
              <w:rPr>
                <w:rFonts w:ascii="Arial" w:cs="Arial" w:eastAsia="Arial" w:hAnsi="Arial"/>
                <w:sz w:val="14"/>
                <w:szCs w:val="14"/>
                <w:color w:val="auto"/>
              </w:rPr>
              <w:t>March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ind w:right="93"/>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540" w:type="dxa"/>
            <w:vAlign w:val="bottom"/>
          </w:tcPr>
          <w:p>
            <w:pPr>
              <w:spacing w:after="0" w:line="147" w:lineRule="exact"/>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Service cost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3,575</w:t>
            </w:r>
          </w:p>
        </w:tc>
        <w:tc>
          <w:tcPr>
            <w:tcW w:w="6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line="196" w:lineRule="exact"/>
              <w:rPr>
                <w:sz w:val="20"/>
                <w:szCs w:val="20"/>
                <w:color w:val="auto"/>
              </w:rPr>
            </w:pPr>
            <w:r>
              <w:rPr>
                <w:rFonts w:ascii="Arial" w:cs="Arial" w:eastAsia="Arial" w:hAnsi="Arial"/>
                <w:sz w:val="18"/>
                <w:szCs w:val="18"/>
                <w:color w:val="auto"/>
              </w:rPr>
              <w:t>4,107</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88"/>
              <w:spacing w:after="0" w:line="196" w:lineRule="exact"/>
              <w:rPr>
                <w:sz w:val="20"/>
                <w:szCs w:val="20"/>
                <w:color w:val="auto"/>
              </w:rPr>
            </w:pPr>
            <w:r>
              <w:rPr>
                <w:rFonts w:ascii="Arial" w:cs="Arial" w:eastAsia="Arial" w:hAnsi="Arial"/>
                <w:sz w:val="18"/>
                <w:szCs w:val="18"/>
                <w:color w:val="auto"/>
              </w:rPr>
              <w:t>25</w:t>
            </w:r>
          </w:p>
        </w:tc>
        <w:tc>
          <w:tcPr>
            <w:tcW w:w="1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4,175</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4,110</w:t>
            </w:r>
          </w:p>
        </w:tc>
        <w:tc>
          <w:tcPr>
            <w:tcW w:w="140" w:type="dxa"/>
            <w:vAlign w:val="bottom"/>
          </w:tcPr>
          <w:p>
            <w:pPr>
              <w:spacing w:after="0"/>
              <w:rPr>
                <w:sz w:val="17"/>
                <w:szCs w:val="17"/>
                <w:color w:val="auto"/>
              </w:rPr>
            </w:pPr>
          </w:p>
        </w:tc>
        <w:tc>
          <w:tcPr>
            <w:tcW w:w="1200" w:type="dxa"/>
            <w:vAlign w:val="bottom"/>
            <w:gridSpan w:val="2"/>
          </w:tcPr>
          <w:p>
            <w:pPr>
              <w:jc w:val="right"/>
              <w:ind w:right="588"/>
              <w:spacing w:after="0" w:line="202" w:lineRule="exact"/>
              <w:rPr>
                <w:sz w:val="20"/>
                <w:szCs w:val="20"/>
                <w:color w:val="auto"/>
              </w:rPr>
            </w:pPr>
            <w:r>
              <w:rPr>
                <w:rFonts w:ascii="Arial" w:cs="Arial" w:eastAsia="Arial" w:hAnsi="Arial"/>
                <w:sz w:val="18"/>
                <w:szCs w:val="18"/>
                <w:color w:val="auto"/>
              </w:rPr>
              <w:t>150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28"/>
              <w:spacing w:after="0" w:line="202" w:lineRule="exact"/>
              <w:rPr>
                <w:sz w:val="20"/>
                <w:szCs w:val="20"/>
                <w:color w:val="auto"/>
              </w:rPr>
            </w:pPr>
            <w:r>
              <w:rPr>
                <w:rFonts w:ascii="Arial" w:cs="Arial" w:eastAsia="Arial" w:hAnsi="Arial"/>
                <w:sz w:val="18"/>
                <w:szCs w:val="18"/>
                <w:color w:val="auto"/>
              </w:rPr>
              <w:t>(5,100)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(4,629)</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88"/>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Amortization of prior service cost</w:t>
            </w: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528"/>
              <w:spacing w:after="0" w:line="202"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net loss</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350</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1,205</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88"/>
              <w:spacing w:after="0" w:line="202" w:lineRule="exact"/>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3,100</w:t>
            </w:r>
          </w:p>
        </w:tc>
        <w:tc>
          <w:tcPr>
            <w:tcW w:w="66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4,907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rPr>
              <w:t>150</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The decrease in the net periodic benefit cost of the pension plans is due to a change in discount rate to 6.25% for 2007 compared to 5.75% in 2006. The decrease in the net periodic benefit cost of the retiree health benefit plan reflects the curtailment of the plan in the second quarter of 2006 which is being phased out through 2010.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NOTE 8 – NOTE RECEIVABLE FROM ERIE FAMILY LIFE INSURANCE COMPANY</w:t>
      </w:r>
    </w:p>
    <w:p>
      <w:pPr>
        <w:spacing w:after="0" w:line="10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are due $25 million from EFL in the form of a surplus note. The note may be repaid only out of unassigned surplus of EFL and repayment is subject to prior approval by the Pennsylvania Insurance Commissioner. The note bears an annual interest rate of 6.70% and is payable on demand on or after December 31, 2018. EFL accrued interest, payable semi-annually to us, of $0.4 million in each of the first quarters ended March 31, 2007 and 2006.</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NOTE 9 – STATUTORY INFORMATION</w:t>
      </w:r>
    </w:p>
    <w:p>
      <w:pPr>
        <w:spacing w:after="0" w:line="104"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Cash and securities with carrying values of $9.6 million and $5.7 million were deposited by our property and casualty insurance subsidiaries with regulatory authorities under statutory requirements at March 31, 2007 and December 31, 2006,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10 – SUPPLEMENTARY DATA ON CASH FLOWS</w:t>
      </w:r>
    </w:p>
    <w:p>
      <w:pPr>
        <w:spacing w:after="0" w:line="104"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A reconciliation of net income to net cash provided by operating activities as presented in the Consolidated Statements of Cash Flows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20" w:type="dxa"/>
            <w:vAlign w:val="bottom"/>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160" w:type="dxa"/>
            <w:vAlign w:val="bottom"/>
          </w:tcPr>
          <w:p>
            <w:pPr>
              <w:spacing w:after="0"/>
              <w:rPr>
                <w:sz w:val="15"/>
                <w:szCs w:val="15"/>
                <w:color w:val="auto"/>
              </w:rPr>
            </w:pPr>
          </w:p>
        </w:tc>
        <w:tc>
          <w:tcPr>
            <w:tcW w:w="2240" w:type="dxa"/>
            <w:vAlign w:val="bottom"/>
            <w:gridSpan w:val="6"/>
          </w:tcPr>
          <w:p>
            <w:pPr>
              <w:jc w:val="right"/>
              <w:ind w:right="180"/>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57"/>
        </w:trPr>
        <w:tc>
          <w:tcPr>
            <w:tcW w:w="8020" w:type="dxa"/>
            <w:vAlign w:val="bottom"/>
          </w:tcPr>
          <w:p>
            <w:pPr>
              <w:spacing w:after="0" w:line="157" w:lineRule="exact"/>
              <w:rPr>
                <w:sz w:val="20"/>
                <w:szCs w:val="20"/>
                <w:color w:val="auto"/>
              </w:rPr>
            </w:pPr>
            <w:r>
              <w:rPr>
                <w:rFonts w:ascii="Arial" w:cs="Arial" w:eastAsia="Arial" w:hAnsi="Arial"/>
                <w:sz w:val="14"/>
                <w:szCs w:val="14"/>
                <w:color w:val="auto"/>
              </w:rPr>
              <w:t>(Dollars in thousands)</w:t>
            </w:r>
          </w:p>
        </w:tc>
        <w:tc>
          <w:tcPr>
            <w:tcW w:w="1160" w:type="dxa"/>
            <w:vAlign w:val="bottom"/>
          </w:tcPr>
          <w:p>
            <w:pPr>
              <w:spacing w:after="0"/>
              <w:rPr>
                <w:sz w:val="13"/>
                <w:szCs w:val="13"/>
                <w:color w:val="auto"/>
              </w:rPr>
            </w:pPr>
          </w:p>
        </w:tc>
        <w:tc>
          <w:tcPr>
            <w:tcW w:w="720" w:type="dxa"/>
            <w:vAlign w:val="bottom"/>
            <w:tcBorders>
              <w:bottom w:val="single" w:sz="8" w:color="auto"/>
            </w:tcBorders>
          </w:tcPr>
          <w:p>
            <w:pPr>
              <w:jc w:val="right"/>
              <w:ind w:right="122"/>
              <w:spacing w:after="0" w:line="157" w:lineRule="exact"/>
              <w:rPr>
                <w:sz w:val="20"/>
                <w:szCs w:val="20"/>
                <w:color w:val="auto"/>
              </w:rPr>
            </w:pPr>
            <w:r>
              <w:rPr>
                <w:rFonts w:ascii="Arial" w:cs="Arial" w:eastAsia="Arial" w:hAnsi="Arial"/>
                <w:sz w:val="14"/>
                <w:szCs w:val="14"/>
                <w:color w:val="auto"/>
              </w:rPr>
              <w:t>2007</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1"/>
              <w:spacing w:after="0" w:line="157" w:lineRule="exact"/>
              <w:rPr>
                <w:sz w:val="20"/>
                <w:szCs w:val="20"/>
                <w:color w:val="auto"/>
              </w:rPr>
            </w:pPr>
            <w:r>
              <w:rPr>
                <w:rFonts w:ascii="Arial" w:cs="Arial" w:eastAsia="Arial" w:hAnsi="Arial"/>
                <w:sz w:val="14"/>
                <w:szCs w:val="14"/>
                <w:color w:val="auto"/>
              </w:rPr>
              <w:t>2006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w:t>
            </w:r>
          </w:p>
        </w:tc>
        <w:tc>
          <w:tcPr>
            <w:tcW w:w="2260" w:type="dxa"/>
            <w:vAlign w:val="bottom"/>
            <w:gridSpan w:val="3"/>
            <w:shd w:val="clear" w:color="auto" w:fill="CCEEFF"/>
          </w:tcPr>
          <w:p>
            <w:pPr>
              <w:jc w:val="right"/>
              <w:ind w:right="380"/>
              <w:spacing w:after="0" w:line="196" w:lineRule="exact"/>
              <w:rPr>
                <w:sz w:val="20"/>
                <w:szCs w:val="20"/>
                <w:color w:val="auto"/>
              </w:rPr>
            </w:pPr>
            <w:r>
              <w:rPr>
                <w:rFonts w:ascii="Arial" w:cs="Arial" w:eastAsia="Arial" w:hAnsi="Arial"/>
                <w:sz w:val="18"/>
                <w:szCs w:val="18"/>
                <w:b w:val="1"/>
                <w:bCs w:val="1"/>
                <w:color w:val="auto"/>
              </w:rPr>
              <w:t>$ 56,361</w:t>
            </w:r>
          </w:p>
        </w:tc>
        <w:tc>
          <w:tcPr>
            <w:tcW w:w="4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49,466</w:t>
            </w:r>
          </w:p>
        </w:tc>
        <w:tc>
          <w:tcPr>
            <w:tcW w:w="0" w:type="dxa"/>
            <w:vAlign w:val="bottom"/>
          </w:tcPr>
          <w:p>
            <w:pPr>
              <w:spacing w:after="0"/>
              <w:rPr>
                <w:sz w:val="1"/>
                <w:szCs w:val="1"/>
                <w:color w:val="auto"/>
              </w:rPr>
            </w:pP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Depreciation and amortization</w:t>
            </w:r>
          </w:p>
        </w:tc>
        <w:tc>
          <w:tcPr>
            <w:tcW w:w="226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7,902</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8,988</w:t>
            </w:r>
          </w:p>
        </w:tc>
        <w:tc>
          <w:tcPr>
            <w:tcW w:w="0" w:type="dxa"/>
            <w:vAlign w:val="bottom"/>
          </w:tcPr>
          <w:p>
            <w:pPr>
              <w:spacing w:after="0"/>
              <w:rPr>
                <w:sz w:val="1"/>
                <w:szCs w:val="1"/>
                <w:color w:val="auto"/>
              </w:rPr>
            </w:pPr>
          </w:p>
        </w:tc>
      </w:tr>
      <w:tr>
        <w:trPr>
          <w:trHeight w:val="203"/>
        </w:trPr>
        <w:tc>
          <w:tcPr>
            <w:tcW w:w="8020" w:type="dxa"/>
            <w:vAlign w:val="bottom"/>
          </w:tcPr>
          <w:p>
            <w:pPr>
              <w:ind w:left="220"/>
              <w:spacing w:after="0" w:line="202" w:lineRule="exact"/>
              <w:rPr>
                <w:sz w:val="20"/>
                <w:szCs w:val="20"/>
                <w:color w:val="auto"/>
              </w:rPr>
            </w:pPr>
            <w:r>
              <w:rPr>
                <w:rFonts w:ascii="Arial" w:cs="Arial" w:eastAsia="Arial" w:hAnsi="Arial"/>
                <w:sz w:val="18"/>
                <w:szCs w:val="18"/>
                <w:color w:val="auto"/>
              </w:rPr>
              <w:t>Deferred income tax benefit (expense)</w:t>
            </w:r>
          </w:p>
        </w:tc>
        <w:tc>
          <w:tcPr>
            <w:tcW w:w="226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9,070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Realized gain on investments</w:t>
            </w:r>
          </w:p>
        </w:tc>
        <w:tc>
          <w:tcPr>
            <w:tcW w:w="226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(1,890)</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03"/>
        </w:trPr>
        <w:tc>
          <w:tcPr>
            <w:tcW w:w="8020" w:type="dxa"/>
            <w:vAlign w:val="bottom"/>
          </w:tcPr>
          <w:p>
            <w:pPr>
              <w:ind w:left="220"/>
              <w:spacing w:after="0" w:line="202" w:lineRule="exact"/>
              <w:rPr>
                <w:sz w:val="20"/>
                <w:szCs w:val="20"/>
                <w:color w:val="auto"/>
              </w:rPr>
            </w:pPr>
            <w:r>
              <w:rPr>
                <w:rFonts w:ascii="Arial" w:cs="Arial" w:eastAsia="Arial" w:hAnsi="Arial"/>
                <w:sz w:val="18"/>
                <w:szCs w:val="18"/>
                <w:color w:val="auto"/>
              </w:rPr>
              <w:t>Equity in earnings of limited partnerships</w:t>
            </w:r>
          </w:p>
        </w:tc>
        <w:tc>
          <w:tcPr>
            <w:tcW w:w="22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(12,518)</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(4,142)</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Net amortization of bond premium</w:t>
            </w:r>
          </w:p>
        </w:tc>
        <w:tc>
          <w:tcPr>
            <w:tcW w:w="226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545</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03"/>
        </w:trPr>
        <w:tc>
          <w:tcPr>
            <w:tcW w:w="8020" w:type="dxa"/>
            <w:vAlign w:val="bottom"/>
          </w:tcPr>
          <w:p>
            <w:pPr>
              <w:ind w:left="220"/>
              <w:spacing w:after="0" w:line="202" w:lineRule="exact"/>
              <w:rPr>
                <w:sz w:val="20"/>
                <w:szCs w:val="20"/>
                <w:color w:val="auto"/>
              </w:rPr>
            </w:pPr>
            <w:r>
              <w:rPr>
                <w:rFonts w:ascii="Arial" w:cs="Arial" w:eastAsia="Arial" w:hAnsi="Arial"/>
                <w:sz w:val="18"/>
                <w:szCs w:val="18"/>
                <w:color w:val="auto"/>
              </w:rPr>
              <w:t>Undistributed earnings of Erie Family Life Insurance</w:t>
            </w:r>
          </w:p>
        </w:tc>
        <w:tc>
          <w:tcPr>
            <w:tcW w:w="22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(1,366)</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Deferred compensation</w:t>
            </w:r>
          </w:p>
        </w:tc>
        <w:tc>
          <w:tcPr>
            <w:tcW w:w="226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(5,901)</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Limited partnership distributions</w:t>
            </w:r>
          </w:p>
        </w:tc>
        <w:tc>
          <w:tcPr>
            <w:tcW w:w="226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15,776</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9,446</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Decrease in receivables and reinsurance recoverable from the Exchange and affiliates</w:t>
            </w:r>
          </w:p>
        </w:tc>
        <w:tc>
          <w:tcPr>
            <w:tcW w:w="226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40,514</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5,760</w:t>
            </w:r>
          </w:p>
        </w:tc>
        <w:tc>
          <w:tcPr>
            <w:tcW w:w="0" w:type="dxa"/>
            <w:vAlign w:val="bottom"/>
          </w:tcPr>
          <w:p>
            <w:pPr>
              <w:spacing w:after="0"/>
              <w:rPr>
                <w:sz w:val="1"/>
                <w:szCs w:val="1"/>
                <w:color w:val="auto"/>
              </w:rPr>
            </w:pP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Increase in prepaid expenses and other assets</w:t>
            </w:r>
          </w:p>
        </w:tc>
        <w:tc>
          <w:tcPr>
            <w:tcW w:w="22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(15,295)</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8"/>
              </w:rPr>
              <w:t>(11,103)</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in accounts payable and accrued expenses</w:t>
            </w:r>
          </w:p>
        </w:tc>
        <w:tc>
          <w:tcPr>
            <w:tcW w:w="226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17,945</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31,314</w:t>
            </w:r>
          </w:p>
        </w:tc>
        <w:tc>
          <w:tcPr>
            <w:tcW w:w="0" w:type="dxa"/>
            <w:vAlign w:val="bottom"/>
          </w:tcPr>
          <w:p>
            <w:pPr>
              <w:spacing w:after="0"/>
              <w:rPr>
                <w:sz w:val="1"/>
                <w:szCs w:val="1"/>
                <w:color w:val="auto"/>
              </w:rPr>
            </w:pP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Decrease in accrued agent bonuses</w:t>
            </w:r>
          </w:p>
        </w:tc>
        <w:tc>
          <w:tcPr>
            <w:tcW w:w="22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(69,910)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8"/>
              </w:rPr>
              <w:t>(49,150)</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Decrease in loss reserves</w:t>
            </w:r>
          </w:p>
        </w:tc>
        <w:tc>
          <w:tcPr>
            <w:tcW w:w="226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(24,661)</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(22,334)</w:t>
            </w:r>
          </w:p>
        </w:tc>
        <w:tc>
          <w:tcPr>
            <w:tcW w:w="0" w:type="dxa"/>
            <w:vAlign w:val="bottom"/>
          </w:tcPr>
          <w:p>
            <w:pPr>
              <w:spacing w:after="0"/>
              <w:rPr>
                <w:sz w:val="1"/>
                <w:szCs w:val="1"/>
                <w:color w:val="auto"/>
              </w:rPr>
            </w:pP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Decrease in unearned premiums</w:t>
            </w:r>
          </w:p>
        </w:tc>
        <w:tc>
          <w:tcPr>
            <w:tcW w:w="1160" w:type="dxa"/>
            <w:vAlign w:val="bottom"/>
          </w:tcPr>
          <w:p>
            <w:pPr>
              <w:spacing w:after="0"/>
              <w:rPr>
                <w:sz w:val="17"/>
                <w:szCs w:val="17"/>
                <w:color w:val="auto"/>
              </w:rPr>
            </w:pP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(5,333)</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8"/>
              </w:rPr>
              <w:t>(11,140)</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b w:val="1"/>
                <w:bCs w:val="1"/>
                <w:color w:val="auto"/>
              </w:rPr>
              <w:t>Net cash provided by operating activities</w:t>
            </w:r>
          </w:p>
        </w:tc>
        <w:tc>
          <w:tcPr>
            <w:tcW w:w="226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$ 11,239</w:t>
            </w:r>
          </w:p>
        </w:tc>
        <w:tc>
          <w:tcPr>
            <w:tcW w:w="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6,505</w:t>
            </w:r>
          </w:p>
        </w:tc>
        <w:tc>
          <w:tcPr>
            <w:tcW w:w="0" w:type="dxa"/>
            <w:vAlign w:val="bottom"/>
          </w:tcPr>
          <w:p>
            <w:pPr>
              <w:spacing w:after="0"/>
              <w:rPr>
                <w:sz w:val="1"/>
                <w:szCs w:val="1"/>
                <w:color w:val="auto"/>
              </w:rPr>
            </w:pPr>
          </w:p>
        </w:tc>
      </w:tr>
      <w:tr>
        <w:trPr>
          <w:trHeight w:val="20"/>
        </w:trPr>
        <w:tc>
          <w:tcPr>
            <w:tcW w:w="8020" w:type="dxa"/>
            <w:vAlign w:val="bottom"/>
            <w:vMerge w:val="restart"/>
          </w:tcPr>
          <w:p>
            <w:pPr>
              <w:ind w:left="5620"/>
              <w:spacing w:after="0"/>
              <w:rPr>
                <w:sz w:val="20"/>
                <w:szCs w:val="20"/>
                <w:color w:val="auto"/>
              </w:rPr>
            </w:pPr>
            <w:r>
              <w:rPr>
                <w:rFonts w:ascii="Arial" w:cs="Arial" w:eastAsia="Arial" w:hAnsi="Arial"/>
                <w:sz w:val="18"/>
                <w:szCs w:val="18"/>
                <w:color w:val="auto"/>
              </w:rPr>
              <w:t>17</w:t>
            </w:r>
          </w:p>
        </w:tc>
        <w:tc>
          <w:tcPr>
            <w:tcW w:w="1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0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02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NOTE 11 – COMMITMENTS AND CONTINGENCIES</w:t>
      </w:r>
    </w:p>
    <w:p>
      <w:pPr>
        <w:spacing w:after="0" w:line="10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have contractual commitments to invest up to $203.3 million additional funds in limited partnership investments at March 31, 2007. These commitments will be funded as required by the partnerships’ agreements through 2012. At March 31, 2007, the total commitment to fund limited partnerships that invest in private equity securities is $79.9 million, real estate activities is $82.8 million and mezzanine debt securities is $40.6 million. We expect to have sufficient cash flows not only from operations but also from cash inflows (distributions) from existing limited partnership investments, which have typically been strong in our experience, to meet these partnership commitments.</w:t>
      </w:r>
    </w:p>
    <w:p>
      <w:pPr>
        <w:spacing w:after="0" w:line="95"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We are involved in litigation arising in the ordinary course of business. In the opinion of management, the effects, if any, of such litigation are not expected to be material to our consolidated financial condition, results of operations or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12 – VARIABLE INTEREST ENTITY</w:t>
      </w:r>
    </w:p>
    <w:p>
      <w:pPr>
        <w:spacing w:after="0" w:line="10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Exchange is a reciprocal insurance company, domiciled in Pennsylvania, for which we serve as attorney-in-fact. We hold a variable interest in the Exchange, however, we are not the primary beneficiary as defined under Financial Accounting Standards Interpretation 46, “Consolidation of Variable Interest Entities.” We have a significant interest in the financial condition of the Exchange because net management fee revenues are based on the direct written premiums of the Exchange and the other members of the Property and Casualty Group.</w:t>
      </w:r>
    </w:p>
    <w:p>
      <w:pPr>
        <w:spacing w:after="0" w:line="9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 xml:space="preserve">The selected financial data below is derived from the Exchange’s financial statements prepared in accordance with Statutory Accounting Principles (SAP) required by the National Association of Insurance Commissioners’ (NAIC) </w:t>
      </w:r>
      <w:r>
        <w:rPr>
          <w:rFonts w:ascii="Arial" w:cs="Arial" w:eastAsia="Arial" w:hAnsi="Arial"/>
          <w:sz w:val="18"/>
          <w:szCs w:val="18"/>
          <w:i w:val="1"/>
          <w:iCs w:val="1"/>
          <w:color w:val="auto"/>
        </w:rPr>
        <w:t>Accounting Practices and Procedures Manual</w:t>
      </w:r>
      <w:r>
        <w:rPr>
          <w:rFonts w:ascii="Arial" w:cs="Arial" w:eastAsia="Arial" w:hAnsi="Arial"/>
          <w:sz w:val="18"/>
          <w:szCs w:val="18"/>
          <w:color w:val="auto"/>
        </w:rPr>
        <w:t>, as modified to include prescribed practices of the Insurance Department of the Commonwealth of Pennsylvania. In the opinion of management, all adjustments, consisting only of normal recurring accruals, considered necessary for a fair presentation, have been included. The condensed financial data set forth below represents the Exchange’s share of underwriting results after accounting for intercompany pooling transactions.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Erie Insurance Exchange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Statutory Statements of Operations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320" w:type="dxa"/>
            <w:vAlign w:val="bottom"/>
            <w:gridSpan w:val="4"/>
          </w:tcPr>
          <w:p>
            <w:pPr>
              <w:ind w:left="100"/>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57"/>
        </w:trPr>
        <w:tc>
          <w:tcPr>
            <w:tcW w:w="728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1820" w:type="dxa"/>
            <w:vAlign w:val="bottom"/>
          </w:tcPr>
          <w:p>
            <w:pPr>
              <w:spacing w:after="0"/>
              <w:rPr>
                <w:sz w:val="13"/>
                <w:szCs w:val="13"/>
                <w:color w:val="auto"/>
              </w:rPr>
            </w:pPr>
          </w:p>
        </w:tc>
        <w:tc>
          <w:tcPr>
            <w:tcW w:w="760" w:type="dxa"/>
            <w:vAlign w:val="bottom"/>
            <w:tcBorders>
              <w:bottom w:val="single" w:sz="8" w:color="auto"/>
            </w:tcBorders>
          </w:tcPr>
          <w:p>
            <w:pPr>
              <w:jc w:val="right"/>
              <w:ind w:right="136"/>
              <w:spacing w:after="0" w:line="157" w:lineRule="exact"/>
              <w:rPr>
                <w:sz w:val="20"/>
                <w:szCs w:val="20"/>
                <w:color w:val="auto"/>
              </w:rPr>
            </w:pPr>
            <w:r>
              <w:rPr>
                <w:rFonts w:ascii="Arial" w:cs="Arial" w:eastAsia="Arial" w:hAnsi="Arial"/>
                <w:sz w:val="14"/>
                <w:szCs w:val="14"/>
                <w:color w:val="auto"/>
              </w:rPr>
              <w:t>2007</w:t>
            </w:r>
          </w:p>
        </w:tc>
        <w:tc>
          <w:tcPr>
            <w:tcW w:w="680" w:type="dxa"/>
            <w:vAlign w:val="bottom"/>
          </w:tcPr>
          <w:p>
            <w:pPr>
              <w:spacing w:after="0"/>
              <w:rPr>
                <w:sz w:val="13"/>
                <w:szCs w:val="13"/>
                <w:color w:val="auto"/>
              </w:rPr>
            </w:pPr>
          </w:p>
        </w:tc>
        <w:tc>
          <w:tcPr>
            <w:tcW w:w="780" w:type="dxa"/>
            <w:vAlign w:val="bottom"/>
            <w:tcBorders>
              <w:bottom w:val="single" w:sz="8" w:color="auto"/>
            </w:tcBorders>
          </w:tcPr>
          <w:p>
            <w:pPr>
              <w:jc w:val="right"/>
              <w:ind w:right="152"/>
              <w:spacing w:after="0" w:line="157" w:lineRule="exact"/>
              <w:rPr>
                <w:sz w:val="20"/>
                <w:szCs w:val="20"/>
                <w:color w:val="auto"/>
              </w:rPr>
            </w:pPr>
            <w:r>
              <w:rPr>
                <w:rFonts w:ascii="Arial" w:cs="Arial" w:eastAsia="Arial" w:hAnsi="Arial"/>
                <w:sz w:val="14"/>
                <w:szCs w:val="14"/>
                <w:color w:val="auto"/>
              </w:rPr>
              <w:t>2006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Premiums earned</w:t>
            </w:r>
          </w:p>
        </w:tc>
        <w:tc>
          <w:tcPr>
            <w:tcW w:w="3260" w:type="dxa"/>
            <w:vAlign w:val="bottom"/>
            <w:gridSpan w:val="3"/>
            <w:shd w:val="clear" w:color="auto" w:fill="CCEEFF"/>
          </w:tcPr>
          <w:p>
            <w:pPr>
              <w:jc w:val="right"/>
              <w:ind w:right="680"/>
              <w:spacing w:after="0" w:line="196" w:lineRule="exact"/>
              <w:rPr>
                <w:sz w:val="20"/>
                <w:szCs w:val="20"/>
                <w:color w:val="auto"/>
              </w:rPr>
            </w:pPr>
            <w:r>
              <w:rPr>
                <w:rFonts w:ascii="Arial" w:cs="Arial" w:eastAsia="Arial" w:hAnsi="Arial"/>
                <w:sz w:val="18"/>
                <w:szCs w:val="18"/>
                <w:color w:val="auto"/>
              </w:rPr>
              <w:t>$889,551</w:t>
            </w:r>
          </w:p>
        </w:tc>
        <w:tc>
          <w:tcPr>
            <w:tcW w:w="8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$928,408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line="202" w:lineRule="exact"/>
              <w:rPr>
                <w:sz w:val="20"/>
                <w:szCs w:val="20"/>
                <w:color w:val="auto"/>
              </w:rPr>
            </w:pPr>
            <w:r>
              <w:rPr>
                <w:rFonts w:ascii="Arial" w:cs="Arial" w:eastAsia="Arial" w:hAnsi="Arial"/>
                <w:sz w:val="18"/>
                <w:szCs w:val="18"/>
                <w:color w:val="auto"/>
              </w:rPr>
              <w:t>Losses, loss adjustment expenses and other underwriting expenses*</w:t>
            </w:r>
          </w:p>
        </w:tc>
        <w:tc>
          <w:tcPr>
            <w:tcW w:w="1820" w:type="dxa"/>
            <w:vAlign w:val="bottom"/>
          </w:tcPr>
          <w:p>
            <w:pPr>
              <w:spacing w:after="0"/>
              <w:rPr>
                <w:sz w:val="17"/>
                <w:szCs w:val="17"/>
                <w:color w:val="auto"/>
              </w:rPr>
            </w:pPr>
          </w:p>
        </w:tc>
        <w:tc>
          <w:tcPr>
            <w:tcW w:w="14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794,427</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793,147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underwriting gain</w:t>
            </w:r>
          </w:p>
        </w:tc>
        <w:tc>
          <w:tcPr>
            <w:tcW w:w="18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b w:val="1"/>
                <w:bCs w:val="1"/>
                <w:color w:val="auto"/>
              </w:rPr>
              <w:t>95,124</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135,261</w:t>
            </w:r>
          </w:p>
        </w:tc>
        <w:tc>
          <w:tcPr>
            <w:tcW w:w="0" w:type="dxa"/>
            <w:vAlign w:val="bottom"/>
          </w:tcPr>
          <w:p>
            <w:pPr>
              <w:spacing w:after="0"/>
              <w:rPr>
                <w:sz w:val="1"/>
                <w:szCs w:val="1"/>
                <w:color w:val="auto"/>
              </w:rPr>
            </w:pPr>
          </w:p>
        </w:tc>
      </w:tr>
      <w:tr>
        <w:trPr>
          <w:trHeight w:val="20"/>
        </w:trPr>
        <w:tc>
          <w:tcPr>
            <w:tcW w:w="728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gridSpan w:val="2"/>
          </w:tcPr>
          <w:p>
            <w:pPr>
              <w:spacing w:after="0"/>
              <w:rPr>
                <w:sz w:val="20"/>
                <w:szCs w:val="20"/>
                <w:color w:val="auto"/>
              </w:rPr>
            </w:pPr>
            <w:r>
              <w:rPr>
                <w:rFonts w:ascii="Arial" w:cs="Arial" w:eastAsia="Arial" w:hAnsi="Arial"/>
                <w:sz w:val="18"/>
                <w:szCs w:val="18"/>
                <w:color w:val="auto"/>
              </w:rPr>
              <w:t>Total investment income</w:t>
            </w:r>
          </w:p>
        </w:tc>
        <w:tc>
          <w:tcPr>
            <w:tcW w:w="182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136,646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126,006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before federal income tax</w:t>
            </w:r>
          </w:p>
        </w:tc>
        <w:tc>
          <w:tcPr>
            <w:tcW w:w="3260" w:type="dxa"/>
            <w:vAlign w:val="bottom"/>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231,770</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261,267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line="202" w:lineRule="exact"/>
              <w:rPr>
                <w:sz w:val="20"/>
                <w:szCs w:val="20"/>
                <w:color w:val="auto"/>
              </w:rPr>
            </w:pPr>
            <w:r>
              <w:rPr>
                <w:rFonts w:ascii="Arial" w:cs="Arial" w:eastAsia="Arial" w:hAnsi="Arial"/>
                <w:sz w:val="18"/>
                <w:szCs w:val="18"/>
                <w:color w:val="auto"/>
              </w:rPr>
              <w:t>Federal income tax expense</w:t>
            </w:r>
          </w:p>
        </w:tc>
        <w:tc>
          <w:tcPr>
            <w:tcW w:w="1820" w:type="dxa"/>
            <w:vAlign w:val="bottom"/>
          </w:tcPr>
          <w:p>
            <w:pPr>
              <w:spacing w:after="0"/>
              <w:rPr>
                <w:sz w:val="17"/>
                <w:szCs w:val="17"/>
                <w:color w:val="auto"/>
              </w:rPr>
            </w:pPr>
          </w:p>
        </w:tc>
        <w:tc>
          <w:tcPr>
            <w:tcW w:w="14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71,992</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89,020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w:t>
            </w:r>
          </w:p>
        </w:tc>
        <w:tc>
          <w:tcPr>
            <w:tcW w:w="3260" w:type="dxa"/>
            <w:vAlign w:val="bottom"/>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159,778</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172,247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5620" w:right="5240" w:hanging="5612"/>
        <w:spacing w:after="0" w:line="365"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Includes management fees paid or accrued as payable to the Company.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315595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NOTE 12 – VARIABLE INTEREST ENTITY (Continued)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Erie Insurance Exchange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Statutory Statements of Financial Position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4"/>
          </w:tcPr>
          <w:p>
            <w:pPr>
              <w:jc w:val="right"/>
              <w:ind w:right="1180"/>
              <w:spacing w:after="0"/>
              <w:rPr>
                <w:sz w:val="20"/>
                <w:szCs w:val="20"/>
                <w:color w:val="auto"/>
              </w:rPr>
            </w:pPr>
            <w:r>
              <w:rPr>
                <w:rFonts w:ascii="Arial" w:cs="Arial" w:eastAsia="Arial" w:hAnsi="Arial"/>
                <w:sz w:val="14"/>
                <w:szCs w:val="14"/>
                <w:color w:val="auto"/>
              </w:rPr>
              <w:t>As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80" w:type="dxa"/>
            <w:vAlign w:val="bottom"/>
            <w:gridSpan w:val="4"/>
          </w:tcPr>
          <w:p>
            <w:pPr>
              <w:jc w:val="center"/>
              <w:ind w:right="88"/>
              <w:spacing w:after="0"/>
              <w:rPr>
                <w:sz w:val="20"/>
                <w:szCs w:val="20"/>
                <w:color w:val="auto"/>
              </w:rPr>
            </w:pPr>
            <w:r>
              <w:rPr>
                <w:rFonts w:ascii="Arial" w:cs="Arial" w:eastAsia="Arial" w:hAnsi="Arial"/>
                <w:sz w:val="14"/>
                <w:szCs w:val="14"/>
                <w:color w:val="auto"/>
              </w:rPr>
              <w:t>March 31,</w:t>
            </w:r>
          </w:p>
        </w:tc>
        <w:tc>
          <w:tcPr>
            <w:tcW w:w="500" w:type="dxa"/>
            <w:vAlign w:val="bottom"/>
          </w:tcPr>
          <w:p>
            <w:pPr>
              <w:spacing w:after="0"/>
              <w:rPr>
                <w:sz w:val="14"/>
                <w:szCs w:val="14"/>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57"/>
        </w:trPr>
        <w:tc>
          <w:tcPr>
            <w:tcW w:w="506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3760" w:type="dxa"/>
            <w:vAlign w:val="bottom"/>
          </w:tcPr>
          <w:p>
            <w:pPr>
              <w:spacing w:after="0"/>
              <w:rPr>
                <w:sz w:val="13"/>
                <w:szCs w:val="13"/>
                <w:color w:val="auto"/>
              </w:rPr>
            </w:pPr>
          </w:p>
        </w:tc>
        <w:tc>
          <w:tcPr>
            <w:tcW w:w="920" w:type="dxa"/>
            <w:vAlign w:val="bottom"/>
            <w:tcBorders>
              <w:bottom w:val="single" w:sz="8" w:color="auto"/>
            </w:tcBorders>
            <w:gridSpan w:val="2"/>
          </w:tcPr>
          <w:p>
            <w:pPr>
              <w:jc w:val="right"/>
              <w:ind w:right="213"/>
              <w:spacing w:after="0" w:line="157" w:lineRule="exact"/>
              <w:rPr>
                <w:sz w:val="20"/>
                <w:szCs w:val="20"/>
                <w:color w:val="auto"/>
              </w:rPr>
            </w:pPr>
            <w:r>
              <w:rPr>
                <w:rFonts w:ascii="Arial" w:cs="Arial" w:eastAsia="Arial" w:hAnsi="Arial"/>
                <w:sz w:val="14"/>
                <w:szCs w:val="14"/>
                <w:color w:val="auto"/>
              </w:rPr>
              <w:t>2007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Borders>
              <w:bottom w:val="single" w:sz="8" w:color="auto"/>
            </w:tcBorders>
            <w:gridSpan w:val="2"/>
          </w:tcPr>
          <w:p>
            <w:pPr>
              <w:jc w:val="right"/>
              <w:ind w:right="210"/>
              <w:spacing w:after="0" w:line="157" w:lineRule="exact"/>
              <w:rPr>
                <w:sz w:val="20"/>
                <w:szCs w:val="20"/>
                <w:color w:val="auto"/>
              </w:rPr>
            </w:pPr>
            <w:r>
              <w:rPr>
                <w:rFonts w:ascii="Arial" w:cs="Arial" w:eastAsia="Arial" w:hAnsi="Arial"/>
                <w:sz w:val="14"/>
                <w:szCs w:val="14"/>
                <w:color w:val="auto"/>
              </w:rPr>
              <w:t>2006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Fixed maturities</w:t>
            </w:r>
          </w:p>
        </w:tc>
        <w:tc>
          <w:tcPr>
            <w:tcW w:w="4760" w:type="dxa"/>
            <w:vAlign w:val="bottom"/>
            <w:gridSpan w:val="4"/>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$4,396,413</w:t>
            </w:r>
          </w:p>
        </w:tc>
        <w:tc>
          <w:tcPr>
            <w:tcW w:w="80" w:type="dxa"/>
            <w:vAlign w:val="bottom"/>
            <w:shd w:val="clear" w:color="auto" w:fill="CCEEFF"/>
          </w:tcPr>
          <w:p>
            <w:pPr>
              <w:spacing w:after="0"/>
              <w:rPr>
                <w:sz w:val="17"/>
                <w:szCs w:val="17"/>
                <w:color w:val="auto"/>
              </w:rPr>
            </w:pPr>
          </w:p>
        </w:tc>
        <w:tc>
          <w:tcPr>
            <w:tcW w:w="1520" w:type="dxa"/>
            <w:vAlign w:val="bottom"/>
            <w:gridSpan w:val="4"/>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$4,376,322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spacing w:after="0" w:line="202" w:lineRule="exact"/>
              <w:rPr>
                <w:sz w:val="20"/>
                <w:szCs w:val="20"/>
                <w:color w:val="auto"/>
              </w:rPr>
            </w:pPr>
            <w:r>
              <w:rPr>
                <w:rFonts w:ascii="Arial" w:cs="Arial" w:eastAsia="Arial" w:hAnsi="Arial"/>
                <w:sz w:val="18"/>
                <w:szCs w:val="18"/>
                <w:color w:val="auto"/>
              </w:rPr>
              <w:t>Equity securities</w:t>
            </w:r>
          </w:p>
        </w:tc>
        <w:tc>
          <w:tcPr>
            <w:tcW w:w="476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2,899,197</w:t>
            </w:r>
          </w:p>
        </w:tc>
        <w:tc>
          <w:tcPr>
            <w:tcW w:w="80" w:type="dxa"/>
            <w:vAlign w:val="bottom"/>
          </w:tcPr>
          <w:p>
            <w:pPr>
              <w:spacing w:after="0"/>
              <w:rPr>
                <w:sz w:val="17"/>
                <w:szCs w:val="17"/>
                <w:color w:val="auto"/>
              </w:rPr>
            </w:pPr>
          </w:p>
        </w:tc>
        <w:tc>
          <w:tcPr>
            <w:tcW w:w="152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2,855,044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Alternative investments</w:t>
            </w:r>
          </w:p>
        </w:tc>
        <w:tc>
          <w:tcPr>
            <w:tcW w:w="476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1,204,669</w:t>
            </w:r>
          </w:p>
        </w:tc>
        <w:tc>
          <w:tcPr>
            <w:tcW w:w="80" w:type="dxa"/>
            <w:vAlign w:val="bottom"/>
            <w:shd w:val="clear" w:color="auto" w:fill="CCEEFF"/>
          </w:tcPr>
          <w:p>
            <w:pPr>
              <w:spacing w:after="0"/>
              <w:rPr>
                <w:sz w:val="17"/>
                <w:szCs w:val="17"/>
                <w:color w:val="auto"/>
              </w:rPr>
            </w:pPr>
          </w:p>
        </w:tc>
        <w:tc>
          <w:tcPr>
            <w:tcW w:w="152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1,120,674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spacing w:after="0" w:line="202" w:lineRule="exact"/>
              <w:rPr>
                <w:sz w:val="20"/>
                <w:szCs w:val="20"/>
                <w:color w:val="auto"/>
              </w:rPr>
            </w:pPr>
            <w:r>
              <w:rPr>
                <w:rFonts w:ascii="Arial" w:cs="Arial" w:eastAsia="Arial" w:hAnsi="Arial"/>
                <w:sz w:val="18"/>
                <w:szCs w:val="18"/>
                <w:color w:val="auto"/>
              </w:rPr>
              <w:t>Other invested assets</w:t>
            </w:r>
          </w:p>
        </w:tc>
        <w:tc>
          <w:tcPr>
            <w:tcW w:w="3760" w:type="dxa"/>
            <w:vAlign w:val="bottom"/>
          </w:tcPr>
          <w:p>
            <w:pPr>
              <w:spacing w:after="0"/>
              <w:rPr>
                <w:sz w:val="17"/>
                <w:szCs w:val="17"/>
                <w:color w:val="auto"/>
              </w:rPr>
            </w:pPr>
          </w:p>
        </w:tc>
        <w:tc>
          <w:tcPr>
            <w:tcW w:w="10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155,281</w:t>
            </w:r>
          </w:p>
        </w:tc>
        <w:tc>
          <w:tcPr>
            <w:tcW w:w="80" w:type="dxa"/>
            <w:vAlign w:val="bottom"/>
          </w:tcPr>
          <w:p>
            <w:pPr>
              <w:spacing w:after="0"/>
              <w:rPr>
                <w:sz w:val="17"/>
                <w:szCs w:val="17"/>
                <w:color w:val="auto"/>
              </w:rPr>
            </w:pPr>
          </w:p>
        </w:tc>
        <w:tc>
          <w:tcPr>
            <w:tcW w:w="152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142,615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invested assets</w:t>
            </w:r>
          </w:p>
        </w:tc>
        <w:tc>
          <w:tcPr>
            <w:tcW w:w="37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8,655,560</w:t>
            </w:r>
          </w:p>
        </w:tc>
        <w:tc>
          <w:tcPr>
            <w:tcW w:w="80" w:type="dxa"/>
            <w:vAlign w:val="bottom"/>
            <w:shd w:val="clear" w:color="auto" w:fill="CCEEFF"/>
          </w:tcPr>
          <w:p>
            <w:pPr>
              <w:spacing w:after="0"/>
              <w:rPr>
                <w:sz w:val="17"/>
                <w:szCs w:val="17"/>
                <w:color w:val="auto"/>
              </w:rPr>
            </w:pPr>
          </w:p>
        </w:tc>
        <w:tc>
          <w:tcPr>
            <w:tcW w:w="152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8,494,655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3760" w:type="dxa"/>
            <w:vAlign w:val="bottom"/>
          </w:tcPr>
          <w:p>
            <w:pPr>
              <w:spacing w:after="0"/>
              <w:rPr>
                <w:sz w:val="17"/>
                <w:szCs w:val="17"/>
                <w:color w:val="auto"/>
              </w:rPr>
            </w:pPr>
          </w:p>
        </w:tc>
        <w:tc>
          <w:tcPr>
            <w:tcW w:w="10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1,024,599</w:t>
            </w:r>
          </w:p>
        </w:tc>
        <w:tc>
          <w:tcPr>
            <w:tcW w:w="80" w:type="dxa"/>
            <w:vAlign w:val="bottom"/>
          </w:tcPr>
          <w:p>
            <w:pPr>
              <w:spacing w:after="0"/>
              <w:rPr>
                <w:sz w:val="17"/>
                <w:szCs w:val="17"/>
                <w:color w:val="auto"/>
              </w:rPr>
            </w:pPr>
          </w:p>
        </w:tc>
        <w:tc>
          <w:tcPr>
            <w:tcW w:w="152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1,021,489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b w:val="1"/>
                <w:bCs w:val="1"/>
                <w:color w:val="auto"/>
              </w:rPr>
              <w:t>Total assets</w:t>
            </w:r>
          </w:p>
        </w:tc>
        <w:tc>
          <w:tcPr>
            <w:tcW w:w="37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u w:val="single" w:color="auto"/>
                <w:color w:val="auto"/>
                <w:w w:val="99"/>
              </w:rPr>
              <w:t>$</w:t>
            </w:r>
            <w:r>
              <w:rPr>
                <w:rFonts w:ascii="Arial" w:cs="Arial" w:eastAsia="Arial" w:hAnsi="Arial"/>
                <w:sz w:val="18"/>
                <w:szCs w:val="18"/>
                <w:b w:val="1"/>
                <w:bCs w:val="1"/>
                <w:color w:val="auto"/>
                <w:w w:val="99"/>
              </w:rPr>
              <w:t>9,680,159</w:t>
            </w:r>
          </w:p>
        </w:tc>
        <w:tc>
          <w:tcPr>
            <w:tcW w:w="80" w:type="dxa"/>
            <w:vAlign w:val="bottom"/>
            <w:shd w:val="clear" w:color="auto" w:fill="CCEEFF"/>
          </w:tcPr>
          <w:p>
            <w:pPr>
              <w:spacing w:after="0"/>
              <w:rPr>
                <w:sz w:val="17"/>
                <w:szCs w:val="17"/>
                <w:color w:val="auto"/>
              </w:rPr>
            </w:pPr>
          </w:p>
        </w:tc>
        <w:tc>
          <w:tcPr>
            <w:tcW w:w="152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9,516,144</w:t>
            </w:r>
          </w:p>
        </w:tc>
        <w:tc>
          <w:tcPr>
            <w:tcW w:w="0" w:type="dxa"/>
            <w:vAlign w:val="bottom"/>
          </w:tcPr>
          <w:p>
            <w:pPr>
              <w:spacing w:after="0"/>
              <w:rPr>
                <w:sz w:val="1"/>
                <w:szCs w:val="1"/>
                <w:color w:val="auto"/>
              </w:rPr>
            </w:pPr>
          </w:p>
        </w:tc>
      </w:tr>
      <w:tr>
        <w:trPr>
          <w:trHeight w:val="20"/>
        </w:trPr>
        <w:tc>
          <w:tcPr>
            <w:tcW w:w="506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60" w:type="dxa"/>
            <w:vAlign w:val="bottom"/>
            <w:gridSpan w:val="2"/>
          </w:tcPr>
          <w:p>
            <w:pPr>
              <w:spacing w:after="0" w:line="196" w:lineRule="exact"/>
              <w:rPr>
                <w:sz w:val="20"/>
                <w:szCs w:val="20"/>
                <w:color w:val="auto"/>
              </w:rPr>
            </w:pPr>
            <w:r>
              <w:rPr>
                <w:rFonts w:ascii="Arial" w:cs="Arial" w:eastAsia="Arial" w:hAnsi="Arial"/>
                <w:sz w:val="18"/>
                <w:szCs w:val="18"/>
                <w:color w:val="auto"/>
              </w:rPr>
              <w:t>Loss and loss adjustment expense reserves</w:t>
            </w:r>
          </w:p>
        </w:tc>
        <w:tc>
          <w:tcPr>
            <w:tcW w:w="4760" w:type="dxa"/>
            <w:vAlign w:val="bottom"/>
            <w:gridSpan w:val="4"/>
          </w:tcPr>
          <w:p>
            <w:pPr>
              <w:jc w:val="right"/>
              <w:ind w:right="80"/>
              <w:spacing w:after="0" w:line="196" w:lineRule="exact"/>
              <w:rPr>
                <w:sz w:val="20"/>
                <w:szCs w:val="20"/>
                <w:color w:val="auto"/>
              </w:rPr>
            </w:pPr>
            <w:r>
              <w:rPr>
                <w:rFonts w:ascii="Arial" w:cs="Arial" w:eastAsia="Arial" w:hAnsi="Arial"/>
                <w:sz w:val="18"/>
                <w:szCs w:val="18"/>
                <w:color w:val="auto"/>
              </w:rPr>
              <w:t>3,509,787</w:t>
            </w:r>
          </w:p>
        </w:tc>
        <w:tc>
          <w:tcPr>
            <w:tcW w:w="80" w:type="dxa"/>
            <w:vAlign w:val="bottom"/>
          </w:tcPr>
          <w:p>
            <w:pPr>
              <w:spacing w:after="0"/>
              <w:rPr>
                <w:sz w:val="17"/>
                <w:szCs w:val="17"/>
                <w:color w:val="auto"/>
              </w:rPr>
            </w:pPr>
          </w:p>
        </w:tc>
        <w:tc>
          <w:tcPr>
            <w:tcW w:w="1520" w:type="dxa"/>
            <w:vAlign w:val="bottom"/>
            <w:gridSpan w:val="4"/>
          </w:tcPr>
          <w:p>
            <w:pPr>
              <w:jc w:val="right"/>
              <w:ind w:right="100"/>
              <w:spacing w:after="0" w:line="196" w:lineRule="exact"/>
              <w:rPr>
                <w:sz w:val="20"/>
                <w:szCs w:val="20"/>
                <w:color w:val="auto"/>
              </w:rPr>
            </w:pPr>
            <w:r>
              <w:rPr>
                <w:rFonts w:ascii="Arial" w:cs="Arial" w:eastAsia="Arial" w:hAnsi="Arial"/>
                <w:sz w:val="18"/>
                <w:szCs w:val="18"/>
                <w:color w:val="auto"/>
              </w:rPr>
              <w:t>3,562,682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Unearned premium reserves</w:t>
            </w:r>
          </w:p>
        </w:tc>
        <w:tc>
          <w:tcPr>
            <w:tcW w:w="476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1,421,788</w:t>
            </w:r>
          </w:p>
        </w:tc>
        <w:tc>
          <w:tcPr>
            <w:tcW w:w="80" w:type="dxa"/>
            <w:vAlign w:val="bottom"/>
            <w:shd w:val="clear" w:color="auto" w:fill="CCEEFF"/>
          </w:tcPr>
          <w:p>
            <w:pPr>
              <w:spacing w:after="0"/>
              <w:rPr>
                <w:sz w:val="17"/>
                <w:szCs w:val="17"/>
                <w:color w:val="auto"/>
              </w:rPr>
            </w:pPr>
          </w:p>
        </w:tc>
        <w:tc>
          <w:tcPr>
            <w:tcW w:w="152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1,430,683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spacing w:after="0" w:line="202" w:lineRule="exact"/>
              <w:rPr>
                <w:sz w:val="20"/>
                <w:szCs w:val="20"/>
                <w:color w:val="auto"/>
              </w:rPr>
            </w:pPr>
            <w:r>
              <w:rPr>
                <w:rFonts w:ascii="Arial" w:cs="Arial" w:eastAsia="Arial" w:hAnsi="Arial"/>
                <w:sz w:val="18"/>
                <w:szCs w:val="18"/>
                <w:color w:val="auto"/>
              </w:rPr>
              <w:t>Accrued liabilities</w:t>
            </w:r>
          </w:p>
        </w:tc>
        <w:tc>
          <w:tcPr>
            <w:tcW w:w="3760" w:type="dxa"/>
            <w:vAlign w:val="bottom"/>
          </w:tcPr>
          <w:p>
            <w:pPr>
              <w:spacing w:after="0"/>
              <w:rPr>
                <w:sz w:val="17"/>
                <w:szCs w:val="17"/>
                <w:color w:val="auto"/>
              </w:rPr>
            </w:pPr>
          </w:p>
        </w:tc>
        <w:tc>
          <w:tcPr>
            <w:tcW w:w="10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495,048</w:t>
            </w:r>
          </w:p>
        </w:tc>
        <w:tc>
          <w:tcPr>
            <w:tcW w:w="80" w:type="dxa"/>
            <w:vAlign w:val="bottom"/>
          </w:tcPr>
          <w:p>
            <w:pPr>
              <w:spacing w:after="0"/>
              <w:rPr>
                <w:sz w:val="17"/>
                <w:szCs w:val="17"/>
                <w:color w:val="auto"/>
              </w:rPr>
            </w:pPr>
          </w:p>
        </w:tc>
        <w:tc>
          <w:tcPr>
            <w:tcW w:w="152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435,683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liabilities</w:t>
            </w:r>
          </w:p>
        </w:tc>
        <w:tc>
          <w:tcPr>
            <w:tcW w:w="37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5,426,623</w:t>
            </w:r>
          </w:p>
        </w:tc>
        <w:tc>
          <w:tcPr>
            <w:tcW w:w="80" w:type="dxa"/>
            <w:vAlign w:val="bottom"/>
            <w:shd w:val="clear" w:color="auto" w:fill="CCEEFF"/>
          </w:tcPr>
          <w:p>
            <w:pPr>
              <w:spacing w:after="0"/>
              <w:rPr>
                <w:sz w:val="17"/>
                <w:szCs w:val="17"/>
                <w:color w:val="auto"/>
              </w:rPr>
            </w:pPr>
          </w:p>
        </w:tc>
        <w:tc>
          <w:tcPr>
            <w:tcW w:w="152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5,429,048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ind w:left="200"/>
              <w:spacing w:after="0" w:line="202" w:lineRule="exact"/>
              <w:rPr>
                <w:sz w:val="20"/>
                <w:szCs w:val="20"/>
                <w:color w:val="auto"/>
              </w:rPr>
            </w:pPr>
            <w:r>
              <w:rPr>
                <w:rFonts w:ascii="Arial" w:cs="Arial" w:eastAsia="Arial" w:hAnsi="Arial"/>
                <w:sz w:val="18"/>
                <w:szCs w:val="18"/>
                <w:color w:val="auto"/>
              </w:rPr>
              <w:t>Total policyholders’ surplus</w:t>
            </w:r>
          </w:p>
        </w:tc>
        <w:tc>
          <w:tcPr>
            <w:tcW w:w="3760" w:type="dxa"/>
            <w:vAlign w:val="bottom"/>
          </w:tcPr>
          <w:p>
            <w:pPr>
              <w:spacing w:after="0"/>
              <w:rPr>
                <w:sz w:val="17"/>
                <w:szCs w:val="17"/>
                <w:color w:val="auto"/>
              </w:rPr>
            </w:pPr>
          </w:p>
        </w:tc>
        <w:tc>
          <w:tcPr>
            <w:tcW w:w="10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4,253,536</w:t>
            </w:r>
          </w:p>
        </w:tc>
        <w:tc>
          <w:tcPr>
            <w:tcW w:w="80" w:type="dxa"/>
            <w:vAlign w:val="bottom"/>
          </w:tcPr>
          <w:p>
            <w:pPr>
              <w:spacing w:after="0"/>
              <w:rPr>
                <w:sz w:val="17"/>
                <w:szCs w:val="17"/>
                <w:color w:val="auto"/>
              </w:rPr>
            </w:pPr>
          </w:p>
        </w:tc>
        <w:tc>
          <w:tcPr>
            <w:tcW w:w="152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4,087,096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b w:val="1"/>
                <w:bCs w:val="1"/>
                <w:color w:val="auto"/>
              </w:rPr>
              <w:t>Total liabilities and policyholders’ surplus</w:t>
            </w:r>
          </w:p>
        </w:tc>
        <w:tc>
          <w:tcPr>
            <w:tcW w:w="37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u w:val="single" w:color="auto"/>
                <w:color w:val="auto"/>
                <w:w w:val="99"/>
              </w:rPr>
              <w:t>$</w:t>
            </w:r>
            <w:r>
              <w:rPr>
                <w:rFonts w:ascii="Arial" w:cs="Arial" w:eastAsia="Arial" w:hAnsi="Arial"/>
                <w:sz w:val="18"/>
                <w:szCs w:val="18"/>
                <w:b w:val="1"/>
                <w:bCs w:val="1"/>
                <w:color w:val="auto"/>
                <w:w w:val="99"/>
              </w:rPr>
              <w:t>9,680,159</w:t>
            </w:r>
          </w:p>
        </w:tc>
        <w:tc>
          <w:tcPr>
            <w:tcW w:w="80" w:type="dxa"/>
            <w:vAlign w:val="bottom"/>
            <w:shd w:val="clear" w:color="auto" w:fill="CCEEFF"/>
          </w:tcPr>
          <w:p>
            <w:pPr>
              <w:spacing w:after="0"/>
              <w:rPr>
                <w:sz w:val="17"/>
                <w:szCs w:val="17"/>
                <w:color w:val="auto"/>
              </w:rPr>
            </w:pPr>
          </w:p>
        </w:tc>
        <w:tc>
          <w:tcPr>
            <w:tcW w:w="152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9,516,144</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Erie Insurance Exchange</w:t>
            </w:r>
          </w:p>
        </w:tc>
        <w:tc>
          <w:tcPr>
            <w:tcW w:w="3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5060" w:type="dxa"/>
            <w:vAlign w:val="bottom"/>
            <w:gridSpan w:val="2"/>
            <w:vMerge w:val="continue"/>
          </w:tcPr>
          <w:p>
            <w:pPr>
              <w:spacing w:after="0"/>
              <w:rPr>
                <w:sz w:val="24"/>
                <w:szCs w:val="24"/>
                <w:color w:val="auto"/>
              </w:rPr>
            </w:pPr>
          </w:p>
        </w:tc>
        <w:tc>
          <w:tcPr>
            <w:tcW w:w="3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Condensed Statutory Statements of Cash Flows</w:t>
            </w:r>
          </w:p>
        </w:tc>
        <w:tc>
          <w:tcPr>
            <w:tcW w:w="3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7"/>
          </w:tcPr>
          <w:p>
            <w:pPr>
              <w:jc w:val="right"/>
              <w:ind w:right="60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right"/>
              <w:ind w:right="940"/>
              <w:spacing w:after="0"/>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57"/>
        </w:trPr>
        <w:tc>
          <w:tcPr>
            <w:tcW w:w="506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4680" w:type="dxa"/>
            <w:vAlign w:val="bottom"/>
            <w:gridSpan w:val="3"/>
          </w:tcPr>
          <w:p>
            <w:pPr>
              <w:jc w:val="right"/>
              <w:ind w:right="73"/>
              <w:spacing w:after="0" w:line="157" w:lineRule="exact"/>
              <w:rPr>
                <w:sz w:val="20"/>
                <w:szCs w:val="20"/>
                <w:color w:val="auto"/>
              </w:rPr>
            </w:pPr>
            <w:r>
              <w:rPr>
                <w:rFonts w:ascii="Arial" w:cs="Arial" w:eastAsia="Arial" w:hAnsi="Arial"/>
                <w:sz w:val="14"/>
                <w:szCs w:val="14"/>
                <w:color w:val="auto"/>
              </w:rPr>
              <w:t>2007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3"/>
          </w:tcPr>
          <w:p>
            <w:pPr>
              <w:jc w:val="right"/>
              <w:ind w:right="170"/>
              <w:spacing w:after="0" w:line="157" w:lineRule="exact"/>
              <w:rPr>
                <w:sz w:val="20"/>
                <w:szCs w:val="20"/>
                <w:color w:val="auto"/>
              </w:rPr>
            </w:pPr>
            <w:r>
              <w:rPr>
                <w:rFonts w:ascii="Arial" w:cs="Arial" w:eastAsia="Arial" w:hAnsi="Arial"/>
                <w:sz w:val="14"/>
                <w:szCs w:val="14"/>
                <w:color w:val="auto"/>
              </w:rPr>
              <w:t>2006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ind w:left="200"/>
              <w:spacing w:after="0" w:line="202" w:lineRule="exact"/>
              <w:rPr>
                <w:sz w:val="20"/>
                <w:szCs w:val="20"/>
                <w:color w:val="auto"/>
              </w:rPr>
            </w:pPr>
            <w:r>
              <w:rPr>
                <w:rFonts w:ascii="Arial" w:cs="Arial" w:eastAsia="Arial" w:hAnsi="Arial"/>
                <w:sz w:val="18"/>
                <w:szCs w:val="18"/>
                <w:color w:val="auto"/>
              </w:rPr>
              <w:t>Premiums collected net of reinsurance</w:t>
            </w:r>
          </w:p>
        </w:tc>
        <w:tc>
          <w:tcPr>
            <w:tcW w:w="4840" w:type="dxa"/>
            <w:vAlign w:val="bottom"/>
            <w:gridSpan w:val="5"/>
          </w:tcPr>
          <w:p>
            <w:pPr>
              <w:jc w:val="right"/>
              <w:ind w:right="8"/>
              <w:spacing w:after="0" w:line="202" w:lineRule="exact"/>
              <w:rPr>
                <w:sz w:val="20"/>
                <w:szCs w:val="20"/>
                <w:color w:val="auto"/>
              </w:rPr>
            </w:pPr>
            <w:r>
              <w:rPr>
                <w:rFonts w:ascii="Arial" w:cs="Arial" w:eastAsia="Arial" w:hAnsi="Arial"/>
                <w:sz w:val="18"/>
                <w:szCs w:val="18"/>
                <w:color w:val="auto"/>
              </w:rPr>
              <w:t>$ 881,697</w:t>
            </w:r>
          </w:p>
        </w:tc>
        <w:tc>
          <w:tcPr>
            <w:tcW w:w="152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$ 902,662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Losses and loss adjustment expenses paid</w:t>
            </w:r>
          </w:p>
        </w:tc>
        <w:tc>
          <w:tcPr>
            <w:tcW w:w="484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(498,225)</w:t>
            </w:r>
          </w:p>
        </w:tc>
        <w:tc>
          <w:tcPr>
            <w:tcW w:w="152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(480,245)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ind w:left="200"/>
              <w:spacing w:after="0" w:line="202" w:lineRule="exact"/>
              <w:rPr>
                <w:sz w:val="20"/>
                <w:szCs w:val="20"/>
                <w:color w:val="auto"/>
              </w:rPr>
            </w:pPr>
            <w:r>
              <w:rPr>
                <w:rFonts w:ascii="Arial" w:cs="Arial" w:eastAsia="Arial" w:hAnsi="Arial"/>
                <w:sz w:val="18"/>
                <w:szCs w:val="18"/>
                <w:color w:val="auto"/>
              </w:rPr>
              <w:t>Management fee and expenses paid</w:t>
            </w:r>
          </w:p>
        </w:tc>
        <w:tc>
          <w:tcPr>
            <w:tcW w:w="484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(343,701)</w:t>
            </w:r>
          </w:p>
        </w:tc>
        <w:tc>
          <w:tcPr>
            <w:tcW w:w="15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(356,085)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investment income received</w:t>
            </w:r>
          </w:p>
        </w:tc>
        <w:tc>
          <w:tcPr>
            <w:tcW w:w="4840" w:type="dxa"/>
            <w:vAlign w:val="bottom"/>
            <w:gridSpan w:val="5"/>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100,354</w:t>
            </w:r>
          </w:p>
        </w:tc>
        <w:tc>
          <w:tcPr>
            <w:tcW w:w="152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81,496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ind w:left="200"/>
              <w:spacing w:after="0" w:line="202" w:lineRule="exact"/>
              <w:rPr>
                <w:sz w:val="20"/>
                <w:szCs w:val="20"/>
                <w:color w:val="auto"/>
              </w:rPr>
            </w:pPr>
            <w:r>
              <w:rPr>
                <w:rFonts w:ascii="Arial" w:cs="Arial" w:eastAsia="Arial" w:hAnsi="Arial"/>
                <w:sz w:val="18"/>
                <w:szCs w:val="18"/>
                <w:color w:val="auto"/>
              </w:rPr>
              <w:t>Federal income taxes and other expenses recovered</w:t>
            </w:r>
          </w:p>
        </w:tc>
        <w:tc>
          <w:tcPr>
            <w:tcW w:w="3940" w:type="dxa"/>
            <w:vAlign w:val="bottom"/>
            <w:gridSpan w:val="2"/>
          </w:tcPr>
          <w:p>
            <w:pPr>
              <w:spacing w:after="0"/>
              <w:rPr>
                <w:sz w:val="17"/>
                <w:szCs w:val="17"/>
                <w:color w:val="auto"/>
              </w:rPr>
            </w:pPr>
          </w:p>
        </w:tc>
        <w:tc>
          <w:tcPr>
            <w:tcW w:w="9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(38,388)</w:t>
            </w:r>
          </w:p>
        </w:tc>
        <w:tc>
          <w:tcPr>
            <w:tcW w:w="152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46,773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b w:val="1"/>
                <w:bCs w:val="1"/>
                <w:color w:val="auto"/>
              </w:rPr>
              <w:t>Net cash provided by operating activities</w:t>
            </w:r>
          </w:p>
        </w:tc>
        <w:tc>
          <w:tcPr>
            <w:tcW w:w="3940" w:type="dxa"/>
            <w:vAlign w:val="bottom"/>
            <w:gridSpan w:val="2"/>
            <w:shd w:val="clear" w:color="auto" w:fill="CCEEFF"/>
          </w:tcPr>
          <w:p>
            <w:pPr>
              <w:spacing w:after="0"/>
              <w:rPr>
                <w:sz w:val="17"/>
                <w:szCs w:val="17"/>
                <w:color w:val="auto"/>
              </w:rPr>
            </w:pPr>
          </w:p>
        </w:tc>
        <w:tc>
          <w:tcPr>
            <w:tcW w:w="900" w:type="dxa"/>
            <w:vAlign w:val="bottom"/>
            <w:gridSpan w:val="3"/>
            <w:shd w:val="clear" w:color="auto" w:fill="CCEEFF"/>
          </w:tcPr>
          <w:p>
            <w:pPr>
              <w:jc w:val="right"/>
              <w:ind w:right="8"/>
              <w:spacing w:after="0" w:line="202" w:lineRule="exact"/>
              <w:rPr>
                <w:sz w:val="20"/>
                <w:szCs w:val="20"/>
                <w:color w:val="auto"/>
              </w:rPr>
            </w:pPr>
            <w:r>
              <w:rPr>
                <w:rFonts w:ascii="Arial" w:cs="Arial" w:eastAsia="Arial" w:hAnsi="Arial"/>
                <w:sz w:val="18"/>
                <w:szCs w:val="18"/>
                <w:b w:val="1"/>
                <w:bCs w:val="1"/>
                <w:color w:val="auto"/>
              </w:rPr>
              <w:t>101,737</w:t>
            </w:r>
          </w:p>
        </w:tc>
        <w:tc>
          <w:tcPr>
            <w:tcW w:w="152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194,601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040" w:type="dxa"/>
            <w:vAlign w:val="bottom"/>
          </w:tcPr>
          <w:p>
            <w:pPr>
              <w:ind w:left="200"/>
              <w:spacing w:after="0"/>
              <w:rPr>
                <w:sz w:val="20"/>
                <w:szCs w:val="20"/>
                <w:color w:val="auto"/>
              </w:rPr>
            </w:pPr>
            <w:r>
              <w:rPr>
                <w:rFonts w:ascii="Arial" w:cs="Arial" w:eastAsia="Arial" w:hAnsi="Arial"/>
                <w:sz w:val="18"/>
                <w:szCs w:val="18"/>
                <w:b w:val="1"/>
                <w:bCs w:val="1"/>
                <w:color w:val="auto"/>
              </w:rPr>
              <w:t>Net cash used in investing activities</w:t>
            </w:r>
          </w:p>
        </w:tc>
        <w:tc>
          <w:tcPr>
            <w:tcW w:w="3940" w:type="dxa"/>
            <w:vAlign w:val="bottom"/>
            <w:gridSpan w:val="2"/>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rPr>
              <w:t>(73,835)</w:t>
            </w:r>
          </w:p>
        </w:tc>
        <w:tc>
          <w:tcPr>
            <w:tcW w:w="15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(74,441)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b w:val="1"/>
                <w:bCs w:val="1"/>
                <w:color w:val="auto"/>
              </w:rPr>
              <w:t>Net cash (used in) provided by financing activities</w:t>
            </w:r>
          </w:p>
        </w:tc>
        <w:tc>
          <w:tcPr>
            <w:tcW w:w="3940" w:type="dxa"/>
            <w:vAlign w:val="bottom"/>
            <w:gridSpan w:val="2"/>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(15,785)</w:t>
            </w:r>
          </w:p>
        </w:tc>
        <w:tc>
          <w:tcPr>
            <w:tcW w:w="152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56,789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Net increase in cash and cash equivalents</w:t>
            </w:r>
          </w:p>
        </w:tc>
        <w:tc>
          <w:tcPr>
            <w:tcW w:w="3940" w:type="dxa"/>
            <w:vAlign w:val="bottom"/>
            <w:gridSpan w:val="2"/>
          </w:tcPr>
          <w:p>
            <w:pPr>
              <w:spacing w:after="0"/>
              <w:rPr>
                <w:sz w:val="18"/>
                <w:szCs w:val="18"/>
                <w:color w:val="auto"/>
              </w:rPr>
            </w:pPr>
          </w:p>
        </w:tc>
        <w:tc>
          <w:tcPr>
            <w:tcW w:w="900" w:type="dxa"/>
            <w:vAlign w:val="bottom"/>
            <w:gridSpan w:val="3"/>
          </w:tcPr>
          <w:p>
            <w:pPr>
              <w:jc w:val="right"/>
              <w:ind w:right="8"/>
              <w:spacing w:after="0"/>
              <w:rPr>
                <w:sz w:val="20"/>
                <w:szCs w:val="20"/>
                <w:color w:val="auto"/>
              </w:rPr>
            </w:pPr>
            <w:r>
              <w:rPr>
                <w:rFonts w:ascii="Arial" w:cs="Arial" w:eastAsia="Arial" w:hAnsi="Arial"/>
                <w:sz w:val="18"/>
                <w:szCs w:val="18"/>
                <w:color w:val="auto"/>
              </w:rPr>
              <w:t>12,117</w:t>
            </w:r>
          </w:p>
        </w:tc>
        <w:tc>
          <w:tcPr>
            <w:tcW w:w="1520" w:type="dxa"/>
            <w:vAlign w:val="bottom"/>
            <w:gridSpan w:val="4"/>
          </w:tcPr>
          <w:p>
            <w:pPr>
              <w:jc w:val="right"/>
              <w:ind w:right="100"/>
              <w:spacing w:after="0"/>
              <w:rPr>
                <w:sz w:val="20"/>
                <w:szCs w:val="20"/>
                <w:color w:val="auto"/>
              </w:rPr>
            </w:pPr>
            <w:r>
              <w:rPr>
                <w:rFonts w:ascii="Arial" w:cs="Arial" w:eastAsia="Arial" w:hAnsi="Arial"/>
                <w:sz w:val="18"/>
                <w:szCs w:val="18"/>
                <w:color w:val="auto"/>
              </w:rPr>
              <w:t>176,949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Cash and cash equivalents-beginning of period</w:t>
            </w:r>
          </w:p>
        </w:tc>
        <w:tc>
          <w:tcPr>
            <w:tcW w:w="4840" w:type="dxa"/>
            <w:vAlign w:val="bottom"/>
            <w:gridSpan w:val="5"/>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85,784</w:t>
            </w:r>
          </w:p>
        </w:tc>
        <w:tc>
          <w:tcPr>
            <w:tcW w:w="152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299,160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Pr>
          <w:p>
            <w:pPr>
              <w:ind w:left="600"/>
              <w:spacing w:after="0"/>
              <w:rPr>
                <w:sz w:val="20"/>
                <w:szCs w:val="20"/>
                <w:color w:val="auto"/>
              </w:rPr>
            </w:pPr>
            <w:r>
              <w:rPr>
                <w:rFonts w:ascii="Arial" w:cs="Arial" w:eastAsia="Arial" w:hAnsi="Arial"/>
                <w:sz w:val="18"/>
                <w:szCs w:val="18"/>
                <w:b w:val="1"/>
                <w:bCs w:val="1"/>
                <w:color w:val="auto"/>
              </w:rPr>
              <w:t>Cash and cash equivalents-end of period</w:t>
            </w:r>
          </w:p>
        </w:tc>
        <w:tc>
          <w:tcPr>
            <w:tcW w:w="3940" w:type="dxa"/>
            <w:vAlign w:val="bottom"/>
            <w:gridSpan w:val="2"/>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  97,901</w:t>
            </w:r>
          </w:p>
        </w:tc>
        <w:tc>
          <w:tcPr>
            <w:tcW w:w="8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$ 476,109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760" w:type="dxa"/>
            <w:vAlign w:val="bottom"/>
            <w:vMerge w:val="restart"/>
          </w:tcPr>
          <w:p>
            <w:pPr>
              <w:jc w:val="right"/>
              <w:ind w:right="2911"/>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tcBorders>
              <w:bottom w:val="single" w:sz="8" w:color="808080"/>
            </w:tcBorders>
          </w:tcPr>
          <w:p>
            <w:pPr>
              <w:spacing w:after="0"/>
              <w:rPr>
                <w:sz w:val="18"/>
                <w:szCs w:val="18"/>
                <w:color w:val="auto"/>
              </w:rPr>
            </w:pPr>
          </w:p>
        </w:tc>
        <w:tc>
          <w:tcPr>
            <w:tcW w:w="37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NOTE 13 – SEGMENT INFORMATION</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operate our business as three reportable segments — management operations, insurance underwriting operations and investment operations. Accounting policies for segments are the same as those described in the summary of significant accounting policies Note 3 of our Annual Report on Form 10-K for the year ended December 31, 2006 as filed with the Securities and Exchange Commission on February 26, 2007 , with the exception of the management fee revenues received from the property/casualty insurance subsidiaries. These revenues are not eliminated in the segment detail that follows as management bases its decisions on the segment presentation. Summarized financial information for our operating segments is presented below:</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NOTE 13 – SEGMENT INFORMATION (Continued)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jc w:val="right"/>
              <w:ind w:right="220"/>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57"/>
        </w:trPr>
        <w:tc>
          <w:tcPr>
            <w:tcW w:w="676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2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1"/>
              <w:spacing w:after="0" w:line="157" w:lineRule="exact"/>
              <w:rPr>
                <w:sz w:val="20"/>
                <w:szCs w:val="20"/>
                <w:color w:val="auto"/>
              </w:rPr>
            </w:pPr>
            <w:r>
              <w:rPr>
                <w:rFonts w:ascii="Arial" w:cs="Arial" w:eastAsia="Arial" w:hAnsi="Arial"/>
                <w:sz w:val="14"/>
                <w:szCs w:val="14"/>
                <w:color w:val="auto"/>
              </w:rPr>
              <w:t>2007</w:t>
            </w:r>
          </w:p>
        </w:tc>
        <w:tc>
          <w:tcPr>
            <w:tcW w:w="6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1"/>
              <w:spacing w:after="0" w:line="157" w:lineRule="exact"/>
              <w:rPr>
                <w:sz w:val="20"/>
                <w:szCs w:val="20"/>
                <w:color w:val="auto"/>
              </w:rPr>
            </w:pPr>
            <w:r>
              <w:rPr>
                <w:rFonts w:ascii="Arial" w:cs="Arial" w:eastAsia="Arial" w:hAnsi="Arial"/>
                <w:sz w:val="14"/>
                <w:szCs w:val="14"/>
                <w:color w:val="auto"/>
              </w:rPr>
              <w:t>2006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Management Operations</w:t>
            </w:r>
          </w:p>
        </w:tc>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spacing w:after="0" w:line="202" w:lineRule="exact"/>
              <w:rPr>
                <w:sz w:val="20"/>
                <w:szCs w:val="20"/>
                <w:color w:val="auto"/>
              </w:rPr>
            </w:pPr>
            <w:r>
              <w:rPr>
                <w:rFonts w:ascii="Arial" w:cs="Arial" w:eastAsia="Arial" w:hAnsi="Arial"/>
                <w:sz w:val="18"/>
                <w:szCs w:val="18"/>
                <w:i w:val="1"/>
                <w:iCs w:val="1"/>
                <w:color w:val="auto"/>
              </w:rPr>
              <w:t>Operating revenue</w:t>
            </w: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Management fee revenue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w w:val="98"/>
              </w:rPr>
              <w:t>228,645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232,935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400"/>
              <w:spacing w:after="0" w:line="202" w:lineRule="exact"/>
              <w:rPr>
                <w:sz w:val="20"/>
                <w:szCs w:val="20"/>
                <w:color w:val="auto"/>
              </w:rPr>
            </w:pPr>
            <w:r>
              <w:rPr>
                <w:rFonts w:ascii="Arial" w:cs="Arial" w:eastAsia="Arial" w:hAnsi="Arial"/>
                <w:sz w:val="18"/>
                <w:szCs w:val="18"/>
                <w:color w:val="auto"/>
              </w:rPr>
              <w:t>Service agreement revenue</w:t>
            </w: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7,418</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7,592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Total operating revenue</w:t>
            </w:r>
          </w:p>
        </w:tc>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w w:val="98"/>
              </w:rPr>
              <w:t>236,063</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240,527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400"/>
              <w:spacing w:after="0" w:line="202" w:lineRule="exact"/>
              <w:rPr>
                <w:sz w:val="20"/>
                <w:szCs w:val="20"/>
                <w:color w:val="auto"/>
              </w:rPr>
            </w:pPr>
            <w:r>
              <w:rPr>
                <w:rFonts w:ascii="Arial" w:cs="Arial" w:eastAsia="Arial" w:hAnsi="Arial"/>
                <w:sz w:val="18"/>
                <w:szCs w:val="18"/>
                <w:color w:val="auto"/>
              </w:rPr>
              <w:t>Cost of management operations</w:t>
            </w: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w w:val="98"/>
              </w:rPr>
              <w:t>190,385</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193,825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Income before income taxes</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45,678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46,702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40" w:type="dxa"/>
            <w:vAlign w:val="bottom"/>
          </w:tcPr>
          <w:p>
            <w:pPr>
              <w:ind w:left="400"/>
              <w:spacing w:after="0" w:line="196" w:lineRule="exact"/>
              <w:rPr>
                <w:sz w:val="20"/>
                <w:szCs w:val="20"/>
                <w:color w:val="auto"/>
              </w:rPr>
            </w:pPr>
            <w:r>
              <w:rPr>
                <w:rFonts w:ascii="Arial" w:cs="Arial" w:eastAsia="Arial" w:hAnsi="Arial"/>
                <w:sz w:val="18"/>
                <w:szCs w:val="18"/>
                <w:color w:val="auto"/>
              </w:rPr>
              <w:t>Net income from management operations**</w:t>
            </w:r>
          </w:p>
        </w:tc>
        <w:tc>
          <w:tcPr>
            <w:tcW w:w="2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80"/>
              <w:spacing w:after="0" w:line="196" w:lineRule="exact"/>
              <w:rPr>
                <w:sz w:val="20"/>
                <w:szCs w:val="20"/>
                <w:color w:val="auto"/>
              </w:rPr>
            </w:pPr>
            <w:r>
              <w:rPr>
                <w:rFonts w:ascii="Arial" w:cs="Arial" w:eastAsia="Arial" w:hAnsi="Arial"/>
                <w:sz w:val="18"/>
                <w:szCs w:val="18"/>
                <w:color w:val="auto"/>
              </w:rPr>
              <w:t>30,741</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30,862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Insurance Underwriting Operations</w:t>
            </w:r>
          </w:p>
        </w:tc>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spacing w:after="0" w:line="202" w:lineRule="exact"/>
              <w:rPr>
                <w:sz w:val="20"/>
                <w:szCs w:val="20"/>
                <w:color w:val="auto"/>
              </w:rPr>
            </w:pPr>
            <w:r>
              <w:rPr>
                <w:rFonts w:ascii="Arial" w:cs="Arial" w:eastAsia="Arial" w:hAnsi="Arial"/>
                <w:sz w:val="18"/>
                <w:szCs w:val="18"/>
                <w:i w:val="1"/>
                <w:iCs w:val="1"/>
                <w:color w:val="auto"/>
              </w:rPr>
              <w:t>Operating revenue</w:t>
            </w: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Premiums earned:</w:t>
            </w:r>
          </w:p>
        </w:tc>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600"/>
              <w:spacing w:after="0" w:line="202" w:lineRule="exact"/>
              <w:rPr>
                <w:sz w:val="20"/>
                <w:szCs w:val="20"/>
                <w:color w:val="auto"/>
              </w:rPr>
            </w:pPr>
            <w:r>
              <w:rPr>
                <w:rFonts w:ascii="Arial" w:cs="Arial" w:eastAsia="Arial" w:hAnsi="Arial"/>
                <w:sz w:val="18"/>
                <w:szCs w:val="18"/>
                <w:color w:val="auto"/>
              </w:rPr>
              <w:t>Personal lines</w:t>
            </w:r>
          </w:p>
        </w:tc>
        <w:tc>
          <w:tcPr>
            <w:tcW w:w="2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35,800</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37,259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Commercial lines</w:t>
            </w:r>
          </w:p>
        </w:tc>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16,220</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16,843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600"/>
              <w:spacing w:after="0" w:line="202" w:lineRule="exact"/>
              <w:rPr>
                <w:sz w:val="20"/>
                <w:szCs w:val="20"/>
                <w:color w:val="auto"/>
              </w:rPr>
            </w:pPr>
            <w:r>
              <w:rPr>
                <w:rFonts w:ascii="Arial" w:cs="Arial" w:eastAsia="Arial" w:hAnsi="Arial"/>
                <w:sz w:val="18"/>
                <w:szCs w:val="18"/>
                <w:color w:val="auto"/>
              </w:rPr>
              <w:t>Reinsurance – nonaffiliates</w:t>
            </w: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(46)</w:t>
            </w:r>
          </w:p>
        </w:tc>
        <w:tc>
          <w:tcPr>
            <w:tcW w:w="12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Total premiums earned</w:t>
            </w:r>
          </w:p>
        </w:tc>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51,974</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54,026</w:t>
            </w:r>
          </w:p>
        </w:tc>
        <w:tc>
          <w:tcPr>
            <w:tcW w:w="0" w:type="dxa"/>
            <w:vAlign w:val="bottom"/>
          </w:tcPr>
          <w:p>
            <w:pPr>
              <w:spacing w:after="0"/>
              <w:rPr>
                <w:sz w:val="1"/>
                <w:szCs w:val="1"/>
                <w:color w:val="auto"/>
              </w:rPr>
            </w:pPr>
          </w:p>
        </w:tc>
      </w:tr>
      <w:tr>
        <w:trPr>
          <w:trHeight w:val="210"/>
        </w:trPr>
        <w:tc>
          <w:tcPr>
            <w:tcW w:w="6760" w:type="dxa"/>
            <w:vAlign w:val="bottom"/>
            <w:gridSpan w:val="2"/>
          </w:tcPr>
          <w:p>
            <w:pPr>
              <w:spacing w:after="0"/>
              <w:rPr>
                <w:sz w:val="20"/>
                <w:szCs w:val="20"/>
                <w:color w:val="auto"/>
              </w:rPr>
            </w:pPr>
            <w:r>
              <w:rPr>
                <w:rFonts w:ascii="Arial" w:cs="Arial" w:eastAsia="Arial" w:hAnsi="Arial"/>
                <w:sz w:val="18"/>
                <w:szCs w:val="18"/>
                <w:i w:val="1"/>
                <w:iCs w:val="1"/>
                <w:color w:val="auto"/>
              </w:rPr>
              <w:t>Operating expenses</w:t>
            </w:r>
          </w:p>
        </w:tc>
        <w:tc>
          <w:tcPr>
            <w:tcW w:w="2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Losses and expenses:</w:t>
            </w:r>
          </w:p>
        </w:tc>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600"/>
              <w:spacing w:after="0" w:line="202" w:lineRule="exact"/>
              <w:rPr>
                <w:sz w:val="20"/>
                <w:szCs w:val="20"/>
                <w:color w:val="auto"/>
              </w:rPr>
            </w:pPr>
            <w:r>
              <w:rPr>
                <w:rFonts w:ascii="Arial" w:cs="Arial" w:eastAsia="Arial" w:hAnsi="Arial"/>
                <w:sz w:val="18"/>
                <w:szCs w:val="18"/>
                <w:color w:val="auto"/>
              </w:rPr>
              <w:t>Personal lines</w:t>
            </w: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30,831</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31,885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Commercial lines</w:t>
            </w:r>
          </w:p>
        </w:tc>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14,867</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13,823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600"/>
              <w:spacing w:after="0" w:line="202" w:lineRule="exact"/>
              <w:rPr>
                <w:sz w:val="20"/>
                <w:szCs w:val="20"/>
                <w:color w:val="auto"/>
              </w:rPr>
            </w:pPr>
            <w:r>
              <w:rPr>
                <w:rFonts w:ascii="Arial" w:cs="Arial" w:eastAsia="Arial" w:hAnsi="Arial"/>
                <w:sz w:val="18"/>
                <w:szCs w:val="18"/>
                <w:color w:val="auto"/>
              </w:rPr>
              <w:t>Reinsurance – nonaffiliates</w:t>
            </w: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657</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Reinsurance – affiliates*</w:t>
            </w:r>
          </w:p>
        </w:tc>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Pr>
          <w:p>
            <w:pPr>
              <w:ind w:left="800"/>
              <w:spacing w:after="0"/>
              <w:rPr>
                <w:sz w:val="20"/>
                <w:szCs w:val="20"/>
                <w:color w:val="auto"/>
              </w:rPr>
            </w:pPr>
            <w:r>
              <w:rPr>
                <w:rFonts w:ascii="Arial" w:cs="Arial" w:eastAsia="Arial" w:hAnsi="Arial"/>
                <w:sz w:val="18"/>
                <w:szCs w:val="18"/>
                <w:color w:val="auto"/>
              </w:rPr>
              <w:t>Total losses and expenses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46,355</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46,716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before income taxes</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5,619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40" w:type="dxa"/>
            <w:vAlign w:val="bottom"/>
          </w:tcPr>
          <w:p>
            <w:pPr>
              <w:ind w:left="200"/>
              <w:spacing w:after="0" w:line="196" w:lineRule="exact"/>
              <w:rPr>
                <w:sz w:val="20"/>
                <w:szCs w:val="20"/>
                <w:color w:val="auto"/>
              </w:rPr>
            </w:pPr>
            <w:r>
              <w:rPr>
                <w:rFonts w:ascii="Arial" w:cs="Arial" w:eastAsia="Arial" w:hAnsi="Arial"/>
                <w:sz w:val="18"/>
                <w:szCs w:val="18"/>
                <w:color w:val="auto"/>
              </w:rPr>
              <w:t>Net income from insurance underwriting operations**</w:t>
            </w:r>
          </w:p>
        </w:tc>
        <w:tc>
          <w:tcPr>
            <w:tcW w:w="2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80"/>
              <w:spacing w:after="0" w:line="196" w:lineRule="exact"/>
              <w:rPr>
                <w:sz w:val="20"/>
                <w:szCs w:val="20"/>
                <w:color w:val="auto"/>
              </w:rPr>
            </w:pPr>
            <w:r>
              <w:rPr>
                <w:rFonts w:ascii="Arial" w:cs="Arial" w:eastAsia="Arial" w:hAnsi="Arial"/>
                <w:sz w:val="18"/>
                <w:szCs w:val="18"/>
                <w:color w:val="auto"/>
              </w:rPr>
              <w:t>3,782</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Investment Operations</w:t>
            </w:r>
          </w:p>
        </w:tc>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 net of expenses</w:t>
            </w:r>
          </w:p>
        </w:tc>
        <w:tc>
          <w:tcPr>
            <w:tcW w:w="2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13,978</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realized gains on investments</w:t>
            </w:r>
          </w:p>
        </w:tc>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1,890</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200"/>
              <w:spacing w:after="0" w:line="202" w:lineRule="exact"/>
              <w:rPr>
                <w:sz w:val="20"/>
                <w:szCs w:val="20"/>
                <w:color w:val="auto"/>
              </w:rPr>
            </w:pPr>
            <w:r>
              <w:rPr>
                <w:rFonts w:ascii="Arial" w:cs="Arial" w:eastAsia="Arial" w:hAnsi="Arial"/>
                <w:sz w:val="18"/>
                <w:szCs w:val="18"/>
                <w:color w:val="auto"/>
              </w:rPr>
              <w:t>Equity in earnings of limited partnerships</w:t>
            </w: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12,518</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investment income-unaffiliated</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28,386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40" w:type="dxa"/>
            <w:vAlign w:val="bottom"/>
          </w:tcPr>
          <w:p>
            <w:pPr>
              <w:ind w:left="200"/>
              <w:spacing w:after="0" w:line="196" w:lineRule="exact"/>
              <w:rPr>
                <w:sz w:val="20"/>
                <w:szCs w:val="20"/>
                <w:color w:val="auto"/>
              </w:rPr>
            </w:pPr>
            <w:r>
              <w:rPr>
                <w:rFonts w:ascii="Arial" w:cs="Arial" w:eastAsia="Arial" w:hAnsi="Arial"/>
                <w:sz w:val="18"/>
                <w:szCs w:val="18"/>
                <w:color w:val="auto"/>
              </w:rPr>
              <w:t>Net income from investment operations**</w:t>
            </w:r>
          </w:p>
        </w:tc>
        <w:tc>
          <w:tcPr>
            <w:tcW w:w="2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80"/>
              <w:spacing w:after="0" w:line="196" w:lineRule="exact"/>
              <w:rPr>
                <w:sz w:val="20"/>
                <w:szCs w:val="20"/>
                <w:color w:val="auto"/>
              </w:rPr>
            </w:pPr>
            <w:r>
              <w:rPr>
                <w:rFonts w:ascii="Arial" w:cs="Arial" w:eastAsia="Arial" w:hAnsi="Arial"/>
                <w:sz w:val="18"/>
                <w:szCs w:val="18"/>
                <w:color w:val="auto"/>
              </w:rPr>
              <w:t>19,104</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13,168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4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Equity in earnings of EFL, net of tax</w:t>
            </w:r>
          </w:p>
        </w:tc>
        <w:tc>
          <w:tcPr>
            <w:tcW w:w="24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80"/>
              <w:spacing w:after="0" w:line="196" w:lineRule="exact"/>
              <w:rPr>
                <w:sz w:val="20"/>
                <w:szCs w:val="20"/>
                <w:color w:val="auto"/>
              </w:rPr>
            </w:pPr>
            <w:r>
              <w:rPr>
                <w:rFonts w:ascii="Arial" w:cs="Arial" w:eastAsia="Arial" w:hAnsi="Arial"/>
                <w:sz w:val="18"/>
                <w:szCs w:val="18"/>
                <w:color w:val="auto"/>
              </w:rPr>
              <w:t>1,270</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right="8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excess-of-loss reinsurance agreement was not renewed for the 2006 or 2007 accident year and as a result, there were no premiums paid by the Erie Insurance Company or Erie Insurance Company of New York to the Exchange. No charges were recorded in the first quarter 2007 due to the absence of triggering events for the years 2002 to 2005, which remain open on the agreement.</w:t>
      </w:r>
    </w:p>
    <w:p>
      <w:pPr>
        <w:spacing w:after="0" w:line="54" w:lineRule="exact"/>
        <w:rPr>
          <w:sz w:val="20"/>
          <w:szCs w:val="20"/>
          <w:color w:val="auto"/>
        </w:rPr>
      </w:pPr>
    </w:p>
    <w:p>
      <w:pPr>
        <w:ind w:left="460" w:hanging="452"/>
        <w:spacing w:after="0" w:line="23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estimated 2007 annual effective tax rate of 32.7% was used to calculate the net income for each operating segment. The effective tax rate being reflected on the Consolidated Statement of Operations is lower than our estimated annual effective tax rate. This is due to 1) an estimated IRS audit adjustment for the 2003 and 2004 tax years that reduced taxes by $.4 million, 2) a $2.1 million reduction for an adjustment to taxes on salvage and subrogation recoverable and 3) estimated interest on our uncertain income tax positions that increased our taxes by $0.8 million in accordance with FIN 48.</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NOTE 13 – SEGMENT INFORMATION (Continued)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reportable segment revenues and operating expenses to the Consolidated Statements of Operations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320" w:type="dxa"/>
            <w:vAlign w:val="bottom"/>
            <w:gridSpan w:val="4"/>
          </w:tcPr>
          <w:p>
            <w:pPr>
              <w:jc w:val="right"/>
              <w:ind w:right="240"/>
              <w:spacing w:after="0"/>
              <w:rPr>
                <w:sz w:val="20"/>
                <w:szCs w:val="20"/>
                <w:color w:val="auto"/>
              </w:rPr>
            </w:pPr>
            <w:r>
              <w:rPr>
                <w:rFonts w:ascii="Arial" w:cs="Arial" w:eastAsia="Arial" w:hAnsi="Arial"/>
                <w:sz w:val="14"/>
                <w:szCs w:val="14"/>
                <w:color w:val="auto"/>
              </w:rPr>
              <w:t>Three months ended March 31</w:t>
            </w:r>
          </w:p>
        </w:tc>
      </w:tr>
      <w:tr>
        <w:trPr>
          <w:trHeight w:val="157"/>
        </w:trPr>
        <w:tc>
          <w:tcPr>
            <w:tcW w:w="910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760" w:type="dxa"/>
            <w:vAlign w:val="bottom"/>
            <w:tcBorders>
              <w:bottom w:val="single" w:sz="8" w:color="auto"/>
            </w:tcBorders>
          </w:tcPr>
          <w:p>
            <w:pPr>
              <w:jc w:val="right"/>
              <w:ind w:right="134"/>
              <w:spacing w:after="0" w:line="157" w:lineRule="exact"/>
              <w:rPr>
                <w:sz w:val="20"/>
                <w:szCs w:val="20"/>
                <w:color w:val="auto"/>
              </w:rPr>
            </w:pPr>
            <w:r>
              <w:rPr>
                <w:rFonts w:ascii="Arial" w:cs="Arial" w:eastAsia="Arial" w:hAnsi="Arial"/>
                <w:sz w:val="14"/>
                <w:szCs w:val="14"/>
                <w:color w:val="auto"/>
              </w:rPr>
              <w:t>2007</w:t>
            </w:r>
          </w:p>
        </w:tc>
        <w:tc>
          <w:tcPr>
            <w:tcW w:w="680" w:type="dxa"/>
            <w:vAlign w:val="bottom"/>
          </w:tcPr>
          <w:p>
            <w:pPr>
              <w:spacing w:after="0"/>
              <w:rPr>
                <w:sz w:val="13"/>
                <w:szCs w:val="13"/>
                <w:color w:val="auto"/>
              </w:rPr>
            </w:pPr>
          </w:p>
        </w:tc>
        <w:tc>
          <w:tcPr>
            <w:tcW w:w="780" w:type="dxa"/>
            <w:vAlign w:val="bottom"/>
            <w:tcBorders>
              <w:bottom w:val="single" w:sz="8" w:color="auto"/>
            </w:tcBorders>
          </w:tcPr>
          <w:p>
            <w:pPr>
              <w:jc w:val="right"/>
              <w:ind w:right="153"/>
              <w:spacing w:after="0" w:line="157" w:lineRule="exact"/>
              <w:rPr>
                <w:sz w:val="20"/>
                <w:szCs w:val="20"/>
                <w:color w:val="auto"/>
              </w:rPr>
            </w:pPr>
            <w:r>
              <w:rPr>
                <w:rFonts w:ascii="Arial" w:cs="Arial" w:eastAsia="Arial" w:hAnsi="Arial"/>
                <w:sz w:val="14"/>
                <w:szCs w:val="14"/>
                <w:color w:val="auto"/>
              </w:rPr>
              <w:t>2006</w:t>
            </w:r>
          </w:p>
        </w:tc>
        <w:tc>
          <w:tcPr>
            <w:tcW w:w="10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9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Segment revenues, excluding investment operations</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$288,037</w:t>
            </w:r>
          </w:p>
        </w:tc>
        <w:tc>
          <w:tcPr>
            <w:tcW w:w="6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$294,553</w:t>
            </w:r>
          </w:p>
        </w:tc>
      </w:tr>
      <w:tr>
        <w:trPr>
          <w:trHeight w:val="210"/>
        </w:trPr>
        <w:tc>
          <w:tcPr>
            <w:tcW w:w="20" w:type="dxa"/>
            <w:vAlign w:val="bottom"/>
          </w:tcPr>
          <w:p>
            <w:pPr>
              <w:spacing w:after="0"/>
              <w:rPr>
                <w:sz w:val="18"/>
                <w:szCs w:val="18"/>
                <w:color w:val="auto"/>
              </w:rPr>
            </w:pPr>
          </w:p>
        </w:tc>
        <w:tc>
          <w:tcPr>
            <w:tcW w:w="9080" w:type="dxa"/>
            <w:vAlign w:val="bottom"/>
          </w:tcPr>
          <w:p>
            <w:pPr>
              <w:spacing w:after="0" w:line="202" w:lineRule="exact"/>
              <w:rPr>
                <w:sz w:val="20"/>
                <w:szCs w:val="20"/>
                <w:color w:val="auto"/>
              </w:rPr>
            </w:pPr>
            <w:r>
              <w:rPr>
                <w:rFonts w:ascii="Arial" w:cs="Arial" w:eastAsia="Arial" w:hAnsi="Arial"/>
                <w:sz w:val="18"/>
                <w:szCs w:val="18"/>
                <w:color w:val="auto"/>
              </w:rPr>
              <w:t>Elimination of intersegment management fee revenues</w:t>
            </w:r>
          </w:p>
        </w:tc>
        <w:tc>
          <w:tcPr>
            <w:tcW w:w="14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(12,625)</w:t>
            </w: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(12,833)</w:t>
            </w: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operating revenues</w:t>
            </w:r>
          </w:p>
        </w:tc>
        <w:tc>
          <w:tcPr>
            <w:tcW w:w="7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275,412</w:t>
            </w:r>
          </w:p>
        </w:tc>
        <w:tc>
          <w:tcPr>
            <w:tcW w:w="680" w:type="dxa"/>
            <w:vAlign w:val="bottom"/>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281,720</w:t>
            </w:r>
          </w:p>
        </w:tc>
        <w:tc>
          <w:tcPr>
            <w:tcW w:w="100" w:type="dxa"/>
            <w:vAlign w:val="bottom"/>
            <w:shd w:val="clear" w:color="auto" w:fill="CCEEFF"/>
          </w:tcPr>
          <w:p>
            <w:pPr>
              <w:spacing w:after="0"/>
              <w:rPr>
                <w:sz w:val="17"/>
                <w:szCs w:val="17"/>
                <w:color w:val="auto"/>
              </w:rPr>
            </w:pPr>
          </w:p>
        </w:tc>
      </w:tr>
      <w:tr>
        <w:trPr>
          <w:trHeight w:val="20"/>
        </w:trPr>
        <w:tc>
          <w:tcPr>
            <w:tcW w:w="910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9100" w:type="dxa"/>
            <w:vAlign w:val="bottom"/>
            <w:gridSpan w:val="2"/>
          </w:tcPr>
          <w:p>
            <w:pPr>
              <w:spacing w:after="0"/>
              <w:rPr>
                <w:sz w:val="20"/>
                <w:szCs w:val="20"/>
                <w:color w:val="auto"/>
              </w:rPr>
            </w:pPr>
            <w:r>
              <w:rPr>
                <w:rFonts w:ascii="Arial" w:cs="Arial" w:eastAsia="Arial" w:hAnsi="Arial"/>
                <w:sz w:val="18"/>
                <w:szCs w:val="18"/>
                <w:color w:val="auto"/>
              </w:rPr>
              <w:t>Segment operating expenses</w:t>
            </w:r>
          </w:p>
        </w:tc>
        <w:tc>
          <w:tcPr>
            <w:tcW w:w="760" w:type="dxa"/>
            <w:vAlign w:val="bottom"/>
          </w:tcPr>
          <w:p>
            <w:pPr>
              <w:jc w:val="right"/>
              <w:spacing w:after="0"/>
              <w:rPr>
                <w:sz w:val="20"/>
                <w:szCs w:val="20"/>
                <w:color w:val="auto"/>
              </w:rPr>
            </w:pPr>
            <w:r>
              <w:rPr>
                <w:rFonts w:ascii="Arial" w:cs="Arial" w:eastAsia="Arial" w:hAnsi="Arial"/>
                <w:sz w:val="18"/>
                <w:szCs w:val="18"/>
                <w:color w:val="auto"/>
                <w:w w:val="98"/>
              </w:rPr>
              <w:t>$236,740</w:t>
            </w:r>
          </w:p>
        </w:tc>
        <w:tc>
          <w:tcPr>
            <w:tcW w:w="68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$240,541</w:t>
            </w: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 of intersegment management fee revenue</w:t>
            </w:r>
          </w:p>
        </w:tc>
        <w:tc>
          <w:tcPr>
            <w:tcW w:w="14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(12,625)</w:t>
            </w: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(12,833)</w:t>
            </w:r>
          </w:p>
        </w:tc>
      </w:tr>
      <w:tr>
        <w:trPr>
          <w:trHeight w:val="210"/>
        </w:trPr>
        <w:tc>
          <w:tcPr>
            <w:tcW w:w="91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224,115</w:t>
            </w:r>
          </w:p>
        </w:tc>
        <w:tc>
          <w:tcPr>
            <w:tcW w:w="6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227,708</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The intersegment revenues and expenses that are eliminated in the Consolidated Statements of Operations relate to our property/casualty insurance subsidiaries 5.5% share of the intersegment management fees paid to 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NOTE 13 – SEGMENT INFORMATION (Continued)</w:t>
      </w:r>
    </w:p>
    <w:p>
      <w:pPr>
        <w:spacing w:after="0" w:line="104"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 growth rate of policies in force, policy retention (the percentage of policyholders eligible for renewals who have renewed their policies measured on a twelve-month rolling basis) and average premium per policy trends directly impact our management operations and insurance underwriting operating segments. Below is a summary of each major line of business for the Property and Casualty Group.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Growth rates of policies in force for Property and Casualty Group insurance operations</w:t>
      </w:r>
      <w:r>
        <w:rPr>
          <w:rFonts w:ascii="Arial" w:cs="Arial" w:eastAsia="Arial" w:hAnsi="Arial"/>
          <w:sz w:val="18"/>
          <w:szCs w:val="18"/>
          <w:b w:val="1"/>
          <w:bCs w:val="1"/>
          <w:color w:val="auto"/>
        </w:rPr>
        <w: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ind w:left="68"/>
              <w:spacing w:after="0"/>
              <w:rPr>
                <w:sz w:val="20"/>
                <w:szCs w:val="20"/>
                <w:color w:val="auto"/>
              </w:rPr>
            </w:pPr>
            <w:r>
              <w:rPr>
                <w:rFonts w:ascii="Arial" w:cs="Arial" w:eastAsia="Arial" w:hAnsi="Arial"/>
                <w:sz w:val="14"/>
                <w:szCs w:val="14"/>
                <w:color w:val="auto"/>
              </w:rPr>
              <w:t>Private</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Arial" w:cs="Arial" w:eastAsia="Arial" w:hAnsi="Arial"/>
                <w:sz w:val="14"/>
                <w:szCs w:val="14"/>
                <w:color w:val="auto"/>
              </w:rPr>
              <w:t>12-mth.</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12-mth.</w:t>
            </w:r>
          </w:p>
        </w:tc>
        <w:tc>
          <w:tcPr>
            <w:tcW w:w="200" w:type="dxa"/>
            <w:vAlign w:val="bottom"/>
          </w:tcPr>
          <w:p>
            <w:pPr>
              <w:spacing w:after="0"/>
              <w:rPr>
                <w:sz w:val="14"/>
                <w:szCs w:val="14"/>
                <w:color w:val="auto"/>
              </w:rPr>
            </w:pPr>
          </w:p>
        </w:tc>
        <w:tc>
          <w:tcPr>
            <w:tcW w:w="940" w:type="dxa"/>
            <w:vAlign w:val="bottom"/>
            <w:gridSpan w:val="3"/>
          </w:tcPr>
          <w:p>
            <w:pPr>
              <w:jc w:val="center"/>
              <w:ind w:left="108"/>
              <w:spacing w:after="0"/>
              <w:rPr>
                <w:sz w:val="20"/>
                <w:szCs w:val="20"/>
                <w:color w:val="auto"/>
              </w:rPr>
            </w:pPr>
            <w:r>
              <w:rPr>
                <w:rFonts w:ascii="Arial" w:cs="Arial" w:eastAsia="Arial" w:hAnsi="Arial"/>
                <w:sz w:val="14"/>
                <w:szCs w:val="14"/>
                <w:color w:val="auto"/>
              </w:rPr>
              <w:t>All Other</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6"/>
          </w:tcPr>
          <w:p>
            <w:pPr>
              <w:jc w:val="center"/>
              <w:ind w:right="440"/>
              <w:spacing w:after="0"/>
              <w:rPr>
                <w:sz w:val="20"/>
                <w:szCs w:val="20"/>
                <w:color w:val="auto"/>
              </w:rPr>
            </w:pPr>
            <w:r>
              <w:rPr>
                <w:rFonts w:ascii="Arial" w:cs="Arial" w:eastAsia="Arial" w:hAnsi="Arial"/>
                <w:sz w:val="14"/>
                <w:szCs w:val="14"/>
                <w:color w:val="auto"/>
              </w:rPr>
              <w:t>12-mth.</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center"/>
              <w:ind w:right="560"/>
              <w:spacing w:after="0"/>
              <w:rPr>
                <w:sz w:val="20"/>
                <w:szCs w:val="20"/>
                <w:color w:val="auto"/>
              </w:rPr>
            </w:pPr>
            <w:r>
              <w:rPr>
                <w:rFonts w:ascii="Arial" w:cs="Arial" w:eastAsia="Arial" w:hAnsi="Arial"/>
                <w:sz w:val="14"/>
                <w:szCs w:val="14"/>
                <w:color w:val="auto"/>
              </w:rPr>
              <w:t>Total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68"/>
              <w:spacing w:after="0"/>
              <w:rPr>
                <w:sz w:val="20"/>
                <w:szCs w:val="20"/>
                <w:color w:val="auto"/>
              </w:rPr>
            </w:pPr>
            <w:r>
              <w:rPr>
                <w:rFonts w:ascii="Arial" w:cs="Arial" w:eastAsia="Arial" w:hAnsi="Arial"/>
                <w:sz w:val="14"/>
                <w:szCs w:val="14"/>
                <w:color w:val="auto"/>
              </w:rPr>
              <w:t>12-mth.</w:t>
            </w:r>
          </w:p>
        </w:tc>
      </w:tr>
      <w:tr>
        <w:trPr>
          <w:trHeight w:val="16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ind w:left="68"/>
              <w:spacing w:after="0"/>
              <w:rPr>
                <w:sz w:val="20"/>
                <w:szCs w:val="20"/>
                <w:color w:val="auto"/>
              </w:rPr>
            </w:pPr>
            <w:r>
              <w:rPr>
                <w:rFonts w:ascii="Arial" w:cs="Arial" w:eastAsia="Arial" w:hAnsi="Arial"/>
                <w:sz w:val="14"/>
                <w:szCs w:val="14"/>
                <w:color w:val="auto"/>
              </w:rPr>
              <w:t>Passenger</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3"/>
          </w:tcPr>
          <w:p>
            <w:pPr>
              <w:jc w:val="center"/>
              <w:ind w:left="128"/>
              <w:spacing w:after="0"/>
              <w:rPr>
                <w:sz w:val="20"/>
                <w:szCs w:val="20"/>
                <w:color w:val="auto"/>
              </w:rPr>
            </w:pPr>
            <w:r>
              <w:rPr>
                <w:rFonts w:ascii="Arial" w:cs="Arial" w:eastAsia="Arial" w:hAnsi="Arial"/>
                <w:sz w:val="14"/>
                <w:szCs w:val="14"/>
                <w:color w:val="auto"/>
              </w:rPr>
              <w:t>growth</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growth</w:t>
            </w:r>
          </w:p>
        </w:tc>
        <w:tc>
          <w:tcPr>
            <w:tcW w:w="200" w:type="dxa"/>
            <w:vAlign w:val="bottom"/>
          </w:tcPr>
          <w:p>
            <w:pPr>
              <w:spacing w:after="0"/>
              <w:rPr>
                <w:sz w:val="14"/>
                <w:szCs w:val="14"/>
                <w:color w:val="auto"/>
              </w:rPr>
            </w:pPr>
          </w:p>
        </w:tc>
        <w:tc>
          <w:tcPr>
            <w:tcW w:w="940" w:type="dxa"/>
            <w:vAlign w:val="bottom"/>
            <w:gridSpan w:val="3"/>
          </w:tcPr>
          <w:p>
            <w:pPr>
              <w:jc w:val="center"/>
              <w:ind w:left="108"/>
              <w:spacing w:after="0"/>
              <w:rPr>
                <w:sz w:val="20"/>
                <w:szCs w:val="20"/>
                <w:color w:val="auto"/>
              </w:rPr>
            </w:pPr>
            <w:r>
              <w:rPr>
                <w:rFonts w:ascii="Arial" w:cs="Arial" w:eastAsia="Arial" w:hAnsi="Arial"/>
                <w:sz w:val="14"/>
                <w:szCs w:val="14"/>
                <w:color w:val="auto"/>
              </w:rPr>
              <w:t>Personal</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6"/>
          </w:tcPr>
          <w:p>
            <w:pPr>
              <w:jc w:val="center"/>
              <w:ind w:right="440"/>
              <w:spacing w:after="0"/>
              <w:rPr>
                <w:sz w:val="20"/>
                <w:szCs w:val="20"/>
                <w:color w:val="auto"/>
              </w:rPr>
            </w:pPr>
            <w:r>
              <w:rPr>
                <w:rFonts w:ascii="Arial" w:cs="Arial" w:eastAsia="Arial" w:hAnsi="Arial"/>
                <w:sz w:val="14"/>
                <w:szCs w:val="14"/>
                <w:color w:val="auto"/>
                <w:w w:val="99"/>
              </w:rPr>
              <w:t>growth</w:t>
            </w:r>
          </w:p>
        </w:tc>
        <w:tc>
          <w:tcPr>
            <w:tcW w:w="20" w:type="dxa"/>
            <w:vAlign w:val="bottom"/>
          </w:tcPr>
          <w:p>
            <w:pPr>
              <w:spacing w:after="0"/>
              <w:rPr>
                <w:sz w:val="14"/>
                <w:szCs w:val="14"/>
                <w:color w:val="auto"/>
              </w:rPr>
            </w:pPr>
          </w:p>
        </w:tc>
        <w:tc>
          <w:tcPr>
            <w:tcW w:w="1160" w:type="dxa"/>
            <w:vAlign w:val="bottom"/>
            <w:gridSpan w:val="5"/>
          </w:tcPr>
          <w:p>
            <w:pPr>
              <w:jc w:val="center"/>
              <w:ind w:right="360"/>
              <w:spacing w:after="0"/>
              <w:rPr>
                <w:sz w:val="20"/>
                <w:szCs w:val="20"/>
                <w:color w:val="auto"/>
              </w:rPr>
            </w:pPr>
            <w:r>
              <w:rPr>
                <w:rFonts w:ascii="Arial" w:cs="Arial" w:eastAsia="Arial" w:hAnsi="Arial"/>
                <w:sz w:val="14"/>
                <w:szCs w:val="14"/>
                <w:color w:val="auto"/>
              </w:rPr>
              <w:t>Personal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68"/>
              <w:spacing w:after="0"/>
              <w:rPr>
                <w:sz w:val="20"/>
                <w:szCs w:val="20"/>
                <w:color w:val="auto"/>
              </w:rPr>
            </w:pPr>
            <w:r>
              <w:rPr>
                <w:rFonts w:ascii="Arial" w:cs="Arial" w:eastAsia="Arial" w:hAnsi="Arial"/>
                <w:sz w:val="14"/>
                <w:szCs w:val="14"/>
                <w:color w:val="auto"/>
                <w:w w:val="99"/>
              </w:rPr>
              <w:t>growth</w:t>
            </w:r>
          </w:p>
        </w:tc>
      </w:tr>
      <w:tr>
        <w:trPr>
          <w:trHeight w:val="157"/>
        </w:trPr>
        <w:tc>
          <w:tcPr>
            <w:tcW w:w="20" w:type="dxa"/>
            <w:vAlign w:val="bottom"/>
          </w:tcPr>
          <w:p>
            <w:pPr>
              <w:spacing w:after="0"/>
              <w:rPr>
                <w:sz w:val="13"/>
                <w:szCs w:val="13"/>
                <w:color w:val="auto"/>
              </w:rPr>
            </w:pPr>
          </w:p>
        </w:tc>
        <w:tc>
          <w:tcPr>
            <w:tcW w:w="9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Date</w:t>
            </w: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Borders>
              <w:bottom w:val="single" w:sz="8" w:color="auto"/>
            </w:tcBorders>
            <w:gridSpan w:val="2"/>
          </w:tcPr>
          <w:p>
            <w:pPr>
              <w:jc w:val="center"/>
              <w:ind w:left="88"/>
              <w:spacing w:after="0" w:line="157" w:lineRule="exact"/>
              <w:rPr>
                <w:sz w:val="20"/>
                <w:szCs w:val="20"/>
                <w:color w:val="auto"/>
              </w:rPr>
            </w:pPr>
            <w:r>
              <w:rPr>
                <w:rFonts w:ascii="Arial" w:cs="Arial" w:eastAsia="Arial" w:hAnsi="Arial"/>
                <w:sz w:val="14"/>
                <w:szCs w:val="14"/>
                <w:color w:val="auto"/>
              </w:rPr>
              <w:t>Auto</w:t>
            </w:r>
          </w:p>
        </w:tc>
        <w:tc>
          <w:tcPr>
            <w:tcW w:w="1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bottom w:val="single" w:sz="8" w:color="auto"/>
            </w:tcBorders>
            <w:gridSpan w:val="3"/>
          </w:tcPr>
          <w:p>
            <w:pPr>
              <w:jc w:val="center"/>
              <w:ind w:left="128"/>
              <w:spacing w:after="0" w:line="157" w:lineRule="exact"/>
              <w:rPr>
                <w:sz w:val="20"/>
                <w:szCs w:val="20"/>
                <w:color w:val="auto"/>
              </w:rPr>
            </w:pPr>
            <w:r>
              <w:rPr>
                <w:rFonts w:ascii="Arial" w:cs="Arial" w:eastAsia="Arial" w:hAnsi="Arial"/>
                <w:sz w:val="14"/>
                <w:szCs w:val="14"/>
                <w:color w:val="auto"/>
                <w:w w:val="99"/>
              </w:rPr>
              <w:t>rate</w:t>
            </w: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Borders>
              <w:bottom w:val="single" w:sz="8" w:color="auto"/>
            </w:tcBorders>
            <w:gridSpan w:val="3"/>
          </w:tcPr>
          <w:p>
            <w:pPr>
              <w:jc w:val="center"/>
              <w:spacing w:after="0" w:line="157" w:lineRule="exact"/>
              <w:rPr>
                <w:sz w:val="20"/>
                <w:szCs w:val="20"/>
                <w:color w:val="auto"/>
              </w:rPr>
            </w:pPr>
            <w:r>
              <w:rPr>
                <w:rFonts w:ascii="Arial" w:cs="Arial" w:eastAsia="Arial" w:hAnsi="Arial"/>
                <w:sz w:val="14"/>
                <w:szCs w:val="14"/>
                <w:color w:val="auto"/>
              </w:rPr>
              <w:t>Homeowners</w:t>
            </w:r>
          </w:p>
        </w:tc>
        <w:tc>
          <w:tcPr>
            <w:tcW w:w="200" w:type="dxa"/>
            <w:vAlign w:val="bottom"/>
          </w:tcPr>
          <w:p>
            <w:pPr>
              <w:spacing w:after="0"/>
              <w:rPr>
                <w:sz w:val="13"/>
                <w:szCs w:val="13"/>
                <w:color w:val="auto"/>
              </w:rPr>
            </w:pPr>
          </w:p>
        </w:tc>
        <w:tc>
          <w:tcPr>
            <w:tcW w:w="84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w w:val="99"/>
              </w:rPr>
              <w:t>rate</w:t>
            </w:r>
          </w:p>
        </w:tc>
        <w:tc>
          <w:tcPr>
            <w:tcW w:w="200" w:type="dxa"/>
            <w:vAlign w:val="bottom"/>
          </w:tcPr>
          <w:p>
            <w:pPr>
              <w:spacing w:after="0"/>
              <w:rPr>
                <w:sz w:val="13"/>
                <w:szCs w:val="13"/>
                <w:color w:val="auto"/>
              </w:rPr>
            </w:pPr>
          </w:p>
        </w:tc>
        <w:tc>
          <w:tcPr>
            <w:tcW w:w="940" w:type="dxa"/>
            <w:vAlign w:val="bottom"/>
            <w:tcBorders>
              <w:bottom w:val="single" w:sz="8" w:color="auto"/>
            </w:tcBorders>
            <w:gridSpan w:val="3"/>
          </w:tcPr>
          <w:p>
            <w:pPr>
              <w:jc w:val="center"/>
              <w:ind w:left="88"/>
              <w:spacing w:after="0" w:line="157" w:lineRule="exact"/>
              <w:rPr>
                <w:sz w:val="20"/>
                <w:szCs w:val="20"/>
                <w:color w:val="auto"/>
              </w:rPr>
            </w:pPr>
            <w:r>
              <w:rPr>
                <w:rFonts w:ascii="Arial" w:cs="Arial" w:eastAsia="Arial" w:hAnsi="Arial"/>
                <w:sz w:val="14"/>
                <w:szCs w:val="14"/>
                <w:color w:val="auto"/>
              </w:rPr>
              <w:t>Lines</w:t>
            </w:r>
          </w:p>
        </w:tc>
        <w:tc>
          <w:tcPr>
            <w:tcW w:w="1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3"/>
          </w:tcPr>
          <w:p>
            <w:pPr>
              <w:jc w:val="center"/>
              <w:ind w:right="188"/>
              <w:spacing w:after="0" w:line="157" w:lineRule="exact"/>
              <w:rPr>
                <w:sz w:val="20"/>
                <w:szCs w:val="20"/>
                <w:color w:val="auto"/>
              </w:rPr>
            </w:pPr>
            <w:r>
              <w:rPr>
                <w:rFonts w:ascii="Arial" w:cs="Arial" w:eastAsia="Arial" w:hAnsi="Arial"/>
                <w:sz w:val="14"/>
                <w:szCs w:val="14"/>
                <w:color w:val="auto"/>
              </w:rPr>
              <w:t>rate</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center"/>
              <w:ind w:right="348"/>
              <w:spacing w:after="0" w:line="157" w:lineRule="exact"/>
              <w:rPr>
                <w:sz w:val="20"/>
                <w:szCs w:val="20"/>
                <w:color w:val="auto"/>
              </w:rPr>
            </w:pPr>
            <w:r>
              <w:rPr>
                <w:rFonts w:ascii="Arial" w:cs="Arial" w:eastAsia="Arial" w:hAnsi="Arial"/>
                <w:sz w:val="14"/>
                <w:szCs w:val="14"/>
                <w:color w:val="auto"/>
              </w:rPr>
              <w:t>Lines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68"/>
              <w:spacing w:after="0" w:line="157" w:lineRule="exact"/>
              <w:rPr>
                <w:sz w:val="20"/>
                <w:szCs w:val="20"/>
                <w:color w:val="auto"/>
              </w:rPr>
            </w:pPr>
            <w:r>
              <w:rPr>
                <w:rFonts w:ascii="Arial" w:cs="Arial" w:eastAsia="Arial" w:hAnsi="Arial"/>
                <w:sz w:val="14"/>
                <w:szCs w:val="14"/>
                <w:color w:val="auto"/>
              </w:rPr>
              <w:t>rate</w:t>
            </w: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12/31/2005</w:t>
            </w:r>
          </w:p>
        </w:tc>
        <w:tc>
          <w:tcPr>
            <w:tcW w:w="1960" w:type="dxa"/>
            <w:vAlign w:val="bottom"/>
            <w:gridSpan w:val="4"/>
            <w:shd w:val="clear" w:color="auto" w:fill="CCEEFF"/>
          </w:tcPr>
          <w:p>
            <w:pPr>
              <w:jc w:val="center"/>
              <w:ind w:left="990"/>
              <w:spacing w:after="0" w:line="196" w:lineRule="exact"/>
              <w:rPr>
                <w:sz w:val="20"/>
                <w:szCs w:val="20"/>
                <w:color w:val="auto"/>
              </w:rPr>
            </w:pPr>
            <w:r>
              <w:rPr>
                <w:rFonts w:ascii="Arial" w:cs="Arial" w:eastAsia="Arial" w:hAnsi="Arial"/>
                <w:sz w:val="18"/>
                <w:szCs w:val="18"/>
                <w:color w:val="auto"/>
                <w:w w:val="99"/>
              </w:rPr>
              <w:t>1,640,563</w:t>
            </w:r>
          </w:p>
        </w:tc>
        <w:tc>
          <w:tcPr>
            <w:tcW w:w="1140" w:type="dxa"/>
            <w:vAlign w:val="bottom"/>
            <w:gridSpan w:val="6"/>
            <w:shd w:val="clear" w:color="auto" w:fill="CCEEFF"/>
          </w:tcPr>
          <w:p>
            <w:pPr>
              <w:jc w:val="right"/>
              <w:spacing w:after="0" w:line="196" w:lineRule="exact"/>
              <w:rPr>
                <w:sz w:val="20"/>
                <w:szCs w:val="20"/>
                <w:color w:val="auto"/>
              </w:rPr>
            </w:pPr>
            <w:r>
              <w:rPr>
                <w:rFonts w:ascii="Arial" w:cs="Arial" w:eastAsia="Arial" w:hAnsi="Arial"/>
                <w:sz w:val="18"/>
                <w:szCs w:val="18"/>
                <w:color w:val="auto"/>
              </w:rPr>
              <w:t>(1.8)%</w:t>
            </w:r>
          </w:p>
        </w:tc>
        <w:tc>
          <w:tcPr>
            <w:tcW w:w="1520" w:type="dxa"/>
            <w:vAlign w:val="bottom"/>
            <w:gridSpan w:val="5"/>
            <w:shd w:val="clear" w:color="auto" w:fill="CCEEFF"/>
          </w:tcPr>
          <w:p>
            <w:pPr>
              <w:jc w:val="center"/>
              <w:ind w:left="196"/>
              <w:spacing w:after="0" w:line="196" w:lineRule="exact"/>
              <w:rPr>
                <w:sz w:val="20"/>
                <w:szCs w:val="20"/>
                <w:color w:val="auto"/>
              </w:rPr>
            </w:pPr>
            <w:r>
              <w:rPr>
                <w:rFonts w:ascii="Arial" w:cs="Arial" w:eastAsia="Arial" w:hAnsi="Arial"/>
                <w:sz w:val="18"/>
                <w:szCs w:val="18"/>
                <w:color w:val="auto"/>
                <w:w w:val="99"/>
              </w:rPr>
              <w:t>1,353,912</w:t>
            </w:r>
          </w:p>
        </w:tc>
        <w:tc>
          <w:tcPr>
            <w:tcW w:w="1040" w:type="dxa"/>
            <w:vAlign w:val="bottom"/>
            <w:gridSpan w:val="2"/>
            <w:shd w:val="clear" w:color="auto" w:fill="CCEEFF"/>
          </w:tcPr>
          <w:p>
            <w:pPr>
              <w:jc w:val="right"/>
              <w:ind w:right="68"/>
              <w:spacing w:after="0" w:line="196" w:lineRule="exact"/>
              <w:rPr>
                <w:sz w:val="20"/>
                <w:szCs w:val="20"/>
                <w:color w:val="auto"/>
              </w:rPr>
            </w:pPr>
            <w:r>
              <w:rPr>
                <w:rFonts w:ascii="Arial" w:cs="Arial" w:eastAsia="Arial" w:hAnsi="Arial"/>
                <w:sz w:val="18"/>
                <w:szCs w:val="18"/>
                <w:color w:val="auto"/>
              </w:rPr>
              <w:t>0.5%</w:t>
            </w:r>
          </w:p>
        </w:tc>
        <w:tc>
          <w:tcPr>
            <w:tcW w:w="1140" w:type="dxa"/>
            <w:vAlign w:val="bottom"/>
            <w:gridSpan w:val="4"/>
            <w:shd w:val="clear" w:color="auto" w:fill="CCEEFF"/>
          </w:tcPr>
          <w:p>
            <w:pPr>
              <w:jc w:val="center"/>
              <w:ind w:left="290"/>
              <w:spacing w:after="0" w:line="196" w:lineRule="exact"/>
              <w:rPr>
                <w:sz w:val="20"/>
                <w:szCs w:val="20"/>
                <w:color w:val="auto"/>
              </w:rPr>
            </w:pPr>
            <w:r>
              <w:rPr>
                <w:rFonts w:ascii="Arial" w:cs="Arial" w:eastAsia="Arial" w:hAnsi="Arial"/>
                <w:sz w:val="18"/>
                <w:szCs w:val="18"/>
                <w:color w:val="auto"/>
                <w:w w:val="98"/>
              </w:rPr>
              <w:t>286,604</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5"/>
            <w:shd w:val="clear" w:color="auto" w:fill="CCEEFF"/>
          </w:tcPr>
          <w:p>
            <w:pPr>
              <w:jc w:val="center"/>
              <w:ind w:right="128"/>
              <w:spacing w:after="0" w:line="196" w:lineRule="exact"/>
              <w:rPr>
                <w:sz w:val="20"/>
                <w:szCs w:val="20"/>
                <w:color w:val="auto"/>
              </w:rPr>
            </w:pPr>
            <w:r>
              <w:rPr>
                <w:rFonts w:ascii="Arial" w:cs="Arial" w:eastAsia="Arial" w:hAnsi="Arial"/>
                <w:sz w:val="18"/>
                <w:szCs w:val="18"/>
                <w:color w:val="auto"/>
                <w:w w:val="99"/>
              </w:rPr>
              <w:t>3,281,079</w:t>
            </w: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8"/>
              <w:spacing w:after="0" w:line="196" w:lineRule="exact"/>
              <w:rPr>
                <w:sz w:val="20"/>
                <w:szCs w:val="20"/>
                <w:color w:val="auto"/>
              </w:rPr>
            </w:pPr>
            <w:r>
              <w:rPr>
                <w:rFonts w:ascii="Arial" w:cs="Arial" w:eastAsia="Arial" w:hAnsi="Arial"/>
                <w:sz w:val="18"/>
                <w:szCs w:val="18"/>
                <w:color w:val="auto"/>
              </w:rPr>
              <w:t>(0.5)%</w:t>
            </w:r>
          </w:p>
        </w:tc>
      </w:tr>
      <w:tr>
        <w:trPr>
          <w:trHeight w:val="203"/>
        </w:trPr>
        <w:tc>
          <w:tcPr>
            <w:tcW w:w="20" w:type="dxa"/>
            <w:vAlign w:val="bottom"/>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7"/>
              </w:rPr>
              <w:t>03/31/2006</w:t>
            </w:r>
          </w:p>
        </w:tc>
        <w:tc>
          <w:tcPr>
            <w:tcW w:w="1960" w:type="dxa"/>
            <w:vAlign w:val="bottom"/>
            <w:gridSpan w:val="4"/>
          </w:tcPr>
          <w:p>
            <w:pPr>
              <w:jc w:val="center"/>
              <w:ind w:left="990"/>
              <w:spacing w:after="0" w:line="202" w:lineRule="exact"/>
              <w:rPr>
                <w:sz w:val="20"/>
                <w:szCs w:val="20"/>
                <w:color w:val="auto"/>
              </w:rPr>
            </w:pPr>
            <w:r>
              <w:rPr>
                <w:rFonts w:ascii="Arial" w:cs="Arial" w:eastAsia="Arial" w:hAnsi="Arial"/>
                <w:sz w:val="18"/>
                <w:szCs w:val="18"/>
                <w:color w:val="auto"/>
                <w:w w:val="99"/>
              </w:rPr>
              <w:t>1,636,048</w:t>
            </w:r>
          </w:p>
        </w:tc>
        <w:tc>
          <w:tcPr>
            <w:tcW w:w="1000" w:type="dxa"/>
            <w:vAlign w:val="bottom"/>
            <w:gridSpan w:val="5"/>
          </w:tcPr>
          <w:p>
            <w:pPr>
              <w:jc w:val="right"/>
              <w:ind w:right="40"/>
              <w:spacing w:after="0" w:line="202" w:lineRule="exact"/>
              <w:rPr>
                <w:sz w:val="20"/>
                <w:szCs w:val="20"/>
                <w:color w:val="auto"/>
              </w:rPr>
            </w:pPr>
            <w:r>
              <w:rPr>
                <w:rFonts w:ascii="Arial" w:cs="Arial" w:eastAsia="Arial" w:hAnsi="Arial"/>
                <w:sz w:val="18"/>
                <w:szCs w:val="18"/>
                <w:color w:val="auto"/>
              </w:rPr>
              <w:t>(1.6)</w:t>
            </w:r>
          </w:p>
        </w:tc>
        <w:tc>
          <w:tcPr>
            <w:tcW w:w="140" w:type="dxa"/>
            <w:vAlign w:val="bottom"/>
          </w:tcPr>
          <w:p>
            <w:pPr>
              <w:spacing w:after="0"/>
              <w:rPr>
                <w:sz w:val="17"/>
                <w:szCs w:val="17"/>
                <w:color w:val="auto"/>
              </w:rPr>
            </w:pPr>
          </w:p>
        </w:tc>
        <w:tc>
          <w:tcPr>
            <w:tcW w:w="1520" w:type="dxa"/>
            <w:vAlign w:val="bottom"/>
            <w:gridSpan w:val="5"/>
          </w:tcPr>
          <w:p>
            <w:pPr>
              <w:jc w:val="center"/>
              <w:ind w:left="196"/>
              <w:spacing w:after="0" w:line="202" w:lineRule="exact"/>
              <w:rPr>
                <w:sz w:val="20"/>
                <w:szCs w:val="20"/>
                <w:color w:val="auto"/>
              </w:rPr>
            </w:pPr>
            <w:r>
              <w:rPr>
                <w:rFonts w:ascii="Arial" w:cs="Arial" w:eastAsia="Arial" w:hAnsi="Arial"/>
                <w:sz w:val="18"/>
                <w:szCs w:val="18"/>
                <w:color w:val="auto"/>
                <w:w w:val="99"/>
              </w:rPr>
              <w:t>1,356,885</w:t>
            </w:r>
          </w:p>
        </w:tc>
        <w:tc>
          <w:tcPr>
            <w:tcW w:w="1040" w:type="dxa"/>
            <w:vAlign w:val="bottom"/>
            <w:gridSpan w:val="2"/>
          </w:tcPr>
          <w:p>
            <w:pPr>
              <w:jc w:val="center"/>
              <w:ind w:left="110"/>
              <w:spacing w:after="0" w:line="202" w:lineRule="exact"/>
              <w:rPr>
                <w:sz w:val="20"/>
                <w:szCs w:val="20"/>
                <w:color w:val="auto"/>
              </w:rPr>
            </w:pPr>
            <w:r>
              <w:rPr>
                <w:rFonts w:ascii="Arial" w:cs="Arial" w:eastAsia="Arial" w:hAnsi="Arial"/>
                <w:sz w:val="18"/>
                <w:szCs w:val="18"/>
                <w:color w:val="auto"/>
                <w:w w:val="95"/>
              </w:rPr>
              <w:t>1.0</w:t>
            </w:r>
          </w:p>
        </w:tc>
        <w:tc>
          <w:tcPr>
            <w:tcW w:w="1140" w:type="dxa"/>
            <w:vAlign w:val="bottom"/>
            <w:gridSpan w:val="4"/>
          </w:tcPr>
          <w:p>
            <w:pPr>
              <w:jc w:val="center"/>
              <w:ind w:left="290"/>
              <w:spacing w:after="0" w:line="202" w:lineRule="exact"/>
              <w:rPr>
                <w:sz w:val="20"/>
                <w:szCs w:val="20"/>
                <w:color w:val="auto"/>
              </w:rPr>
            </w:pPr>
            <w:r>
              <w:rPr>
                <w:rFonts w:ascii="Arial" w:cs="Arial" w:eastAsia="Arial" w:hAnsi="Arial"/>
                <w:sz w:val="18"/>
                <w:szCs w:val="18"/>
                <w:color w:val="auto"/>
                <w:w w:val="98"/>
              </w:rPr>
              <w:t>289,964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3.6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5"/>
          </w:tcPr>
          <w:p>
            <w:pPr>
              <w:jc w:val="center"/>
              <w:ind w:right="128"/>
              <w:spacing w:after="0" w:line="202" w:lineRule="exact"/>
              <w:rPr>
                <w:sz w:val="20"/>
                <w:szCs w:val="20"/>
                <w:color w:val="auto"/>
              </w:rPr>
            </w:pPr>
            <w:r>
              <w:rPr>
                <w:rFonts w:ascii="Arial" w:cs="Arial" w:eastAsia="Arial" w:hAnsi="Arial"/>
                <w:sz w:val="18"/>
                <w:szCs w:val="18"/>
                <w:color w:val="auto"/>
                <w:w w:val="99"/>
              </w:rPr>
              <w:t>3,282,897</w:t>
            </w:r>
          </w:p>
        </w:tc>
        <w:tc>
          <w:tcPr>
            <w:tcW w:w="140" w:type="dxa"/>
            <w:vAlign w:val="bottom"/>
          </w:tcPr>
          <w:p>
            <w:pPr>
              <w:spacing w:after="0"/>
              <w:rPr>
                <w:sz w:val="17"/>
                <w:szCs w:val="17"/>
                <w:color w:val="auto"/>
              </w:rPr>
            </w:pPr>
          </w:p>
        </w:tc>
        <w:tc>
          <w:tcPr>
            <w:tcW w:w="900" w:type="dxa"/>
            <w:vAlign w:val="bottom"/>
            <w:gridSpan w:val="3"/>
          </w:tcPr>
          <w:p>
            <w:pPr>
              <w:jc w:val="right"/>
              <w:ind w:right="168"/>
              <w:spacing w:after="0" w:line="202" w:lineRule="exact"/>
              <w:rPr>
                <w:sz w:val="20"/>
                <w:szCs w:val="20"/>
                <w:color w:val="auto"/>
              </w:rPr>
            </w:pPr>
            <w:r>
              <w:rPr>
                <w:rFonts w:ascii="Arial" w:cs="Arial" w:eastAsia="Arial" w:hAnsi="Arial"/>
                <w:sz w:val="18"/>
                <w:szCs w:val="18"/>
                <w:color w:val="auto"/>
              </w:rPr>
              <w:t>(0.1)</w:t>
            </w:r>
          </w:p>
        </w:tc>
      </w:tr>
      <w:tr>
        <w:trPr>
          <w:trHeight w:val="203"/>
        </w:trPr>
        <w:tc>
          <w:tcPr>
            <w:tcW w:w="20" w:type="dxa"/>
            <w:vAlign w:val="bottom"/>
          </w:tcPr>
          <w:p>
            <w:pPr>
              <w:spacing w:after="0"/>
              <w:rPr>
                <w:sz w:val="17"/>
                <w:szCs w:val="17"/>
                <w:color w:val="auto"/>
              </w:rPr>
            </w:pP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06/30/2006</w:t>
            </w:r>
          </w:p>
        </w:tc>
        <w:tc>
          <w:tcPr>
            <w:tcW w:w="1960" w:type="dxa"/>
            <w:vAlign w:val="bottom"/>
            <w:gridSpan w:val="4"/>
            <w:shd w:val="clear" w:color="auto" w:fill="CCEEFF"/>
          </w:tcPr>
          <w:p>
            <w:pPr>
              <w:jc w:val="center"/>
              <w:ind w:left="990"/>
              <w:spacing w:after="0" w:line="202" w:lineRule="exact"/>
              <w:rPr>
                <w:sz w:val="20"/>
                <w:szCs w:val="20"/>
                <w:color w:val="auto"/>
              </w:rPr>
            </w:pPr>
            <w:r>
              <w:rPr>
                <w:rFonts w:ascii="Arial" w:cs="Arial" w:eastAsia="Arial" w:hAnsi="Arial"/>
                <w:sz w:val="18"/>
                <w:szCs w:val="18"/>
                <w:color w:val="auto"/>
                <w:w w:val="99"/>
              </w:rPr>
              <w:t>1,637,472</w:t>
            </w:r>
          </w:p>
        </w:tc>
        <w:tc>
          <w:tcPr>
            <w:tcW w:w="1000" w:type="dxa"/>
            <w:vAlign w:val="bottom"/>
            <w:gridSpan w:val="5"/>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7"/>
                <w:szCs w:val="17"/>
                <w:color w:val="auto"/>
              </w:rPr>
            </w:pPr>
          </w:p>
        </w:tc>
        <w:tc>
          <w:tcPr>
            <w:tcW w:w="1520" w:type="dxa"/>
            <w:vAlign w:val="bottom"/>
            <w:gridSpan w:val="5"/>
            <w:shd w:val="clear" w:color="auto" w:fill="CCEEFF"/>
          </w:tcPr>
          <w:p>
            <w:pPr>
              <w:jc w:val="center"/>
              <w:ind w:left="196"/>
              <w:spacing w:after="0" w:line="202" w:lineRule="exact"/>
              <w:rPr>
                <w:sz w:val="20"/>
                <w:szCs w:val="20"/>
                <w:color w:val="auto"/>
              </w:rPr>
            </w:pPr>
            <w:r>
              <w:rPr>
                <w:rFonts w:ascii="Arial" w:cs="Arial" w:eastAsia="Arial" w:hAnsi="Arial"/>
                <w:sz w:val="18"/>
                <w:szCs w:val="18"/>
                <w:color w:val="auto"/>
                <w:w w:val="99"/>
              </w:rPr>
              <w:t>1,366,633</w:t>
            </w:r>
          </w:p>
        </w:tc>
        <w:tc>
          <w:tcPr>
            <w:tcW w:w="1040" w:type="dxa"/>
            <w:vAlign w:val="bottom"/>
            <w:gridSpan w:val="2"/>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5"/>
              </w:rPr>
              <w:t>1.2</w:t>
            </w:r>
          </w:p>
        </w:tc>
        <w:tc>
          <w:tcPr>
            <w:tcW w:w="1140" w:type="dxa"/>
            <w:vAlign w:val="bottom"/>
            <w:gridSpan w:val="4"/>
            <w:shd w:val="clear" w:color="auto" w:fill="CCEEFF"/>
          </w:tcPr>
          <w:p>
            <w:pPr>
              <w:jc w:val="center"/>
              <w:ind w:left="290"/>
              <w:spacing w:after="0" w:line="202" w:lineRule="exact"/>
              <w:rPr>
                <w:sz w:val="20"/>
                <w:szCs w:val="20"/>
                <w:color w:val="auto"/>
              </w:rPr>
            </w:pPr>
            <w:r>
              <w:rPr>
                <w:rFonts w:ascii="Arial" w:cs="Arial" w:eastAsia="Arial" w:hAnsi="Arial"/>
                <w:sz w:val="18"/>
                <w:szCs w:val="18"/>
                <w:color w:val="auto"/>
                <w:w w:val="98"/>
              </w:rPr>
              <w:t>294,409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5"/>
            <w:shd w:val="clear" w:color="auto" w:fill="CCEEFF"/>
          </w:tcPr>
          <w:p>
            <w:pPr>
              <w:jc w:val="center"/>
              <w:ind w:right="128"/>
              <w:spacing w:after="0" w:line="202" w:lineRule="exact"/>
              <w:rPr>
                <w:sz w:val="20"/>
                <w:szCs w:val="20"/>
                <w:color w:val="auto"/>
              </w:rPr>
            </w:pPr>
            <w:r>
              <w:rPr>
                <w:rFonts w:ascii="Arial" w:cs="Arial" w:eastAsia="Arial" w:hAnsi="Arial"/>
                <w:sz w:val="18"/>
                <w:szCs w:val="18"/>
                <w:color w:val="auto"/>
                <w:w w:val="99"/>
              </w:rPr>
              <w:t>3,298,514</w:t>
            </w: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0.2</w:t>
            </w:r>
          </w:p>
        </w:tc>
      </w:tr>
      <w:tr>
        <w:trPr>
          <w:trHeight w:val="203"/>
        </w:trPr>
        <w:tc>
          <w:tcPr>
            <w:tcW w:w="20" w:type="dxa"/>
            <w:vAlign w:val="bottom"/>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7"/>
              </w:rPr>
              <w:t>09/30/2006</w:t>
            </w:r>
          </w:p>
        </w:tc>
        <w:tc>
          <w:tcPr>
            <w:tcW w:w="1960" w:type="dxa"/>
            <w:vAlign w:val="bottom"/>
            <w:gridSpan w:val="4"/>
          </w:tcPr>
          <w:p>
            <w:pPr>
              <w:jc w:val="center"/>
              <w:ind w:left="990"/>
              <w:spacing w:after="0" w:line="202" w:lineRule="exact"/>
              <w:rPr>
                <w:sz w:val="20"/>
                <w:szCs w:val="20"/>
                <w:color w:val="auto"/>
              </w:rPr>
            </w:pPr>
            <w:r>
              <w:rPr>
                <w:rFonts w:ascii="Arial" w:cs="Arial" w:eastAsia="Arial" w:hAnsi="Arial"/>
                <w:sz w:val="18"/>
                <w:szCs w:val="18"/>
                <w:color w:val="auto"/>
                <w:w w:val="99"/>
              </w:rPr>
              <w:t>1,636,947</w:t>
            </w:r>
          </w:p>
        </w:tc>
        <w:tc>
          <w:tcPr>
            <w:tcW w:w="1000" w:type="dxa"/>
            <w:vAlign w:val="bottom"/>
            <w:gridSpan w:val="5"/>
          </w:tcPr>
          <w:p>
            <w:pPr>
              <w:jc w:val="right"/>
              <w:ind w:right="40"/>
              <w:spacing w:after="0" w:line="202" w:lineRule="exact"/>
              <w:rPr>
                <w:sz w:val="20"/>
                <w:szCs w:val="20"/>
                <w:color w:val="auto"/>
              </w:rPr>
            </w:pPr>
            <w:r>
              <w:rPr>
                <w:rFonts w:ascii="Arial" w:cs="Arial" w:eastAsia="Arial" w:hAnsi="Arial"/>
                <w:sz w:val="18"/>
                <w:szCs w:val="18"/>
                <w:color w:val="auto"/>
              </w:rPr>
              <w:t>(0.9)</w:t>
            </w:r>
          </w:p>
        </w:tc>
        <w:tc>
          <w:tcPr>
            <w:tcW w:w="140" w:type="dxa"/>
            <w:vAlign w:val="bottom"/>
          </w:tcPr>
          <w:p>
            <w:pPr>
              <w:spacing w:after="0"/>
              <w:rPr>
                <w:sz w:val="17"/>
                <w:szCs w:val="17"/>
                <w:color w:val="auto"/>
              </w:rPr>
            </w:pPr>
          </w:p>
        </w:tc>
        <w:tc>
          <w:tcPr>
            <w:tcW w:w="1520" w:type="dxa"/>
            <w:vAlign w:val="bottom"/>
            <w:gridSpan w:val="5"/>
          </w:tcPr>
          <w:p>
            <w:pPr>
              <w:jc w:val="center"/>
              <w:ind w:left="196"/>
              <w:spacing w:after="0" w:line="202" w:lineRule="exact"/>
              <w:rPr>
                <w:sz w:val="20"/>
                <w:szCs w:val="20"/>
                <w:color w:val="auto"/>
              </w:rPr>
            </w:pPr>
            <w:r>
              <w:rPr>
                <w:rFonts w:ascii="Arial" w:cs="Arial" w:eastAsia="Arial" w:hAnsi="Arial"/>
                <w:sz w:val="18"/>
                <w:szCs w:val="18"/>
                <w:color w:val="auto"/>
                <w:w w:val="99"/>
              </w:rPr>
              <w:t>1,373,763</w:t>
            </w:r>
          </w:p>
        </w:tc>
        <w:tc>
          <w:tcPr>
            <w:tcW w:w="1040" w:type="dxa"/>
            <w:vAlign w:val="bottom"/>
            <w:gridSpan w:val="2"/>
          </w:tcPr>
          <w:p>
            <w:pPr>
              <w:jc w:val="center"/>
              <w:ind w:left="110"/>
              <w:spacing w:after="0" w:line="202" w:lineRule="exact"/>
              <w:rPr>
                <w:sz w:val="20"/>
                <w:szCs w:val="20"/>
                <w:color w:val="auto"/>
              </w:rPr>
            </w:pPr>
            <w:r>
              <w:rPr>
                <w:rFonts w:ascii="Arial" w:cs="Arial" w:eastAsia="Arial" w:hAnsi="Arial"/>
                <w:sz w:val="18"/>
                <w:szCs w:val="18"/>
                <w:color w:val="auto"/>
                <w:w w:val="95"/>
              </w:rPr>
              <w:t>1.4</w:t>
            </w:r>
          </w:p>
        </w:tc>
        <w:tc>
          <w:tcPr>
            <w:tcW w:w="1140" w:type="dxa"/>
            <w:vAlign w:val="bottom"/>
            <w:gridSpan w:val="4"/>
          </w:tcPr>
          <w:p>
            <w:pPr>
              <w:jc w:val="center"/>
              <w:ind w:left="290"/>
              <w:spacing w:after="0" w:line="202" w:lineRule="exact"/>
              <w:rPr>
                <w:sz w:val="20"/>
                <w:szCs w:val="20"/>
                <w:color w:val="auto"/>
              </w:rPr>
            </w:pPr>
            <w:r>
              <w:rPr>
                <w:rFonts w:ascii="Arial" w:cs="Arial" w:eastAsia="Arial" w:hAnsi="Arial"/>
                <w:sz w:val="18"/>
                <w:szCs w:val="18"/>
                <w:color w:val="auto"/>
                <w:w w:val="98"/>
              </w:rPr>
              <w:t>298,361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4.6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5"/>
          </w:tcPr>
          <w:p>
            <w:pPr>
              <w:jc w:val="center"/>
              <w:ind w:right="128"/>
              <w:spacing w:after="0" w:line="202" w:lineRule="exact"/>
              <w:rPr>
                <w:sz w:val="20"/>
                <w:szCs w:val="20"/>
                <w:color w:val="auto"/>
              </w:rPr>
            </w:pPr>
            <w:r>
              <w:rPr>
                <w:rFonts w:ascii="Arial" w:cs="Arial" w:eastAsia="Arial" w:hAnsi="Arial"/>
                <w:sz w:val="18"/>
                <w:szCs w:val="18"/>
                <w:color w:val="auto"/>
                <w:w w:val="99"/>
              </w:rPr>
              <w:t>3,309,071</w:t>
            </w:r>
          </w:p>
        </w:tc>
        <w:tc>
          <w:tcPr>
            <w:tcW w:w="140" w:type="dxa"/>
            <w:vAlign w:val="bottom"/>
          </w:tcPr>
          <w:p>
            <w:pPr>
              <w:spacing w:after="0"/>
              <w:rPr>
                <w:sz w:val="17"/>
                <w:szCs w:val="17"/>
                <w:color w:val="auto"/>
              </w:rPr>
            </w:pPr>
          </w:p>
        </w:tc>
        <w:tc>
          <w:tcPr>
            <w:tcW w:w="900" w:type="dxa"/>
            <w:vAlign w:val="bottom"/>
            <w:gridSpan w:val="3"/>
          </w:tcPr>
          <w:p>
            <w:pPr>
              <w:jc w:val="right"/>
              <w:ind w:right="228"/>
              <w:spacing w:after="0" w:line="202" w:lineRule="exact"/>
              <w:rPr>
                <w:sz w:val="20"/>
                <w:szCs w:val="20"/>
                <w:color w:val="auto"/>
              </w:rPr>
            </w:pPr>
            <w:r>
              <w:rPr>
                <w:rFonts w:ascii="Arial" w:cs="Arial" w:eastAsia="Arial" w:hAnsi="Arial"/>
                <w:sz w:val="18"/>
                <w:szCs w:val="18"/>
                <w:color w:val="auto"/>
              </w:rPr>
              <w:t>0.5</w:t>
            </w:r>
          </w:p>
        </w:tc>
      </w:tr>
      <w:tr>
        <w:trPr>
          <w:trHeight w:val="203"/>
        </w:trPr>
        <w:tc>
          <w:tcPr>
            <w:tcW w:w="20" w:type="dxa"/>
            <w:vAlign w:val="bottom"/>
          </w:tcPr>
          <w:p>
            <w:pPr>
              <w:spacing w:after="0"/>
              <w:rPr>
                <w:sz w:val="17"/>
                <w:szCs w:val="17"/>
                <w:color w:val="auto"/>
              </w:rPr>
            </w:pP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12/31/2006</w:t>
            </w:r>
          </w:p>
        </w:tc>
        <w:tc>
          <w:tcPr>
            <w:tcW w:w="1960" w:type="dxa"/>
            <w:vAlign w:val="bottom"/>
            <w:gridSpan w:val="4"/>
            <w:shd w:val="clear" w:color="auto" w:fill="CCEEFF"/>
          </w:tcPr>
          <w:p>
            <w:pPr>
              <w:jc w:val="center"/>
              <w:ind w:left="990"/>
              <w:spacing w:after="0" w:line="202" w:lineRule="exact"/>
              <w:rPr>
                <w:sz w:val="20"/>
                <w:szCs w:val="20"/>
                <w:color w:val="auto"/>
              </w:rPr>
            </w:pPr>
            <w:r>
              <w:rPr>
                <w:rFonts w:ascii="Arial" w:cs="Arial" w:eastAsia="Arial" w:hAnsi="Arial"/>
                <w:sz w:val="18"/>
                <w:szCs w:val="18"/>
                <w:color w:val="auto"/>
                <w:w w:val="99"/>
              </w:rPr>
              <w:t>1,633,882</w:t>
            </w:r>
          </w:p>
        </w:tc>
        <w:tc>
          <w:tcPr>
            <w:tcW w:w="1000" w:type="dxa"/>
            <w:vAlign w:val="bottom"/>
            <w:gridSpan w:val="5"/>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7"/>
                <w:szCs w:val="17"/>
                <w:color w:val="auto"/>
              </w:rPr>
            </w:pPr>
          </w:p>
        </w:tc>
        <w:tc>
          <w:tcPr>
            <w:tcW w:w="1520" w:type="dxa"/>
            <w:vAlign w:val="bottom"/>
            <w:gridSpan w:val="5"/>
            <w:shd w:val="clear" w:color="auto" w:fill="CCEEFF"/>
          </w:tcPr>
          <w:p>
            <w:pPr>
              <w:jc w:val="center"/>
              <w:ind w:left="196"/>
              <w:spacing w:after="0" w:line="202" w:lineRule="exact"/>
              <w:rPr>
                <w:sz w:val="20"/>
                <w:szCs w:val="20"/>
                <w:color w:val="auto"/>
              </w:rPr>
            </w:pPr>
            <w:r>
              <w:rPr>
                <w:rFonts w:ascii="Arial" w:cs="Arial" w:eastAsia="Arial" w:hAnsi="Arial"/>
                <w:sz w:val="18"/>
                <w:szCs w:val="18"/>
                <w:color w:val="auto"/>
                <w:w w:val="99"/>
              </w:rPr>
              <w:t>1,377,965</w:t>
            </w:r>
          </w:p>
        </w:tc>
        <w:tc>
          <w:tcPr>
            <w:tcW w:w="1040" w:type="dxa"/>
            <w:vAlign w:val="bottom"/>
            <w:gridSpan w:val="2"/>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5"/>
              </w:rPr>
              <w:t>1.8</w:t>
            </w:r>
          </w:p>
        </w:tc>
        <w:tc>
          <w:tcPr>
            <w:tcW w:w="1140" w:type="dxa"/>
            <w:vAlign w:val="bottom"/>
            <w:gridSpan w:val="4"/>
            <w:shd w:val="clear" w:color="auto" w:fill="CCEEFF"/>
          </w:tcPr>
          <w:p>
            <w:pPr>
              <w:jc w:val="center"/>
              <w:ind w:left="290"/>
              <w:spacing w:after="0" w:line="202" w:lineRule="exact"/>
              <w:rPr>
                <w:sz w:val="20"/>
                <w:szCs w:val="20"/>
                <w:color w:val="auto"/>
              </w:rPr>
            </w:pPr>
            <w:r>
              <w:rPr>
                <w:rFonts w:ascii="Arial" w:cs="Arial" w:eastAsia="Arial" w:hAnsi="Arial"/>
                <w:sz w:val="18"/>
                <w:szCs w:val="18"/>
                <w:color w:val="auto"/>
                <w:w w:val="98"/>
              </w:rPr>
              <w:t>301,497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5"/>
            <w:shd w:val="clear" w:color="auto" w:fill="CCEEFF"/>
          </w:tcPr>
          <w:p>
            <w:pPr>
              <w:jc w:val="center"/>
              <w:ind w:right="128"/>
              <w:spacing w:after="0" w:line="202" w:lineRule="exact"/>
              <w:rPr>
                <w:sz w:val="20"/>
                <w:szCs w:val="20"/>
                <w:color w:val="auto"/>
              </w:rPr>
            </w:pPr>
            <w:r>
              <w:rPr>
                <w:rFonts w:ascii="Arial" w:cs="Arial" w:eastAsia="Arial" w:hAnsi="Arial"/>
                <w:sz w:val="18"/>
                <w:szCs w:val="18"/>
                <w:color w:val="auto"/>
                <w:w w:val="99"/>
              </w:rPr>
              <w:t>3,313,344</w:t>
            </w: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1.0</w:t>
            </w:r>
          </w:p>
        </w:tc>
      </w:tr>
      <w:tr>
        <w:trPr>
          <w:trHeight w:val="217"/>
        </w:trPr>
        <w:tc>
          <w:tcPr>
            <w:tcW w:w="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03/31/2007</w:t>
            </w:r>
          </w:p>
        </w:tc>
        <w:tc>
          <w:tcPr>
            <w:tcW w:w="1960" w:type="dxa"/>
            <w:vAlign w:val="bottom"/>
            <w:gridSpan w:val="4"/>
          </w:tcPr>
          <w:p>
            <w:pPr>
              <w:jc w:val="center"/>
              <w:ind w:left="990"/>
              <w:spacing w:after="0"/>
              <w:rPr>
                <w:sz w:val="20"/>
                <w:szCs w:val="20"/>
                <w:color w:val="auto"/>
              </w:rPr>
            </w:pPr>
            <w:r>
              <w:rPr>
                <w:rFonts w:ascii="Arial" w:cs="Arial" w:eastAsia="Arial" w:hAnsi="Arial"/>
                <w:sz w:val="18"/>
                <w:szCs w:val="18"/>
                <w:color w:val="auto"/>
                <w:w w:val="99"/>
              </w:rPr>
              <w:t>1,635,714</w:t>
            </w:r>
          </w:p>
        </w:tc>
        <w:tc>
          <w:tcPr>
            <w:tcW w:w="1000" w:type="dxa"/>
            <w:vAlign w:val="bottom"/>
            <w:gridSpan w:val="5"/>
          </w:tcPr>
          <w:p>
            <w:pPr>
              <w:jc w:val="right"/>
              <w:ind w:right="10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1520" w:type="dxa"/>
            <w:vAlign w:val="bottom"/>
            <w:gridSpan w:val="5"/>
          </w:tcPr>
          <w:p>
            <w:pPr>
              <w:jc w:val="center"/>
              <w:ind w:left="196"/>
              <w:spacing w:after="0"/>
              <w:rPr>
                <w:sz w:val="20"/>
                <w:szCs w:val="20"/>
                <w:color w:val="auto"/>
              </w:rPr>
            </w:pPr>
            <w:r>
              <w:rPr>
                <w:rFonts w:ascii="Arial" w:cs="Arial" w:eastAsia="Arial" w:hAnsi="Arial"/>
                <w:sz w:val="18"/>
                <w:szCs w:val="18"/>
                <w:color w:val="auto"/>
                <w:w w:val="99"/>
              </w:rPr>
              <w:t>1,384,856</w:t>
            </w:r>
          </w:p>
        </w:tc>
        <w:tc>
          <w:tcPr>
            <w:tcW w:w="1040" w:type="dxa"/>
            <w:vAlign w:val="bottom"/>
            <w:gridSpan w:val="2"/>
          </w:tcPr>
          <w:p>
            <w:pPr>
              <w:jc w:val="center"/>
              <w:ind w:left="110"/>
              <w:spacing w:after="0"/>
              <w:rPr>
                <w:sz w:val="20"/>
                <w:szCs w:val="20"/>
                <w:color w:val="auto"/>
              </w:rPr>
            </w:pPr>
            <w:r>
              <w:rPr>
                <w:rFonts w:ascii="Arial" w:cs="Arial" w:eastAsia="Arial" w:hAnsi="Arial"/>
                <w:sz w:val="18"/>
                <w:szCs w:val="18"/>
                <w:color w:val="auto"/>
                <w:w w:val="95"/>
              </w:rPr>
              <w:t>2.1</w:t>
            </w:r>
          </w:p>
        </w:tc>
        <w:tc>
          <w:tcPr>
            <w:tcW w:w="1140" w:type="dxa"/>
            <w:vAlign w:val="bottom"/>
            <w:gridSpan w:val="4"/>
          </w:tcPr>
          <w:p>
            <w:pPr>
              <w:jc w:val="center"/>
              <w:ind w:left="290"/>
              <w:spacing w:after="0"/>
              <w:rPr>
                <w:sz w:val="20"/>
                <w:szCs w:val="20"/>
                <w:color w:val="auto"/>
              </w:rPr>
            </w:pPr>
            <w:r>
              <w:rPr>
                <w:rFonts w:ascii="Arial" w:cs="Arial" w:eastAsia="Arial" w:hAnsi="Arial"/>
                <w:sz w:val="18"/>
                <w:szCs w:val="18"/>
                <w:color w:val="auto"/>
                <w:w w:val="98"/>
              </w:rPr>
              <w:t>305,591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5"/>
          </w:tcPr>
          <w:p>
            <w:pPr>
              <w:jc w:val="center"/>
              <w:ind w:right="128"/>
              <w:spacing w:after="0"/>
              <w:rPr>
                <w:sz w:val="20"/>
                <w:szCs w:val="20"/>
                <w:color w:val="auto"/>
              </w:rPr>
            </w:pPr>
            <w:r>
              <w:rPr>
                <w:rFonts w:ascii="Arial" w:cs="Arial" w:eastAsia="Arial" w:hAnsi="Arial"/>
                <w:sz w:val="18"/>
                <w:szCs w:val="18"/>
                <w:color w:val="auto"/>
                <w:w w:val="99"/>
              </w:rPr>
              <w:t>3,326,161</w:t>
            </w:r>
          </w:p>
        </w:tc>
        <w:tc>
          <w:tcPr>
            <w:tcW w:w="140" w:type="dxa"/>
            <w:vAlign w:val="bottom"/>
          </w:tcPr>
          <w:p>
            <w:pPr>
              <w:spacing w:after="0"/>
              <w:rPr>
                <w:sz w:val="18"/>
                <w:szCs w:val="18"/>
                <w:color w:val="auto"/>
              </w:rPr>
            </w:pPr>
          </w:p>
        </w:tc>
        <w:tc>
          <w:tcPr>
            <w:tcW w:w="900" w:type="dxa"/>
            <w:vAlign w:val="bottom"/>
            <w:gridSpan w:val="3"/>
          </w:tcPr>
          <w:p>
            <w:pPr>
              <w:jc w:val="right"/>
              <w:ind w:right="228"/>
              <w:spacing w:after="0"/>
              <w:rPr>
                <w:sz w:val="20"/>
                <w:szCs w:val="20"/>
                <w:color w:val="auto"/>
              </w:rPr>
            </w:pPr>
            <w:r>
              <w:rPr>
                <w:rFonts w:ascii="Arial" w:cs="Arial" w:eastAsia="Arial" w:hAnsi="Arial"/>
                <w:sz w:val="18"/>
                <w:szCs w:val="18"/>
                <w:color w:val="auto"/>
              </w:rPr>
              <w:t>1.3</w:t>
            </w:r>
          </w:p>
        </w:tc>
      </w:tr>
      <w:tr>
        <w:trPr>
          <w:trHeight w:val="35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5"/>
          </w:tcPr>
          <w:p>
            <w:pPr>
              <w:jc w:val="center"/>
              <w:ind w:right="320"/>
              <w:spacing w:after="0"/>
              <w:rPr>
                <w:sz w:val="20"/>
                <w:szCs w:val="20"/>
                <w:color w:val="auto"/>
              </w:rPr>
            </w:pPr>
            <w:r>
              <w:rPr>
                <w:rFonts w:ascii="Arial" w:cs="Arial" w:eastAsia="Arial" w:hAnsi="Arial"/>
                <w:sz w:val="14"/>
                <w:szCs w:val="14"/>
                <w:color w:val="auto"/>
              </w:rPr>
              <w:t>12-mth.</w:t>
            </w:r>
          </w:p>
        </w:tc>
        <w:tc>
          <w:tcPr>
            <w:tcW w:w="140" w:type="dxa"/>
            <w:vAlign w:val="bottom"/>
          </w:tcPr>
          <w:p>
            <w:pPr>
              <w:spacing w:after="0"/>
              <w:rPr>
                <w:sz w:val="24"/>
                <w:szCs w:val="24"/>
                <w:color w:val="auto"/>
              </w:rPr>
            </w:pPr>
          </w:p>
        </w:tc>
        <w:tc>
          <w:tcPr>
            <w:tcW w:w="660" w:type="dxa"/>
            <w:vAlign w:val="bottom"/>
            <w:gridSpan w:val="3"/>
          </w:tcPr>
          <w:p>
            <w:pPr>
              <w:jc w:val="center"/>
              <w:ind w:right="188"/>
              <w:spacing w:after="0"/>
              <w:rPr>
                <w:sz w:val="20"/>
                <w:szCs w:val="20"/>
                <w:color w:val="auto"/>
              </w:rPr>
            </w:pPr>
            <w:r>
              <w:rPr>
                <w:rFonts w:ascii="Arial" w:cs="Arial" w:eastAsia="Arial" w:hAnsi="Arial"/>
                <w:sz w:val="14"/>
                <w:szCs w:val="14"/>
                <w:color w:val="auto"/>
              </w:rPr>
              <w:t>CML*</w:t>
            </w:r>
          </w:p>
        </w:tc>
        <w:tc>
          <w:tcPr>
            <w:tcW w:w="2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12-mth.</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4"/>
                <w:szCs w:val="14"/>
                <w:color w:val="auto"/>
              </w:rPr>
              <w:t>12-mth.</w:t>
            </w:r>
          </w:p>
        </w:tc>
        <w:tc>
          <w:tcPr>
            <w:tcW w:w="640" w:type="dxa"/>
            <w:vAlign w:val="bottom"/>
            <w:gridSpan w:val="4"/>
          </w:tcPr>
          <w:p>
            <w:pPr>
              <w:jc w:val="center"/>
              <w:spacing w:after="0"/>
              <w:rPr>
                <w:sz w:val="20"/>
                <w:szCs w:val="20"/>
                <w:color w:val="auto"/>
              </w:rPr>
            </w:pPr>
            <w:r>
              <w:rPr>
                <w:rFonts w:ascii="Arial" w:cs="Arial" w:eastAsia="Arial" w:hAnsi="Arial"/>
                <w:sz w:val="14"/>
                <w:szCs w:val="14"/>
                <w:color w:val="auto"/>
              </w:rPr>
              <w:t>All Other</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12-mth.</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color w:val="auto"/>
                <w:w w:val="96"/>
              </w:rPr>
              <w:t>Total</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12-mth.</w:t>
            </w:r>
          </w:p>
        </w:tc>
      </w:tr>
      <w:tr>
        <w:trPr>
          <w:trHeight w:val="16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color w:val="auto"/>
              </w:rPr>
              <w:t>CML*</w:t>
            </w:r>
          </w:p>
        </w:tc>
        <w:tc>
          <w:tcPr>
            <w:tcW w:w="1000" w:type="dxa"/>
            <w:vAlign w:val="bottom"/>
            <w:gridSpan w:val="5"/>
          </w:tcPr>
          <w:p>
            <w:pPr>
              <w:jc w:val="center"/>
              <w:ind w:right="320"/>
              <w:spacing w:after="0"/>
              <w:rPr>
                <w:sz w:val="20"/>
                <w:szCs w:val="20"/>
                <w:color w:val="auto"/>
              </w:rPr>
            </w:pPr>
            <w:r>
              <w:rPr>
                <w:rFonts w:ascii="Arial" w:cs="Arial" w:eastAsia="Arial" w:hAnsi="Arial"/>
                <w:sz w:val="14"/>
                <w:szCs w:val="14"/>
                <w:color w:val="auto"/>
              </w:rPr>
              <w:t>growth</w:t>
            </w:r>
          </w:p>
        </w:tc>
        <w:tc>
          <w:tcPr>
            <w:tcW w:w="140" w:type="dxa"/>
            <w:vAlign w:val="bottom"/>
          </w:tcPr>
          <w:p>
            <w:pPr>
              <w:spacing w:after="0"/>
              <w:rPr>
                <w:sz w:val="14"/>
                <w:szCs w:val="14"/>
                <w:color w:val="auto"/>
              </w:rPr>
            </w:pPr>
          </w:p>
        </w:tc>
        <w:tc>
          <w:tcPr>
            <w:tcW w:w="660" w:type="dxa"/>
            <w:vAlign w:val="bottom"/>
            <w:gridSpan w:val="3"/>
          </w:tcPr>
          <w:p>
            <w:pPr>
              <w:jc w:val="center"/>
              <w:ind w:right="188"/>
              <w:spacing w:after="0"/>
              <w:rPr>
                <w:sz w:val="20"/>
                <w:szCs w:val="20"/>
                <w:color w:val="auto"/>
              </w:rPr>
            </w:pPr>
            <w:r>
              <w:rPr>
                <w:rFonts w:ascii="Arial" w:cs="Arial" w:eastAsia="Arial" w:hAnsi="Arial"/>
                <w:sz w:val="14"/>
                <w:szCs w:val="14"/>
                <w:color w:val="auto"/>
              </w:rPr>
              <w:t>Multi-</w:t>
            </w:r>
          </w:p>
        </w:tc>
        <w:tc>
          <w:tcPr>
            <w:tcW w:w="2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growth</w:t>
            </w: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Workers</w:t>
            </w:r>
          </w:p>
        </w:tc>
        <w:tc>
          <w:tcPr>
            <w:tcW w:w="200" w:type="dxa"/>
            <w:vAlign w:val="bottom"/>
          </w:tcPr>
          <w:p>
            <w:pPr>
              <w:spacing w:after="0"/>
              <w:rPr>
                <w:sz w:val="14"/>
                <w:szCs w:val="14"/>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4"/>
                <w:szCs w:val="14"/>
                <w:color w:val="auto"/>
                <w:w w:val="99"/>
              </w:rPr>
              <w:t>growth</w:t>
            </w:r>
          </w:p>
        </w:tc>
        <w:tc>
          <w:tcPr>
            <w:tcW w:w="160" w:type="dxa"/>
            <w:vAlign w:val="bottom"/>
          </w:tcPr>
          <w:p>
            <w:pPr>
              <w:spacing w:after="0"/>
              <w:rPr>
                <w:sz w:val="14"/>
                <w:szCs w:val="14"/>
                <w:color w:val="auto"/>
              </w:rPr>
            </w:pPr>
          </w:p>
        </w:tc>
        <w:tc>
          <w:tcPr>
            <w:tcW w:w="480" w:type="dxa"/>
            <w:vAlign w:val="bottom"/>
            <w:gridSpan w:val="3"/>
          </w:tcPr>
          <w:p>
            <w:pPr>
              <w:jc w:val="center"/>
              <w:ind w:right="48"/>
              <w:spacing w:after="0"/>
              <w:rPr>
                <w:sz w:val="20"/>
                <w:szCs w:val="20"/>
                <w:color w:val="auto"/>
              </w:rPr>
            </w:pPr>
            <w:r>
              <w:rPr>
                <w:rFonts w:ascii="Arial" w:cs="Arial" w:eastAsia="Arial" w:hAnsi="Arial"/>
                <w:sz w:val="14"/>
                <w:szCs w:val="14"/>
                <w:color w:val="auto"/>
              </w:rPr>
              <w:t>CML*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color w:val="auto"/>
              </w:rPr>
              <w:t>growth</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color w:val="auto"/>
              </w:rPr>
              <w:t>CML*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growth</w:t>
            </w:r>
          </w:p>
        </w:tc>
      </w:tr>
      <w:tr>
        <w:trPr>
          <w:trHeight w:val="157"/>
        </w:trPr>
        <w:tc>
          <w:tcPr>
            <w:tcW w:w="20" w:type="dxa"/>
            <w:vAlign w:val="bottom"/>
          </w:tcPr>
          <w:p>
            <w:pPr>
              <w:spacing w:after="0"/>
              <w:rPr>
                <w:sz w:val="13"/>
                <w:szCs w:val="13"/>
                <w:color w:val="auto"/>
              </w:rPr>
            </w:pPr>
          </w:p>
        </w:tc>
        <w:tc>
          <w:tcPr>
            <w:tcW w:w="9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Date</w:t>
            </w:r>
          </w:p>
        </w:tc>
        <w:tc>
          <w:tcPr>
            <w:tcW w:w="8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8"/>
              <w:spacing w:after="0" w:line="157" w:lineRule="exact"/>
              <w:rPr>
                <w:sz w:val="20"/>
                <w:szCs w:val="20"/>
                <w:color w:val="auto"/>
              </w:rPr>
            </w:pPr>
            <w:r>
              <w:rPr>
                <w:rFonts w:ascii="Arial" w:cs="Arial" w:eastAsia="Arial" w:hAnsi="Arial"/>
                <w:sz w:val="14"/>
                <w:szCs w:val="14"/>
                <w:color w:val="auto"/>
              </w:rPr>
              <w:t>Auto</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center"/>
              <w:ind w:right="68"/>
              <w:spacing w:after="0" w:line="157" w:lineRule="exact"/>
              <w:rPr>
                <w:sz w:val="20"/>
                <w:szCs w:val="20"/>
                <w:color w:val="auto"/>
              </w:rPr>
            </w:pPr>
            <w:r>
              <w:rPr>
                <w:rFonts w:ascii="Arial" w:cs="Arial" w:eastAsia="Arial" w:hAnsi="Arial"/>
                <w:sz w:val="14"/>
                <w:szCs w:val="14"/>
                <w:color w:val="auto"/>
                <w:w w:val="99"/>
              </w:rPr>
              <w:t>rate</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3"/>
          </w:tcPr>
          <w:p>
            <w:pPr>
              <w:jc w:val="center"/>
              <w:ind w:right="188"/>
              <w:spacing w:after="0" w:line="157" w:lineRule="exact"/>
              <w:rPr>
                <w:sz w:val="20"/>
                <w:szCs w:val="20"/>
                <w:color w:val="auto"/>
              </w:rPr>
            </w:pPr>
            <w:r>
              <w:rPr>
                <w:rFonts w:ascii="Arial" w:cs="Arial" w:eastAsia="Arial" w:hAnsi="Arial"/>
                <w:sz w:val="14"/>
                <w:szCs w:val="14"/>
                <w:color w:val="auto"/>
                <w:w w:val="99"/>
              </w:rPr>
              <w:t>Peril</w:t>
            </w:r>
          </w:p>
        </w:tc>
        <w:tc>
          <w:tcPr>
            <w:tcW w:w="200" w:type="dxa"/>
            <w:vAlign w:val="bottom"/>
          </w:tcPr>
          <w:p>
            <w:pPr>
              <w:spacing w:after="0"/>
              <w:rPr>
                <w:sz w:val="13"/>
                <w:szCs w:val="13"/>
                <w:color w:val="auto"/>
              </w:rPr>
            </w:pPr>
          </w:p>
        </w:tc>
        <w:tc>
          <w:tcPr>
            <w:tcW w:w="66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w w:val="99"/>
              </w:rPr>
              <w:t>rate</w:t>
            </w:r>
          </w:p>
        </w:tc>
        <w:tc>
          <w:tcPr>
            <w:tcW w:w="200" w:type="dxa"/>
            <w:vAlign w:val="bottom"/>
          </w:tcPr>
          <w:p>
            <w:pPr>
              <w:spacing w:after="0"/>
              <w:rPr>
                <w:sz w:val="13"/>
                <w:szCs w:val="13"/>
                <w:color w:val="auto"/>
              </w:rPr>
            </w:pPr>
          </w:p>
        </w:tc>
        <w:tc>
          <w:tcPr>
            <w:tcW w:w="84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Comp.</w:t>
            </w:r>
          </w:p>
        </w:tc>
        <w:tc>
          <w:tcPr>
            <w:tcW w:w="200" w:type="dxa"/>
            <w:vAlign w:val="bottom"/>
          </w:tcPr>
          <w:p>
            <w:pPr>
              <w:spacing w:after="0"/>
              <w:rPr>
                <w:sz w:val="13"/>
                <w:szCs w:val="13"/>
                <w:color w:val="auto"/>
              </w:rPr>
            </w:pPr>
          </w:p>
        </w:tc>
        <w:tc>
          <w:tcPr>
            <w:tcW w:w="66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rate</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3"/>
          </w:tcPr>
          <w:p>
            <w:pPr>
              <w:jc w:val="center"/>
              <w:ind w:right="28"/>
              <w:spacing w:after="0" w:line="157" w:lineRule="exact"/>
              <w:rPr>
                <w:sz w:val="20"/>
                <w:szCs w:val="20"/>
                <w:color w:val="auto"/>
              </w:rPr>
            </w:pPr>
            <w:r>
              <w:rPr>
                <w:rFonts w:ascii="Arial" w:cs="Arial" w:eastAsia="Arial" w:hAnsi="Arial"/>
                <w:sz w:val="14"/>
                <w:szCs w:val="14"/>
                <w:color w:val="auto"/>
              </w:rPr>
              <w:t>Lines</w:t>
            </w:r>
          </w:p>
        </w:tc>
        <w:tc>
          <w:tcPr>
            <w:tcW w:w="1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Borders>
              <w:bottom w:val="single" w:sz="8" w:color="auto"/>
            </w:tcBorders>
            <w:gridSpan w:val="3"/>
          </w:tcPr>
          <w:p>
            <w:pPr>
              <w:jc w:val="right"/>
              <w:ind w:right="200"/>
              <w:spacing w:after="0" w:line="157" w:lineRule="exact"/>
              <w:rPr>
                <w:sz w:val="20"/>
                <w:szCs w:val="20"/>
                <w:color w:val="auto"/>
              </w:rPr>
            </w:pPr>
            <w:r>
              <w:rPr>
                <w:rFonts w:ascii="Arial" w:cs="Arial" w:eastAsia="Arial" w:hAnsi="Arial"/>
                <w:sz w:val="14"/>
                <w:szCs w:val="14"/>
                <w:color w:val="auto"/>
              </w:rPr>
              <w:t>rate</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Borders>
              <w:bottom w:val="single" w:sz="8" w:color="auto"/>
            </w:tcBorders>
            <w:gridSpan w:val="3"/>
          </w:tcPr>
          <w:p>
            <w:pPr>
              <w:jc w:val="center"/>
              <w:spacing w:after="0" w:line="157" w:lineRule="exact"/>
              <w:rPr>
                <w:sz w:val="20"/>
                <w:szCs w:val="20"/>
                <w:color w:val="auto"/>
              </w:rPr>
            </w:pPr>
            <w:r>
              <w:rPr>
                <w:rFonts w:ascii="Arial" w:cs="Arial" w:eastAsia="Arial" w:hAnsi="Arial"/>
                <w:sz w:val="14"/>
                <w:szCs w:val="14"/>
                <w:color w:val="auto"/>
              </w:rPr>
              <w:t>Lines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w w:val="99"/>
              </w:rPr>
              <w:t>rate</w:t>
            </w: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12/31/2005</w:t>
            </w:r>
          </w:p>
        </w:tc>
        <w:tc>
          <w:tcPr>
            <w:tcW w:w="1760" w:type="dxa"/>
            <w:vAlign w:val="bottom"/>
            <w:gridSpan w:val="3"/>
            <w:shd w:val="clear" w:color="auto" w:fill="CCEEFF"/>
          </w:tcPr>
          <w:p>
            <w:pPr>
              <w:jc w:val="center"/>
              <w:ind w:left="750"/>
              <w:spacing w:after="0" w:line="196" w:lineRule="exact"/>
              <w:rPr>
                <w:sz w:val="20"/>
                <w:szCs w:val="20"/>
                <w:color w:val="auto"/>
              </w:rPr>
            </w:pPr>
            <w:r>
              <w:rPr>
                <w:rFonts w:ascii="Arial" w:cs="Arial" w:eastAsia="Arial" w:hAnsi="Arial"/>
                <w:sz w:val="18"/>
                <w:szCs w:val="18"/>
                <w:color w:val="auto"/>
                <w:w w:val="98"/>
              </w:rPr>
              <w:t>118,728</w:t>
            </w:r>
          </w:p>
        </w:tc>
        <w:tc>
          <w:tcPr>
            <w:tcW w:w="2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ind w:left="220"/>
              <w:spacing w:after="0" w:line="196" w:lineRule="exact"/>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center"/>
              <w:ind w:right="48"/>
              <w:spacing w:after="0" w:line="196" w:lineRule="exact"/>
              <w:rPr>
                <w:sz w:val="20"/>
                <w:szCs w:val="20"/>
                <w:color w:val="auto"/>
              </w:rPr>
            </w:pPr>
            <w:r>
              <w:rPr>
                <w:rFonts w:ascii="Arial" w:cs="Arial" w:eastAsia="Arial" w:hAnsi="Arial"/>
                <w:sz w:val="18"/>
                <w:szCs w:val="18"/>
                <w:color w:val="auto"/>
                <w:w w:val="98"/>
              </w:rPr>
              <w:t>213,347</w:t>
            </w:r>
          </w:p>
        </w:tc>
        <w:tc>
          <w:tcPr>
            <w:tcW w:w="860" w:type="dxa"/>
            <w:vAlign w:val="bottom"/>
            <w:gridSpan w:val="2"/>
            <w:shd w:val="clear" w:color="auto" w:fill="CCEEFF"/>
          </w:tcPr>
          <w:p>
            <w:pPr>
              <w:ind w:left="420"/>
              <w:spacing w:after="0" w:line="196" w:lineRule="exact"/>
              <w:rPr>
                <w:sz w:val="20"/>
                <w:szCs w:val="20"/>
                <w:color w:val="auto"/>
              </w:rPr>
            </w:pPr>
            <w:r>
              <w:rPr>
                <w:rFonts w:ascii="Arial" w:cs="Arial" w:eastAsia="Arial" w:hAnsi="Arial"/>
                <w:sz w:val="18"/>
                <w:szCs w:val="18"/>
                <w:color w:val="auto"/>
              </w:rPr>
              <w:t>1.8%</w:t>
            </w:r>
          </w:p>
        </w:tc>
        <w:tc>
          <w:tcPr>
            <w:tcW w:w="1040" w:type="dxa"/>
            <w:vAlign w:val="bottom"/>
            <w:gridSpan w:val="2"/>
            <w:shd w:val="clear" w:color="auto" w:fill="CCEEFF"/>
          </w:tcPr>
          <w:p>
            <w:pPr>
              <w:jc w:val="center"/>
              <w:ind w:left="110"/>
              <w:spacing w:after="0" w:line="196" w:lineRule="exact"/>
              <w:rPr>
                <w:sz w:val="20"/>
                <w:szCs w:val="20"/>
                <w:color w:val="auto"/>
              </w:rPr>
            </w:pPr>
            <w:r>
              <w:rPr>
                <w:rFonts w:ascii="Arial" w:cs="Arial" w:eastAsia="Arial" w:hAnsi="Arial"/>
                <w:sz w:val="18"/>
                <w:szCs w:val="18"/>
                <w:color w:val="auto"/>
              </w:rPr>
              <w:t>56,218</w:t>
            </w:r>
          </w:p>
        </w:tc>
        <w:tc>
          <w:tcPr>
            <w:tcW w:w="8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90,227</w:t>
            </w:r>
          </w:p>
        </w:tc>
        <w:tc>
          <w:tcPr>
            <w:tcW w:w="980" w:type="dxa"/>
            <w:vAlign w:val="bottom"/>
            <w:gridSpan w:val="5"/>
            <w:shd w:val="clear" w:color="auto" w:fill="CCEEFF"/>
          </w:tcPr>
          <w:p>
            <w:pPr>
              <w:ind w:left="540"/>
              <w:spacing w:after="0" w:line="196" w:lineRule="exact"/>
              <w:rPr>
                <w:sz w:val="20"/>
                <w:szCs w:val="20"/>
                <w:color w:val="auto"/>
              </w:rPr>
            </w:pPr>
            <w:r>
              <w:rPr>
                <w:rFonts w:ascii="Arial" w:cs="Arial" w:eastAsia="Arial" w:hAnsi="Arial"/>
                <w:sz w:val="18"/>
                <w:szCs w:val="18"/>
                <w:color w:val="auto"/>
              </w:rPr>
              <w:t>2.7%</w:t>
            </w:r>
          </w:p>
        </w:tc>
        <w:tc>
          <w:tcPr>
            <w:tcW w:w="1180" w:type="dxa"/>
            <w:vAlign w:val="bottom"/>
            <w:gridSpan w:val="6"/>
            <w:shd w:val="clear" w:color="auto" w:fill="CCEEFF"/>
          </w:tcPr>
          <w:p>
            <w:pPr>
              <w:jc w:val="center"/>
              <w:ind w:left="150"/>
              <w:spacing w:after="0" w:line="196" w:lineRule="exact"/>
              <w:rPr>
                <w:sz w:val="20"/>
                <w:szCs w:val="20"/>
                <w:color w:val="auto"/>
              </w:rPr>
            </w:pPr>
            <w:r>
              <w:rPr>
                <w:rFonts w:ascii="Arial" w:cs="Arial" w:eastAsia="Arial" w:hAnsi="Arial"/>
                <w:sz w:val="18"/>
                <w:szCs w:val="18"/>
                <w:color w:val="auto"/>
              </w:rPr>
              <w:t>478,520</w:t>
            </w:r>
          </w:p>
        </w:tc>
        <w:tc>
          <w:tcPr>
            <w:tcW w:w="900" w:type="dxa"/>
            <w:vAlign w:val="bottom"/>
            <w:gridSpan w:val="3"/>
            <w:shd w:val="clear" w:color="auto" w:fill="CCEEFF"/>
          </w:tcPr>
          <w:p>
            <w:pPr>
              <w:ind w:left="440"/>
              <w:spacing w:after="0" w:line="196" w:lineRule="exact"/>
              <w:rPr>
                <w:sz w:val="20"/>
                <w:szCs w:val="20"/>
                <w:color w:val="auto"/>
              </w:rPr>
            </w:pPr>
            <w:r>
              <w:rPr>
                <w:rFonts w:ascii="Arial" w:cs="Arial" w:eastAsia="Arial" w:hAnsi="Arial"/>
                <w:sz w:val="18"/>
                <w:szCs w:val="18"/>
                <w:color w:val="auto"/>
              </w:rPr>
              <w:t>1.0%</w:t>
            </w:r>
          </w:p>
        </w:tc>
      </w:tr>
      <w:tr>
        <w:trPr>
          <w:trHeight w:val="203"/>
        </w:trPr>
        <w:tc>
          <w:tcPr>
            <w:tcW w:w="20" w:type="dxa"/>
            <w:vAlign w:val="bottom"/>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7"/>
              </w:rPr>
              <w:t>03/31/2006</w:t>
            </w:r>
          </w:p>
        </w:tc>
        <w:tc>
          <w:tcPr>
            <w:tcW w:w="1760" w:type="dxa"/>
            <w:vAlign w:val="bottom"/>
            <w:gridSpan w:val="3"/>
          </w:tcPr>
          <w:p>
            <w:pPr>
              <w:jc w:val="center"/>
              <w:ind w:left="750"/>
              <w:spacing w:after="0" w:line="202" w:lineRule="exact"/>
              <w:rPr>
                <w:sz w:val="20"/>
                <w:szCs w:val="20"/>
                <w:color w:val="auto"/>
              </w:rPr>
            </w:pPr>
            <w:r>
              <w:rPr>
                <w:rFonts w:ascii="Arial" w:cs="Arial" w:eastAsia="Arial" w:hAnsi="Arial"/>
                <w:sz w:val="18"/>
                <w:szCs w:val="18"/>
                <w:color w:val="auto"/>
                <w:w w:val="98"/>
              </w:rPr>
              <w:t>118,587</w:t>
            </w:r>
          </w:p>
        </w:tc>
        <w:tc>
          <w:tcPr>
            <w:tcW w:w="200" w:type="dxa"/>
            <w:vAlign w:val="bottom"/>
          </w:tcPr>
          <w:p>
            <w:pPr>
              <w:spacing w:after="0"/>
              <w:rPr>
                <w:sz w:val="17"/>
                <w:szCs w:val="17"/>
                <w:color w:val="auto"/>
              </w:rPr>
            </w:pPr>
          </w:p>
        </w:tc>
        <w:tc>
          <w:tcPr>
            <w:tcW w:w="66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1.0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4"/>
          </w:tcPr>
          <w:p>
            <w:pPr>
              <w:jc w:val="center"/>
              <w:ind w:right="48"/>
              <w:spacing w:after="0" w:line="202" w:lineRule="exact"/>
              <w:rPr>
                <w:sz w:val="20"/>
                <w:szCs w:val="20"/>
                <w:color w:val="auto"/>
              </w:rPr>
            </w:pPr>
            <w:r>
              <w:rPr>
                <w:rFonts w:ascii="Arial" w:cs="Arial" w:eastAsia="Arial" w:hAnsi="Arial"/>
                <w:sz w:val="18"/>
                <w:szCs w:val="18"/>
                <w:color w:val="auto"/>
                <w:w w:val="98"/>
              </w:rPr>
              <w:t>214,461</w:t>
            </w:r>
          </w:p>
        </w:tc>
        <w:tc>
          <w:tcPr>
            <w:tcW w:w="86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2.3</w:t>
            </w:r>
          </w:p>
        </w:tc>
        <w:tc>
          <w:tcPr>
            <w:tcW w:w="1040" w:type="dxa"/>
            <w:vAlign w:val="bottom"/>
            <w:gridSpan w:val="2"/>
          </w:tcPr>
          <w:p>
            <w:pPr>
              <w:jc w:val="center"/>
              <w:ind w:left="110"/>
              <w:spacing w:after="0" w:line="202" w:lineRule="exact"/>
              <w:rPr>
                <w:sz w:val="20"/>
                <w:szCs w:val="20"/>
                <w:color w:val="auto"/>
              </w:rPr>
            </w:pPr>
            <w:r>
              <w:rPr>
                <w:rFonts w:ascii="Arial" w:cs="Arial" w:eastAsia="Arial" w:hAnsi="Arial"/>
                <w:sz w:val="18"/>
                <w:szCs w:val="18"/>
                <w:color w:val="auto"/>
              </w:rPr>
              <w:t>55,254</w:t>
            </w:r>
          </w:p>
        </w:tc>
        <w:tc>
          <w:tcPr>
            <w:tcW w:w="86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rPr>
              <w:t>(4.7)</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4"/>
          </w:tcPr>
          <w:p>
            <w:pPr>
              <w:jc w:val="center"/>
              <w:spacing w:after="0" w:line="202" w:lineRule="exact"/>
              <w:rPr>
                <w:sz w:val="20"/>
                <w:szCs w:val="20"/>
                <w:color w:val="auto"/>
              </w:rPr>
            </w:pPr>
            <w:r>
              <w:rPr>
                <w:rFonts w:ascii="Arial" w:cs="Arial" w:eastAsia="Arial" w:hAnsi="Arial"/>
                <w:sz w:val="18"/>
                <w:szCs w:val="18"/>
                <w:color w:val="auto"/>
                <w:w w:val="98"/>
              </w:rPr>
              <w:t>90,301</w:t>
            </w:r>
          </w:p>
        </w:tc>
        <w:tc>
          <w:tcPr>
            <w:tcW w:w="980" w:type="dxa"/>
            <w:vAlign w:val="bottom"/>
            <w:gridSpan w:val="5"/>
          </w:tcPr>
          <w:p>
            <w:pPr>
              <w:ind w:left="540"/>
              <w:spacing w:after="0" w:line="202" w:lineRule="exact"/>
              <w:rPr>
                <w:sz w:val="20"/>
                <w:szCs w:val="20"/>
                <w:color w:val="auto"/>
              </w:rPr>
            </w:pPr>
            <w:r>
              <w:rPr>
                <w:rFonts w:ascii="Arial" w:cs="Arial" w:eastAsia="Arial" w:hAnsi="Arial"/>
                <w:sz w:val="18"/>
                <w:szCs w:val="18"/>
                <w:color w:val="auto"/>
              </w:rPr>
              <w:t>2.8</w:t>
            </w:r>
          </w:p>
        </w:tc>
        <w:tc>
          <w:tcPr>
            <w:tcW w:w="1180" w:type="dxa"/>
            <w:vAlign w:val="bottom"/>
            <w:gridSpan w:val="6"/>
          </w:tcPr>
          <w:p>
            <w:pPr>
              <w:jc w:val="center"/>
              <w:ind w:left="150"/>
              <w:spacing w:after="0" w:line="202" w:lineRule="exact"/>
              <w:rPr>
                <w:sz w:val="20"/>
                <w:szCs w:val="20"/>
                <w:color w:val="auto"/>
              </w:rPr>
            </w:pPr>
            <w:r>
              <w:rPr>
                <w:rFonts w:ascii="Arial" w:cs="Arial" w:eastAsia="Arial" w:hAnsi="Arial"/>
                <w:sz w:val="18"/>
                <w:szCs w:val="18"/>
                <w:color w:val="auto"/>
              </w:rPr>
              <w:t>478,603</w:t>
            </w:r>
          </w:p>
        </w:tc>
        <w:tc>
          <w:tcPr>
            <w:tcW w:w="90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1.2</w:t>
            </w:r>
          </w:p>
        </w:tc>
      </w:tr>
      <w:tr>
        <w:trPr>
          <w:trHeight w:val="203"/>
        </w:trPr>
        <w:tc>
          <w:tcPr>
            <w:tcW w:w="20" w:type="dxa"/>
            <w:vAlign w:val="bottom"/>
          </w:tcPr>
          <w:p>
            <w:pPr>
              <w:spacing w:after="0"/>
              <w:rPr>
                <w:sz w:val="17"/>
                <w:szCs w:val="17"/>
                <w:color w:val="auto"/>
              </w:rPr>
            </w:pP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06/30/2006</w:t>
            </w:r>
          </w:p>
        </w:tc>
        <w:tc>
          <w:tcPr>
            <w:tcW w:w="1760" w:type="dxa"/>
            <w:vAlign w:val="bottom"/>
            <w:gridSpan w:val="3"/>
            <w:shd w:val="clear" w:color="auto" w:fill="CCEEFF"/>
          </w:tcPr>
          <w:p>
            <w:pPr>
              <w:jc w:val="center"/>
              <w:ind w:left="750"/>
              <w:spacing w:after="0" w:line="202" w:lineRule="exact"/>
              <w:rPr>
                <w:sz w:val="20"/>
                <w:szCs w:val="20"/>
                <w:color w:val="auto"/>
              </w:rPr>
            </w:pPr>
            <w:r>
              <w:rPr>
                <w:rFonts w:ascii="Arial" w:cs="Arial" w:eastAsia="Arial" w:hAnsi="Arial"/>
                <w:sz w:val="18"/>
                <w:szCs w:val="18"/>
                <w:color w:val="auto"/>
                <w:w w:val="98"/>
              </w:rPr>
              <w:t>119,471</w:t>
            </w:r>
          </w:p>
        </w:tc>
        <w:tc>
          <w:tcPr>
            <w:tcW w:w="2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ind w:left="220"/>
              <w:spacing w:after="0" w:line="202" w:lineRule="exact"/>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center"/>
              <w:ind w:right="48"/>
              <w:spacing w:after="0" w:line="202" w:lineRule="exact"/>
              <w:rPr>
                <w:sz w:val="20"/>
                <w:szCs w:val="20"/>
                <w:color w:val="auto"/>
              </w:rPr>
            </w:pPr>
            <w:r>
              <w:rPr>
                <w:rFonts w:ascii="Arial" w:cs="Arial" w:eastAsia="Arial" w:hAnsi="Arial"/>
                <w:sz w:val="18"/>
                <w:szCs w:val="18"/>
                <w:color w:val="auto"/>
                <w:w w:val="98"/>
              </w:rPr>
              <w:t>217,134</w:t>
            </w:r>
          </w:p>
        </w:tc>
        <w:tc>
          <w:tcPr>
            <w:tcW w:w="8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2.4</w:t>
            </w:r>
          </w:p>
        </w:tc>
        <w:tc>
          <w:tcPr>
            <w:tcW w:w="1040" w:type="dxa"/>
            <w:vAlign w:val="bottom"/>
            <w:gridSpan w:val="2"/>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rPr>
              <w:t>54,871</w:t>
            </w:r>
          </w:p>
        </w:tc>
        <w:tc>
          <w:tcPr>
            <w:tcW w:w="860" w:type="dxa"/>
            <w:vAlign w:val="bottom"/>
            <w:gridSpan w:val="2"/>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91,568</w:t>
            </w:r>
          </w:p>
        </w:tc>
        <w:tc>
          <w:tcPr>
            <w:tcW w:w="980" w:type="dxa"/>
            <w:vAlign w:val="bottom"/>
            <w:gridSpan w:val="5"/>
            <w:shd w:val="clear" w:color="auto" w:fill="CCEEFF"/>
          </w:tcPr>
          <w:p>
            <w:pPr>
              <w:ind w:left="540"/>
              <w:spacing w:after="0" w:line="202" w:lineRule="exact"/>
              <w:rPr>
                <w:sz w:val="20"/>
                <w:szCs w:val="20"/>
                <w:color w:val="auto"/>
              </w:rPr>
            </w:pPr>
            <w:r>
              <w:rPr>
                <w:rFonts w:ascii="Arial" w:cs="Arial" w:eastAsia="Arial" w:hAnsi="Arial"/>
                <w:sz w:val="18"/>
                <w:szCs w:val="18"/>
                <w:color w:val="auto"/>
              </w:rPr>
              <w:t>2.9</w:t>
            </w:r>
          </w:p>
        </w:tc>
        <w:tc>
          <w:tcPr>
            <w:tcW w:w="1180" w:type="dxa"/>
            <w:vAlign w:val="bottom"/>
            <w:gridSpan w:val="6"/>
            <w:shd w:val="clear" w:color="auto" w:fill="CCEEFF"/>
          </w:tcPr>
          <w:p>
            <w:pPr>
              <w:jc w:val="center"/>
              <w:ind w:left="150"/>
              <w:spacing w:after="0" w:line="202" w:lineRule="exact"/>
              <w:rPr>
                <w:sz w:val="20"/>
                <w:szCs w:val="20"/>
                <w:color w:val="auto"/>
              </w:rPr>
            </w:pPr>
            <w:r>
              <w:rPr>
                <w:rFonts w:ascii="Arial" w:cs="Arial" w:eastAsia="Arial" w:hAnsi="Arial"/>
                <w:sz w:val="18"/>
                <w:szCs w:val="18"/>
                <w:color w:val="auto"/>
              </w:rPr>
              <w:t>483,044</w:t>
            </w:r>
          </w:p>
        </w:tc>
        <w:tc>
          <w:tcPr>
            <w:tcW w:w="900" w:type="dxa"/>
            <w:vAlign w:val="bottom"/>
            <w:gridSpan w:val="3"/>
            <w:shd w:val="clear" w:color="auto" w:fill="CCEEFF"/>
          </w:tcPr>
          <w:p>
            <w:pPr>
              <w:ind w:left="440"/>
              <w:spacing w:after="0" w:line="202" w:lineRule="exact"/>
              <w:rPr>
                <w:sz w:val="20"/>
                <w:szCs w:val="20"/>
                <w:color w:val="auto"/>
              </w:rPr>
            </w:pPr>
            <w:r>
              <w:rPr>
                <w:rFonts w:ascii="Arial" w:cs="Arial" w:eastAsia="Arial" w:hAnsi="Arial"/>
                <w:sz w:val="18"/>
                <w:szCs w:val="18"/>
                <w:color w:val="auto"/>
              </w:rPr>
              <w:t>1.3</w:t>
            </w:r>
          </w:p>
        </w:tc>
      </w:tr>
      <w:tr>
        <w:trPr>
          <w:trHeight w:val="203"/>
        </w:trPr>
        <w:tc>
          <w:tcPr>
            <w:tcW w:w="20" w:type="dxa"/>
            <w:vAlign w:val="bottom"/>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7"/>
              </w:rPr>
              <w:t>09/30/2006</w:t>
            </w:r>
          </w:p>
        </w:tc>
        <w:tc>
          <w:tcPr>
            <w:tcW w:w="1760" w:type="dxa"/>
            <w:vAlign w:val="bottom"/>
            <w:gridSpan w:val="3"/>
          </w:tcPr>
          <w:p>
            <w:pPr>
              <w:jc w:val="center"/>
              <w:ind w:left="750"/>
              <w:spacing w:after="0" w:line="202" w:lineRule="exact"/>
              <w:rPr>
                <w:sz w:val="20"/>
                <w:szCs w:val="20"/>
                <w:color w:val="auto"/>
              </w:rPr>
            </w:pPr>
            <w:r>
              <w:rPr>
                <w:rFonts w:ascii="Arial" w:cs="Arial" w:eastAsia="Arial" w:hAnsi="Arial"/>
                <w:sz w:val="18"/>
                <w:szCs w:val="18"/>
                <w:color w:val="auto"/>
                <w:w w:val="98"/>
              </w:rPr>
              <w:t>119,555</w:t>
            </w:r>
          </w:p>
        </w:tc>
        <w:tc>
          <w:tcPr>
            <w:tcW w:w="200" w:type="dxa"/>
            <w:vAlign w:val="bottom"/>
          </w:tcPr>
          <w:p>
            <w:pPr>
              <w:spacing w:after="0"/>
              <w:rPr>
                <w:sz w:val="17"/>
                <w:szCs w:val="17"/>
                <w:color w:val="auto"/>
              </w:rPr>
            </w:pPr>
          </w:p>
        </w:tc>
        <w:tc>
          <w:tcPr>
            <w:tcW w:w="66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0.8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4"/>
          </w:tcPr>
          <w:p>
            <w:pPr>
              <w:jc w:val="center"/>
              <w:ind w:right="48"/>
              <w:spacing w:after="0" w:line="202" w:lineRule="exact"/>
              <w:rPr>
                <w:sz w:val="20"/>
                <w:szCs w:val="20"/>
                <w:color w:val="auto"/>
              </w:rPr>
            </w:pPr>
            <w:r>
              <w:rPr>
                <w:rFonts w:ascii="Arial" w:cs="Arial" w:eastAsia="Arial" w:hAnsi="Arial"/>
                <w:sz w:val="18"/>
                <w:szCs w:val="18"/>
                <w:color w:val="auto"/>
                <w:w w:val="98"/>
              </w:rPr>
              <w:t>217,763</w:t>
            </w:r>
          </w:p>
        </w:tc>
        <w:tc>
          <w:tcPr>
            <w:tcW w:w="86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2.3</w:t>
            </w:r>
          </w:p>
        </w:tc>
        <w:tc>
          <w:tcPr>
            <w:tcW w:w="1040" w:type="dxa"/>
            <w:vAlign w:val="bottom"/>
            <w:gridSpan w:val="2"/>
          </w:tcPr>
          <w:p>
            <w:pPr>
              <w:jc w:val="center"/>
              <w:ind w:left="110"/>
              <w:spacing w:after="0" w:line="202" w:lineRule="exact"/>
              <w:rPr>
                <w:sz w:val="20"/>
                <w:szCs w:val="20"/>
                <w:color w:val="auto"/>
              </w:rPr>
            </w:pPr>
            <w:r>
              <w:rPr>
                <w:rFonts w:ascii="Arial" w:cs="Arial" w:eastAsia="Arial" w:hAnsi="Arial"/>
                <w:sz w:val="18"/>
                <w:szCs w:val="18"/>
                <w:color w:val="auto"/>
              </w:rPr>
              <w:t>54,379</w:t>
            </w:r>
          </w:p>
        </w:tc>
        <w:tc>
          <w:tcPr>
            <w:tcW w:w="86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rPr>
              <w:t>(4.4)</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4"/>
          </w:tcPr>
          <w:p>
            <w:pPr>
              <w:jc w:val="center"/>
              <w:spacing w:after="0" w:line="202" w:lineRule="exact"/>
              <w:rPr>
                <w:sz w:val="20"/>
                <w:szCs w:val="20"/>
                <w:color w:val="auto"/>
              </w:rPr>
            </w:pPr>
            <w:r>
              <w:rPr>
                <w:rFonts w:ascii="Arial" w:cs="Arial" w:eastAsia="Arial" w:hAnsi="Arial"/>
                <w:sz w:val="18"/>
                <w:szCs w:val="18"/>
                <w:color w:val="auto"/>
                <w:w w:val="98"/>
              </w:rPr>
              <w:t>92,687</w:t>
            </w:r>
          </w:p>
        </w:tc>
        <w:tc>
          <w:tcPr>
            <w:tcW w:w="980" w:type="dxa"/>
            <w:vAlign w:val="bottom"/>
            <w:gridSpan w:val="5"/>
          </w:tcPr>
          <w:p>
            <w:pPr>
              <w:ind w:left="540"/>
              <w:spacing w:after="0" w:line="202" w:lineRule="exact"/>
              <w:rPr>
                <w:sz w:val="20"/>
                <w:szCs w:val="20"/>
                <w:color w:val="auto"/>
              </w:rPr>
            </w:pPr>
            <w:r>
              <w:rPr>
                <w:rFonts w:ascii="Arial" w:cs="Arial" w:eastAsia="Arial" w:hAnsi="Arial"/>
                <w:sz w:val="18"/>
                <w:szCs w:val="18"/>
                <w:color w:val="auto"/>
              </w:rPr>
              <w:t>2.9</w:t>
            </w:r>
          </w:p>
        </w:tc>
        <w:tc>
          <w:tcPr>
            <w:tcW w:w="1180" w:type="dxa"/>
            <w:vAlign w:val="bottom"/>
            <w:gridSpan w:val="6"/>
          </w:tcPr>
          <w:p>
            <w:pPr>
              <w:jc w:val="center"/>
              <w:ind w:left="150"/>
              <w:spacing w:after="0" w:line="202" w:lineRule="exact"/>
              <w:rPr>
                <w:sz w:val="20"/>
                <w:szCs w:val="20"/>
                <w:color w:val="auto"/>
              </w:rPr>
            </w:pPr>
            <w:r>
              <w:rPr>
                <w:rFonts w:ascii="Arial" w:cs="Arial" w:eastAsia="Arial" w:hAnsi="Arial"/>
                <w:sz w:val="18"/>
                <w:szCs w:val="18"/>
                <w:color w:val="auto"/>
              </w:rPr>
              <w:t>484,384</w:t>
            </w:r>
          </w:p>
        </w:tc>
        <w:tc>
          <w:tcPr>
            <w:tcW w:w="90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1.2</w:t>
            </w:r>
          </w:p>
        </w:tc>
      </w:tr>
      <w:tr>
        <w:trPr>
          <w:trHeight w:val="203"/>
        </w:trPr>
        <w:tc>
          <w:tcPr>
            <w:tcW w:w="20" w:type="dxa"/>
            <w:vAlign w:val="bottom"/>
          </w:tcPr>
          <w:p>
            <w:pPr>
              <w:spacing w:after="0"/>
              <w:rPr>
                <w:sz w:val="17"/>
                <w:szCs w:val="17"/>
                <w:color w:val="auto"/>
              </w:rPr>
            </w:pP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12/31/2006</w:t>
            </w:r>
          </w:p>
        </w:tc>
        <w:tc>
          <w:tcPr>
            <w:tcW w:w="1760" w:type="dxa"/>
            <w:vAlign w:val="bottom"/>
            <w:gridSpan w:val="3"/>
            <w:shd w:val="clear" w:color="auto" w:fill="CCEEFF"/>
          </w:tcPr>
          <w:p>
            <w:pPr>
              <w:jc w:val="center"/>
              <w:ind w:left="750"/>
              <w:spacing w:after="0" w:line="202" w:lineRule="exact"/>
              <w:rPr>
                <w:sz w:val="20"/>
                <w:szCs w:val="20"/>
                <w:color w:val="auto"/>
              </w:rPr>
            </w:pPr>
            <w:r>
              <w:rPr>
                <w:rFonts w:ascii="Arial" w:cs="Arial" w:eastAsia="Arial" w:hAnsi="Arial"/>
                <w:sz w:val="18"/>
                <w:szCs w:val="18"/>
                <w:color w:val="auto"/>
                <w:w w:val="98"/>
              </w:rPr>
              <w:t>119,801</w:t>
            </w:r>
          </w:p>
        </w:tc>
        <w:tc>
          <w:tcPr>
            <w:tcW w:w="2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ind w:left="220"/>
              <w:spacing w:after="0" w:line="202" w:lineRule="exact"/>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center"/>
              <w:ind w:right="48"/>
              <w:spacing w:after="0" w:line="202" w:lineRule="exact"/>
              <w:rPr>
                <w:sz w:val="20"/>
                <w:szCs w:val="20"/>
                <w:color w:val="auto"/>
              </w:rPr>
            </w:pPr>
            <w:r>
              <w:rPr>
                <w:rFonts w:ascii="Arial" w:cs="Arial" w:eastAsia="Arial" w:hAnsi="Arial"/>
                <w:sz w:val="18"/>
                <w:szCs w:val="18"/>
                <w:color w:val="auto"/>
                <w:w w:val="98"/>
              </w:rPr>
              <w:t>218,542</w:t>
            </w:r>
          </w:p>
        </w:tc>
        <w:tc>
          <w:tcPr>
            <w:tcW w:w="8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2.4</w:t>
            </w:r>
          </w:p>
        </w:tc>
        <w:tc>
          <w:tcPr>
            <w:tcW w:w="1040" w:type="dxa"/>
            <w:vAlign w:val="bottom"/>
            <w:gridSpan w:val="2"/>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rPr>
              <w:t>53,923</w:t>
            </w:r>
          </w:p>
        </w:tc>
        <w:tc>
          <w:tcPr>
            <w:tcW w:w="860" w:type="dxa"/>
            <w:vAlign w:val="bottom"/>
            <w:gridSpan w:val="2"/>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92,687</w:t>
            </w:r>
          </w:p>
        </w:tc>
        <w:tc>
          <w:tcPr>
            <w:tcW w:w="980" w:type="dxa"/>
            <w:vAlign w:val="bottom"/>
            <w:gridSpan w:val="5"/>
            <w:shd w:val="clear" w:color="auto" w:fill="CCEEFF"/>
          </w:tcPr>
          <w:p>
            <w:pPr>
              <w:ind w:left="540"/>
              <w:spacing w:after="0" w:line="202" w:lineRule="exact"/>
              <w:rPr>
                <w:sz w:val="20"/>
                <w:szCs w:val="20"/>
                <w:color w:val="auto"/>
              </w:rPr>
            </w:pPr>
            <w:r>
              <w:rPr>
                <w:rFonts w:ascii="Arial" w:cs="Arial" w:eastAsia="Arial" w:hAnsi="Arial"/>
                <w:sz w:val="18"/>
                <w:szCs w:val="18"/>
                <w:color w:val="auto"/>
              </w:rPr>
              <w:t>2.7</w:t>
            </w:r>
          </w:p>
        </w:tc>
        <w:tc>
          <w:tcPr>
            <w:tcW w:w="1180" w:type="dxa"/>
            <w:vAlign w:val="bottom"/>
            <w:gridSpan w:val="6"/>
            <w:shd w:val="clear" w:color="auto" w:fill="CCEEFF"/>
          </w:tcPr>
          <w:p>
            <w:pPr>
              <w:jc w:val="center"/>
              <w:ind w:left="150"/>
              <w:spacing w:after="0" w:line="202" w:lineRule="exact"/>
              <w:rPr>
                <w:sz w:val="20"/>
                <w:szCs w:val="20"/>
                <w:color w:val="auto"/>
              </w:rPr>
            </w:pPr>
            <w:r>
              <w:rPr>
                <w:rFonts w:ascii="Arial" w:cs="Arial" w:eastAsia="Arial" w:hAnsi="Arial"/>
                <w:sz w:val="18"/>
                <w:szCs w:val="18"/>
                <w:color w:val="auto"/>
              </w:rPr>
              <w:t>484,953</w:t>
            </w:r>
          </w:p>
        </w:tc>
        <w:tc>
          <w:tcPr>
            <w:tcW w:w="900" w:type="dxa"/>
            <w:vAlign w:val="bottom"/>
            <w:gridSpan w:val="3"/>
            <w:shd w:val="clear" w:color="auto" w:fill="CCEEFF"/>
          </w:tcPr>
          <w:p>
            <w:pPr>
              <w:ind w:left="440"/>
              <w:spacing w:after="0" w:line="202" w:lineRule="exact"/>
              <w:rPr>
                <w:sz w:val="20"/>
                <w:szCs w:val="20"/>
                <w:color w:val="auto"/>
              </w:rPr>
            </w:pPr>
            <w:r>
              <w:rPr>
                <w:rFonts w:ascii="Arial" w:cs="Arial" w:eastAsia="Arial" w:hAnsi="Arial"/>
                <w:sz w:val="18"/>
                <w:szCs w:val="18"/>
                <w:color w:val="auto"/>
              </w:rPr>
              <w:t>1.3</w:t>
            </w:r>
          </w:p>
        </w:tc>
      </w:tr>
      <w:tr>
        <w:trPr>
          <w:trHeight w:val="217"/>
        </w:trPr>
        <w:tc>
          <w:tcPr>
            <w:tcW w:w="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03/31/2007</w:t>
            </w:r>
          </w:p>
        </w:tc>
        <w:tc>
          <w:tcPr>
            <w:tcW w:w="1760" w:type="dxa"/>
            <w:vAlign w:val="bottom"/>
            <w:gridSpan w:val="3"/>
          </w:tcPr>
          <w:p>
            <w:pPr>
              <w:jc w:val="center"/>
              <w:ind w:left="750"/>
              <w:spacing w:after="0"/>
              <w:rPr>
                <w:sz w:val="20"/>
                <w:szCs w:val="20"/>
                <w:color w:val="auto"/>
              </w:rPr>
            </w:pPr>
            <w:r>
              <w:rPr>
                <w:rFonts w:ascii="Arial" w:cs="Arial" w:eastAsia="Arial" w:hAnsi="Arial"/>
                <w:sz w:val="18"/>
                <w:szCs w:val="18"/>
                <w:color w:val="auto"/>
                <w:w w:val="98"/>
              </w:rPr>
              <w:t>119,907</w:t>
            </w:r>
          </w:p>
        </w:tc>
        <w:tc>
          <w:tcPr>
            <w:tcW w:w="200" w:type="dxa"/>
            <w:vAlign w:val="bottom"/>
          </w:tcPr>
          <w:p>
            <w:pPr>
              <w:spacing w:after="0"/>
              <w:rPr>
                <w:sz w:val="18"/>
                <w:szCs w:val="18"/>
                <w:color w:val="auto"/>
              </w:rPr>
            </w:pPr>
          </w:p>
        </w:tc>
        <w:tc>
          <w:tcPr>
            <w:tcW w:w="660" w:type="dxa"/>
            <w:vAlign w:val="bottom"/>
            <w:gridSpan w:val="3"/>
          </w:tcPr>
          <w:p>
            <w:pPr>
              <w:ind w:left="22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4"/>
          </w:tcPr>
          <w:p>
            <w:pPr>
              <w:jc w:val="center"/>
              <w:ind w:right="48"/>
              <w:spacing w:after="0"/>
              <w:rPr>
                <w:sz w:val="20"/>
                <w:szCs w:val="20"/>
                <w:color w:val="auto"/>
              </w:rPr>
            </w:pPr>
            <w:r>
              <w:rPr>
                <w:rFonts w:ascii="Arial" w:cs="Arial" w:eastAsia="Arial" w:hAnsi="Arial"/>
                <w:sz w:val="18"/>
                <w:szCs w:val="18"/>
                <w:color w:val="auto"/>
                <w:w w:val="98"/>
              </w:rPr>
              <w:t>219,300</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2.3</w:t>
            </w:r>
          </w:p>
        </w:tc>
        <w:tc>
          <w:tcPr>
            <w:tcW w:w="1040" w:type="dxa"/>
            <w:vAlign w:val="bottom"/>
            <w:gridSpan w:val="2"/>
          </w:tcPr>
          <w:p>
            <w:pPr>
              <w:jc w:val="center"/>
              <w:ind w:left="110"/>
              <w:spacing w:after="0"/>
              <w:rPr>
                <w:sz w:val="20"/>
                <w:szCs w:val="20"/>
                <w:color w:val="auto"/>
              </w:rPr>
            </w:pPr>
            <w:r>
              <w:rPr>
                <w:rFonts w:ascii="Arial" w:cs="Arial" w:eastAsia="Arial" w:hAnsi="Arial"/>
                <w:sz w:val="18"/>
                <w:szCs w:val="18"/>
                <w:color w:val="auto"/>
              </w:rPr>
              <w:t>53,498</w:t>
            </w:r>
          </w:p>
        </w:tc>
        <w:tc>
          <w:tcPr>
            <w:tcW w:w="860" w:type="dxa"/>
            <w:vAlign w:val="bottom"/>
            <w:gridSpan w:val="2"/>
          </w:tcPr>
          <w:p>
            <w:pPr>
              <w:jc w:val="center"/>
              <w:ind w:left="7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4"/>
          </w:tcPr>
          <w:p>
            <w:pPr>
              <w:jc w:val="center"/>
              <w:spacing w:after="0"/>
              <w:rPr>
                <w:sz w:val="20"/>
                <w:szCs w:val="20"/>
                <w:color w:val="auto"/>
              </w:rPr>
            </w:pPr>
            <w:r>
              <w:rPr>
                <w:rFonts w:ascii="Arial" w:cs="Arial" w:eastAsia="Arial" w:hAnsi="Arial"/>
                <w:sz w:val="18"/>
                <w:szCs w:val="18"/>
                <w:color w:val="auto"/>
                <w:w w:val="98"/>
              </w:rPr>
              <w:t>92,857</w:t>
            </w:r>
          </w:p>
        </w:tc>
        <w:tc>
          <w:tcPr>
            <w:tcW w:w="980" w:type="dxa"/>
            <w:vAlign w:val="bottom"/>
            <w:gridSpan w:val="5"/>
          </w:tcPr>
          <w:p>
            <w:pPr>
              <w:ind w:left="540"/>
              <w:spacing w:after="0"/>
              <w:rPr>
                <w:sz w:val="20"/>
                <w:szCs w:val="20"/>
                <w:color w:val="auto"/>
              </w:rPr>
            </w:pPr>
            <w:r>
              <w:rPr>
                <w:rFonts w:ascii="Arial" w:cs="Arial" w:eastAsia="Arial" w:hAnsi="Arial"/>
                <w:sz w:val="18"/>
                <w:szCs w:val="18"/>
                <w:color w:val="auto"/>
              </w:rPr>
              <w:t>2.8</w:t>
            </w:r>
          </w:p>
        </w:tc>
        <w:tc>
          <w:tcPr>
            <w:tcW w:w="1180" w:type="dxa"/>
            <w:vAlign w:val="bottom"/>
            <w:gridSpan w:val="6"/>
          </w:tcPr>
          <w:p>
            <w:pPr>
              <w:jc w:val="center"/>
              <w:ind w:left="150"/>
              <w:spacing w:after="0"/>
              <w:rPr>
                <w:sz w:val="20"/>
                <w:szCs w:val="20"/>
                <w:color w:val="auto"/>
              </w:rPr>
            </w:pPr>
            <w:r>
              <w:rPr>
                <w:rFonts w:ascii="Arial" w:cs="Arial" w:eastAsia="Arial" w:hAnsi="Arial"/>
                <w:sz w:val="18"/>
                <w:szCs w:val="18"/>
                <w:color w:val="auto"/>
              </w:rPr>
              <w:t>485,562</w:t>
            </w:r>
          </w:p>
        </w:tc>
        <w:tc>
          <w:tcPr>
            <w:tcW w:w="900" w:type="dxa"/>
            <w:vAlign w:val="bottom"/>
            <w:gridSpan w:val="3"/>
          </w:tcPr>
          <w:p>
            <w:pPr>
              <w:ind w:left="440"/>
              <w:spacing w:after="0"/>
              <w:rPr>
                <w:sz w:val="20"/>
                <w:szCs w:val="20"/>
                <w:color w:val="auto"/>
              </w:rPr>
            </w:pPr>
            <w:r>
              <w:rPr>
                <w:rFonts w:ascii="Arial" w:cs="Arial" w:eastAsia="Arial" w:hAnsi="Arial"/>
                <w:sz w:val="18"/>
                <w:szCs w:val="18"/>
                <w:color w:val="auto"/>
              </w:rPr>
              <w:t>1.5</w:t>
            </w:r>
          </w:p>
        </w:tc>
      </w:tr>
      <w:tr>
        <w:trPr>
          <w:trHeight w:val="350"/>
        </w:trPr>
        <w:tc>
          <w:tcPr>
            <w:tcW w:w="2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Date</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color w:val="auto"/>
              </w:rPr>
              <w:t>Total All Lines</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12-mth. growth rate</w:t>
            </w: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12/31/2005</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5"/>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3,759,599</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28"/>
              <w:spacing w:after="0" w:line="196" w:lineRule="exact"/>
              <w:rPr>
                <w:sz w:val="20"/>
                <w:szCs w:val="20"/>
                <w:color w:val="auto"/>
              </w:rPr>
            </w:pPr>
            <w:r>
              <w:rPr>
                <w:rFonts w:ascii="Arial" w:cs="Arial" w:eastAsia="Arial" w:hAnsi="Arial"/>
                <w:sz w:val="18"/>
                <w:szCs w:val="18"/>
                <w:color w:val="auto"/>
              </w:rPr>
              <w:t>(0.3)%</w:t>
            </w:r>
          </w:p>
        </w:tc>
      </w:tr>
      <w:tr>
        <w:trPr>
          <w:trHeight w:val="203"/>
        </w:trPr>
        <w:tc>
          <w:tcPr>
            <w:tcW w:w="20" w:type="dxa"/>
            <w:vAlign w:val="bottom"/>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7"/>
              </w:rPr>
              <w:t>03/31/2006</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5"/>
          </w:tcPr>
          <w:p>
            <w:pPr>
              <w:jc w:val="right"/>
              <w:ind w:right="100"/>
              <w:spacing w:after="0" w:line="202" w:lineRule="exact"/>
              <w:rPr>
                <w:sz w:val="20"/>
                <w:szCs w:val="20"/>
                <w:color w:val="auto"/>
              </w:rPr>
            </w:pPr>
            <w:r>
              <w:rPr>
                <w:rFonts w:ascii="Arial" w:cs="Arial" w:eastAsia="Arial" w:hAnsi="Arial"/>
                <w:sz w:val="18"/>
                <w:szCs w:val="18"/>
                <w:color w:val="auto"/>
              </w:rPr>
              <w:t>3,761,500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right"/>
              <w:ind w:right="448"/>
              <w:spacing w:after="0" w:line="202" w:lineRule="exact"/>
              <w:rPr>
                <w:sz w:val="20"/>
                <w:szCs w:val="20"/>
                <w:color w:val="auto"/>
              </w:rPr>
            </w:pPr>
            <w:r>
              <w:rPr>
                <w:rFonts w:ascii="Arial" w:cs="Arial" w:eastAsia="Arial" w:hAnsi="Arial"/>
                <w:sz w:val="18"/>
                <w:szCs w:val="18"/>
                <w:color w:val="auto"/>
              </w:rPr>
              <w:t>0.1</w:t>
            </w:r>
          </w:p>
        </w:tc>
      </w:tr>
      <w:tr>
        <w:trPr>
          <w:trHeight w:val="203"/>
        </w:trPr>
        <w:tc>
          <w:tcPr>
            <w:tcW w:w="20" w:type="dxa"/>
            <w:vAlign w:val="bottom"/>
          </w:tcPr>
          <w:p>
            <w:pPr>
              <w:spacing w:after="0"/>
              <w:rPr>
                <w:sz w:val="17"/>
                <w:szCs w:val="17"/>
                <w:color w:val="auto"/>
              </w:rPr>
            </w:pP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06/30/2006</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5"/>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3,781,558</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448"/>
              <w:spacing w:after="0" w:line="202" w:lineRule="exact"/>
              <w:rPr>
                <w:sz w:val="20"/>
                <w:szCs w:val="20"/>
                <w:color w:val="auto"/>
              </w:rPr>
            </w:pPr>
            <w:r>
              <w:rPr>
                <w:rFonts w:ascii="Arial" w:cs="Arial" w:eastAsia="Arial" w:hAnsi="Arial"/>
                <w:sz w:val="18"/>
                <w:szCs w:val="18"/>
                <w:color w:val="auto"/>
              </w:rPr>
              <w:t>0.4</w:t>
            </w:r>
          </w:p>
        </w:tc>
      </w:tr>
      <w:tr>
        <w:trPr>
          <w:trHeight w:val="203"/>
        </w:trPr>
        <w:tc>
          <w:tcPr>
            <w:tcW w:w="20" w:type="dxa"/>
            <w:vAlign w:val="bottom"/>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7"/>
              </w:rPr>
              <w:t>09/30/2006</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5"/>
          </w:tcPr>
          <w:p>
            <w:pPr>
              <w:jc w:val="right"/>
              <w:ind w:right="100"/>
              <w:spacing w:after="0" w:line="202" w:lineRule="exact"/>
              <w:rPr>
                <w:sz w:val="20"/>
                <w:szCs w:val="20"/>
                <w:color w:val="auto"/>
              </w:rPr>
            </w:pPr>
            <w:r>
              <w:rPr>
                <w:rFonts w:ascii="Arial" w:cs="Arial" w:eastAsia="Arial" w:hAnsi="Arial"/>
                <w:sz w:val="18"/>
                <w:szCs w:val="18"/>
                <w:color w:val="auto"/>
              </w:rPr>
              <w:t>3,793,455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right"/>
              <w:ind w:right="448"/>
              <w:spacing w:after="0" w:line="202" w:lineRule="exact"/>
              <w:rPr>
                <w:sz w:val="20"/>
                <w:szCs w:val="20"/>
                <w:color w:val="auto"/>
              </w:rPr>
            </w:pPr>
            <w:r>
              <w:rPr>
                <w:rFonts w:ascii="Arial" w:cs="Arial" w:eastAsia="Arial" w:hAnsi="Arial"/>
                <w:sz w:val="18"/>
                <w:szCs w:val="18"/>
                <w:color w:val="auto"/>
              </w:rPr>
              <w:t>0.6</w:t>
            </w:r>
          </w:p>
        </w:tc>
      </w:tr>
      <w:tr>
        <w:trPr>
          <w:trHeight w:val="203"/>
        </w:trPr>
        <w:tc>
          <w:tcPr>
            <w:tcW w:w="20" w:type="dxa"/>
            <w:vAlign w:val="bottom"/>
          </w:tcPr>
          <w:p>
            <w:pPr>
              <w:spacing w:after="0"/>
              <w:rPr>
                <w:sz w:val="17"/>
                <w:szCs w:val="17"/>
                <w:color w:val="auto"/>
              </w:rPr>
            </w:pP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12/31/2006</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5"/>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3,798,297</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448"/>
              <w:spacing w:after="0" w:line="202" w:lineRule="exact"/>
              <w:rPr>
                <w:sz w:val="20"/>
                <w:szCs w:val="20"/>
                <w:color w:val="auto"/>
              </w:rPr>
            </w:pPr>
            <w:r>
              <w:rPr>
                <w:rFonts w:ascii="Arial" w:cs="Arial" w:eastAsia="Arial" w:hAnsi="Arial"/>
                <w:sz w:val="18"/>
                <w:szCs w:val="18"/>
                <w:color w:val="auto"/>
              </w:rPr>
              <w:t>1.0</w:t>
            </w:r>
          </w:p>
        </w:tc>
      </w:tr>
      <w:tr>
        <w:trPr>
          <w:trHeight w:val="217"/>
        </w:trPr>
        <w:tc>
          <w:tcPr>
            <w:tcW w:w="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03/31/2007</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5"/>
          </w:tcPr>
          <w:p>
            <w:pPr>
              <w:jc w:val="right"/>
              <w:ind w:right="100"/>
              <w:spacing w:after="0"/>
              <w:rPr>
                <w:sz w:val="20"/>
                <w:szCs w:val="20"/>
                <w:color w:val="auto"/>
              </w:rPr>
            </w:pPr>
            <w:r>
              <w:rPr>
                <w:rFonts w:ascii="Arial" w:cs="Arial" w:eastAsia="Arial" w:hAnsi="Arial"/>
                <w:sz w:val="18"/>
                <w:szCs w:val="18"/>
                <w:color w:val="auto"/>
              </w:rPr>
              <w:t>3,811,723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448"/>
              <w:spacing w:after="0"/>
              <w:rPr>
                <w:sz w:val="20"/>
                <w:szCs w:val="20"/>
                <w:color w:val="auto"/>
              </w:rPr>
            </w:pPr>
            <w:r>
              <w:rPr>
                <w:rFonts w:ascii="Arial" w:cs="Arial" w:eastAsia="Arial" w:hAnsi="Arial"/>
                <w:sz w:val="18"/>
                <w:szCs w:val="18"/>
                <w:color w:val="auto"/>
              </w:rPr>
              <w:t>1.3</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Policy retention trends for Property and Casualty Group insurance operations</w:t>
      </w:r>
      <w:r>
        <w:rPr>
          <w:rFonts w:ascii="Arial" w:cs="Arial" w:eastAsia="Arial" w:hAnsi="Arial"/>
          <w:sz w:val="18"/>
          <w:szCs w:val="18"/>
          <w:b w:val="1"/>
          <w:bCs w:val="1"/>
          <w:color w:val="auto"/>
        </w:rPr>
        <w: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Private</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Passenger</w:t>
            </w:r>
          </w:p>
        </w:tc>
        <w:tc>
          <w:tcPr>
            <w:tcW w:w="3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CML*</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CML*</w:t>
            </w:r>
          </w:p>
        </w:tc>
        <w:tc>
          <w:tcPr>
            <w:tcW w:w="3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Workers</w:t>
            </w:r>
          </w:p>
        </w:tc>
        <w:tc>
          <w:tcPr>
            <w:tcW w:w="3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All Other</w:t>
            </w:r>
          </w:p>
        </w:tc>
        <w:tc>
          <w:tcPr>
            <w:tcW w:w="3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Total</w:t>
            </w:r>
          </w:p>
        </w:tc>
      </w:tr>
      <w:tr>
        <w:trPr>
          <w:trHeight w:val="157"/>
        </w:trPr>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100"/>
              <w:spacing w:after="0" w:line="157" w:lineRule="exact"/>
              <w:rPr>
                <w:sz w:val="20"/>
                <w:szCs w:val="20"/>
                <w:color w:val="auto"/>
              </w:rPr>
            </w:pPr>
            <w:r>
              <w:rPr>
                <w:rFonts w:ascii="Arial" w:cs="Arial" w:eastAsia="Arial" w:hAnsi="Arial"/>
                <w:sz w:val="14"/>
                <w:szCs w:val="14"/>
                <w:color w:val="auto"/>
              </w:rPr>
              <w:t>Date</w:t>
            </w:r>
          </w:p>
        </w:tc>
        <w:tc>
          <w:tcPr>
            <w:tcW w:w="1620" w:type="dxa"/>
            <w:vAlign w:val="bottom"/>
            <w:gridSpan w:val="2"/>
          </w:tcPr>
          <w:p>
            <w:pPr>
              <w:spacing w:after="0"/>
              <w:rPr>
                <w:sz w:val="13"/>
                <w:szCs w:val="13"/>
                <w:color w:val="auto"/>
              </w:rPr>
            </w:pPr>
          </w:p>
        </w:tc>
        <w:tc>
          <w:tcPr>
            <w:tcW w:w="10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Auto</w:t>
            </w:r>
          </w:p>
        </w:tc>
        <w:tc>
          <w:tcPr>
            <w:tcW w:w="360" w:type="dxa"/>
            <w:vAlign w:val="bottom"/>
          </w:tcPr>
          <w:p>
            <w:pPr>
              <w:spacing w:after="0"/>
              <w:rPr>
                <w:sz w:val="13"/>
                <w:szCs w:val="13"/>
                <w:color w:val="auto"/>
              </w:rPr>
            </w:pPr>
          </w:p>
        </w:tc>
        <w:tc>
          <w:tcPr>
            <w:tcW w:w="9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Auto</w:t>
            </w:r>
          </w:p>
        </w:tc>
        <w:tc>
          <w:tcPr>
            <w:tcW w:w="340" w:type="dxa"/>
            <w:vAlign w:val="bottom"/>
          </w:tcPr>
          <w:p>
            <w:pPr>
              <w:spacing w:after="0"/>
              <w:rPr>
                <w:sz w:val="13"/>
                <w:szCs w:val="13"/>
                <w:color w:val="auto"/>
              </w:rPr>
            </w:pPr>
          </w:p>
        </w:tc>
        <w:tc>
          <w:tcPr>
            <w:tcW w:w="108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Homeowners</w:t>
            </w:r>
          </w:p>
        </w:tc>
        <w:tc>
          <w:tcPr>
            <w:tcW w:w="360" w:type="dxa"/>
            <w:vAlign w:val="bottom"/>
          </w:tcPr>
          <w:p>
            <w:pPr>
              <w:spacing w:after="0"/>
              <w:rPr>
                <w:sz w:val="13"/>
                <w:szCs w:val="13"/>
                <w:color w:val="auto"/>
              </w:rPr>
            </w:pPr>
          </w:p>
        </w:tc>
        <w:tc>
          <w:tcPr>
            <w:tcW w:w="10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Multi-Peril</w:t>
            </w:r>
          </w:p>
        </w:tc>
        <w:tc>
          <w:tcPr>
            <w:tcW w:w="340" w:type="dxa"/>
            <w:vAlign w:val="bottom"/>
          </w:tcPr>
          <w:p>
            <w:pPr>
              <w:spacing w:after="0"/>
              <w:rPr>
                <w:sz w:val="13"/>
                <w:szCs w:val="13"/>
                <w:color w:val="auto"/>
              </w:rPr>
            </w:pPr>
          </w:p>
        </w:tc>
        <w:tc>
          <w:tcPr>
            <w:tcW w:w="9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Comp.</w:t>
            </w:r>
          </w:p>
        </w:tc>
        <w:tc>
          <w:tcPr>
            <w:tcW w:w="360" w:type="dxa"/>
            <w:vAlign w:val="bottom"/>
          </w:tcPr>
          <w:p>
            <w:pPr>
              <w:spacing w:after="0"/>
              <w:rPr>
                <w:sz w:val="13"/>
                <w:szCs w:val="13"/>
                <w:color w:val="auto"/>
              </w:rPr>
            </w:pPr>
          </w:p>
        </w:tc>
        <w:tc>
          <w:tcPr>
            <w:tcW w:w="9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Lines</w:t>
            </w:r>
          </w:p>
        </w:tc>
        <w:tc>
          <w:tcPr>
            <w:tcW w:w="360" w:type="dxa"/>
            <w:vAlign w:val="bottom"/>
          </w:tcPr>
          <w:p>
            <w:pPr>
              <w:spacing w:after="0"/>
              <w:rPr>
                <w:sz w:val="13"/>
                <w:szCs w:val="13"/>
                <w:color w:val="auto"/>
              </w:rPr>
            </w:pPr>
          </w:p>
        </w:tc>
        <w:tc>
          <w:tcPr>
            <w:tcW w:w="9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All Lines</w:t>
            </w:r>
          </w:p>
        </w:tc>
      </w:tr>
      <w:tr>
        <w:trPr>
          <w:trHeight w:val="196"/>
        </w:trPr>
        <w:tc>
          <w:tcPr>
            <w:tcW w:w="20" w:type="dxa"/>
            <w:vAlign w:val="bottom"/>
          </w:tcPr>
          <w:p>
            <w:pPr>
              <w:spacing w:after="0"/>
              <w:rPr>
                <w:sz w:val="17"/>
                <w:szCs w:val="17"/>
                <w:color w:val="auto"/>
              </w:rPr>
            </w:pPr>
          </w:p>
        </w:tc>
        <w:tc>
          <w:tcPr>
            <w:tcW w:w="9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w w:val="97"/>
              </w:rPr>
              <w:t>12/31/2005</w:t>
            </w:r>
          </w:p>
        </w:tc>
        <w:tc>
          <w:tcPr>
            <w:tcW w:w="1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90.0%</w:t>
            </w:r>
          </w:p>
        </w:tc>
        <w:tc>
          <w:tcPr>
            <w:tcW w:w="1280" w:type="dxa"/>
            <w:vAlign w:val="bottom"/>
            <w:gridSpan w:val="2"/>
            <w:shd w:val="clear" w:color="auto" w:fill="CCEEFF"/>
          </w:tcPr>
          <w:p>
            <w:pPr>
              <w:ind w:left="620"/>
              <w:spacing w:after="0" w:line="196" w:lineRule="exact"/>
              <w:rPr>
                <w:sz w:val="20"/>
                <w:szCs w:val="20"/>
                <w:color w:val="auto"/>
              </w:rPr>
            </w:pPr>
            <w:r>
              <w:rPr>
                <w:rFonts w:ascii="Arial" w:cs="Arial" w:eastAsia="Arial" w:hAnsi="Arial"/>
                <w:sz w:val="18"/>
                <w:szCs w:val="18"/>
                <w:color w:val="auto"/>
              </w:rPr>
              <w:t>87.9%</w:t>
            </w:r>
          </w:p>
        </w:tc>
        <w:tc>
          <w:tcPr>
            <w:tcW w:w="1420" w:type="dxa"/>
            <w:vAlign w:val="bottom"/>
            <w:gridSpan w:val="2"/>
            <w:shd w:val="clear" w:color="auto" w:fill="CCEEFF"/>
          </w:tcPr>
          <w:p>
            <w:pPr>
              <w:ind w:left="720"/>
              <w:spacing w:after="0" w:line="196" w:lineRule="exact"/>
              <w:rPr>
                <w:sz w:val="20"/>
                <w:szCs w:val="20"/>
                <w:color w:val="auto"/>
              </w:rPr>
            </w:pPr>
            <w:r>
              <w:rPr>
                <w:rFonts w:ascii="Arial" w:cs="Arial" w:eastAsia="Arial" w:hAnsi="Arial"/>
                <w:sz w:val="18"/>
                <w:szCs w:val="18"/>
                <w:color w:val="auto"/>
              </w:rPr>
              <w:t>88.2%</w:t>
            </w:r>
          </w:p>
        </w:tc>
        <w:tc>
          <w:tcPr>
            <w:tcW w:w="1360" w:type="dxa"/>
            <w:vAlign w:val="bottom"/>
            <w:gridSpan w:val="2"/>
            <w:shd w:val="clear" w:color="auto" w:fill="CCEEFF"/>
          </w:tcPr>
          <w:p>
            <w:pPr>
              <w:ind w:left="680"/>
              <w:spacing w:after="0" w:line="196" w:lineRule="exact"/>
              <w:rPr>
                <w:sz w:val="20"/>
                <w:szCs w:val="20"/>
                <w:color w:val="auto"/>
              </w:rPr>
            </w:pPr>
            <w:r>
              <w:rPr>
                <w:rFonts w:ascii="Arial" w:cs="Arial" w:eastAsia="Arial" w:hAnsi="Arial"/>
                <w:sz w:val="18"/>
                <w:szCs w:val="18"/>
                <w:color w:val="auto"/>
              </w:rPr>
              <w:t>85.4%</w:t>
            </w:r>
          </w:p>
        </w:tc>
        <w:tc>
          <w:tcPr>
            <w:tcW w:w="1260" w:type="dxa"/>
            <w:vAlign w:val="bottom"/>
            <w:gridSpan w:val="2"/>
            <w:shd w:val="clear" w:color="auto" w:fill="CCEEFF"/>
          </w:tcPr>
          <w:p>
            <w:pPr>
              <w:ind w:left="620"/>
              <w:spacing w:after="0" w:line="196" w:lineRule="exact"/>
              <w:rPr>
                <w:sz w:val="20"/>
                <w:szCs w:val="20"/>
                <w:color w:val="auto"/>
              </w:rPr>
            </w:pPr>
            <w:r>
              <w:rPr>
                <w:rFonts w:ascii="Arial" w:cs="Arial" w:eastAsia="Arial" w:hAnsi="Arial"/>
                <w:sz w:val="18"/>
                <w:szCs w:val="18"/>
                <w:color w:val="auto"/>
              </w:rPr>
              <w:t>86.2%</w:t>
            </w:r>
          </w:p>
        </w:tc>
        <w:tc>
          <w:tcPr>
            <w:tcW w:w="1280" w:type="dxa"/>
            <w:vAlign w:val="bottom"/>
            <w:gridSpan w:val="2"/>
            <w:shd w:val="clear" w:color="auto" w:fill="CCEEFF"/>
          </w:tcPr>
          <w:p>
            <w:pPr>
              <w:ind w:left="620"/>
              <w:spacing w:after="0" w:line="196" w:lineRule="exact"/>
              <w:rPr>
                <w:sz w:val="20"/>
                <w:szCs w:val="20"/>
                <w:color w:val="auto"/>
              </w:rPr>
            </w:pPr>
            <w:r>
              <w:rPr>
                <w:rFonts w:ascii="Arial" w:cs="Arial" w:eastAsia="Arial" w:hAnsi="Arial"/>
                <w:sz w:val="18"/>
                <w:szCs w:val="18"/>
                <w:color w:val="auto"/>
              </w:rPr>
              <w:t>86.0%</w:t>
            </w:r>
          </w:p>
        </w:tc>
        <w:tc>
          <w:tcPr>
            <w:tcW w:w="1280" w:type="dxa"/>
            <w:vAlign w:val="bottom"/>
            <w:gridSpan w:val="2"/>
            <w:shd w:val="clear" w:color="auto" w:fill="CCEEFF"/>
          </w:tcPr>
          <w:p>
            <w:pPr>
              <w:ind w:left="640"/>
              <w:spacing w:after="0" w:line="196" w:lineRule="exact"/>
              <w:rPr>
                <w:sz w:val="20"/>
                <w:szCs w:val="20"/>
                <w:color w:val="auto"/>
              </w:rPr>
            </w:pPr>
            <w:r>
              <w:rPr>
                <w:rFonts w:ascii="Arial" w:cs="Arial" w:eastAsia="Arial" w:hAnsi="Arial"/>
                <w:sz w:val="18"/>
                <w:szCs w:val="18"/>
                <w:color w:val="auto"/>
              </w:rPr>
              <w:t>88.6%</w:t>
            </w:r>
          </w:p>
        </w:tc>
      </w:tr>
      <w:tr>
        <w:trPr>
          <w:trHeight w:val="203"/>
        </w:trPr>
        <w:tc>
          <w:tcPr>
            <w:tcW w:w="20" w:type="dxa"/>
            <w:vAlign w:val="bottom"/>
          </w:tcPr>
          <w:p>
            <w:pPr>
              <w:spacing w:after="0"/>
              <w:rPr>
                <w:sz w:val="17"/>
                <w:szCs w:val="17"/>
                <w:color w:val="auto"/>
              </w:rPr>
            </w:pPr>
          </w:p>
        </w:tc>
        <w:tc>
          <w:tcPr>
            <w:tcW w:w="900" w:type="dxa"/>
            <w:vAlign w:val="bottom"/>
            <w:gridSpan w:val="2"/>
          </w:tcPr>
          <w:p>
            <w:pPr>
              <w:spacing w:after="0" w:line="202" w:lineRule="exact"/>
              <w:rPr>
                <w:sz w:val="20"/>
                <w:szCs w:val="20"/>
                <w:color w:val="auto"/>
              </w:rPr>
            </w:pPr>
            <w:r>
              <w:rPr>
                <w:rFonts w:ascii="Arial" w:cs="Arial" w:eastAsia="Arial" w:hAnsi="Arial"/>
                <w:sz w:val="18"/>
                <w:szCs w:val="18"/>
                <w:color w:val="auto"/>
                <w:w w:val="97"/>
              </w:rPr>
              <w:t>03/31/2006</w:t>
            </w: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ind w:left="340"/>
              <w:spacing w:after="0" w:line="202" w:lineRule="exact"/>
              <w:rPr>
                <w:sz w:val="20"/>
                <w:szCs w:val="20"/>
                <w:color w:val="auto"/>
              </w:rPr>
            </w:pPr>
            <w:r>
              <w:rPr>
                <w:rFonts w:ascii="Arial" w:cs="Arial" w:eastAsia="Arial" w:hAnsi="Arial"/>
                <w:sz w:val="18"/>
                <w:szCs w:val="18"/>
                <w:color w:val="auto"/>
              </w:rPr>
              <w:t>90.1</w:t>
            </w:r>
          </w:p>
        </w:tc>
        <w:tc>
          <w:tcPr>
            <w:tcW w:w="1280" w:type="dxa"/>
            <w:vAlign w:val="bottom"/>
            <w:gridSpan w:val="2"/>
          </w:tcPr>
          <w:p>
            <w:pPr>
              <w:ind w:left="620"/>
              <w:spacing w:after="0" w:line="202" w:lineRule="exact"/>
              <w:rPr>
                <w:sz w:val="20"/>
                <w:szCs w:val="20"/>
                <w:color w:val="auto"/>
              </w:rPr>
            </w:pPr>
            <w:r>
              <w:rPr>
                <w:rFonts w:ascii="Arial" w:cs="Arial" w:eastAsia="Arial" w:hAnsi="Arial"/>
                <w:sz w:val="18"/>
                <w:szCs w:val="18"/>
                <w:color w:val="auto"/>
              </w:rPr>
              <w:t>88.0</w:t>
            </w:r>
          </w:p>
        </w:tc>
        <w:tc>
          <w:tcPr>
            <w:tcW w:w="142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88.6</w:t>
            </w:r>
          </w:p>
        </w:tc>
        <w:tc>
          <w:tcPr>
            <w:tcW w:w="136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85.9</w:t>
            </w:r>
          </w:p>
        </w:tc>
        <w:tc>
          <w:tcPr>
            <w:tcW w:w="1260" w:type="dxa"/>
            <w:vAlign w:val="bottom"/>
            <w:gridSpan w:val="2"/>
          </w:tcPr>
          <w:p>
            <w:pPr>
              <w:ind w:left="620"/>
              <w:spacing w:after="0" w:line="202" w:lineRule="exact"/>
              <w:rPr>
                <w:sz w:val="20"/>
                <w:szCs w:val="20"/>
                <w:color w:val="auto"/>
              </w:rPr>
            </w:pPr>
            <w:r>
              <w:rPr>
                <w:rFonts w:ascii="Arial" w:cs="Arial" w:eastAsia="Arial" w:hAnsi="Arial"/>
                <w:sz w:val="18"/>
                <w:szCs w:val="18"/>
                <w:color w:val="auto"/>
              </w:rPr>
              <w:t>86.0</w:t>
            </w:r>
          </w:p>
        </w:tc>
        <w:tc>
          <w:tcPr>
            <w:tcW w:w="1280" w:type="dxa"/>
            <w:vAlign w:val="bottom"/>
            <w:gridSpan w:val="2"/>
          </w:tcPr>
          <w:p>
            <w:pPr>
              <w:ind w:left="620"/>
              <w:spacing w:after="0" w:line="202" w:lineRule="exact"/>
              <w:rPr>
                <w:sz w:val="20"/>
                <w:szCs w:val="20"/>
                <w:color w:val="auto"/>
              </w:rPr>
            </w:pPr>
            <w:r>
              <w:rPr>
                <w:rFonts w:ascii="Arial" w:cs="Arial" w:eastAsia="Arial" w:hAnsi="Arial"/>
                <w:sz w:val="18"/>
                <w:szCs w:val="18"/>
                <w:color w:val="auto"/>
              </w:rPr>
              <w:t>86.2</w:t>
            </w:r>
          </w:p>
        </w:tc>
        <w:tc>
          <w:tcPr>
            <w:tcW w:w="128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88.8</w:t>
            </w:r>
          </w:p>
        </w:tc>
      </w:tr>
      <w:tr>
        <w:trPr>
          <w:trHeight w:val="203"/>
        </w:trPr>
        <w:tc>
          <w:tcPr>
            <w:tcW w:w="20" w:type="dxa"/>
            <w:vAlign w:val="bottom"/>
          </w:tcPr>
          <w:p>
            <w:pPr>
              <w:spacing w:after="0"/>
              <w:rPr>
                <w:sz w:val="17"/>
                <w:szCs w:val="17"/>
                <w:color w:val="auto"/>
              </w:rPr>
            </w:pPr>
          </w:p>
        </w:tc>
        <w:tc>
          <w:tcPr>
            <w:tcW w:w="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7"/>
              </w:rPr>
              <w:t>06/30/2006</w:t>
            </w:r>
          </w:p>
        </w:tc>
        <w:tc>
          <w:tcPr>
            <w:tcW w:w="1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90.3</w:t>
            </w:r>
          </w:p>
        </w:tc>
        <w:tc>
          <w:tcPr>
            <w:tcW w:w="128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rPr>
              <w:t>87.7</w:t>
            </w:r>
          </w:p>
        </w:tc>
        <w:tc>
          <w:tcPr>
            <w:tcW w:w="142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88.9</w:t>
            </w:r>
          </w:p>
        </w:tc>
        <w:tc>
          <w:tcPr>
            <w:tcW w:w="136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85.9</w:t>
            </w:r>
          </w:p>
        </w:tc>
        <w:tc>
          <w:tcPr>
            <w:tcW w:w="126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rPr>
              <w:t>85.9</w:t>
            </w:r>
          </w:p>
        </w:tc>
        <w:tc>
          <w:tcPr>
            <w:tcW w:w="128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rPr>
              <w:t>86.5</w:t>
            </w:r>
          </w:p>
        </w:tc>
        <w:tc>
          <w:tcPr>
            <w:tcW w:w="128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89.0</w:t>
            </w:r>
          </w:p>
        </w:tc>
      </w:tr>
      <w:tr>
        <w:trPr>
          <w:trHeight w:val="203"/>
        </w:trPr>
        <w:tc>
          <w:tcPr>
            <w:tcW w:w="20" w:type="dxa"/>
            <w:vAlign w:val="bottom"/>
          </w:tcPr>
          <w:p>
            <w:pPr>
              <w:spacing w:after="0"/>
              <w:rPr>
                <w:sz w:val="17"/>
                <w:szCs w:val="17"/>
                <w:color w:val="auto"/>
              </w:rPr>
            </w:pPr>
          </w:p>
        </w:tc>
        <w:tc>
          <w:tcPr>
            <w:tcW w:w="900" w:type="dxa"/>
            <w:vAlign w:val="bottom"/>
            <w:gridSpan w:val="2"/>
          </w:tcPr>
          <w:p>
            <w:pPr>
              <w:spacing w:after="0" w:line="202" w:lineRule="exact"/>
              <w:rPr>
                <w:sz w:val="20"/>
                <w:szCs w:val="20"/>
                <w:color w:val="auto"/>
              </w:rPr>
            </w:pPr>
            <w:r>
              <w:rPr>
                <w:rFonts w:ascii="Arial" w:cs="Arial" w:eastAsia="Arial" w:hAnsi="Arial"/>
                <w:sz w:val="18"/>
                <w:szCs w:val="18"/>
                <w:color w:val="auto"/>
                <w:w w:val="97"/>
              </w:rPr>
              <w:t>09/30/2006</w:t>
            </w: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ind w:left="340"/>
              <w:spacing w:after="0" w:line="202" w:lineRule="exact"/>
              <w:rPr>
                <w:sz w:val="20"/>
                <w:szCs w:val="20"/>
                <w:color w:val="auto"/>
              </w:rPr>
            </w:pPr>
            <w:r>
              <w:rPr>
                <w:rFonts w:ascii="Arial" w:cs="Arial" w:eastAsia="Arial" w:hAnsi="Arial"/>
                <w:sz w:val="18"/>
                <w:szCs w:val="18"/>
                <w:color w:val="auto"/>
              </w:rPr>
              <w:t>90.5</w:t>
            </w:r>
          </w:p>
        </w:tc>
        <w:tc>
          <w:tcPr>
            <w:tcW w:w="1280" w:type="dxa"/>
            <w:vAlign w:val="bottom"/>
            <w:gridSpan w:val="2"/>
          </w:tcPr>
          <w:p>
            <w:pPr>
              <w:ind w:left="620"/>
              <w:spacing w:after="0" w:line="202" w:lineRule="exact"/>
              <w:rPr>
                <w:sz w:val="20"/>
                <w:szCs w:val="20"/>
                <w:color w:val="auto"/>
              </w:rPr>
            </w:pPr>
            <w:r>
              <w:rPr>
                <w:rFonts w:ascii="Arial" w:cs="Arial" w:eastAsia="Arial" w:hAnsi="Arial"/>
                <w:sz w:val="18"/>
                <w:szCs w:val="18"/>
                <w:color w:val="auto"/>
              </w:rPr>
              <w:t>87.8</w:t>
            </w:r>
          </w:p>
        </w:tc>
        <w:tc>
          <w:tcPr>
            <w:tcW w:w="142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89.2</w:t>
            </w:r>
          </w:p>
        </w:tc>
        <w:tc>
          <w:tcPr>
            <w:tcW w:w="136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86.0</w:t>
            </w:r>
          </w:p>
        </w:tc>
        <w:tc>
          <w:tcPr>
            <w:tcW w:w="1260" w:type="dxa"/>
            <w:vAlign w:val="bottom"/>
            <w:gridSpan w:val="2"/>
          </w:tcPr>
          <w:p>
            <w:pPr>
              <w:ind w:left="620"/>
              <w:spacing w:after="0" w:line="202" w:lineRule="exact"/>
              <w:rPr>
                <w:sz w:val="20"/>
                <w:szCs w:val="20"/>
                <w:color w:val="auto"/>
              </w:rPr>
            </w:pPr>
            <w:r>
              <w:rPr>
                <w:rFonts w:ascii="Arial" w:cs="Arial" w:eastAsia="Arial" w:hAnsi="Arial"/>
                <w:sz w:val="18"/>
                <w:szCs w:val="18"/>
                <w:color w:val="auto"/>
              </w:rPr>
              <w:t>85.8</w:t>
            </w:r>
          </w:p>
        </w:tc>
        <w:tc>
          <w:tcPr>
            <w:tcW w:w="1280" w:type="dxa"/>
            <w:vAlign w:val="bottom"/>
            <w:gridSpan w:val="2"/>
          </w:tcPr>
          <w:p>
            <w:pPr>
              <w:ind w:left="620"/>
              <w:spacing w:after="0" w:line="202" w:lineRule="exact"/>
              <w:rPr>
                <w:sz w:val="20"/>
                <w:szCs w:val="20"/>
                <w:color w:val="auto"/>
              </w:rPr>
            </w:pPr>
            <w:r>
              <w:rPr>
                <w:rFonts w:ascii="Arial" w:cs="Arial" w:eastAsia="Arial" w:hAnsi="Arial"/>
                <w:sz w:val="18"/>
                <w:szCs w:val="18"/>
                <w:color w:val="auto"/>
              </w:rPr>
              <w:t>86.7</w:t>
            </w:r>
          </w:p>
        </w:tc>
        <w:tc>
          <w:tcPr>
            <w:tcW w:w="128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89.2</w:t>
            </w:r>
          </w:p>
        </w:tc>
      </w:tr>
      <w:tr>
        <w:trPr>
          <w:trHeight w:val="203"/>
        </w:trPr>
        <w:tc>
          <w:tcPr>
            <w:tcW w:w="20" w:type="dxa"/>
            <w:vAlign w:val="bottom"/>
          </w:tcPr>
          <w:p>
            <w:pPr>
              <w:spacing w:after="0"/>
              <w:rPr>
                <w:sz w:val="17"/>
                <w:szCs w:val="17"/>
                <w:color w:val="auto"/>
              </w:rPr>
            </w:pPr>
          </w:p>
        </w:tc>
        <w:tc>
          <w:tcPr>
            <w:tcW w:w="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7"/>
              </w:rPr>
              <w:t>12/31/2006</w:t>
            </w:r>
          </w:p>
        </w:tc>
        <w:tc>
          <w:tcPr>
            <w:tcW w:w="1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90.8</w:t>
            </w:r>
          </w:p>
        </w:tc>
        <w:tc>
          <w:tcPr>
            <w:tcW w:w="128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rPr>
              <w:t>87.7</w:t>
            </w:r>
          </w:p>
        </w:tc>
        <w:tc>
          <w:tcPr>
            <w:tcW w:w="142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89.4</w:t>
            </w:r>
          </w:p>
        </w:tc>
        <w:tc>
          <w:tcPr>
            <w:tcW w:w="136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86.0</w:t>
            </w:r>
          </w:p>
        </w:tc>
        <w:tc>
          <w:tcPr>
            <w:tcW w:w="126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rPr>
              <w:t>85.7</w:t>
            </w:r>
          </w:p>
        </w:tc>
        <w:tc>
          <w:tcPr>
            <w:tcW w:w="128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rPr>
              <w:t>87.1</w:t>
            </w:r>
          </w:p>
        </w:tc>
        <w:tc>
          <w:tcPr>
            <w:tcW w:w="128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89.5</w:t>
            </w:r>
          </w:p>
        </w:tc>
      </w:tr>
      <w:tr>
        <w:trPr>
          <w:trHeight w:val="217"/>
        </w:trPr>
        <w:tc>
          <w:tcPr>
            <w:tcW w:w="2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w w:val="97"/>
              </w:rPr>
              <w:t>03/31/2007</w:t>
            </w: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ind w:left="340"/>
              <w:spacing w:after="0"/>
              <w:rPr>
                <w:sz w:val="20"/>
                <w:szCs w:val="20"/>
                <w:color w:val="auto"/>
              </w:rPr>
            </w:pPr>
            <w:r>
              <w:rPr>
                <w:rFonts w:ascii="Arial" w:cs="Arial" w:eastAsia="Arial" w:hAnsi="Arial"/>
                <w:sz w:val="18"/>
                <w:szCs w:val="18"/>
                <w:color w:val="auto"/>
              </w:rPr>
              <w:t>91.0</w:t>
            </w:r>
          </w:p>
        </w:tc>
        <w:tc>
          <w:tcPr>
            <w:tcW w:w="1280" w:type="dxa"/>
            <w:vAlign w:val="bottom"/>
            <w:gridSpan w:val="2"/>
          </w:tcPr>
          <w:p>
            <w:pPr>
              <w:ind w:left="620"/>
              <w:spacing w:after="0"/>
              <w:rPr>
                <w:sz w:val="20"/>
                <w:szCs w:val="20"/>
                <w:color w:val="auto"/>
              </w:rPr>
            </w:pPr>
            <w:r>
              <w:rPr>
                <w:rFonts w:ascii="Arial" w:cs="Arial" w:eastAsia="Arial" w:hAnsi="Arial"/>
                <w:sz w:val="18"/>
                <w:szCs w:val="18"/>
                <w:color w:val="auto"/>
              </w:rPr>
              <w:t>88.0</w:t>
            </w:r>
          </w:p>
        </w:tc>
        <w:tc>
          <w:tcPr>
            <w:tcW w:w="1420" w:type="dxa"/>
            <w:vAlign w:val="bottom"/>
            <w:gridSpan w:val="2"/>
          </w:tcPr>
          <w:p>
            <w:pPr>
              <w:ind w:left="720"/>
              <w:spacing w:after="0"/>
              <w:rPr>
                <w:sz w:val="20"/>
                <w:szCs w:val="20"/>
                <w:color w:val="auto"/>
              </w:rPr>
            </w:pPr>
            <w:r>
              <w:rPr>
                <w:rFonts w:ascii="Arial" w:cs="Arial" w:eastAsia="Arial" w:hAnsi="Arial"/>
                <w:sz w:val="18"/>
                <w:szCs w:val="18"/>
                <w:color w:val="auto"/>
              </w:rPr>
              <w:t>89.7</w:t>
            </w:r>
          </w:p>
        </w:tc>
        <w:tc>
          <w:tcPr>
            <w:tcW w:w="1360" w:type="dxa"/>
            <w:vAlign w:val="bottom"/>
            <w:gridSpan w:val="2"/>
          </w:tcPr>
          <w:p>
            <w:pPr>
              <w:ind w:left="680"/>
              <w:spacing w:after="0"/>
              <w:rPr>
                <w:sz w:val="20"/>
                <w:szCs w:val="20"/>
                <w:color w:val="auto"/>
              </w:rPr>
            </w:pPr>
            <w:r>
              <w:rPr>
                <w:rFonts w:ascii="Arial" w:cs="Arial" w:eastAsia="Arial" w:hAnsi="Arial"/>
                <w:sz w:val="18"/>
                <w:szCs w:val="18"/>
                <w:color w:val="auto"/>
              </w:rPr>
              <w:t>86.1</w:t>
            </w:r>
          </w:p>
        </w:tc>
        <w:tc>
          <w:tcPr>
            <w:tcW w:w="1260" w:type="dxa"/>
            <w:vAlign w:val="bottom"/>
            <w:gridSpan w:val="2"/>
          </w:tcPr>
          <w:p>
            <w:pPr>
              <w:ind w:left="620"/>
              <w:spacing w:after="0"/>
              <w:rPr>
                <w:sz w:val="20"/>
                <w:szCs w:val="20"/>
                <w:color w:val="auto"/>
              </w:rPr>
            </w:pPr>
            <w:r>
              <w:rPr>
                <w:rFonts w:ascii="Arial" w:cs="Arial" w:eastAsia="Arial" w:hAnsi="Arial"/>
                <w:sz w:val="18"/>
                <w:szCs w:val="18"/>
                <w:color w:val="auto"/>
              </w:rPr>
              <w:t>86.2</w:t>
            </w:r>
          </w:p>
        </w:tc>
        <w:tc>
          <w:tcPr>
            <w:tcW w:w="1280" w:type="dxa"/>
            <w:vAlign w:val="bottom"/>
            <w:gridSpan w:val="2"/>
          </w:tcPr>
          <w:p>
            <w:pPr>
              <w:ind w:left="620"/>
              <w:spacing w:after="0"/>
              <w:rPr>
                <w:sz w:val="20"/>
                <w:szCs w:val="20"/>
                <w:color w:val="auto"/>
              </w:rPr>
            </w:pPr>
            <w:r>
              <w:rPr>
                <w:rFonts w:ascii="Arial" w:cs="Arial" w:eastAsia="Arial" w:hAnsi="Arial"/>
                <w:sz w:val="18"/>
                <w:szCs w:val="18"/>
                <w:color w:val="auto"/>
              </w:rPr>
              <w:t>87.2</w:t>
            </w:r>
          </w:p>
        </w:tc>
        <w:tc>
          <w:tcPr>
            <w:tcW w:w="1280" w:type="dxa"/>
            <w:vAlign w:val="bottom"/>
            <w:gridSpan w:val="2"/>
          </w:tcPr>
          <w:p>
            <w:pPr>
              <w:ind w:left="640"/>
              <w:spacing w:after="0"/>
              <w:rPr>
                <w:sz w:val="20"/>
                <w:szCs w:val="20"/>
                <w:color w:val="auto"/>
              </w:rPr>
            </w:pPr>
            <w:r>
              <w:rPr>
                <w:rFonts w:ascii="Arial" w:cs="Arial" w:eastAsia="Arial" w:hAnsi="Arial"/>
                <w:sz w:val="18"/>
                <w:szCs w:val="18"/>
                <w:color w:val="auto"/>
              </w:rPr>
              <w:t>89.7</w:t>
            </w:r>
          </w:p>
        </w:tc>
      </w:tr>
      <w:tr>
        <w:trPr>
          <w:trHeight w:val="283"/>
        </w:trPr>
        <w:tc>
          <w:tcPr>
            <w:tcW w:w="200" w:type="dxa"/>
            <w:vAlign w:val="bottom"/>
            <w:tcBorders>
              <w:bottom w:val="single" w:sz="8" w:color="auto"/>
            </w:tcBorders>
            <w:gridSpan w:val="2"/>
          </w:tcPr>
          <w:p>
            <w:pPr>
              <w:spacing w:after="0"/>
              <w:rPr>
                <w:sz w:val="24"/>
                <w:szCs w:val="24"/>
                <w:color w:val="auto"/>
              </w:rPr>
            </w:pPr>
          </w:p>
        </w:tc>
        <w:tc>
          <w:tcPr>
            <w:tcW w:w="1860" w:type="dxa"/>
            <w:vAlign w:val="bottom"/>
            <w:tcBorders>
              <w:bottom w:val="single" w:sz="8" w:color="auto"/>
            </w:tcBorders>
            <w:gridSpan w:val="2"/>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7"/>
        </w:trPr>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2340" w:type="dxa"/>
            <w:vAlign w:val="bottom"/>
            <w:gridSpan w:val="3"/>
          </w:tcPr>
          <w:p>
            <w:pPr>
              <w:ind w:left="260"/>
              <w:spacing w:after="0"/>
              <w:rPr>
                <w:sz w:val="20"/>
                <w:szCs w:val="20"/>
                <w:color w:val="auto"/>
              </w:rPr>
            </w:pPr>
            <w:r>
              <w:rPr>
                <w:rFonts w:ascii="Arial" w:cs="Arial" w:eastAsia="Arial" w:hAnsi="Arial"/>
                <w:sz w:val="18"/>
                <w:szCs w:val="18"/>
                <w:color w:val="auto"/>
              </w:rPr>
              <w:t>CML = Commercial</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gridSpan w:val="2"/>
          </w:tcPr>
          <w:p>
            <w:pPr>
              <w:jc w:val="right"/>
              <w:ind w:right="348"/>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NOTE 13 – SEGMENT INFORMATION (Continued)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Average premium per policy trends for Property and Casualty Group insurance operations</w:t>
      </w:r>
      <w:r>
        <w:rPr>
          <w:rFonts w:ascii="Arial" w:cs="Arial" w:eastAsia="Arial" w:hAnsi="Arial"/>
          <w:sz w:val="18"/>
          <w:szCs w:val="18"/>
          <w:color w:val="auto"/>
        </w:rPr>
        <w: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Private</w:t>
            </w:r>
          </w:p>
        </w:tc>
        <w:tc>
          <w:tcPr>
            <w:tcW w:w="2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12-mth.</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12-mth.</w:t>
            </w:r>
          </w:p>
        </w:tc>
        <w:tc>
          <w:tcPr>
            <w:tcW w:w="2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All Other</w:t>
            </w:r>
          </w:p>
        </w:tc>
        <w:tc>
          <w:tcPr>
            <w:tcW w:w="260" w:type="dxa"/>
            <w:vAlign w:val="bottom"/>
          </w:tcPr>
          <w:p>
            <w:pPr>
              <w:spacing w:after="0"/>
              <w:rPr>
                <w:sz w:val="14"/>
                <w:szCs w:val="14"/>
                <w:color w:val="auto"/>
              </w:rPr>
            </w:pPr>
          </w:p>
        </w:tc>
        <w:tc>
          <w:tcPr>
            <w:tcW w:w="880" w:type="dxa"/>
            <w:vAlign w:val="bottom"/>
          </w:tcPr>
          <w:p>
            <w:pPr>
              <w:ind w:left="200"/>
              <w:spacing w:after="0"/>
              <w:rPr>
                <w:sz w:val="20"/>
                <w:szCs w:val="20"/>
                <w:color w:val="auto"/>
              </w:rPr>
            </w:pPr>
            <w:r>
              <w:rPr>
                <w:rFonts w:ascii="Arial" w:cs="Arial" w:eastAsia="Arial" w:hAnsi="Arial"/>
                <w:sz w:val="14"/>
                <w:szCs w:val="14"/>
                <w:color w:val="auto"/>
              </w:rPr>
              <w:t>12-mth.</w:t>
            </w:r>
          </w:p>
        </w:tc>
        <w:tc>
          <w:tcPr>
            <w:tcW w:w="2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Total</w:t>
            </w:r>
          </w:p>
        </w:tc>
        <w:tc>
          <w:tcPr>
            <w:tcW w:w="2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12-mth.</w:t>
            </w:r>
          </w:p>
        </w:tc>
      </w:tr>
      <w:tr>
        <w:trPr>
          <w:trHeight w:val="16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Passenger</w:t>
            </w:r>
          </w:p>
        </w:tc>
        <w:tc>
          <w:tcPr>
            <w:tcW w:w="2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percent</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percent</w:t>
            </w:r>
          </w:p>
        </w:tc>
        <w:tc>
          <w:tcPr>
            <w:tcW w:w="2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Personal</w:t>
            </w:r>
          </w:p>
        </w:tc>
        <w:tc>
          <w:tcPr>
            <w:tcW w:w="260" w:type="dxa"/>
            <w:vAlign w:val="bottom"/>
          </w:tcPr>
          <w:p>
            <w:pPr>
              <w:spacing w:after="0"/>
              <w:rPr>
                <w:sz w:val="14"/>
                <w:szCs w:val="14"/>
                <w:color w:val="auto"/>
              </w:rPr>
            </w:pPr>
          </w:p>
        </w:tc>
        <w:tc>
          <w:tcPr>
            <w:tcW w:w="880" w:type="dxa"/>
            <w:vAlign w:val="bottom"/>
          </w:tcPr>
          <w:p>
            <w:pPr>
              <w:ind w:left="200"/>
              <w:spacing w:after="0"/>
              <w:rPr>
                <w:sz w:val="20"/>
                <w:szCs w:val="20"/>
                <w:color w:val="auto"/>
              </w:rPr>
            </w:pPr>
            <w:r>
              <w:rPr>
                <w:rFonts w:ascii="Arial" w:cs="Arial" w:eastAsia="Arial" w:hAnsi="Arial"/>
                <w:sz w:val="14"/>
                <w:szCs w:val="14"/>
                <w:color w:val="auto"/>
              </w:rPr>
              <w:t>percent</w:t>
            </w:r>
          </w:p>
        </w:tc>
        <w:tc>
          <w:tcPr>
            <w:tcW w:w="2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Personal</w:t>
            </w:r>
          </w:p>
        </w:tc>
        <w:tc>
          <w:tcPr>
            <w:tcW w:w="2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percent</w:t>
            </w:r>
          </w:p>
        </w:tc>
      </w:tr>
      <w:tr>
        <w:trPr>
          <w:trHeight w:val="157"/>
        </w:trPr>
        <w:tc>
          <w:tcPr>
            <w:tcW w:w="20" w:type="dxa"/>
            <w:vAlign w:val="bottom"/>
          </w:tcPr>
          <w:p>
            <w:pPr>
              <w:spacing w:after="0"/>
              <w:rPr>
                <w:sz w:val="13"/>
                <w:szCs w:val="13"/>
                <w:color w:val="auto"/>
              </w:rPr>
            </w:pPr>
          </w:p>
        </w:tc>
        <w:tc>
          <w:tcPr>
            <w:tcW w:w="9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Date</w:t>
            </w:r>
          </w:p>
        </w:tc>
        <w:tc>
          <w:tcPr>
            <w:tcW w:w="1180" w:type="dxa"/>
            <w:vAlign w:val="bottom"/>
          </w:tcPr>
          <w:p>
            <w:pPr>
              <w:spacing w:after="0"/>
              <w:rPr>
                <w:sz w:val="13"/>
                <w:szCs w:val="13"/>
                <w:color w:val="auto"/>
              </w:rPr>
            </w:pPr>
          </w:p>
        </w:tc>
        <w:tc>
          <w:tcPr>
            <w:tcW w:w="11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Auto</w:t>
            </w:r>
          </w:p>
        </w:tc>
        <w:tc>
          <w:tcPr>
            <w:tcW w:w="260" w:type="dxa"/>
            <w:vAlign w:val="bottom"/>
          </w:tcPr>
          <w:p>
            <w:pPr>
              <w:spacing w:after="0"/>
              <w:rPr>
                <w:sz w:val="13"/>
                <w:szCs w:val="13"/>
                <w:color w:val="auto"/>
              </w:rPr>
            </w:pPr>
          </w:p>
        </w:tc>
        <w:tc>
          <w:tcPr>
            <w:tcW w:w="88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change</w:t>
            </w:r>
          </w:p>
        </w:tc>
        <w:tc>
          <w:tcPr>
            <w:tcW w:w="260" w:type="dxa"/>
            <w:vAlign w:val="bottom"/>
          </w:tcPr>
          <w:p>
            <w:pPr>
              <w:spacing w:after="0"/>
              <w:rPr>
                <w:sz w:val="13"/>
                <w:szCs w:val="13"/>
                <w:color w:val="auto"/>
              </w:rPr>
            </w:pPr>
          </w:p>
        </w:tc>
        <w:tc>
          <w:tcPr>
            <w:tcW w:w="104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Homeowners</w:t>
            </w:r>
          </w:p>
        </w:tc>
        <w:tc>
          <w:tcPr>
            <w:tcW w:w="260" w:type="dxa"/>
            <w:vAlign w:val="bottom"/>
          </w:tcPr>
          <w:p>
            <w:pPr>
              <w:spacing w:after="0"/>
              <w:rPr>
                <w:sz w:val="13"/>
                <w:szCs w:val="13"/>
                <w:color w:val="auto"/>
              </w:rPr>
            </w:pPr>
          </w:p>
        </w:tc>
        <w:tc>
          <w:tcPr>
            <w:tcW w:w="88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change</w:t>
            </w:r>
          </w:p>
        </w:tc>
        <w:tc>
          <w:tcPr>
            <w:tcW w:w="260" w:type="dxa"/>
            <w:vAlign w:val="bottom"/>
          </w:tcPr>
          <w:p>
            <w:pPr>
              <w:spacing w:after="0"/>
              <w:rPr>
                <w:sz w:val="13"/>
                <w:szCs w:val="13"/>
                <w:color w:val="auto"/>
              </w:rPr>
            </w:pPr>
          </w:p>
        </w:tc>
        <w:tc>
          <w:tcPr>
            <w:tcW w:w="9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Lines</w:t>
            </w:r>
          </w:p>
        </w:tc>
        <w:tc>
          <w:tcPr>
            <w:tcW w:w="260" w:type="dxa"/>
            <w:vAlign w:val="bottom"/>
          </w:tcPr>
          <w:p>
            <w:pPr>
              <w:spacing w:after="0"/>
              <w:rPr>
                <w:sz w:val="13"/>
                <w:szCs w:val="13"/>
                <w:color w:val="auto"/>
              </w:rPr>
            </w:pPr>
          </w:p>
        </w:tc>
        <w:tc>
          <w:tcPr>
            <w:tcW w:w="880" w:type="dxa"/>
            <w:vAlign w:val="bottom"/>
            <w:tcBorders>
              <w:bottom w:val="single" w:sz="8" w:color="auto"/>
            </w:tcBorders>
          </w:tcPr>
          <w:p>
            <w:pPr>
              <w:ind w:left="200"/>
              <w:spacing w:after="0" w:line="157" w:lineRule="exact"/>
              <w:rPr>
                <w:sz w:val="20"/>
                <w:szCs w:val="20"/>
                <w:color w:val="auto"/>
              </w:rPr>
            </w:pPr>
            <w:r>
              <w:rPr>
                <w:rFonts w:ascii="Arial" w:cs="Arial" w:eastAsia="Arial" w:hAnsi="Arial"/>
                <w:sz w:val="14"/>
                <w:szCs w:val="14"/>
                <w:color w:val="auto"/>
              </w:rPr>
              <w:t>change</w:t>
            </w:r>
          </w:p>
        </w:tc>
        <w:tc>
          <w:tcPr>
            <w:tcW w:w="260" w:type="dxa"/>
            <w:vAlign w:val="bottom"/>
          </w:tcPr>
          <w:p>
            <w:pPr>
              <w:spacing w:after="0"/>
              <w:rPr>
                <w:sz w:val="13"/>
                <w:szCs w:val="13"/>
                <w:color w:val="auto"/>
              </w:rPr>
            </w:pPr>
          </w:p>
        </w:tc>
        <w:tc>
          <w:tcPr>
            <w:tcW w:w="9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Lines</w:t>
            </w:r>
          </w:p>
        </w:tc>
        <w:tc>
          <w:tcPr>
            <w:tcW w:w="260" w:type="dxa"/>
            <w:vAlign w:val="bottom"/>
          </w:tcPr>
          <w:p>
            <w:pPr>
              <w:spacing w:after="0"/>
              <w:rPr>
                <w:sz w:val="13"/>
                <w:szCs w:val="13"/>
                <w:color w:val="auto"/>
              </w:rPr>
            </w:pPr>
          </w:p>
        </w:tc>
        <w:tc>
          <w:tcPr>
            <w:tcW w:w="88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change</w:t>
            </w: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12/31/2005</w:t>
            </w:r>
          </w:p>
        </w:tc>
        <w:tc>
          <w:tcPr>
            <w:tcW w:w="228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color w:val="auto"/>
              </w:rPr>
              <w:t>$1,174</w:t>
            </w:r>
          </w:p>
        </w:tc>
        <w:tc>
          <w:tcPr>
            <w:tcW w:w="1140" w:type="dxa"/>
            <w:vAlign w:val="bottom"/>
            <w:gridSpan w:val="2"/>
            <w:shd w:val="clear" w:color="auto" w:fill="CCEEFF"/>
          </w:tcPr>
          <w:p>
            <w:pPr>
              <w:jc w:val="right"/>
              <w:ind w:right="8"/>
              <w:spacing w:after="0" w:line="196" w:lineRule="exact"/>
              <w:rPr>
                <w:sz w:val="20"/>
                <w:szCs w:val="20"/>
                <w:color w:val="auto"/>
              </w:rPr>
            </w:pPr>
            <w:r>
              <w:rPr>
                <w:rFonts w:ascii="Arial" w:cs="Arial" w:eastAsia="Arial" w:hAnsi="Arial"/>
                <w:sz w:val="18"/>
                <w:szCs w:val="18"/>
                <w:color w:val="auto"/>
              </w:rPr>
              <w:t>(1.3)%</w:t>
            </w:r>
          </w:p>
        </w:tc>
        <w:tc>
          <w:tcPr>
            <w:tcW w:w="1300" w:type="dxa"/>
            <w:vAlign w:val="bottom"/>
            <w:gridSpan w:val="2"/>
            <w:shd w:val="clear" w:color="auto" w:fill="CCEEFF"/>
          </w:tcPr>
          <w:p>
            <w:pPr>
              <w:jc w:val="right"/>
              <w:ind w:right="288"/>
              <w:spacing w:after="0" w:line="196" w:lineRule="exact"/>
              <w:rPr>
                <w:sz w:val="20"/>
                <w:szCs w:val="20"/>
                <w:color w:val="auto"/>
              </w:rPr>
            </w:pPr>
            <w:r>
              <w:rPr>
                <w:rFonts w:ascii="Arial" w:cs="Arial" w:eastAsia="Arial" w:hAnsi="Arial"/>
                <w:sz w:val="18"/>
                <w:szCs w:val="18"/>
                <w:color w:val="auto"/>
              </w:rPr>
              <w:t>$543</w:t>
            </w:r>
          </w:p>
        </w:tc>
        <w:tc>
          <w:tcPr>
            <w:tcW w:w="1140" w:type="dxa"/>
            <w:vAlign w:val="bottom"/>
            <w:gridSpan w:val="2"/>
            <w:shd w:val="clear" w:color="auto" w:fill="CCEEFF"/>
          </w:tcPr>
          <w:p>
            <w:pPr>
              <w:jc w:val="right"/>
              <w:ind w:right="28"/>
              <w:spacing w:after="0" w:line="196" w:lineRule="exact"/>
              <w:rPr>
                <w:sz w:val="20"/>
                <w:szCs w:val="20"/>
                <w:color w:val="auto"/>
              </w:rPr>
            </w:pPr>
            <w:r>
              <w:rPr>
                <w:rFonts w:ascii="Arial" w:cs="Arial" w:eastAsia="Arial" w:hAnsi="Arial"/>
                <w:sz w:val="18"/>
                <w:szCs w:val="18"/>
                <w:color w:val="auto"/>
              </w:rPr>
              <w:t>(0.5)%</w:t>
            </w:r>
          </w:p>
        </w:tc>
        <w:tc>
          <w:tcPr>
            <w:tcW w:w="1180" w:type="dxa"/>
            <w:vAlign w:val="bottom"/>
            <w:gridSpan w:val="2"/>
            <w:shd w:val="clear" w:color="auto" w:fill="CCEEFF"/>
          </w:tcPr>
          <w:p>
            <w:pPr>
              <w:jc w:val="right"/>
              <w:ind w:right="228"/>
              <w:spacing w:after="0" w:line="196" w:lineRule="exact"/>
              <w:rPr>
                <w:sz w:val="20"/>
                <w:szCs w:val="20"/>
                <w:color w:val="auto"/>
              </w:rPr>
            </w:pPr>
            <w:r>
              <w:rPr>
                <w:rFonts w:ascii="Arial" w:cs="Arial" w:eastAsia="Arial" w:hAnsi="Arial"/>
                <w:sz w:val="18"/>
                <w:szCs w:val="18"/>
                <w:color w:val="auto"/>
              </w:rPr>
              <w:t>$348</w:t>
            </w:r>
          </w:p>
        </w:tc>
        <w:tc>
          <w:tcPr>
            <w:tcW w:w="1140" w:type="dxa"/>
            <w:vAlign w:val="bottom"/>
            <w:gridSpan w:val="2"/>
            <w:shd w:val="clear" w:color="auto" w:fill="CCEEFF"/>
          </w:tcPr>
          <w:p>
            <w:pPr>
              <w:ind w:left="580"/>
              <w:spacing w:after="0" w:line="196" w:lineRule="exact"/>
              <w:rPr>
                <w:sz w:val="20"/>
                <w:szCs w:val="20"/>
                <w:color w:val="auto"/>
              </w:rPr>
            </w:pPr>
            <w:r>
              <w:rPr>
                <w:rFonts w:ascii="Arial" w:cs="Arial" w:eastAsia="Arial" w:hAnsi="Arial"/>
                <w:sz w:val="18"/>
                <w:szCs w:val="18"/>
                <w:color w:val="auto"/>
              </w:rPr>
              <w:t>0.3%</w:t>
            </w:r>
          </w:p>
        </w:tc>
        <w:tc>
          <w:tcPr>
            <w:tcW w:w="1180" w:type="dxa"/>
            <w:vAlign w:val="bottom"/>
            <w:gridSpan w:val="2"/>
            <w:shd w:val="clear" w:color="auto" w:fill="CCEEFF"/>
          </w:tcPr>
          <w:p>
            <w:pPr>
              <w:jc w:val="right"/>
              <w:ind w:right="228"/>
              <w:spacing w:after="0" w:line="196" w:lineRule="exact"/>
              <w:rPr>
                <w:sz w:val="20"/>
                <w:szCs w:val="20"/>
                <w:color w:val="auto"/>
              </w:rPr>
            </w:pPr>
            <w:r>
              <w:rPr>
                <w:rFonts w:ascii="Arial" w:cs="Arial" w:eastAsia="Arial" w:hAnsi="Arial"/>
                <w:sz w:val="18"/>
                <w:szCs w:val="18"/>
                <w:color w:val="auto"/>
              </w:rPr>
              <w:t>$841</w:t>
            </w:r>
          </w:p>
        </w:tc>
        <w:tc>
          <w:tcPr>
            <w:tcW w:w="1140" w:type="dxa"/>
            <w:vAlign w:val="bottom"/>
            <w:gridSpan w:val="2"/>
            <w:shd w:val="clear" w:color="auto" w:fill="CCEEFF"/>
          </w:tcPr>
          <w:p>
            <w:pPr>
              <w:jc w:val="right"/>
              <w:ind w:right="28"/>
              <w:spacing w:after="0" w:line="196" w:lineRule="exact"/>
              <w:rPr>
                <w:sz w:val="20"/>
                <w:szCs w:val="20"/>
                <w:color w:val="auto"/>
              </w:rPr>
            </w:pPr>
            <w:r>
              <w:rPr>
                <w:rFonts w:ascii="Arial" w:cs="Arial" w:eastAsia="Arial" w:hAnsi="Arial"/>
                <w:sz w:val="18"/>
                <w:szCs w:val="18"/>
                <w:color w:val="auto"/>
              </w:rPr>
              <w:t>(1.6)%</w:t>
            </w:r>
          </w:p>
        </w:tc>
      </w:tr>
      <w:tr>
        <w:trPr>
          <w:trHeight w:val="203"/>
        </w:trPr>
        <w:tc>
          <w:tcPr>
            <w:tcW w:w="20" w:type="dxa"/>
            <w:vAlign w:val="bottom"/>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7"/>
              </w:rPr>
              <w:t>03/31/2006</w:t>
            </w:r>
          </w:p>
        </w:tc>
        <w:tc>
          <w:tcPr>
            <w:tcW w:w="228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1,161</w:t>
            </w:r>
          </w:p>
        </w:tc>
        <w:tc>
          <w:tcPr>
            <w:tcW w:w="114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rPr>
              <w:t>(2.7)</w:t>
            </w:r>
          </w:p>
        </w:tc>
        <w:tc>
          <w:tcPr>
            <w:tcW w:w="1300" w:type="dxa"/>
            <w:vAlign w:val="bottom"/>
            <w:gridSpan w:val="2"/>
          </w:tcPr>
          <w:p>
            <w:pPr>
              <w:jc w:val="right"/>
              <w:ind w:right="288"/>
              <w:spacing w:after="0" w:line="202" w:lineRule="exact"/>
              <w:rPr>
                <w:sz w:val="20"/>
                <w:szCs w:val="20"/>
                <w:color w:val="auto"/>
              </w:rPr>
            </w:pPr>
            <w:r>
              <w:rPr>
                <w:rFonts w:ascii="Arial" w:cs="Arial" w:eastAsia="Arial" w:hAnsi="Arial"/>
                <w:sz w:val="18"/>
                <w:szCs w:val="18"/>
                <w:color w:val="auto"/>
              </w:rPr>
              <w:t>539</w:t>
            </w:r>
          </w:p>
        </w:tc>
        <w:tc>
          <w:tcPr>
            <w:tcW w:w="1140" w:type="dxa"/>
            <w:vAlign w:val="bottom"/>
            <w:gridSpan w:val="2"/>
          </w:tcPr>
          <w:p>
            <w:pPr>
              <w:jc w:val="center"/>
              <w:ind w:left="170"/>
              <w:spacing w:after="0" w:line="202" w:lineRule="exact"/>
              <w:rPr>
                <w:sz w:val="20"/>
                <w:szCs w:val="20"/>
                <w:color w:val="auto"/>
              </w:rPr>
            </w:pPr>
            <w:r>
              <w:rPr>
                <w:rFonts w:ascii="Arial" w:cs="Arial" w:eastAsia="Arial" w:hAnsi="Arial"/>
                <w:sz w:val="18"/>
                <w:szCs w:val="18"/>
                <w:color w:val="auto"/>
                <w:w w:val="97"/>
              </w:rPr>
              <w:t>(2.4)</w:t>
            </w:r>
          </w:p>
        </w:tc>
        <w:tc>
          <w:tcPr>
            <w:tcW w:w="118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349</w:t>
            </w:r>
          </w:p>
        </w:tc>
        <w:tc>
          <w:tcPr>
            <w:tcW w:w="114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0.6</w:t>
            </w:r>
          </w:p>
        </w:tc>
        <w:tc>
          <w:tcPr>
            <w:tcW w:w="118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832</w:t>
            </w:r>
          </w:p>
        </w:tc>
        <w:tc>
          <w:tcPr>
            <w:tcW w:w="1140" w:type="dxa"/>
            <w:vAlign w:val="bottom"/>
            <w:gridSpan w:val="2"/>
          </w:tcPr>
          <w:p>
            <w:pPr>
              <w:jc w:val="center"/>
              <w:ind w:left="170"/>
              <w:spacing w:after="0" w:line="202" w:lineRule="exact"/>
              <w:rPr>
                <w:sz w:val="20"/>
                <w:szCs w:val="20"/>
                <w:color w:val="auto"/>
              </w:rPr>
            </w:pPr>
            <w:r>
              <w:rPr>
                <w:rFonts w:ascii="Arial" w:cs="Arial" w:eastAsia="Arial" w:hAnsi="Arial"/>
                <w:sz w:val="18"/>
                <w:szCs w:val="18"/>
                <w:color w:val="auto"/>
                <w:w w:val="97"/>
              </w:rPr>
              <w:t>(3.0)</w:t>
            </w:r>
          </w:p>
        </w:tc>
      </w:tr>
      <w:tr>
        <w:trPr>
          <w:trHeight w:val="203"/>
        </w:trPr>
        <w:tc>
          <w:tcPr>
            <w:tcW w:w="20" w:type="dxa"/>
            <w:vAlign w:val="bottom"/>
          </w:tcPr>
          <w:p>
            <w:pPr>
              <w:spacing w:after="0"/>
              <w:rPr>
                <w:sz w:val="17"/>
                <w:szCs w:val="17"/>
                <w:color w:val="auto"/>
              </w:rPr>
            </w:pP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06/30/2006</w:t>
            </w:r>
          </w:p>
        </w:tc>
        <w:tc>
          <w:tcPr>
            <w:tcW w:w="228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1,140</w:t>
            </w:r>
          </w:p>
        </w:tc>
        <w:tc>
          <w:tcPr>
            <w:tcW w:w="1140" w:type="dxa"/>
            <w:vAlign w:val="bottom"/>
            <w:gridSpan w:val="2"/>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rPr>
              <w:t>(3.9)</w:t>
            </w:r>
          </w:p>
        </w:tc>
        <w:tc>
          <w:tcPr>
            <w:tcW w:w="130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535</w:t>
            </w:r>
          </w:p>
        </w:tc>
        <w:tc>
          <w:tcPr>
            <w:tcW w:w="1140" w:type="dxa"/>
            <w:vAlign w:val="bottom"/>
            <w:gridSpan w:val="2"/>
            <w:shd w:val="clear" w:color="auto" w:fill="CCEEFF"/>
          </w:tcPr>
          <w:p>
            <w:pPr>
              <w:jc w:val="center"/>
              <w:ind w:left="170"/>
              <w:spacing w:after="0" w:line="202" w:lineRule="exact"/>
              <w:rPr>
                <w:sz w:val="20"/>
                <w:szCs w:val="20"/>
                <w:color w:val="auto"/>
              </w:rPr>
            </w:pPr>
            <w:r>
              <w:rPr>
                <w:rFonts w:ascii="Arial" w:cs="Arial" w:eastAsia="Arial" w:hAnsi="Arial"/>
                <w:sz w:val="18"/>
                <w:szCs w:val="18"/>
                <w:color w:val="auto"/>
                <w:w w:val="97"/>
              </w:rPr>
              <w:t>(2.6)</w:t>
            </w:r>
          </w:p>
        </w:tc>
        <w:tc>
          <w:tcPr>
            <w:tcW w:w="118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348</w:t>
            </w:r>
          </w:p>
        </w:tc>
        <w:tc>
          <w:tcPr>
            <w:tcW w:w="114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0.6</w:t>
            </w:r>
          </w:p>
        </w:tc>
        <w:tc>
          <w:tcPr>
            <w:tcW w:w="118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818</w:t>
            </w:r>
          </w:p>
        </w:tc>
        <w:tc>
          <w:tcPr>
            <w:tcW w:w="1140" w:type="dxa"/>
            <w:vAlign w:val="bottom"/>
            <w:gridSpan w:val="2"/>
            <w:shd w:val="clear" w:color="auto" w:fill="CCEEFF"/>
          </w:tcPr>
          <w:p>
            <w:pPr>
              <w:jc w:val="center"/>
              <w:ind w:left="170"/>
              <w:spacing w:after="0" w:line="202" w:lineRule="exact"/>
              <w:rPr>
                <w:sz w:val="20"/>
                <w:szCs w:val="20"/>
                <w:color w:val="auto"/>
              </w:rPr>
            </w:pPr>
            <w:r>
              <w:rPr>
                <w:rFonts w:ascii="Arial" w:cs="Arial" w:eastAsia="Arial" w:hAnsi="Arial"/>
                <w:sz w:val="18"/>
                <w:szCs w:val="18"/>
                <w:color w:val="auto"/>
                <w:w w:val="97"/>
              </w:rPr>
              <w:t>(3.9)</w:t>
            </w:r>
          </w:p>
        </w:tc>
      </w:tr>
      <w:tr>
        <w:trPr>
          <w:trHeight w:val="203"/>
        </w:trPr>
        <w:tc>
          <w:tcPr>
            <w:tcW w:w="20" w:type="dxa"/>
            <w:vAlign w:val="bottom"/>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7"/>
              </w:rPr>
              <w:t>09/30/2006</w:t>
            </w:r>
          </w:p>
        </w:tc>
        <w:tc>
          <w:tcPr>
            <w:tcW w:w="228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1,122</w:t>
            </w:r>
          </w:p>
        </w:tc>
        <w:tc>
          <w:tcPr>
            <w:tcW w:w="114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rPr>
              <w:t>(4.8)</w:t>
            </w:r>
          </w:p>
        </w:tc>
        <w:tc>
          <w:tcPr>
            <w:tcW w:w="1300" w:type="dxa"/>
            <w:vAlign w:val="bottom"/>
            <w:gridSpan w:val="2"/>
          </w:tcPr>
          <w:p>
            <w:pPr>
              <w:jc w:val="right"/>
              <w:ind w:right="288"/>
              <w:spacing w:after="0" w:line="202" w:lineRule="exact"/>
              <w:rPr>
                <w:sz w:val="20"/>
                <w:szCs w:val="20"/>
                <w:color w:val="auto"/>
              </w:rPr>
            </w:pPr>
            <w:r>
              <w:rPr>
                <w:rFonts w:ascii="Arial" w:cs="Arial" w:eastAsia="Arial" w:hAnsi="Arial"/>
                <w:sz w:val="18"/>
                <w:szCs w:val="18"/>
                <w:color w:val="auto"/>
              </w:rPr>
              <w:t>530</w:t>
            </w:r>
          </w:p>
        </w:tc>
        <w:tc>
          <w:tcPr>
            <w:tcW w:w="1140" w:type="dxa"/>
            <w:vAlign w:val="bottom"/>
            <w:gridSpan w:val="2"/>
          </w:tcPr>
          <w:p>
            <w:pPr>
              <w:jc w:val="center"/>
              <w:ind w:left="170"/>
              <w:spacing w:after="0" w:line="202" w:lineRule="exact"/>
              <w:rPr>
                <w:sz w:val="20"/>
                <w:szCs w:val="20"/>
                <w:color w:val="auto"/>
              </w:rPr>
            </w:pPr>
            <w:r>
              <w:rPr>
                <w:rFonts w:ascii="Arial" w:cs="Arial" w:eastAsia="Arial" w:hAnsi="Arial"/>
                <w:sz w:val="18"/>
                <w:szCs w:val="18"/>
                <w:color w:val="auto"/>
                <w:w w:val="97"/>
              </w:rPr>
              <w:t>(2.9)</w:t>
            </w:r>
          </w:p>
        </w:tc>
        <w:tc>
          <w:tcPr>
            <w:tcW w:w="118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348</w:t>
            </w:r>
          </w:p>
        </w:tc>
        <w:tc>
          <w:tcPr>
            <w:tcW w:w="114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0.3</w:t>
            </w:r>
          </w:p>
        </w:tc>
        <w:tc>
          <w:tcPr>
            <w:tcW w:w="118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806</w:t>
            </w:r>
          </w:p>
        </w:tc>
        <w:tc>
          <w:tcPr>
            <w:tcW w:w="1140" w:type="dxa"/>
            <w:vAlign w:val="bottom"/>
            <w:gridSpan w:val="2"/>
          </w:tcPr>
          <w:p>
            <w:pPr>
              <w:jc w:val="center"/>
              <w:ind w:left="170"/>
              <w:spacing w:after="0" w:line="202" w:lineRule="exact"/>
              <w:rPr>
                <w:sz w:val="20"/>
                <w:szCs w:val="20"/>
                <w:color w:val="auto"/>
              </w:rPr>
            </w:pPr>
            <w:r>
              <w:rPr>
                <w:rFonts w:ascii="Arial" w:cs="Arial" w:eastAsia="Arial" w:hAnsi="Arial"/>
                <w:sz w:val="18"/>
                <w:szCs w:val="18"/>
                <w:color w:val="auto"/>
                <w:w w:val="97"/>
              </w:rPr>
              <w:t>(4.7)</w:t>
            </w:r>
          </w:p>
        </w:tc>
      </w:tr>
      <w:tr>
        <w:trPr>
          <w:trHeight w:val="203"/>
        </w:trPr>
        <w:tc>
          <w:tcPr>
            <w:tcW w:w="20" w:type="dxa"/>
            <w:vAlign w:val="bottom"/>
          </w:tcPr>
          <w:p>
            <w:pPr>
              <w:spacing w:after="0"/>
              <w:rPr>
                <w:sz w:val="17"/>
                <w:szCs w:val="17"/>
                <w:color w:val="auto"/>
              </w:rPr>
            </w:pP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12/31/2006</w:t>
            </w:r>
          </w:p>
        </w:tc>
        <w:tc>
          <w:tcPr>
            <w:tcW w:w="228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1,110</w:t>
            </w:r>
          </w:p>
        </w:tc>
        <w:tc>
          <w:tcPr>
            <w:tcW w:w="1140" w:type="dxa"/>
            <w:vAlign w:val="bottom"/>
            <w:gridSpan w:val="2"/>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rPr>
              <w:t>(5.5)</w:t>
            </w:r>
          </w:p>
        </w:tc>
        <w:tc>
          <w:tcPr>
            <w:tcW w:w="130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526</w:t>
            </w:r>
          </w:p>
        </w:tc>
        <w:tc>
          <w:tcPr>
            <w:tcW w:w="1140" w:type="dxa"/>
            <w:vAlign w:val="bottom"/>
            <w:gridSpan w:val="2"/>
            <w:shd w:val="clear" w:color="auto" w:fill="CCEEFF"/>
          </w:tcPr>
          <w:p>
            <w:pPr>
              <w:jc w:val="center"/>
              <w:ind w:left="170"/>
              <w:spacing w:after="0" w:line="202" w:lineRule="exact"/>
              <w:rPr>
                <w:sz w:val="20"/>
                <w:szCs w:val="20"/>
                <w:color w:val="auto"/>
              </w:rPr>
            </w:pPr>
            <w:r>
              <w:rPr>
                <w:rFonts w:ascii="Arial" w:cs="Arial" w:eastAsia="Arial" w:hAnsi="Arial"/>
                <w:sz w:val="18"/>
                <w:szCs w:val="18"/>
                <w:color w:val="auto"/>
                <w:w w:val="97"/>
              </w:rPr>
              <w:t>(3.1)</w:t>
            </w:r>
          </w:p>
        </w:tc>
        <w:tc>
          <w:tcPr>
            <w:tcW w:w="118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349</w:t>
            </w:r>
          </w:p>
        </w:tc>
        <w:tc>
          <w:tcPr>
            <w:tcW w:w="114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0.3</w:t>
            </w:r>
          </w:p>
        </w:tc>
        <w:tc>
          <w:tcPr>
            <w:tcW w:w="118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797</w:t>
            </w:r>
          </w:p>
        </w:tc>
        <w:tc>
          <w:tcPr>
            <w:tcW w:w="1140" w:type="dxa"/>
            <w:vAlign w:val="bottom"/>
            <w:gridSpan w:val="2"/>
            <w:shd w:val="clear" w:color="auto" w:fill="CCEEFF"/>
          </w:tcPr>
          <w:p>
            <w:pPr>
              <w:jc w:val="center"/>
              <w:ind w:left="170"/>
              <w:spacing w:after="0" w:line="202" w:lineRule="exact"/>
              <w:rPr>
                <w:sz w:val="20"/>
                <w:szCs w:val="20"/>
                <w:color w:val="auto"/>
              </w:rPr>
            </w:pPr>
            <w:r>
              <w:rPr>
                <w:rFonts w:ascii="Arial" w:cs="Arial" w:eastAsia="Arial" w:hAnsi="Arial"/>
                <w:sz w:val="18"/>
                <w:szCs w:val="18"/>
                <w:color w:val="auto"/>
                <w:w w:val="97"/>
              </w:rPr>
              <w:t>(5.2)</w:t>
            </w:r>
          </w:p>
        </w:tc>
      </w:tr>
      <w:tr>
        <w:trPr>
          <w:trHeight w:val="217"/>
        </w:trPr>
        <w:tc>
          <w:tcPr>
            <w:tcW w:w="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03/31/2007</w:t>
            </w:r>
          </w:p>
        </w:tc>
        <w:tc>
          <w:tcPr>
            <w:tcW w:w="2280" w:type="dxa"/>
            <w:vAlign w:val="bottom"/>
            <w:gridSpan w:val="2"/>
          </w:tcPr>
          <w:p>
            <w:pPr>
              <w:jc w:val="right"/>
              <w:ind w:right="248"/>
              <w:spacing w:after="0"/>
              <w:rPr>
                <w:sz w:val="20"/>
                <w:szCs w:val="20"/>
                <w:color w:val="auto"/>
              </w:rPr>
            </w:pPr>
            <w:r>
              <w:rPr>
                <w:rFonts w:ascii="Arial" w:cs="Arial" w:eastAsia="Arial" w:hAnsi="Arial"/>
                <w:sz w:val="18"/>
                <w:szCs w:val="18"/>
                <w:color w:val="auto"/>
              </w:rPr>
              <w:t>1,100</w:t>
            </w:r>
          </w:p>
        </w:tc>
        <w:tc>
          <w:tcPr>
            <w:tcW w:w="1140" w:type="dxa"/>
            <w:vAlign w:val="bottom"/>
            <w:gridSpan w:val="2"/>
          </w:tcPr>
          <w:p>
            <w:pPr>
              <w:jc w:val="center"/>
              <w:ind w:left="190"/>
              <w:spacing w:after="0"/>
              <w:rPr>
                <w:sz w:val="20"/>
                <w:szCs w:val="20"/>
                <w:color w:val="auto"/>
              </w:rPr>
            </w:pPr>
            <w:r>
              <w:rPr>
                <w:rFonts w:ascii="Arial" w:cs="Arial" w:eastAsia="Arial" w:hAnsi="Arial"/>
                <w:sz w:val="18"/>
                <w:szCs w:val="18"/>
                <w:color w:val="auto"/>
              </w:rPr>
              <w:t>(5.3)</w:t>
            </w:r>
          </w:p>
        </w:tc>
        <w:tc>
          <w:tcPr>
            <w:tcW w:w="1300" w:type="dxa"/>
            <w:vAlign w:val="bottom"/>
            <w:gridSpan w:val="2"/>
          </w:tcPr>
          <w:p>
            <w:pPr>
              <w:jc w:val="right"/>
              <w:ind w:right="288"/>
              <w:spacing w:after="0"/>
              <w:rPr>
                <w:sz w:val="20"/>
                <w:szCs w:val="20"/>
                <w:color w:val="auto"/>
              </w:rPr>
            </w:pPr>
            <w:r>
              <w:rPr>
                <w:rFonts w:ascii="Arial" w:cs="Arial" w:eastAsia="Arial" w:hAnsi="Arial"/>
                <w:sz w:val="18"/>
                <w:szCs w:val="18"/>
                <w:color w:val="auto"/>
              </w:rPr>
              <w:t>524</w:t>
            </w:r>
          </w:p>
        </w:tc>
        <w:tc>
          <w:tcPr>
            <w:tcW w:w="1140" w:type="dxa"/>
            <w:vAlign w:val="bottom"/>
            <w:gridSpan w:val="2"/>
          </w:tcPr>
          <w:p>
            <w:pPr>
              <w:jc w:val="center"/>
              <w:ind w:left="170"/>
              <w:spacing w:after="0"/>
              <w:rPr>
                <w:sz w:val="20"/>
                <w:szCs w:val="20"/>
                <w:color w:val="auto"/>
              </w:rPr>
            </w:pPr>
            <w:r>
              <w:rPr>
                <w:rFonts w:ascii="Arial" w:cs="Arial" w:eastAsia="Arial" w:hAnsi="Arial"/>
                <w:sz w:val="18"/>
                <w:szCs w:val="18"/>
                <w:color w:val="auto"/>
                <w:w w:val="97"/>
              </w:rPr>
              <w:t>(2.8)</w:t>
            </w:r>
          </w:p>
        </w:tc>
        <w:tc>
          <w:tcPr>
            <w:tcW w:w="1180" w:type="dxa"/>
            <w:vAlign w:val="bottom"/>
            <w:gridSpan w:val="2"/>
          </w:tcPr>
          <w:p>
            <w:pPr>
              <w:jc w:val="right"/>
              <w:ind w:right="228"/>
              <w:spacing w:after="0"/>
              <w:rPr>
                <w:sz w:val="20"/>
                <w:szCs w:val="20"/>
                <w:color w:val="auto"/>
              </w:rPr>
            </w:pPr>
            <w:r>
              <w:rPr>
                <w:rFonts w:ascii="Arial" w:cs="Arial" w:eastAsia="Arial" w:hAnsi="Arial"/>
                <w:sz w:val="18"/>
                <w:szCs w:val="18"/>
                <w:color w:val="auto"/>
              </w:rPr>
              <w:t>349</w:t>
            </w: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0.0</w:t>
            </w:r>
          </w:p>
        </w:tc>
        <w:tc>
          <w:tcPr>
            <w:tcW w:w="1180" w:type="dxa"/>
            <w:vAlign w:val="bottom"/>
            <w:gridSpan w:val="2"/>
          </w:tcPr>
          <w:p>
            <w:pPr>
              <w:jc w:val="right"/>
              <w:ind w:right="228"/>
              <w:spacing w:after="0"/>
              <w:rPr>
                <w:sz w:val="20"/>
                <w:szCs w:val="20"/>
                <w:color w:val="auto"/>
              </w:rPr>
            </w:pPr>
            <w:r>
              <w:rPr>
                <w:rFonts w:ascii="Arial" w:cs="Arial" w:eastAsia="Arial" w:hAnsi="Arial"/>
                <w:sz w:val="18"/>
                <w:szCs w:val="18"/>
                <w:color w:val="auto"/>
              </w:rPr>
              <w:t>791</w:t>
            </w:r>
          </w:p>
        </w:tc>
        <w:tc>
          <w:tcPr>
            <w:tcW w:w="1140" w:type="dxa"/>
            <w:vAlign w:val="bottom"/>
            <w:gridSpan w:val="2"/>
          </w:tcPr>
          <w:p>
            <w:pPr>
              <w:jc w:val="center"/>
              <w:ind w:left="170"/>
              <w:spacing w:after="0"/>
              <w:rPr>
                <w:sz w:val="20"/>
                <w:szCs w:val="20"/>
                <w:color w:val="auto"/>
              </w:rPr>
            </w:pPr>
            <w:r>
              <w:rPr>
                <w:rFonts w:ascii="Arial" w:cs="Arial" w:eastAsia="Arial" w:hAnsi="Arial"/>
                <w:sz w:val="18"/>
                <w:szCs w:val="18"/>
                <w:color w:val="auto"/>
                <w:w w:val="97"/>
              </w:rPr>
              <w:t>(4.9)</w:t>
            </w: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12-mth.</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12-mth.</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All Other</w:t>
            </w:r>
          </w:p>
        </w:tc>
        <w:tc>
          <w:tcPr>
            <w:tcW w:w="2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12-mth.</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6"/>
              </w:rPr>
              <w:t>Total</w:t>
            </w:r>
          </w:p>
        </w:tc>
        <w:tc>
          <w:tcPr>
            <w:tcW w:w="24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12-mth.</w:t>
            </w:r>
          </w:p>
        </w:tc>
        <w:tc>
          <w:tcPr>
            <w:tcW w:w="2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6"/>
              </w:rPr>
              <w:t>Total</w:t>
            </w:r>
          </w:p>
        </w:tc>
        <w:tc>
          <w:tcPr>
            <w:tcW w:w="2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12-mth.</w:t>
            </w:r>
          </w:p>
        </w:tc>
      </w:tr>
      <w:tr>
        <w:trPr>
          <w:trHeight w:val="16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CML*</w:t>
            </w: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percent</w:t>
            </w:r>
          </w:p>
        </w:tc>
        <w:tc>
          <w:tcPr>
            <w:tcW w:w="24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Workers</w:t>
            </w:r>
          </w:p>
        </w:tc>
        <w:tc>
          <w:tcPr>
            <w:tcW w:w="22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percent</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CML*</w:t>
            </w:r>
          </w:p>
        </w:tc>
        <w:tc>
          <w:tcPr>
            <w:tcW w:w="2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percent</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CML*</w:t>
            </w:r>
          </w:p>
        </w:tc>
        <w:tc>
          <w:tcPr>
            <w:tcW w:w="24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percent</w:t>
            </w:r>
          </w:p>
        </w:tc>
        <w:tc>
          <w:tcPr>
            <w:tcW w:w="2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All</w:t>
            </w:r>
          </w:p>
        </w:tc>
        <w:tc>
          <w:tcPr>
            <w:tcW w:w="2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percent</w:t>
            </w:r>
          </w:p>
        </w:tc>
      </w:tr>
      <w:tr>
        <w:trPr>
          <w:trHeight w:val="157"/>
        </w:trPr>
        <w:tc>
          <w:tcPr>
            <w:tcW w:w="20" w:type="dxa"/>
            <w:vAlign w:val="bottom"/>
          </w:tcPr>
          <w:p>
            <w:pPr>
              <w:spacing w:after="0"/>
              <w:rPr>
                <w:sz w:val="13"/>
                <w:szCs w:val="13"/>
                <w:color w:val="auto"/>
              </w:rPr>
            </w:pPr>
          </w:p>
        </w:tc>
        <w:tc>
          <w:tcPr>
            <w:tcW w:w="9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Date</w:t>
            </w:r>
          </w:p>
        </w:tc>
        <w:tc>
          <w:tcPr>
            <w:tcW w:w="1000" w:type="dxa"/>
            <w:vAlign w:val="bottom"/>
          </w:tcPr>
          <w:p>
            <w:pPr>
              <w:spacing w:after="0"/>
              <w:rPr>
                <w:sz w:val="13"/>
                <w:szCs w:val="13"/>
                <w:color w:val="auto"/>
              </w:rPr>
            </w:pPr>
          </w:p>
        </w:tc>
        <w:tc>
          <w:tcPr>
            <w:tcW w:w="780" w:type="dxa"/>
            <w:vAlign w:val="bottom"/>
            <w:tcBorders>
              <w:bottom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Auto</w:t>
            </w:r>
          </w:p>
        </w:tc>
        <w:tc>
          <w:tcPr>
            <w:tcW w:w="220" w:type="dxa"/>
            <w:vAlign w:val="bottom"/>
          </w:tcPr>
          <w:p>
            <w:pPr>
              <w:spacing w:after="0"/>
              <w:rPr>
                <w:sz w:val="13"/>
                <w:szCs w:val="13"/>
                <w:color w:val="auto"/>
              </w:rPr>
            </w:pPr>
          </w:p>
        </w:tc>
        <w:tc>
          <w:tcPr>
            <w:tcW w:w="7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change</w:t>
            </w:r>
          </w:p>
        </w:tc>
        <w:tc>
          <w:tcPr>
            <w:tcW w:w="240" w:type="dxa"/>
            <w:vAlign w:val="bottom"/>
          </w:tcPr>
          <w:p>
            <w:pPr>
              <w:spacing w:after="0"/>
              <w:rPr>
                <w:sz w:val="13"/>
                <w:szCs w:val="13"/>
                <w:color w:val="auto"/>
              </w:rPr>
            </w:pPr>
          </w:p>
        </w:tc>
        <w:tc>
          <w:tcPr>
            <w:tcW w:w="800" w:type="dxa"/>
            <w:vAlign w:val="bottom"/>
            <w:tcBorders>
              <w:bottom w:val="single" w:sz="8" w:color="auto"/>
            </w:tcBorders>
          </w:tcPr>
          <w:p>
            <w:pPr>
              <w:jc w:val="right"/>
              <w:ind w:right="128"/>
              <w:spacing w:after="0" w:line="157" w:lineRule="exact"/>
              <w:rPr>
                <w:sz w:val="20"/>
                <w:szCs w:val="20"/>
                <w:color w:val="auto"/>
              </w:rPr>
            </w:pPr>
            <w:r>
              <w:rPr>
                <w:rFonts w:ascii="Arial" w:cs="Arial" w:eastAsia="Arial" w:hAnsi="Arial"/>
                <w:sz w:val="14"/>
                <w:szCs w:val="14"/>
                <w:color w:val="auto"/>
              </w:rPr>
              <w:t>Comp.</w:t>
            </w:r>
          </w:p>
        </w:tc>
        <w:tc>
          <w:tcPr>
            <w:tcW w:w="220" w:type="dxa"/>
            <w:vAlign w:val="bottom"/>
          </w:tcPr>
          <w:p>
            <w:pPr>
              <w:spacing w:after="0"/>
              <w:rPr>
                <w:sz w:val="13"/>
                <w:szCs w:val="13"/>
                <w:color w:val="auto"/>
              </w:rPr>
            </w:pPr>
          </w:p>
        </w:tc>
        <w:tc>
          <w:tcPr>
            <w:tcW w:w="68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change</w:t>
            </w:r>
          </w:p>
        </w:tc>
        <w:tc>
          <w:tcPr>
            <w:tcW w:w="220" w:type="dxa"/>
            <w:vAlign w:val="bottom"/>
          </w:tcPr>
          <w:p>
            <w:pPr>
              <w:spacing w:after="0"/>
              <w:rPr>
                <w:sz w:val="13"/>
                <w:szCs w:val="13"/>
                <w:color w:val="auto"/>
              </w:rPr>
            </w:pPr>
          </w:p>
        </w:tc>
        <w:tc>
          <w:tcPr>
            <w:tcW w:w="8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Lines</w:t>
            </w:r>
          </w:p>
        </w:tc>
        <w:tc>
          <w:tcPr>
            <w:tcW w:w="240" w:type="dxa"/>
            <w:vAlign w:val="bottom"/>
          </w:tcPr>
          <w:p>
            <w:pPr>
              <w:spacing w:after="0"/>
              <w:rPr>
                <w:sz w:val="13"/>
                <w:szCs w:val="13"/>
                <w:color w:val="auto"/>
              </w:rPr>
            </w:pPr>
          </w:p>
        </w:tc>
        <w:tc>
          <w:tcPr>
            <w:tcW w:w="7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change</w:t>
            </w:r>
          </w:p>
        </w:tc>
        <w:tc>
          <w:tcPr>
            <w:tcW w:w="220" w:type="dxa"/>
            <w:vAlign w:val="bottom"/>
          </w:tcPr>
          <w:p>
            <w:pPr>
              <w:spacing w:after="0"/>
              <w:rPr>
                <w:sz w:val="13"/>
                <w:szCs w:val="13"/>
                <w:color w:val="auto"/>
              </w:rPr>
            </w:pPr>
          </w:p>
        </w:tc>
        <w:tc>
          <w:tcPr>
            <w:tcW w:w="8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Lines</w:t>
            </w:r>
          </w:p>
        </w:tc>
        <w:tc>
          <w:tcPr>
            <w:tcW w:w="240" w:type="dxa"/>
            <w:vAlign w:val="bottom"/>
          </w:tcPr>
          <w:p>
            <w:pPr>
              <w:spacing w:after="0"/>
              <w:rPr>
                <w:sz w:val="13"/>
                <w:szCs w:val="13"/>
                <w:color w:val="auto"/>
              </w:rPr>
            </w:pPr>
          </w:p>
        </w:tc>
        <w:tc>
          <w:tcPr>
            <w:tcW w:w="66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change</w:t>
            </w:r>
          </w:p>
        </w:tc>
        <w:tc>
          <w:tcPr>
            <w:tcW w:w="240" w:type="dxa"/>
            <w:vAlign w:val="bottom"/>
          </w:tcPr>
          <w:p>
            <w:pPr>
              <w:spacing w:after="0"/>
              <w:rPr>
                <w:sz w:val="13"/>
                <w:szCs w:val="13"/>
                <w:color w:val="auto"/>
              </w:rPr>
            </w:pPr>
          </w:p>
        </w:tc>
        <w:tc>
          <w:tcPr>
            <w:tcW w:w="8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Lines</w:t>
            </w:r>
          </w:p>
        </w:tc>
        <w:tc>
          <w:tcPr>
            <w:tcW w:w="240" w:type="dxa"/>
            <w:vAlign w:val="bottom"/>
          </w:tcPr>
          <w:p>
            <w:pPr>
              <w:spacing w:after="0"/>
              <w:rPr>
                <w:sz w:val="13"/>
                <w:szCs w:val="13"/>
                <w:color w:val="auto"/>
              </w:rPr>
            </w:pPr>
          </w:p>
        </w:tc>
        <w:tc>
          <w:tcPr>
            <w:tcW w:w="7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change</w:t>
            </w: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12/31/2005</w:t>
            </w:r>
          </w:p>
        </w:tc>
        <w:tc>
          <w:tcPr>
            <w:tcW w:w="1780" w:type="dxa"/>
            <w:vAlign w:val="bottom"/>
            <w:gridSpan w:val="2"/>
            <w:shd w:val="clear" w:color="auto" w:fill="CCEEFF"/>
          </w:tcPr>
          <w:p>
            <w:pPr>
              <w:jc w:val="right"/>
              <w:ind w:right="88"/>
              <w:spacing w:after="0" w:line="196" w:lineRule="exact"/>
              <w:rPr>
                <w:sz w:val="20"/>
                <w:szCs w:val="20"/>
                <w:color w:val="auto"/>
              </w:rPr>
            </w:pPr>
            <w:r>
              <w:rPr>
                <w:rFonts w:ascii="Arial" w:cs="Arial" w:eastAsia="Arial" w:hAnsi="Arial"/>
                <w:sz w:val="18"/>
                <w:szCs w:val="18"/>
                <w:color w:val="auto"/>
              </w:rPr>
              <w:t>$2,781</w:t>
            </w:r>
          </w:p>
        </w:tc>
        <w:tc>
          <w:tcPr>
            <w:tcW w:w="9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(0.3)%</w:t>
            </w:r>
          </w:p>
        </w:tc>
        <w:tc>
          <w:tcPr>
            <w:tcW w:w="1040" w:type="dxa"/>
            <w:vAlign w:val="bottom"/>
            <w:gridSpan w:val="2"/>
            <w:shd w:val="clear" w:color="auto" w:fill="CCEEFF"/>
          </w:tcPr>
          <w:p>
            <w:pPr>
              <w:jc w:val="right"/>
              <w:ind w:right="88"/>
              <w:spacing w:after="0" w:line="196" w:lineRule="exact"/>
              <w:rPr>
                <w:sz w:val="20"/>
                <w:szCs w:val="20"/>
                <w:color w:val="auto"/>
              </w:rPr>
            </w:pPr>
            <w:r>
              <w:rPr>
                <w:rFonts w:ascii="Arial" w:cs="Arial" w:eastAsia="Arial" w:hAnsi="Arial"/>
                <w:sz w:val="18"/>
                <w:szCs w:val="18"/>
                <w:color w:val="auto"/>
              </w:rPr>
              <w:t>$6,212</w:t>
            </w:r>
          </w:p>
        </w:tc>
        <w:tc>
          <w:tcPr>
            <w:tcW w:w="9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6.7%</w:t>
            </w:r>
          </w:p>
        </w:tc>
        <w:tc>
          <w:tcPr>
            <w:tcW w:w="1020" w:type="dxa"/>
            <w:vAlign w:val="bottom"/>
            <w:gridSpan w:val="2"/>
            <w:shd w:val="clear" w:color="auto" w:fill="CCEEFF"/>
          </w:tcPr>
          <w:p>
            <w:pPr>
              <w:jc w:val="right"/>
              <w:ind w:right="88"/>
              <w:spacing w:after="0" w:line="196" w:lineRule="exact"/>
              <w:rPr>
                <w:sz w:val="20"/>
                <w:szCs w:val="20"/>
                <w:color w:val="auto"/>
              </w:rPr>
            </w:pPr>
            <w:r>
              <w:rPr>
                <w:rFonts w:ascii="Arial" w:cs="Arial" w:eastAsia="Arial" w:hAnsi="Arial"/>
                <w:sz w:val="18"/>
                <w:szCs w:val="18"/>
                <w:color w:val="auto"/>
              </w:rPr>
              <w:t>$1,705</w:t>
            </w:r>
          </w:p>
        </w:tc>
        <w:tc>
          <w:tcPr>
            <w:tcW w:w="9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(0.1)%</w:t>
            </w:r>
          </w:p>
        </w:tc>
        <w:tc>
          <w:tcPr>
            <w:tcW w:w="1020" w:type="dxa"/>
            <w:vAlign w:val="bottom"/>
            <w:gridSpan w:val="2"/>
            <w:shd w:val="clear" w:color="auto" w:fill="CCEEFF"/>
          </w:tcPr>
          <w:p>
            <w:pPr>
              <w:jc w:val="right"/>
              <w:ind w:right="88"/>
              <w:spacing w:after="0" w:line="196" w:lineRule="exact"/>
              <w:rPr>
                <w:sz w:val="20"/>
                <w:szCs w:val="20"/>
                <w:color w:val="auto"/>
              </w:rPr>
            </w:pPr>
            <w:r>
              <w:rPr>
                <w:rFonts w:ascii="Arial" w:cs="Arial" w:eastAsia="Arial" w:hAnsi="Arial"/>
                <w:sz w:val="18"/>
                <w:szCs w:val="18"/>
                <w:color w:val="auto"/>
              </w:rPr>
              <w:t>$2,501</w:t>
            </w:r>
          </w:p>
        </w:tc>
        <w:tc>
          <w:tcPr>
            <w:tcW w:w="9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0.6%</w:t>
            </w:r>
          </w:p>
        </w:tc>
        <w:tc>
          <w:tcPr>
            <w:tcW w:w="1040" w:type="dxa"/>
            <w:vAlign w:val="bottom"/>
            <w:gridSpan w:val="2"/>
            <w:shd w:val="clear" w:color="auto" w:fill="CCEEFF"/>
          </w:tcPr>
          <w:p>
            <w:pPr>
              <w:jc w:val="right"/>
              <w:ind w:right="88"/>
              <w:spacing w:after="0" w:line="196" w:lineRule="exact"/>
              <w:rPr>
                <w:sz w:val="20"/>
                <w:szCs w:val="20"/>
                <w:color w:val="auto"/>
              </w:rPr>
            </w:pPr>
            <w:r>
              <w:rPr>
                <w:rFonts w:ascii="Arial" w:cs="Arial" w:eastAsia="Arial" w:hAnsi="Arial"/>
                <w:sz w:val="18"/>
                <w:szCs w:val="18"/>
                <w:color w:val="auto"/>
              </w:rPr>
              <w:t>$1,052</w:t>
            </w:r>
          </w:p>
        </w:tc>
        <w:tc>
          <w:tcPr>
            <w:tcW w:w="9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(0.8)%</w:t>
            </w:r>
          </w:p>
        </w:tc>
      </w:tr>
      <w:tr>
        <w:trPr>
          <w:trHeight w:val="203"/>
        </w:trPr>
        <w:tc>
          <w:tcPr>
            <w:tcW w:w="20" w:type="dxa"/>
            <w:vAlign w:val="bottom"/>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7"/>
              </w:rPr>
              <w:t>03/31/2006</w:t>
            </w:r>
          </w:p>
        </w:tc>
        <w:tc>
          <w:tcPr>
            <w:tcW w:w="178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2,778</w:t>
            </w:r>
          </w:p>
        </w:tc>
        <w:tc>
          <w:tcPr>
            <w:tcW w:w="92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rPr>
              <w:t>(0.8)</w:t>
            </w:r>
          </w:p>
        </w:tc>
        <w:tc>
          <w:tcPr>
            <w:tcW w:w="104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6,270</w:t>
            </w:r>
          </w:p>
        </w:tc>
        <w:tc>
          <w:tcPr>
            <w:tcW w:w="900" w:type="dxa"/>
            <w:vAlign w:val="bottom"/>
            <w:gridSpan w:val="2"/>
          </w:tcPr>
          <w:p>
            <w:pPr>
              <w:jc w:val="right"/>
              <w:ind w:right="128"/>
              <w:spacing w:after="0" w:line="202" w:lineRule="exact"/>
              <w:rPr>
                <w:sz w:val="20"/>
                <w:szCs w:val="20"/>
                <w:color w:val="auto"/>
              </w:rPr>
            </w:pPr>
            <w:r>
              <w:rPr>
                <w:rFonts w:ascii="Arial" w:cs="Arial" w:eastAsia="Arial" w:hAnsi="Arial"/>
                <w:sz w:val="18"/>
                <w:szCs w:val="18"/>
                <w:color w:val="auto"/>
              </w:rPr>
              <w:t>4.4</w:t>
            </w:r>
          </w:p>
        </w:tc>
        <w:tc>
          <w:tcPr>
            <w:tcW w:w="102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1,710</w:t>
            </w:r>
          </w:p>
        </w:tc>
        <w:tc>
          <w:tcPr>
            <w:tcW w:w="94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w w:val="97"/>
              </w:rPr>
              <w:t>(0.6)</w:t>
            </w:r>
          </w:p>
        </w:tc>
        <w:tc>
          <w:tcPr>
            <w:tcW w:w="102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2,501</w:t>
            </w:r>
          </w:p>
        </w:tc>
        <w:tc>
          <w:tcPr>
            <w:tcW w:w="90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(0.5)</w:t>
            </w:r>
          </w:p>
        </w:tc>
        <w:tc>
          <w:tcPr>
            <w:tcW w:w="104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1,044</w:t>
            </w:r>
          </w:p>
        </w:tc>
        <w:tc>
          <w:tcPr>
            <w:tcW w:w="94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rPr>
              <w:t>(2.1)</w:t>
            </w:r>
          </w:p>
        </w:tc>
      </w:tr>
      <w:tr>
        <w:trPr>
          <w:trHeight w:val="203"/>
        </w:trPr>
        <w:tc>
          <w:tcPr>
            <w:tcW w:w="20" w:type="dxa"/>
            <w:vAlign w:val="bottom"/>
          </w:tcPr>
          <w:p>
            <w:pPr>
              <w:spacing w:after="0"/>
              <w:rPr>
                <w:sz w:val="17"/>
                <w:szCs w:val="17"/>
                <w:color w:val="auto"/>
              </w:rPr>
            </w:pP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06/30/2006</w:t>
            </w:r>
          </w:p>
        </w:tc>
        <w:tc>
          <w:tcPr>
            <w:tcW w:w="178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2,730</w:t>
            </w:r>
          </w:p>
        </w:tc>
        <w:tc>
          <w:tcPr>
            <w:tcW w:w="920" w:type="dxa"/>
            <w:vAlign w:val="bottom"/>
            <w:gridSpan w:val="2"/>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rPr>
              <w:t>(1.8)</w:t>
            </w:r>
          </w:p>
        </w:tc>
        <w:tc>
          <w:tcPr>
            <w:tcW w:w="104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6,143</w:t>
            </w:r>
          </w:p>
        </w:tc>
        <w:tc>
          <w:tcPr>
            <w:tcW w:w="900" w:type="dxa"/>
            <w:vAlign w:val="bottom"/>
            <w:gridSpan w:val="2"/>
            <w:shd w:val="clear" w:color="auto" w:fill="CCEEFF"/>
          </w:tcPr>
          <w:p>
            <w:pPr>
              <w:jc w:val="right"/>
              <w:ind w:right="128"/>
              <w:spacing w:after="0" w:line="202" w:lineRule="exact"/>
              <w:rPr>
                <w:sz w:val="20"/>
                <w:szCs w:val="20"/>
                <w:color w:val="auto"/>
              </w:rPr>
            </w:pPr>
            <w:r>
              <w:rPr>
                <w:rFonts w:ascii="Arial" w:cs="Arial" w:eastAsia="Arial" w:hAnsi="Arial"/>
                <w:sz w:val="18"/>
                <w:szCs w:val="18"/>
                <w:color w:val="auto"/>
              </w:rPr>
              <w:t>0.7</w:t>
            </w:r>
          </w:p>
        </w:tc>
        <w:tc>
          <w:tcPr>
            <w:tcW w:w="102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1,676</w:t>
            </w:r>
          </w:p>
        </w:tc>
        <w:tc>
          <w:tcPr>
            <w:tcW w:w="940" w:type="dxa"/>
            <w:vAlign w:val="bottom"/>
            <w:gridSpan w:val="2"/>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7"/>
              </w:rPr>
              <w:t>(1.9)</w:t>
            </w:r>
          </w:p>
        </w:tc>
        <w:tc>
          <w:tcPr>
            <w:tcW w:w="102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2,444</w:t>
            </w:r>
          </w:p>
        </w:tc>
        <w:tc>
          <w:tcPr>
            <w:tcW w:w="900" w:type="dxa"/>
            <w:vAlign w:val="bottom"/>
            <w:gridSpan w:val="2"/>
            <w:shd w:val="clear" w:color="auto" w:fill="CCEEFF"/>
          </w:tcPr>
          <w:p>
            <w:pPr>
              <w:jc w:val="right"/>
              <w:ind w:right="68"/>
              <w:spacing w:after="0" w:line="202" w:lineRule="exact"/>
              <w:rPr>
                <w:sz w:val="20"/>
                <w:szCs w:val="20"/>
                <w:color w:val="auto"/>
              </w:rPr>
            </w:pPr>
            <w:r>
              <w:rPr>
                <w:rFonts w:ascii="Arial" w:cs="Arial" w:eastAsia="Arial" w:hAnsi="Arial"/>
                <w:sz w:val="18"/>
                <w:szCs w:val="18"/>
                <w:color w:val="auto"/>
              </w:rPr>
              <w:t>(2.4)</w:t>
            </w:r>
          </w:p>
        </w:tc>
        <w:tc>
          <w:tcPr>
            <w:tcW w:w="104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1,026</w:t>
            </w:r>
          </w:p>
        </w:tc>
        <w:tc>
          <w:tcPr>
            <w:tcW w:w="940" w:type="dxa"/>
            <w:vAlign w:val="bottom"/>
            <w:gridSpan w:val="2"/>
            <w:shd w:val="clear" w:color="auto" w:fill="CCEEFF"/>
          </w:tcPr>
          <w:p>
            <w:pPr>
              <w:jc w:val="center"/>
              <w:ind w:left="150"/>
              <w:spacing w:after="0" w:line="202" w:lineRule="exact"/>
              <w:rPr>
                <w:sz w:val="20"/>
                <w:szCs w:val="20"/>
                <w:color w:val="auto"/>
              </w:rPr>
            </w:pPr>
            <w:r>
              <w:rPr>
                <w:rFonts w:ascii="Arial" w:cs="Arial" w:eastAsia="Arial" w:hAnsi="Arial"/>
                <w:sz w:val="18"/>
                <w:szCs w:val="18"/>
                <w:color w:val="auto"/>
              </w:rPr>
              <w:t>(3.3)</w:t>
            </w:r>
          </w:p>
        </w:tc>
      </w:tr>
      <w:tr>
        <w:trPr>
          <w:trHeight w:val="203"/>
        </w:trPr>
        <w:tc>
          <w:tcPr>
            <w:tcW w:w="20" w:type="dxa"/>
            <w:vAlign w:val="bottom"/>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7"/>
              </w:rPr>
              <w:t>09/30/2006</w:t>
            </w:r>
          </w:p>
        </w:tc>
        <w:tc>
          <w:tcPr>
            <w:tcW w:w="178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2,705</w:t>
            </w:r>
          </w:p>
        </w:tc>
        <w:tc>
          <w:tcPr>
            <w:tcW w:w="92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rPr>
              <w:t>(3.0)</w:t>
            </w:r>
          </w:p>
        </w:tc>
        <w:tc>
          <w:tcPr>
            <w:tcW w:w="104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6,047</w:t>
            </w:r>
          </w:p>
        </w:tc>
        <w:tc>
          <w:tcPr>
            <w:tcW w:w="90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(0.9)</w:t>
            </w:r>
          </w:p>
        </w:tc>
        <w:tc>
          <w:tcPr>
            <w:tcW w:w="102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1,669</w:t>
            </w:r>
          </w:p>
        </w:tc>
        <w:tc>
          <w:tcPr>
            <w:tcW w:w="94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w w:val="97"/>
              </w:rPr>
              <w:t>(1.5)</w:t>
            </w:r>
          </w:p>
        </w:tc>
        <w:tc>
          <w:tcPr>
            <w:tcW w:w="102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2,416</w:t>
            </w:r>
          </w:p>
        </w:tc>
        <w:tc>
          <w:tcPr>
            <w:tcW w:w="90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(3.0)</w:t>
            </w:r>
          </w:p>
        </w:tc>
        <w:tc>
          <w:tcPr>
            <w:tcW w:w="104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1,011</w:t>
            </w:r>
          </w:p>
        </w:tc>
        <w:tc>
          <w:tcPr>
            <w:tcW w:w="94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rPr>
              <w:t>(4.2)</w:t>
            </w:r>
          </w:p>
        </w:tc>
      </w:tr>
      <w:tr>
        <w:trPr>
          <w:trHeight w:val="203"/>
        </w:trPr>
        <w:tc>
          <w:tcPr>
            <w:tcW w:w="20" w:type="dxa"/>
            <w:vAlign w:val="bottom"/>
          </w:tcPr>
          <w:p>
            <w:pPr>
              <w:spacing w:after="0"/>
              <w:rPr>
                <w:sz w:val="17"/>
                <w:szCs w:val="17"/>
                <w:color w:val="auto"/>
              </w:rPr>
            </w:pP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12/31/2006</w:t>
            </w:r>
          </w:p>
        </w:tc>
        <w:tc>
          <w:tcPr>
            <w:tcW w:w="178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2,687</w:t>
            </w:r>
          </w:p>
        </w:tc>
        <w:tc>
          <w:tcPr>
            <w:tcW w:w="920" w:type="dxa"/>
            <w:vAlign w:val="bottom"/>
            <w:gridSpan w:val="2"/>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rPr>
              <w:t>(3.4)</w:t>
            </w:r>
          </w:p>
        </w:tc>
        <w:tc>
          <w:tcPr>
            <w:tcW w:w="104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5,985</w:t>
            </w:r>
          </w:p>
        </w:tc>
        <w:tc>
          <w:tcPr>
            <w:tcW w:w="900" w:type="dxa"/>
            <w:vAlign w:val="bottom"/>
            <w:gridSpan w:val="2"/>
            <w:shd w:val="clear" w:color="auto" w:fill="CCEEFF"/>
          </w:tcPr>
          <w:p>
            <w:pPr>
              <w:jc w:val="right"/>
              <w:ind w:right="68"/>
              <w:spacing w:after="0" w:line="202" w:lineRule="exact"/>
              <w:rPr>
                <w:sz w:val="20"/>
                <w:szCs w:val="20"/>
                <w:color w:val="auto"/>
              </w:rPr>
            </w:pPr>
            <w:r>
              <w:rPr>
                <w:rFonts w:ascii="Arial" w:cs="Arial" w:eastAsia="Arial" w:hAnsi="Arial"/>
                <w:sz w:val="18"/>
                <w:szCs w:val="18"/>
                <w:color w:val="auto"/>
              </w:rPr>
              <w:t>(3.7)</w:t>
            </w:r>
          </w:p>
        </w:tc>
        <w:tc>
          <w:tcPr>
            <w:tcW w:w="102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1,657</w:t>
            </w:r>
          </w:p>
        </w:tc>
        <w:tc>
          <w:tcPr>
            <w:tcW w:w="940" w:type="dxa"/>
            <w:vAlign w:val="bottom"/>
            <w:gridSpan w:val="2"/>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7"/>
              </w:rPr>
              <w:t>(2.8)</w:t>
            </w:r>
          </w:p>
        </w:tc>
        <w:tc>
          <w:tcPr>
            <w:tcW w:w="102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2,393</w:t>
            </w:r>
          </w:p>
        </w:tc>
        <w:tc>
          <w:tcPr>
            <w:tcW w:w="900" w:type="dxa"/>
            <w:vAlign w:val="bottom"/>
            <w:gridSpan w:val="2"/>
            <w:shd w:val="clear" w:color="auto" w:fill="CCEEFF"/>
          </w:tcPr>
          <w:p>
            <w:pPr>
              <w:jc w:val="right"/>
              <w:ind w:right="68"/>
              <w:spacing w:after="0" w:line="202" w:lineRule="exact"/>
              <w:rPr>
                <w:sz w:val="20"/>
                <w:szCs w:val="20"/>
                <w:color w:val="auto"/>
              </w:rPr>
            </w:pPr>
            <w:r>
              <w:rPr>
                <w:rFonts w:ascii="Arial" w:cs="Arial" w:eastAsia="Arial" w:hAnsi="Arial"/>
                <w:sz w:val="18"/>
                <w:szCs w:val="18"/>
                <w:color w:val="auto"/>
              </w:rPr>
              <w:t>(4.3)</w:t>
            </w:r>
          </w:p>
        </w:tc>
        <w:tc>
          <w:tcPr>
            <w:tcW w:w="104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1,001</w:t>
            </w:r>
          </w:p>
        </w:tc>
        <w:tc>
          <w:tcPr>
            <w:tcW w:w="940" w:type="dxa"/>
            <w:vAlign w:val="bottom"/>
            <w:gridSpan w:val="2"/>
            <w:shd w:val="clear" w:color="auto" w:fill="CCEEFF"/>
          </w:tcPr>
          <w:p>
            <w:pPr>
              <w:jc w:val="center"/>
              <w:ind w:left="150"/>
              <w:spacing w:after="0" w:line="202" w:lineRule="exact"/>
              <w:rPr>
                <w:sz w:val="20"/>
                <w:szCs w:val="20"/>
                <w:color w:val="auto"/>
              </w:rPr>
            </w:pPr>
            <w:r>
              <w:rPr>
                <w:rFonts w:ascii="Arial" w:cs="Arial" w:eastAsia="Arial" w:hAnsi="Arial"/>
                <w:sz w:val="18"/>
                <w:szCs w:val="18"/>
                <w:color w:val="auto"/>
              </w:rPr>
              <w:t>(4.8)</w:t>
            </w:r>
          </w:p>
        </w:tc>
      </w:tr>
      <w:tr>
        <w:trPr>
          <w:trHeight w:val="217"/>
        </w:trPr>
        <w:tc>
          <w:tcPr>
            <w:tcW w:w="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03/31/2007</w:t>
            </w:r>
          </w:p>
        </w:tc>
        <w:tc>
          <w:tcPr>
            <w:tcW w:w="1780" w:type="dxa"/>
            <w:vAlign w:val="bottom"/>
            <w:gridSpan w:val="2"/>
          </w:tcPr>
          <w:p>
            <w:pPr>
              <w:jc w:val="right"/>
              <w:ind w:right="88"/>
              <w:spacing w:after="0"/>
              <w:rPr>
                <w:sz w:val="20"/>
                <w:szCs w:val="20"/>
                <w:color w:val="auto"/>
              </w:rPr>
            </w:pPr>
            <w:r>
              <w:rPr>
                <w:rFonts w:ascii="Arial" w:cs="Arial" w:eastAsia="Arial" w:hAnsi="Arial"/>
                <w:sz w:val="18"/>
                <w:szCs w:val="18"/>
                <w:color w:val="auto"/>
              </w:rPr>
              <w:t>2,664</w:t>
            </w:r>
          </w:p>
        </w:tc>
        <w:tc>
          <w:tcPr>
            <w:tcW w:w="920" w:type="dxa"/>
            <w:vAlign w:val="bottom"/>
            <w:gridSpan w:val="2"/>
          </w:tcPr>
          <w:p>
            <w:pPr>
              <w:jc w:val="center"/>
              <w:ind w:left="130"/>
              <w:spacing w:after="0"/>
              <w:rPr>
                <w:sz w:val="20"/>
                <w:szCs w:val="20"/>
                <w:color w:val="auto"/>
              </w:rPr>
            </w:pPr>
            <w:r>
              <w:rPr>
                <w:rFonts w:ascii="Arial" w:cs="Arial" w:eastAsia="Arial" w:hAnsi="Arial"/>
                <w:sz w:val="18"/>
                <w:szCs w:val="18"/>
                <w:color w:val="auto"/>
              </w:rPr>
              <w:t>(4.1)</w:t>
            </w:r>
          </w:p>
        </w:tc>
        <w:tc>
          <w:tcPr>
            <w:tcW w:w="1040" w:type="dxa"/>
            <w:vAlign w:val="bottom"/>
            <w:gridSpan w:val="2"/>
          </w:tcPr>
          <w:p>
            <w:pPr>
              <w:jc w:val="right"/>
              <w:ind w:right="88"/>
              <w:spacing w:after="0"/>
              <w:rPr>
                <w:sz w:val="20"/>
                <w:szCs w:val="20"/>
                <w:color w:val="auto"/>
              </w:rPr>
            </w:pPr>
            <w:r>
              <w:rPr>
                <w:rFonts w:ascii="Arial" w:cs="Arial" w:eastAsia="Arial" w:hAnsi="Arial"/>
                <w:sz w:val="18"/>
                <w:szCs w:val="18"/>
                <w:color w:val="auto"/>
              </w:rPr>
              <w:t>5,914</w:t>
            </w:r>
          </w:p>
        </w:tc>
        <w:tc>
          <w:tcPr>
            <w:tcW w:w="900" w:type="dxa"/>
            <w:vAlign w:val="bottom"/>
            <w:gridSpan w:val="2"/>
          </w:tcPr>
          <w:p>
            <w:pPr>
              <w:jc w:val="right"/>
              <w:ind w:right="68"/>
              <w:spacing w:after="0"/>
              <w:rPr>
                <w:sz w:val="20"/>
                <w:szCs w:val="20"/>
                <w:color w:val="auto"/>
              </w:rPr>
            </w:pPr>
            <w:r>
              <w:rPr>
                <w:rFonts w:ascii="Arial" w:cs="Arial" w:eastAsia="Arial" w:hAnsi="Arial"/>
                <w:sz w:val="18"/>
                <w:szCs w:val="18"/>
                <w:color w:val="auto"/>
              </w:rPr>
              <w:t>(5.7)</w:t>
            </w:r>
          </w:p>
        </w:tc>
        <w:tc>
          <w:tcPr>
            <w:tcW w:w="1020" w:type="dxa"/>
            <w:vAlign w:val="bottom"/>
            <w:gridSpan w:val="2"/>
          </w:tcPr>
          <w:p>
            <w:pPr>
              <w:jc w:val="right"/>
              <w:ind w:right="88"/>
              <w:spacing w:after="0"/>
              <w:rPr>
                <w:sz w:val="20"/>
                <w:szCs w:val="20"/>
                <w:color w:val="auto"/>
              </w:rPr>
            </w:pPr>
            <w:r>
              <w:rPr>
                <w:rFonts w:ascii="Arial" w:cs="Arial" w:eastAsia="Arial" w:hAnsi="Arial"/>
                <w:sz w:val="18"/>
                <w:szCs w:val="18"/>
                <w:color w:val="auto"/>
              </w:rPr>
              <w:t>1,641</w:t>
            </w:r>
          </w:p>
        </w:tc>
        <w:tc>
          <w:tcPr>
            <w:tcW w:w="940" w:type="dxa"/>
            <w:vAlign w:val="bottom"/>
            <w:gridSpan w:val="2"/>
          </w:tcPr>
          <w:p>
            <w:pPr>
              <w:jc w:val="center"/>
              <w:ind w:left="130"/>
              <w:spacing w:after="0"/>
              <w:rPr>
                <w:sz w:val="20"/>
                <w:szCs w:val="20"/>
                <w:color w:val="auto"/>
              </w:rPr>
            </w:pPr>
            <w:r>
              <w:rPr>
                <w:rFonts w:ascii="Arial" w:cs="Arial" w:eastAsia="Arial" w:hAnsi="Arial"/>
                <w:sz w:val="18"/>
                <w:szCs w:val="18"/>
                <w:color w:val="auto"/>
                <w:w w:val="97"/>
              </w:rPr>
              <w:t>(4.0)</w:t>
            </w:r>
          </w:p>
        </w:tc>
        <w:tc>
          <w:tcPr>
            <w:tcW w:w="1020" w:type="dxa"/>
            <w:vAlign w:val="bottom"/>
            <w:gridSpan w:val="2"/>
          </w:tcPr>
          <w:p>
            <w:pPr>
              <w:jc w:val="right"/>
              <w:ind w:right="88"/>
              <w:spacing w:after="0"/>
              <w:rPr>
                <w:sz w:val="20"/>
                <w:szCs w:val="20"/>
                <w:color w:val="auto"/>
              </w:rPr>
            </w:pPr>
            <w:r>
              <w:rPr>
                <w:rFonts w:ascii="Arial" w:cs="Arial" w:eastAsia="Arial" w:hAnsi="Arial"/>
                <w:sz w:val="18"/>
                <w:szCs w:val="18"/>
                <w:color w:val="auto"/>
              </w:rPr>
              <w:t>2,365</w:t>
            </w:r>
          </w:p>
        </w:tc>
        <w:tc>
          <w:tcPr>
            <w:tcW w:w="900" w:type="dxa"/>
            <w:vAlign w:val="bottom"/>
            <w:gridSpan w:val="2"/>
          </w:tcPr>
          <w:p>
            <w:pPr>
              <w:jc w:val="right"/>
              <w:ind w:right="68"/>
              <w:spacing w:after="0"/>
              <w:rPr>
                <w:sz w:val="20"/>
                <w:szCs w:val="20"/>
                <w:color w:val="auto"/>
              </w:rPr>
            </w:pPr>
            <w:r>
              <w:rPr>
                <w:rFonts w:ascii="Arial" w:cs="Arial" w:eastAsia="Arial" w:hAnsi="Arial"/>
                <w:sz w:val="18"/>
                <w:szCs w:val="18"/>
                <w:color w:val="auto"/>
              </w:rPr>
              <w:t>(5.4)</w:t>
            </w:r>
          </w:p>
        </w:tc>
        <w:tc>
          <w:tcPr>
            <w:tcW w:w="1040" w:type="dxa"/>
            <w:vAlign w:val="bottom"/>
            <w:gridSpan w:val="2"/>
          </w:tcPr>
          <w:p>
            <w:pPr>
              <w:jc w:val="right"/>
              <w:ind w:right="88"/>
              <w:spacing w:after="0"/>
              <w:rPr>
                <w:sz w:val="20"/>
                <w:szCs w:val="20"/>
                <w:color w:val="auto"/>
              </w:rPr>
            </w:pPr>
            <w:r>
              <w:rPr>
                <w:rFonts w:ascii="Arial" w:cs="Arial" w:eastAsia="Arial" w:hAnsi="Arial"/>
                <w:sz w:val="18"/>
                <w:szCs w:val="18"/>
                <w:color w:val="auto"/>
              </w:rPr>
              <w:t>991</w:t>
            </w:r>
          </w:p>
        </w:tc>
        <w:tc>
          <w:tcPr>
            <w:tcW w:w="940" w:type="dxa"/>
            <w:vAlign w:val="bottom"/>
            <w:gridSpan w:val="2"/>
          </w:tcPr>
          <w:p>
            <w:pPr>
              <w:jc w:val="center"/>
              <w:ind w:left="150"/>
              <w:spacing w:after="0"/>
              <w:rPr>
                <w:sz w:val="20"/>
                <w:szCs w:val="20"/>
                <w:color w:val="auto"/>
              </w:rPr>
            </w:pPr>
            <w:r>
              <w:rPr>
                <w:rFonts w:ascii="Arial" w:cs="Arial" w:eastAsia="Arial" w:hAnsi="Arial"/>
                <w:sz w:val="18"/>
                <w:szCs w:val="18"/>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3"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CML = Commercial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following information should be read in conjunction with the historical financial information and the notes thereto included in Item 1 of this Quarterly Report on Form 10-Q and Management’s Discussion and Analysis of Financial Condition and Results of Operations contained in the Annual Report on Form 10-K for the year ended December 31, 2006 as filed with the Securities and Exchange Commission on February 26, 2007. Preceding the discussion of financial results is an introduction discussing the relationships between the member companies of the Erie Insurance Group. The following discussion of financial results focuses heavily on our three primary segments: management operations, insurance underwriting operations and investment operations consistent with the presentation in Note 13 in the Notes to Consolidated Financial Statements. That presentation, which management uses internally to monitor and evaluate results, is an alternative presentation of our Consolidated Statements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NATURE OF ORGANIZATION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organizational chart depicts the organization of the various entities of the Erie Insurance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203835</wp:posOffset>
            </wp:positionV>
            <wp:extent cx="5471160" cy="25126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71160"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0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serve as the attorney-in-fact for the policyholders of the Erie Insurance Exchange (Exchange), a reciprocal insurance exchange, and operate predominantly as a provider of certain management services to the Exchange. We also own subsidiaries that are property and casualty insurers. The Exchange and its property/casualty subsidiary, Flagship City Insurance Company, and our three property/casualty subsidiaries, Erie Insurance Company (EIC), Erie Insurance Company of New York (EINY) and Erie Insurance Property &amp; Casualty Company (EIPC), (collectively, the Property and Casualty Group) underwrite personal and commercial lines property and casualty insurance exclusively through over 1,800 independent agencies comprising over 8,000 licensed independent agents. The entities within the Property and Casualty Group pool their underwriting results. The financial position and results of operations of the Exchange are not consolidated with ours. We, together with the Property and Casualty Group and EFL, operate collectively as the Erie Insurance Group.</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 for a discussion of recently issued accounting pronouncements.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OVERVIEW</w:t>
      </w:r>
    </w:p>
    <w:p>
      <w:pPr>
        <w:spacing w:after="0" w:line="126"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We operate under three primary segments: management operations, insurance underwriting operations and investment operations. The financial information presented herein reflects our management operations from serving as attorney-in-fact for the Exchange, our insurance underwriting results from our wholly-owned subsidiaries (EIC, EINY and EIPC) and our investment operations. The bases of calculations used for segment data are described in more detail in Item 1, Note 13 in the Notes to Consolidated Financial Statements.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00" w:type="dxa"/>
            <w:vAlign w:val="bottom"/>
          </w:tcPr>
          <w:p>
            <w:pPr>
              <w:spacing w:after="0"/>
              <w:rPr>
                <w:sz w:val="20"/>
                <w:szCs w:val="20"/>
                <w:color w:val="auto"/>
              </w:rPr>
            </w:pPr>
            <w:r>
              <w:rPr>
                <w:rFonts w:ascii="Arial" w:cs="Arial" w:eastAsia="Arial" w:hAnsi="Arial"/>
                <w:sz w:val="18"/>
                <w:szCs w:val="18"/>
                <w:i w:val="1"/>
                <w:iCs w:val="1"/>
                <w:color w:val="auto"/>
              </w:rPr>
              <w:t>Segment Results</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340" w:type="dxa"/>
            <w:vAlign w:val="bottom"/>
            <w:gridSpan w:val="2"/>
          </w:tcPr>
          <w:p>
            <w:pPr>
              <w:jc w:val="right"/>
              <w:ind w:right="92"/>
              <w:spacing w:after="0"/>
              <w:rPr>
                <w:sz w:val="20"/>
                <w:szCs w:val="20"/>
                <w:color w:val="auto"/>
              </w:rPr>
            </w:pPr>
            <w:r>
              <w:rPr>
                <w:rFonts w:ascii="Arial" w:cs="Arial" w:eastAsia="Arial" w:hAnsi="Arial"/>
                <w:sz w:val="14"/>
                <w:szCs w:val="14"/>
                <w:color w:val="auto"/>
              </w:rPr>
              <w:t>Three months ended March 31</w:t>
            </w:r>
          </w:p>
        </w:tc>
        <w:tc>
          <w:tcPr>
            <w:tcW w:w="1040" w:type="dxa"/>
            <w:vAlign w:val="bottom"/>
          </w:tcPr>
          <w:p>
            <w:pPr>
              <w:spacing w:after="0"/>
              <w:rPr>
                <w:sz w:val="19"/>
                <w:szCs w:val="19"/>
                <w:color w:val="auto"/>
              </w:rPr>
            </w:pPr>
          </w:p>
        </w:tc>
      </w:tr>
      <w:tr>
        <w:trPr>
          <w:trHeight w:val="157"/>
        </w:trPr>
        <w:tc>
          <w:tcPr>
            <w:tcW w:w="70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2"/>
              <w:spacing w:after="0" w:line="157" w:lineRule="exact"/>
              <w:rPr>
                <w:sz w:val="20"/>
                <w:szCs w:val="20"/>
                <w:color w:val="auto"/>
              </w:rPr>
            </w:pPr>
            <w:r>
              <w:rPr>
                <w:rFonts w:ascii="Arial" w:cs="Arial" w:eastAsia="Arial" w:hAnsi="Arial"/>
                <w:sz w:val="14"/>
                <w:szCs w:val="14"/>
                <w:color w:val="auto"/>
              </w:rPr>
              <w:t>2007</w:t>
            </w:r>
          </w:p>
        </w:tc>
        <w:tc>
          <w:tcPr>
            <w:tcW w:w="9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872"/>
              <w:spacing w:after="0" w:line="157" w:lineRule="exact"/>
              <w:rPr>
                <w:sz w:val="20"/>
                <w:szCs w:val="20"/>
                <w:color w:val="auto"/>
              </w:rPr>
            </w:pPr>
            <w:r>
              <w:rPr>
                <w:rFonts w:ascii="Arial" w:cs="Arial" w:eastAsia="Arial" w:hAnsi="Arial"/>
                <w:sz w:val="14"/>
                <w:szCs w:val="14"/>
                <w:color w:val="auto"/>
              </w:rPr>
              <w:t>2006</w:t>
            </w:r>
          </w:p>
        </w:tc>
        <w:tc>
          <w:tcPr>
            <w:tcW w:w="1040" w:type="dxa"/>
            <w:vAlign w:val="bottom"/>
            <w:tcBorders>
              <w:bottom w:val="single" w:sz="8" w:color="auto"/>
            </w:tcBorders>
          </w:tcPr>
          <w:p>
            <w:pPr>
              <w:jc w:val="right"/>
              <w:ind w:right="112"/>
              <w:spacing w:after="0" w:line="157" w:lineRule="exact"/>
              <w:rPr>
                <w:sz w:val="20"/>
                <w:szCs w:val="20"/>
                <w:color w:val="auto"/>
              </w:rPr>
            </w:pPr>
            <w:r>
              <w:rPr>
                <w:rFonts w:ascii="Arial" w:cs="Arial" w:eastAsia="Arial" w:hAnsi="Arial"/>
                <w:sz w:val="14"/>
                <w:szCs w:val="14"/>
                <w:color w:val="auto"/>
              </w:rPr>
              <w:t>% Change</w:t>
            </w:r>
          </w:p>
        </w:tc>
      </w:tr>
      <w:tr>
        <w:trPr>
          <w:trHeight w:val="156"/>
        </w:trPr>
        <w:tc>
          <w:tcPr>
            <w:tcW w:w="7000" w:type="dxa"/>
            <w:vAlign w:val="bottom"/>
          </w:tcPr>
          <w:p>
            <w:pPr>
              <w:spacing w:after="0" w:line="155" w:lineRule="exact"/>
              <w:rPr>
                <w:sz w:val="20"/>
                <w:szCs w:val="20"/>
                <w:color w:val="auto"/>
              </w:rPr>
            </w:pPr>
            <w:r>
              <w:rPr>
                <w:rFonts w:ascii="Arial" w:cs="Arial" w:eastAsia="Arial" w:hAnsi="Arial"/>
                <w:sz w:val="14"/>
                <w:szCs w:val="14"/>
                <w:color w:val="auto"/>
              </w:rPr>
              <w:t>(dollars in thousands, except per share data)</w:t>
            </w: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340" w:type="dxa"/>
            <w:vAlign w:val="bottom"/>
            <w:gridSpan w:val="2"/>
          </w:tcPr>
          <w:p>
            <w:pPr>
              <w:jc w:val="right"/>
              <w:ind w:right="712"/>
              <w:spacing w:after="0" w:line="155" w:lineRule="exact"/>
              <w:rPr>
                <w:sz w:val="20"/>
                <w:szCs w:val="20"/>
                <w:color w:val="auto"/>
              </w:rPr>
            </w:pPr>
            <w:r>
              <w:rPr>
                <w:rFonts w:ascii="Arial" w:cs="Arial" w:eastAsia="Arial" w:hAnsi="Arial"/>
                <w:sz w:val="14"/>
                <w:szCs w:val="14"/>
                <w:color w:val="auto"/>
              </w:rPr>
              <w:t>(Unaudited)</w:t>
            </w:r>
          </w:p>
        </w:tc>
        <w:tc>
          <w:tcPr>
            <w:tcW w:w="1040" w:type="dxa"/>
            <w:vAlign w:val="bottom"/>
          </w:tcPr>
          <w:p>
            <w:pPr>
              <w:spacing w:after="0"/>
              <w:rPr>
                <w:sz w:val="13"/>
                <w:szCs w:val="13"/>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management operations</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4"/>
              </w:rPr>
              <w:t>45,678</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52"/>
              <w:spacing w:after="0" w:line="202" w:lineRule="exact"/>
              <w:rPr>
                <w:sz w:val="20"/>
                <w:szCs w:val="20"/>
                <w:color w:val="auto"/>
              </w:rPr>
            </w:pPr>
            <w:r>
              <w:rPr>
                <w:rFonts w:ascii="Arial" w:cs="Arial" w:eastAsia="Arial" w:hAnsi="Arial"/>
                <w:sz w:val="18"/>
                <w:szCs w:val="18"/>
                <w:color w:val="auto"/>
                <w:w w:val="94"/>
              </w:rPr>
              <w:t>46,702</w:t>
            </w:r>
          </w:p>
        </w:tc>
        <w:tc>
          <w:tcPr>
            <w:tcW w:w="10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(2.2)%</w:t>
            </w: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Underwriting income</w:t>
            </w:r>
          </w:p>
        </w:tc>
        <w:tc>
          <w:tcPr>
            <w:tcW w:w="320" w:type="dxa"/>
            <w:vAlign w:val="bottom"/>
          </w:tcPr>
          <w:p>
            <w:pPr>
              <w:spacing w:after="0"/>
              <w:rPr>
                <w:sz w:val="17"/>
                <w:szCs w:val="17"/>
                <w:color w:val="auto"/>
              </w:rPr>
            </w:pPr>
          </w:p>
        </w:tc>
        <w:tc>
          <w:tcPr>
            <w:tcW w:w="7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5,619</w:t>
            </w:r>
          </w:p>
        </w:tc>
        <w:tc>
          <w:tcPr>
            <w:tcW w:w="960" w:type="dxa"/>
            <w:vAlign w:val="bottom"/>
          </w:tcPr>
          <w:p>
            <w:pPr>
              <w:spacing w:after="0"/>
              <w:rPr>
                <w:sz w:val="17"/>
                <w:szCs w:val="17"/>
                <w:color w:val="auto"/>
              </w:rPr>
            </w:pPr>
          </w:p>
        </w:tc>
        <w:tc>
          <w:tcPr>
            <w:tcW w:w="1380" w:type="dxa"/>
            <w:vAlign w:val="bottom"/>
          </w:tcPr>
          <w:p>
            <w:pPr>
              <w:jc w:val="right"/>
              <w:ind w:right="752"/>
              <w:spacing w:after="0" w:line="202" w:lineRule="exact"/>
              <w:rPr>
                <w:sz w:val="20"/>
                <w:szCs w:val="20"/>
                <w:color w:val="auto"/>
              </w:rPr>
            </w:pPr>
            <w:r>
              <w:rPr>
                <w:rFonts w:ascii="Arial" w:cs="Arial" w:eastAsia="Arial" w:hAnsi="Arial"/>
                <w:sz w:val="18"/>
                <w:szCs w:val="18"/>
                <w:color w:val="auto"/>
              </w:rPr>
              <w:t>7,310</w:t>
            </w:r>
          </w:p>
        </w:tc>
        <w:tc>
          <w:tcPr>
            <w:tcW w:w="10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(23.1)</w:t>
            </w: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 from investment operations</w:t>
            </w:r>
          </w:p>
        </w:tc>
        <w:tc>
          <w:tcPr>
            <w:tcW w:w="3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4"/>
              </w:rPr>
              <w:t>29,752</w:t>
            </w:r>
          </w:p>
        </w:tc>
        <w:tc>
          <w:tcPr>
            <w:tcW w:w="9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752"/>
              <w:spacing w:after="0" w:line="202" w:lineRule="exact"/>
              <w:rPr>
                <w:sz w:val="20"/>
                <w:szCs w:val="20"/>
                <w:color w:val="auto"/>
              </w:rPr>
            </w:pPr>
            <w:r>
              <w:rPr>
                <w:rFonts w:ascii="Arial" w:cs="Arial" w:eastAsia="Arial" w:hAnsi="Arial"/>
                <w:sz w:val="18"/>
                <w:szCs w:val="18"/>
                <w:color w:val="auto"/>
                <w:w w:val="94"/>
              </w:rPr>
              <w:t>20,577</w:t>
            </w:r>
          </w:p>
        </w:tc>
        <w:tc>
          <w:tcPr>
            <w:tcW w:w="1040" w:type="dxa"/>
            <w:vAlign w:val="bottom"/>
            <w:tcBorders>
              <w:bottom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44.6</w:t>
            </w:r>
          </w:p>
        </w:tc>
      </w:tr>
      <w:tr>
        <w:trPr>
          <w:trHeight w:val="210"/>
        </w:trPr>
        <w:tc>
          <w:tcPr>
            <w:tcW w:w="70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w w:val="94"/>
              </w:rPr>
              <w:t>81,049</w:t>
            </w:r>
          </w:p>
        </w:tc>
        <w:tc>
          <w:tcPr>
            <w:tcW w:w="960" w:type="dxa"/>
            <w:vAlign w:val="bottom"/>
          </w:tcPr>
          <w:p>
            <w:pPr>
              <w:spacing w:after="0"/>
              <w:rPr>
                <w:sz w:val="18"/>
                <w:szCs w:val="18"/>
                <w:color w:val="auto"/>
              </w:rPr>
            </w:pPr>
          </w:p>
        </w:tc>
        <w:tc>
          <w:tcPr>
            <w:tcW w:w="1380" w:type="dxa"/>
            <w:vAlign w:val="bottom"/>
          </w:tcPr>
          <w:p>
            <w:pPr>
              <w:jc w:val="right"/>
              <w:ind w:right="752"/>
              <w:spacing w:after="0"/>
              <w:rPr>
                <w:sz w:val="20"/>
                <w:szCs w:val="20"/>
                <w:color w:val="auto"/>
              </w:rPr>
            </w:pPr>
            <w:r>
              <w:rPr>
                <w:rFonts w:ascii="Arial" w:cs="Arial" w:eastAsia="Arial" w:hAnsi="Arial"/>
                <w:sz w:val="18"/>
                <w:szCs w:val="18"/>
                <w:color w:val="auto"/>
                <w:w w:val="94"/>
              </w:rPr>
              <w:t>74,589</w:t>
            </w: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8.7</w:t>
            </w: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4"/>
              </w:rPr>
              <w:t>24,688</w:t>
            </w:r>
          </w:p>
        </w:tc>
        <w:tc>
          <w:tcPr>
            <w:tcW w:w="9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752"/>
              <w:spacing w:after="0" w:line="202" w:lineRule="exact"/>
              <w:rPr>
                <w:sz w:val="20"/>
                <w:szCs w:val="20"/>
                <w:color w:val="auto"/>
              </w:rPr>
            </w:pPr>
            <w:r>
              <w:rPr>
                <w:rFonts w:ascii="Arial" w:cs="Arial" w:eastAsia="Arial" w:hAnsi="Arial"/>
                <w:sz w:val="18"/>
                <w:szCs w:val="18"/>
                <w:color w:val="auto"/>
                <w:w w:val="94"/>
              </w:rPr>
              <w:t>25,123</w:t>
            </w:r>
          </w:p>
        </w:tc>
        <w:tc>
          <w:tcPr>
            <w:tcW w:w="1040" w:type="dxa"/>
            <w:vAlign w:val="bottom"/>
            <w:tcBorders>
              <w:bottom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(1.7)</w:t>
            </w:r>
          </w:p>
        </w:tc>
      </w:tr>
      <w:tr>
        <w:trPr>
          <w:trHeight w:val="210"/>
        </w:trPr>
        <w:tc>
          <w:tcPr>
            <w:tcW w:w="700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4"/>
              </w:rPr>
              <w:t>56,361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w w:val="94"/>
              </w:rPr>
              <w:t>49,466</w:t>
            </w:r>
          </w:p>
        </w:tc>
        <w:tc>
          <w:tcPr>
            <w:tcW w:w="10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13.9</w:t>
            </w: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7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per share – diluted</w:t>
            </w:r>
          </w:p>
        </w:tc>
        <w:tc>
          <w:tcPr>
            <w:tcW w:w="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0.88</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752"/>
              <w:spacing w:after="0" w:line="196" w:lineRule="exact"/>
              <w:rPr>
                <w:sz w:val="20"/>
                <w:szCs w:val="20"/>
                <w:color w:val="auto"/>
              </w:rPr>
            </w:pPr>
            <w:r>
              <w:rPr>
                <w:rFonts w:ascii="Arial" w:cs="Arial" w:eastAsia="Arial" w:hAnsi="Arial"/>
                <w:sz w:val="18"/>
                <w:szCs w:val="18"/>
                <w:color w:val="auto"/>
              </w:rPr>
              <w:t>0.73</w:t>
            </w:r>
          </w:p>
        </w:tc>
        <w:tc>
          <w:tcPr>
            <w:tcW w:w="1040" w:type="dxa"/>
            <w:vAlign w:val="bottom"/>
            <w:tcBorders>
              <w:bottom w:val="single" w:sz="8" w:color="auto"/>
            </w:tcBorders>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20.3%</w:t>
            </w: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POINTS</w:t>
      </w:r>
    </w:p>
    <w:p>
      <w:pPr>
        <w:spacing w:after="0" w:line="126" w:lineRule="exact"/>
        <w:rPr>
          <w:sz w:val="20"/>
          <w:szCs w:val="20"/>
          <w:color w:val="auto"/>
        </w:rPr>
      </w:pPr>
    </w:p>
    <w:p>
      <w:pPr>
        <w:ind w:left="660" w:right="260" w:hanging="436"/>
        <w:spacing w:after="0" w:line="246"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Increase in net income per share-diluted in the first quarter of 2007 was impacted by an increase in limited partnership earnings and positive income tax adjustments.</w:t>
      </w:r>
    </w:p>
    <w:p>
      <w:pPr>
        <w:spacing w:after="0" w:line="102"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 decline in the cost of management operations allowed margins to remain steady with 2006 at 19.4% in the first quarter of 2007.</w:t>
      </w:r>
    </w:p>
    <w:p>
      <w:pPr>
        <w:spacing w:after="0" w:line="117" w:lineRule="exact"/>
        <w:rPr>
          <w:rFonts w:ascii="Arial" w:cs="Arial" w:eastAsia="Arial" w:hAnsi="Arial"/>
          <w:sz w:val="18"/>
          <w:szCs w:val="18"/>
          <w:b w:val="1"/>
          <w:bCs w:val="1"/>
          <w:color w:val="auto"/>
        </w:rPr>
      </w:pPr>
    </w:p>
    <w:p>
      <w:pPr>
        <w:ind w:left="660" w:right="80" w:hanging="436"/>
        <w:spacing w:after="0" w:line="246"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GAAP combined ratios of the insurance underwriting operations increased to 89.2% for the quarter ended March 31, 2007 from 86.5% for the quarter ended March 31, 2006 as a result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lower earned premiums and slightly higher losses of the Property and Casualty Group.</w:t>
      </w:r>
    </w:p>
    <w:p>
      <w:pPr>
        <w:spacing w:after="0" w:line="117" w:lineRule="exact"/>
        <w:rPr>
          <w:sz w:val="20"/>
          <w:szCs w:val="20"/>
          <w:color w:val="auto"/>
        </w:rPr>
      </w:pPr>
    </w:p>
    <w:p>
      <w:pPr>
        <w:ind w:left="660" w:right="22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Annualized effective tax rate of 32.7% in first quarter 2007 offset by positive estimates of IRS examination settlements and an adjustment to deferred taxes related to salvage and subrogation recoverable during the quarter offset somewhat by interest expense on uncertain tax positions.</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cyclical nature of the insurance industry has a direct impact on our income from management operations as our management fee revenues are based on the direct written premium of the Property and Casualty Group. Despite our management fee rate being set at its maximum 25% in 2007, a 2.6% decrease in direct written premium of the Property and Casualty Group resulted in lower management fee revenues in the first quarter of 2007 as compared to 2006. Pricing pressures continue in the industry, primarily in private passenger auto, our most significant line of business. As anticipated, rate reductions we implemented to offer competitive prices to policyholders and segmented pricing of auto and home, that offers lower prices to better risks, are driving the reduction in direct written premium of the Property and Casualty Group. The Property and Casualty Group average premium per policy on private passenger auto declined $10 from December 31, 2006, and $61 from the same quarter a year ago.</w:t>
      </w:r>
    </w:p>
    <w:p>
      <w:pPr>
        <w:spacing w:after="0" w:line="100"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Our total cost of management operations decreased 1.8% as our non-commission operating costs decreased 0.3% in the first quarter of 2007 from the first quarter of 2006. Costs were relatively flat in the first quarter 2007 due to personnel costs being down 4.8%, primarily due to a reduction in management incentive plan expense, that were offset by higher professional fees. Our revised estimate for growth in 2007 non-commission operating costs is 6% after factoring in the effects of moderating costs recorded in the first quarter 2007.</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ANALYSIS OF BUSINESS SEGMENTS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Operations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gridSpan w:val="2"/>
          </w:tcPr>
          <w:p>
            <w:pPr>
              <w:jc w:val="right"/>
              <w:ind w:right="153"/>
              <w:spacing w:after="0"/>
              <w:rPr>
                <w:sz w:val="20"/>
                <w:szCs w:val="20"/>
                <w:color w:val="auto"/>
              </w:rPr>
            </w:pPr>
            <w:r>
              <w:rPr>
                <w:rFonts w:ascii="Arial" w:cs="Arial" w:eastAsia="Arial" w:hAnsi="Arial"/>
                <w:sz w:val="14"/>
                <w:szCs w:val="14"/>
                <w:color w:val="auto"/>
              </w:rPr>
              <w:t>Three months ended March 31</w:t>
            </w:r>
          </w:p>
        </w:tc>
        <w:tc>
          <w:tcPr>
            <w:tcW w:w="106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3"/>
              <w:spacing w:after="0" w:line="157" w:lineRule="exact"/>
              <w:rPr>
                <w:sz w:val="20"/>
                <w:szCs w:val="20"/>
                <w:color w:val="auto"/>
              </w:rPr>
            </w:pPr>
            <w:r>
              <w:rPr>
                <w:rFonts w:ascii="Arial" w:cs="Arial" w:eastAsia="Arial" w:hAnsi="Arial"/>
                <w:sz w:val="14"/>
                <w:szCs w:val="14"/>
                <w:color w:val="auto"/>
              </w:rPr>
              <w:t>2007</w:t>
            </w:r>
          </w:p>
        </w:tc>
        <w:tc>
          <w:tcPr>
            <w:tcW w:w="9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833"/>
              <w:spacing w:after="0" w:line="157" w:lineRule="exact"/>
              <w:rPr>
                <w:sz w:val="20"/>
                <w:szCs w:val="20"/>
                <w:color w:val="auto"/>
              </w:rPr>
            </w:pPr>
            <w:r>
              <w:rPr>
                <w:rFonts w:ascii="Arial" w:cs="Arial" w:eastAsia="Arial" w:hAnsi="Arial"/>
                <w:sz w:val="14"/>
                <w:szCs w:val="14"/>
                <w:color w:val="auto"/>
              </w:rPr>
              <w:t>2006</w:t>
            </w:r>
          </w:p>
        </w:tc>
        <w:tc>
          <w:tcPr>
            <w:tcW w:w="1060" w:type="dxa"/>
            <w:vAlign w:val="bottom"/>
            <w:tcBorders>
              <w:bottom w:val="single" w:sz="8" w:color="auto"/>
            </w:tcBorders>
          </w:tcPr>
          <w:p>
            <w:pPr>
              <w:jc w:val="right"/>
              <w:ind w:right="73"/>
              <w:spacing w:after="0" w:line="157" w:lineRule="exact"/>
              <w:rPr>
                <w:sz w:val="20"/>
                <w:szCs w:val="20"/>
                <w:color w:val="auto"/>
              </w:rPr>
            </w:pPr>
            <w:r>
              <w:rPr>
                <w:rFonts w:ascii="Arial" w:cs="Arial" w:eastAsia="Arial" w:hAnsi="Arial"/>
                <w:sz w:val="14"/>
                <w:szCs w:val="14"/>
                <w:color w:val="auto"/>
              </w:rPr>
              <w:t>% Change</w:t>
            </w:r>
          </w:p>
        </w:tc>
      </w:tr>
      <w:tr>
        <w:trPr>
          <w:trHeight w:val="156"/>
        </w:trPr>
        <w:tc>
          <w:tcPr>
            <w:tcW w:w="6840" w:type="dxa"/>
            <w:vAlign w:val="bottom"/>
            <w:gridSpan w:val="2"/>
          </w:tcPr>
          <w:p>
            <w:pPr>
              <w:spacing w:after="0" w:line="155" w:lineRule="exact"/>
              <w:rPr>
                <w:sz w:val="20"/>
                <w:szCs w:val="20"/>
                <w:color w:val="auto"/>
              </w:rPr>
            </w:pPr>
            <w:r>
              <w:rPr>
                <w:rFonts w:ascii="Arial" w:cs="Arial" w:eastAsia="Arial" w:hAnsi="Arial"/>
                <w:sz w:val="14"/>
                <w:szCs w:val="14"/>
                <w:color w:val="auto"/>
              </w:rPr>
              <w:t>(dollars in thousands)</w:t>
            </w: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300" w:type="dxa"/>
            <w:vAlign w:val="bottom"/>
            <w:gridSpan w:val="2"/>
          </w:tcPr>
          <w:p>
            <w:pPr>
              <w:jc w:val="right"/>
              <w:ind w:right="773"/>
              <w:spacing w:after="0" w:line="155" w:lineRule="exact"/>
              <w:rPr>
                <w:sz w:val="20"/>
                <w:szCs w:val="20"/>
                <w:color w:val="auto"/>
              </w:rPr>
            </w:pPr>
            <w:r>
              <w:rPr>
                <w:rFonts w:ascii="Arial" w:cs="Arial" w:eastAsia="Arial" w:hAnsi="Arial"/>
                <w:sz w:val="14"/>
                <w:szCs w:val="14"/>
                <w:color w:val="auto"/>
              </w:rPr>
              <w:t>(Unaudited)</w:t>
            </w:r>
          </w:p>
        </w:tc>
        <w:tc>
          <w:tcPr>
            <w:tcW w:w="10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Management fee revenue</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w w:val="98"/>
              </w:rPr>
              <w:t>228,645</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653"/>
              <w:spacing w:after="0" w:line="202" w:lineRule="exact"/>
              <w:rPr>
                <w:sz w:val="20"/>
                <w:szCs w:val="20"/>
                <w:color w:val="auto"/>
              </w:rPr>
            </w:pPr>
            <w:r>
              <w:rPr>
                <w:rFonts w:ascii="Arial" w:cs="Arial" w:eastAsia="Arial" w:hAnsi="Arial"/>
                <w:sz w:val="18"/>
                <w:szCs w:val="18"/>
                <w:color w:val="auto"/>
                <w:w w:val="98"/>
              </w:rPr>
              <w:t>232,935</w:t>
            </w:r>
          </w:p>
        </w:tc>
        <w:tc>
          <w:tcPr>
            <w:tcW w:w="106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(1.8)%</w:t>
            </w:r>
          </w:p>
        </w:tc>
      </w:tr>
      <w:tr>
        <w:trPr>
          <w:trHeight w:val="210"/>
        </w:trPr>
        <w:tc>
          <w:tcPr>
            <w:tcW w:w="20" w:type="dxa"/>
            <w:vAlign w:val="bottom"/>
          </w:tcPr>
          <w:p>
            <w:pPr>
              <w:spacing w:after="0"/>
              <w:rPr>
                <w:sz w:val="18"/>
                <w:szCs w:val="18"/>
                <w:color w:val="auto"/>
              </w:rPr>
            </w:pPr>
          </w:p>
        </w:tc>
        <w:tc>
          <w:tcPr>
            <w:tcW w:w="6820" w:type="dxa"/>
            <w:vAlign w:val="bottom"/>
          </w:tcPr>
          <w:p>
            <w:pPr>
              <w:spacing w:after="0" w:line="202" w:lineRule="exact"/>
              <w:rPr>
                <w:sz w:val="20"/>
                <w:szCs w:val="20"/>
                <w:color w:val="auto"/>
              </w:rPr>
            </w:pPr>
            <w:r>
              <w:rPr>
                <w:rFonts w:ascii="Arial" w:cs="Arial" w:eastAsia="Arial" w:hAnsi="Arial"/>
                <w:sz w:val="18"/>
                <w:szCs w:val="18"/>
                <w:color w:val="auto"/>
              </w:rPr>
              <w:t>Service agreement revenue</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3"/>
              <w:spacing w:after="0" w:line="202" w:lineRule="exact"/>
              <w:rPr>
                <w:sz w:val="20"/>
                <w:szCs w:val="20"/>
                <w:color w:val="auto"/>
              </w:rPr>
            </w:pPr>
            <w:r>
              <w:rPr>
                <w:rFonts w:ascii="Arial" w:cs="Arial" w:eastAsia="Arial" w:hAnsi="Arial"/>
                <w:sz w:val="18"/>
                <w:szCs w:val="18"/>
                <w:color w:val="auto"/>
              </w:rPr>
              <w:t>7,418</w:t>
            </w:r>
          </w:p>
        </w:tc>
        <w:tc>
          <w:tcPr>
            <w:tcW w:w="9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3"/>
              <w:spacing w:after="0" w:line="202" w:lineRule="exact"/>
              <w:rPr>
                <w:sz w:val="20"/>
                <w:szCs w:val="20"/>
                <w:color w:val="auto"/>
              </w:rPr>
            </w:pPr>
            <w:r>
              <w:rPr>
                <w:rFonts w:ascii="Arial" w:cs="Arial" w:eastAsia="Arial" w:hAnsi="Arial"/>
                <w:sz w:val="18"/>
                <w:szCs w:val="18"/>
                <w:color w:val="auto"/>
              </w:rPr>
              <w:t>7,592</w:t>
            </w:r>
          </w:p>
        </w:tc>
        <w:tc>
          <w:tcPr>
            <w:tcW w:w="1060" w:type="dxa"/>
            <w:vAlign w:val="bottom"/>
            <w:tcBorders>
              <w:bottom w:val="single" w:sz="8" w:color="auto"/>
            </w:tcBorders>
          </w:tcPr>
          <w:p>
            <w:pPr>
              <w:jc w:val="right"/>
              <w:ind w:right="193"/>
              <w:spacing w:after="0" w:line="202" w:lineRule="exact"/>
              <w:rPr>
                <w:sz w:val="20"/>
                <w:szCs w:val="20"/>
                <w:color w:val="auto"/>
              </w:rPr>
            </w:pPr>
            <w:r>
              <w:rPr>
                <w:rFonts w:ascii="Arial" w:cs="Arial" w:eastAsia="Arial" w:hAnsi="Arial"/>
                <w:sz w:val="18"/>
                <w:szCs w:val="18"/>
                <w:color w:val="auto"/>
              </w:rPr>
              <w:t>(2.3)</w:t>
            </w: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 from management operations</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w w:val="98"/>
              </w:rPr>
              <w:t>236,063</w:t>
            </w:r>
          </w:p>
        </w:tc>
        <w:tc>
          <w:tcPr>
            <w:tcW w:w="9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653"/>
              <w:spacing w:after="0" w:line="202" w:lineRule="exact"/>
              <w:rPr>
                <w:sz w:val="20"/>
                <w:szCs w:val="20"/>
                <w:color w:val="auto"/>
              </w:rPr>
            </w:pPr>
            <w:r>
              <w:rPr>
                <w:rFonts w:ascii="Arial" w:cs="Arial" w:eastAsia="Arial" w:hAnsi="Arial"/>
                <w:sz w:val="18"/>
                <w:szCs w:val="18"/>
                <w:color w:val="auto"/>
                <w:w w:val="98"/>
              </w:rPr>
              <w:t>240,527</w:t>
            </w:r>
          </w:p>
        </w:tc>
        <w:tc>
          <w:tcPr>
            <w:tcW w:w="106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(1.9)</w:t>
            </w:r>
          </w:p>
        </w:tc>
      </w:tr>
      <w:tr>
        <w:trPr>
          <w:trHeight w:val="210"/>
        </w:trPr>
        <w:tc>
          <w:tcPr>
            <w:tcW w:w="20" w:type="dxa"/>
            <w:vAlign w:val="bottom"/>
          </w:tcPr>
          <w:p>
            <w:pPr>
              <w:spacing w:after="0"/>
              <w:rPr>
                <w:sz w:val="18"/>
                <w:szCs w:val="18"/>
                <w:color w:val="auto"/>
              </w:rPr>
            </w:pPr>
          </w:p>
        </w:tc>
        <w:tc>
          <w:tcPr>
            <w:tcW w:w="6820" w:type="dxa"/>
            <w:vAlign w:val="bottom"/>
          </w:tcPr>
          <w:p>
            <w:pPr>
              <w:spacing w:after="0" w:line="202" w:lineRule="exact"/>
              <w:rPr>
                <w:sz w:val="20"/>
                <w:szCs w:val="20"/>
                <w:color w:val="auto"/>
              </w:rPr>
            </w:pPr>
            <w:r>
              <w:rPr>
                <w:rFonts w:ascii="Arial" w:cs="Arial" w:eastAsia="Arial" w:hAnsi="Arial"/>
                <w:sz w:val="18"/>
                <w:szCs w:val="18"/>
                <w:color w:val="auto"/>
              </w:rPr>
              <w:t>Cost of management operations</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3"/>
              <w:spacing w:after="0" w:line="202" w:lineRule="exact"/>
              <w:rPr>
                <w:sz w:val="20"/>
                <w:szCs w:val="20"/>
                <w:color w:val="auto"/>
              </w:rPr>
            </w:pPr>
            <w:r>
              <w:rPr>
                <w:rFonts w:ascii="Arial" w:cs="Arial" w:eastAsia="Arial" w:hAnsi="Arial"/>
                <w:sz w:val="18"/>
                <w:szCs w:val="18"/>
                <w:color w:val="auto"/>
                <w:w w:val="98"/>
              </w:rPr>
              <w:t>190,385</w:t>
            </w:r>
          </w:p>
        </w:tc>
        <w:tc>
          <w:tcPr>
            <w:tcW w:w="9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3"/>
              <w:spacing w:after="0" w:line="202" w:lineRule="exact"/>
              <w:rPr>
                <w:sz w:val="20"/>
                <w:szCs w:val="20"/>
                <w:color w:val="auto"/>
              </w:rPr>
            </w:pPr>
            <w:r>
              <w:rPr>
                <w:rFonts w:ascii="Arial" w:cs="Arial" w:eastAsia="Arial" w:hAnsi="Arial"/>
                <w:sz w:val="18"/>
                <w:szCs w:val="18"/>
                <w:color w:val="auto"/>
                <w:w w:val="98"/>
              </w:rPr>
              <w:t>193,825</w:t>
            </w:r>
          </w:p>
        </w:tc>
        <w:tc>
          <w:tcPr>
            <w:tcW w:w="1060" w:type="dxa"/>
            <w:vAlign w:val="bottom"/>
            <w:tcBorders>
              <w:bottom w:val="single" w:sz="8" w:color="auto"/>
            </w:tcBorders>
          </w:tcPr>
          <w:p>
            <w:pPr>
              <w:jc w:val="right"/>
              <w:ind w:right="193"/>
              <w:spacing w:after="0" w:line="202" w:lineRule="exact"/>
              <w:rPr>
                <w:sz w:val="20"/>
                <w:szCs w:val="20"/>
                <w:color w:val="auto"/>
              </w:rPr>
            </w:pPr>
            <w:r>
              <w:rPr>
                <w:rFonts w:ascii="Arial" w:cs="Arial" w:eastAsia="Arial" w:hAnsi="Arial"/>
                <w:sz w:val="18"/>
                <w:szCs w:val="18"/>
                <w:color w:val="auto"/>
              </w:rPr>
              <w:t>(1.8)</w:t>
            </w: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management operations</w:t>
            </w:r>
          </w:p>
        </w:tc>
        <w:tc>
          <w:tcPr>
            <w:tcW w:w="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45,678</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653"/>
              <w:spacing w:after="0" w:line="202" w:lineRule="exact"/>
              <w:rPr>
                <w:sz w:val="20"/>
                <w:szCs w:val="20"/>
                <w:color w:val="auto"/>
              </w:rPr>
            </w:pPr>
            <w:r>
              <w:rPr>
                <w:rFonts w:ascii="Arial" w:cs="Arial" w:eastAsia="Arial" w:hAnsi="Arial"/>
                <w:sz w:val="18"/>
                <w:szCs w:val="18"/>
                <w:color w:val="auto"/>
              </w:rPr>
              <w:t>46,702</w:t>
            </w:r>
          </w:p>
        </w:tc>
        <w:tc>
          <w:tcPr>
            <w:tcW w:w="1060" w:type="dxa"/>
            <w:vAlign w:val="bottom"/>
            <w:tcBorders>
              <w:bottom w:val="single" w:sz="8" w:color="auto"/>
            </w:tcBorders>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(2.2)%</w:t>
            </w:r>
          </w:p>
        </w:tc>
      </w:tr>
      <w:tr>
        <w:trPr>
          <w:trHeight w:val="20"/>
        </w:trPr>
        <w:tc>
          <w:tcPr>
            <w:tcW w:w="684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6840" w:type="dxa"/>
            <w:vAlign w:val="bottom"/>
            <w:gridSpan w:val="2"/>
          </w:tcPr>
          <w:p>
            <w:pPr>
              <w:spacing w:after="0" w:line="196" w:lineRule="exact"/>
              <w:rPr>
                <w:sz w:val="20"/>
                <w:szCs w:val="20"/>
                <w:color w:val="auto"/>
              </w:rPr>
            </w:pPr>
            <w:r>
              <w:rPr>
                <w:rFonts w:ascii="Arial" w:cs="Arial" w:eastAsia="Arial" w:hAnsi="Arial"/>
                <w:sz w:val="18"/>
                <w:szCs w:val="18"/>
                <w:color w:val="auto"/>
              </w:rPr>
              <w:t>Gross margin</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w:t>
            </w:r>
          </w:p>
        </w:tc>
        <w:tc>
          <w:tcPr>
            <w:tcW w:w="9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93"/>
              <w:spacing w:after="0" w:line="196" w:lineRule="exact"/>
              <w:rPr>
                <w:sz w:val="20"/>
                <w:szCs w:val="20"/>
                <w:color w:val="auto"/>
              </w:rPr>
            </w:pPr>
            <w:r>
              <w:rPr>
                <w:rFonts w:ascii="Arial" w:cs="Arial" w:eastAsia="Arial" w:hAnsi="Arial"/>
                <w:sz w:val="18"/>
                <w:szCs w:val="18"/>
                <w:color w:val="auto"/>
              </w:rPr>
              <w:t>19.4%</w:t>
            </w:r>
          </w:p>
        </w:tc>
        <w:tc>
          <w:tcPr>
            <w:tcW w:w="1060" w:type="dxa"/>
            <w:vAlign w:val="bottom"/>
            <w:tcBorders>
              <w:bottom w:val="single" w:sz="8" w:color="auto"/>
            </w:tcBorders>
          </w:tcPr>
          <w:p>
            <w:pPr>
              <w:jc w:val="right"/>
              <w:ind w:right="253"/>
              <w:spacing w:after="0" w:line="196"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POINTS</w:t>
      </w:r>
    </w:p>
    <w:p>
      <w:pPr>
        <w:spacing w:after="0" w:line="126"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management fee rate was 25% and 24.75% in the first quarters of 2007 and 2006, respectively.</w:t>
      </w:r>
    </w:p>
    <w:p>
      <w:pPr>
        <w:spacing w:after="0" w:line="117" w:lineRule="exact"/>
        <w:rPr>
          <w:rFonts w:ascii="Arial" w:cs="Arial" w:eastAsia="Arial" w:hAnsi="Arial"/>
          <w:sz w:val="18"/>
          <w:szCs w:val="18"/>
          <w:b w:val="1"/>
          <w:bCs w:val="1"/>
          <w:color w:val="auto"/>
        </w:rPr>
      </w:pPr>
    </w:p>
    <w:p>
      <w:pPr>
        <w:ind w:left="660" w:right="20" w:hanging="436"/>
        <w:spacing w:after="0" w:line="246"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Direct written premiums of the Property and Casualty Group decreased 2.6% in the first quarter of 2007 compared to the first quarter of 2006.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04" w:lineRule="exact"/>
        <w:rPr>
          <w:sz w:val="20"/>
          <w:szCs w:val="20"/>
          <w:color w:val="auto"/>
        </w:rPr>
      </w:pPr>
    </w:p>
    <w:p>
      <w:pPr>
        <w:ind w:left="1120" w:right="200" w:hanging="437"/>
        <w:spacing w:after="0" w:line="246" w:lineRule="auto"/>
        <w:tabs>
          <w:tab w:leader="none" w:pos="1120" w:val="left"/>
        </w:tabs>
        <w:numPr>
          <w:ilvl w:val="1"/>
          <w:numId w:val="8"/>
        </w:numPr>
        <w:rPr>
          <w:rFonts w:ascii="Arial" w:cs="Arial" w:eastAsia="Arial" w:hAnsi="Arial"/>
          <w:sz w:val="18"/>
          <w:szCs w:val="18"/>
          <w:b w:val="1"/>
          <w:bCs w:val="1"/>
          <w:color w:val="auto"/>
        </w:rPr>
      </w:pPr>
      <w:r>
        <w:rPr>
          <w:rFonts w:ascii="Arial" w:cs="Arial" w:eastAsia="Arial" w:hAnsi="Arial"/>
          <w:sz w:val="18"/>
          <w:szCs w:val="18"/>
          <w:color w:val="auto"/>
        </w:rPr>
        <w:t>Policies in force grew 1.3%, or 50,223 policies, to 3,811,723 at March 31, 2007 compared to growth of 2,988 policies in the first quarter of 2006.</w:t>
      </w:r>
    </w:p>
    <w:p>
      <w:pPr>
        <w:spacing w:after="0" w:line="102" w:lineRule="exact"/>
        <w:rPr>
          <w:rFonts w:ascii="Arial" w:cs="Arial" w:eastAsia="Arial" w:hAnsi="Arial"/>
          <w:sz w:val="18"/>
          <w:szCs w:val="18"/>
          <w:b w:val="1"/>
          <w:bCs w:val="1"/>
          <w:color w:val="auto"/>
        </w:rPr>
      </w:pPr>
    </w:p>
    <w:p>
      <w:pPr>
        <w:ind w:left="1120" w:hanging="437"/>
        <w:spacing w:after="0"/>
        <w:tabs>
          <w:tab w:leader="none" w:pos="1120" w:val="left"/>
        </w:tabs>
        <w:numPr>
          <w:ilvl w:val="1"/>
          <w:numId w:val="8"/>
        </w:numPr>
        <w:rPr>
          <w:rFonts w:ascii="Arial" w:cs="Arial" w:eastAsia="Arial" w:hAnsi="Arial"/>
          <w:sz w:val="18"/>
          <w:szCs w:val="18"/>
          <w:b w:val="1"/>
          <w:bCs w:val="1"/>
          <w:color w:val="auto"/>
        </w:rPr>
      </w:pPr>
      <w:r>
        <w:rPr>
          <w:rFonts w:ascii="Arial" w:cs="Arial" w:eastAsia="Arial" w:hAnsi="Arial"/>
          <w:sz w:val="18"/>
          <w:szCs w:val="18"/>
          <w:color w:val="auto"/>
        </w:rPr>
        <w:t>Year-over-year average premium per policy was $991 and $1,044 at March 31, 2007 and 2006, respectively, a decrease of 5.1%.</w:t>
      </w:r>
    </w:p>
    <w:p>
      <w:pPr>
        <w:spacing w:after="0" w:line="117" w:lineRule="exact"/>
        <w:rPr>
          <w:rFonts w:ascii="Arial" w:cs="Arial" w:eastAsia="Arial" w:hAnsi="Arial"/>
          <w:sz w:val="18"/>
          <w:szCs w:val="18"/>
          <w:b w:val="1"/>
          <w:bCs w:val="1"/>
          <w:color w:val="auto"/>
        </w:rPr>
      </w:pPr>
    </w:p>
    <w:p>
      <w:pPr>
        <w:ind w:left="1120" w:hanging="437"/>
        <w:spacing w:after="0"/>
        <w:tabs>
          <w:tab w:leader="none" w:pos="1120" w:val="left"/>
        </w:tabs>
        <w:numPr>
          <w:ilvl w:val="1"/>
          <w:numId w:val="8"/>
        </w:numPr>
        <w:rPr>
          <w:rFonts w:ascii="Arial" w:cs="Arial" w:eastAsia="Arial" w:hAnsi="Arial"/>
          <w:sz w:val="18"/>
          <w:szCs w:val="18"/>
          <w:b w:val="1"/>
          <w:bCs w:val="1"/>
          <w:color w:val="auto"/>
        </w:rPr>
      </w:pPr>
      <w:r>
        <w:rPr>
          <w:rFonts w:ascii="Arial" w:cs="Arial" w:eastAsia="Arial" w:hAnsi="Arial"/>
          <w:sz w:val="18"/>
          <w:szCs w:val="18"/>
          <w:color w:val="auto"/>
        </w:rPr>
        <w:t>During the first quarter, premium rate changes resulted in a $34.4 million decrease in written premiums.</w:t>
      </w:r>
    </w:p>
    <w:p>
      <w:pPr>
        <w:spacing w:after="0" w:line="103" w:lineRule="exact"/>
        <w:rPr>
          <w:rFonts w:ascii="Arial" w:cs="Arial" w:eastAsia="Arial" w:hAnsi="Arial"/>
          <w:sz w:val="18"/>
          <w:szCs w:val="18"/>
          <w:b w:val="1"/>
          <w:bCs w:val="1"/>
          <w:color w:val="auto"/>
        </w:rPr>
      </w:pPr>
    </w:p>
    <w:p>
      <w:pPr>
        <w:ind w:left="660" w:right="580" w:hanging="436"/>
        <w:spacing w:after="0" w:line="246"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Contributing to the decrease in service agreement revenue is the shift to the no-fee single payment plan precipitated in part by a discount in pricing offered for paid in full policies.</w:t>
      </w:r>
    </w:p>
    <w:p>
      <w:pPr>
        <w:spacing w:after="0" w:line="102"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Commission costs decreased 2.4% and costs other than commissions decreased 0.3% in the first quarter.</w:t>
      </w:r>
    </w:p>
    <w:p>
      <w:pPr>
        <w:spacing w:after="0" w:line="103" w:lineRule="exact"/>
        <w:rPr>
          <w:rFonts w:ascii="Arial" w:cs="Arial" w:eastAsia="Arial" w:hAnsi="Arial"/>
          <w:sz w:val="18"/>
          <w:szCs w:val="18"/>
          <w:b w:val="1"/>
          <w:bCs w:val="1"/>
          <w:color w:val="auto"/>
        </w:rPr>
      </w:pPr>
    </w:p>
    <w:p>
      <w:pPr>
        <w:ind w:left="1120" w:right="680" w:hanging="437"/>
        <w:spacing w:after="0" w:line="246" w:lineRule="auto"/>
        <w:tabs>
          <w:tab w:leader="none" w:pos="1120" w:val="left"/>
        </w:tabs>
        <w:numPr>
          <w:ilvl w:val="1"/>
          <w:numId w:val="8"/>
        </w:numPr>
        <w:rPr>
          <w:rFonts w:ascii="Arial" w:cs="Arial" w:eastAsia="Arial" w:hAnsi="Arial"/>
          <w:sz w:val="18"/>
          <w:szCs w:val="18"/>
          <w:b w:val="1"/>
          <w:bCs w:val="1"/>
          <w:color w:val="auto"/>
        </w:rPr>
      </w:pPr>
      <w:r>
        <w:rPr>
          <w:rFonts w:ascii="Arial" w:cs="Arial" w:eastAsia="Arial" w:hAnsi="Arial"/>
          <w:sz w:val="18"/>
          <w:szCs w:val="18"/>
          <w:color w:val="auto"/>
        </w:rPr>
        <w:t>Scheduled rate commissions decreased $2.2 million and estimates for Agent bonuses and other incentives decreased by $0.9 million compared to the first quarter of 2006.</w:t>
      </w:r>
    </w:p>
    <w:p>
      <w:pPr>
        <w:spacing w:after="0" w:line="88"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Personnel costs decreased by 4.8% to $33.9 million in the first quarter of 2007 compared to $35.6 million in the first quarter of 2006.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fee revenue</w:t>
      </w:r>
    </w:p>
    <w:p>
      <w:pPr>
        <w:spacing w:after="0" w:line="126"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following table presents the direct written premium of the Property &amp; Casualty Group, shown by major line of business, and the calculation of our management fee revenue.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80" w:type="dxa"/>
            <w:vAlign w:val="bottom"/>
          </w:tcPr>
          <w:p>
            <w:pPr>
              <w:jc w:val="right"/>
              <w:ind w:right="154"/>
              <w:spacing w:after="0"/>
              <w:rPr>
                <w:sz w:val="20"/>
                <w:szCs w:val="20"/>
                <w:color w:val="auto"/>
              </w:rPr>
            </w:pPr>
            <w:r>
              <w:rPr>
                <w:rFonts w:ascii="Arial" w:cs="Arial" w:eastAsia="Arial" w:hAnsi="Arial"/>
                <w:sz w:val="14"/>
                <w:szCs w:val="14"/>
                <w:color w:val="auto"/>
              </w:rPr>
              <w:t>Three months ended March 31</w:t>
            </w:r>
          </w:p>
        </w:tc>
        <w:tc>
          <w:tcPr>
            <w:tcW w:w="106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1220" w:type="dxa"/>
            <w:vAlign w:val="bottom"/>
            <w:tcBorders>
              <w:bottom w:val="single" w:sz="8" w:color="auto"/>
            </w:tcBorders>
          </w:tcPr>
          <w:p>
            <w:pPr>
              <w:jc w:val="right"/>
              <w:ind w:right="331"/>
              <w:spacing w:after="0" w:line="157" w:lineRule="exact"/>
              <w:rPr>
                <w:sz w:val="20"/>
                <w:szCs w:val="20"/>
                <w:color w:val="auto"/>
              </w:rPr>
            </w:pPr>
            <w:r>
              <w:rPr>
                <w:rFonts w:ascii="Arial" w:cs="Arial" w:eastAsia="Arial" w:hAnsi="Arial"/>
                <w:sz w:val="14"/>
                <w:szCs w:val="14"/>
                <w:color w:val="auto"/>
              </w:rPr>
              <w:t>2007</w:t>
            </w:r>
          </w:p>
        </w:tc>
        <w:tc>
          <w:tcPr>
            <w:tcW w:w="2280" w:type="dxa"/>
            <w:vAlign w:val="bottom"/>
            <w:tcBorders>
              <w:bottom w:val="single" w:sz="8" w:color="auto"/>
            </w:tcBorders>
          </w:tcPr>
          <w:p>
            <w:pPr>
              <w:jc w:val="right"/>
              <w:ind w:right="834"/>
              <w:spacing w:after="0" w:line="157" w:lineRule="exact"/>
              <w:rPr>
                <w:sz w:val="20"/>
                <w:szCs w:val="20"/>
                <w:color w:val="auto"/>
              </w:rPr>
            </w:pPr>
            <w:r>
              <w:rPr>
                <w:rFonts w:ascii="Arial" w:cs="Arial" w:eastAsia="Arial" w:hAnsi="Arial"/>
                <w:sz w:val="14"/>
                <w:szCs w:val="14"/>
                <w:color w:val="auto"/>
              </w:rPr>
              <w:t>2006</w:t>
            </w:r>
          </w:p>
        </w:tc>
        <w:tc>
          <w:tcPr>
            <w:tcW w:w="1060" w:type="dxa"/>
            <w:vAlign w:val="bottom"/>
            <w:tcBorders>
              <w:bottom w:val="single" w:sz="8" w:color="auto"/>
            </w:tcBorders>
          </w:tcPr>
          <w:p>
            <w:pPr>
              <w:jc w:val="right"/>
              <w:ind w:right="72"/>
              <w:spacing w:after="0" w:line="157" w:lineRule="exact"/>
              <w:rPr>
                <w:sz w:val="20"/>
                <w:szCs w:val="20"/>
                <w:color w:val="auto"/>
              </w:rPr>
            </w:pPr>
            <w:r>
              <w:rPr>
                <w:rFonts w:ascii="Arial" w:cs="Arial" w:eastAsia="Arial" w:hAnsi="Arial"/>
                <w:sz w:val="14"/>
                <w:szCs w:val="14"/>
                <w:color w:val="auto"/>
              </w:rPr>
              <w:t>% Change</w:t>
            </w:r>
          </w:p>
        </w:tc>
      </w:tr>
      <w:tr>
        <w:trPr>
          <w:trHeight w:val="156"/>
        </w:trPr>
        <w:tc>
          <w:tcPr>
            <w:tcW w:w="6860" w:type="dxa"/>
            <w:vAlign w:val="bottom"/>
            <w:gridSpan w:val="2"/>
          </w:tcPr>
          <w:p>
            <w:pPr>
              <w:spacing w:after="0" w:line="155" w:lineRule="exact"/>
              <w:rPr>
                <w:sz w:val="20"/>
                <w:szCs w:val="20"/>
                <w:color w:val="auto"/>
              </w:rPr>
            </w:pPr>
            <w:r>
              <w:rPr>
                <w:rFonts w:ascii="Arial" w:cs="Arial" w:eastAsia="Arial" w:hAnsi="Arial"/>
                <w:sz w:val="14"/>
                <w:szCs w:val="14"/>
                <w:color w:val="auto"/>
              </w:rPr>
              <w:t>(dollars in thousands)</w:t>
            </w:r>
          </w:p>
        </w:tc>
        <w:tc>
          <w:tcPr>
            <w:tcW w:w="1220" w:type="dxa"/>
            <w:vAlign w:val="bottom"/>
          </w:tcPr>
          <w:p>
            <w:pPr>
              <w:spacing w:after="0"/>
              <w:rPr>
                <w:sz w:val="13"/>
                <w:szCs w:val="13"/>
                <w:color w:val="auto"/>
              </w:rPr>
            </w:pPr>
          </w:p>
        </w:tc>
        <w:tc>
          <w:tcPr>
            <w:tcW w:w="2280" w:type="dxa"/>
            <w:vAlign w:val="bottom"/>
          </w:tcPr>
          <w:p>
            <w:pPr>
              <w:jc w:val="right"/>
              <w:ind w:right="754"/>
              <w:spacing w:after="0" w:line="155" w:lineRule="exact"/>
              <w:rPr>
                <w:sz w:val="20"/>
                <w:szCs w:val="20"/>
                <w:color w:val="auto"/>
              </w:rPr>
            </w:pPr>
            <w:r>
              <w:rPr>
                <w:rFonts w:ascii="Arial" w:cs="Arial" w:eastAsia="Arial" w:hAnsi="Arial"/>
                <w:sz w:val="14"/>
                <w:szCs w:val="14"/>
                <w:color w:val="auto"/>
              </w:rPr>
              <w:t>(Unaudited)</w:t>
            </w:r>
          </w:p>
        </w:tc>
        <w:tc>
          <w:tcPr>
            <w:tcW w:w="10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Private passenger auto</w:t>
            </w:r>
          </w:p>
        </w:tc>
        <w:tc>
          <w:tcPr>
            <w:tcW w:w="12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$434,705</w:t>
            </w:r>
          </w:p>
        </w:tc>
        <w:tc>
          <w:tcPr>
            <w:tcW w:w="2280" w:type="dxa"/>
            <w:vAlign w:val="bottom"/>
            <w:shd w:val="clear" w:color="auto" w:fill="CCEEFF"/>
          </w:tcPr>
          <w:p>
            <w:pPr>
              <w:jc w:val="right"/>
              <w:ind w:right="654"/>
              <w:spacing w:after="0" w:line="202" w:lineRule="exact"/>
              <w:rPr>
                <w:sz w:val="20"/>
                <w:szCs w:val="20"/>
                <w:color w:val="auto"/>
              </w:rPr>
            </w:pPr>
            <w:r>
              <w:rPr>
                <w:rFonts w:ascii="Arial" w:cs="Arial" w:eastAsia="Arial" w:hAnsi="Arial"/>
                <w:sz w:val="18"/>
                <w:szCs w:val="18"/>
                <w:color w:val="auto"/>
              </w:rPr>
              <w:t>$448,708</w:t>
            </w:r>
          </w:p>
        </w:tc>
        <w:tc>
          <w:tcPr>
            <w:tcW w:w="10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(3.1)%</w:t>
            </w:r>
          </w:p>
        </w:tc>
      </w:tr>
      <w:tr>
        <w:trPr>
          <w:trHeight w:val="203"/>
        </w:trPr>
        <w:tc>
          <w:tcPr>
            <w:tcW w:w="20" w:type="dxa"/>
            <w:vAlign w:val="bottom"/>
          </w:tcPr>
          <w:p>
            <w:pPr>
              <w:spacing w:after="0"/>
              <w:rPr>
                <w:sz w:val="17"/>
                <w:szCs w:val="17"/>
                <w:color w:val="auto"/>
              </w:rPr>
            </w:pPr>
          </w:p>
        </w:tc>
        <w:tc>
          <w:tcPr>
            <w:tcW w:w="6840" w:type="dxa"/>
            <w:vAlign w:val="bottom"/>
          </w:tcPr>
          <w:p>
            <w:pPr>
              <w:spacing w:after="0" w:line="202" w:lineRule="exact"/>
              <w:rPr>
                <w:sz w:val="20"/>
                <w:szCs w:val="20"/>
                <w:color w:val="auto"/>
              </w:rPr>
            </w:pPr>
            <w:r>
              <w:rPr>
                <w:rFonts w:ascii="Arial" w:cs="Arial" w:eastAsia="Arial" w:hAnsi="Arial"/>
                <w:sz w:val="18"/>
                <w:szCs w:val="18"/>
                <w:color w:val="auto"/>
              </w:rPr>
              <w:t>Homeowners</w:t>
            </w:r>
          </w:p>
        </w:tc>
        <w:tc>
          <w:tcPr>
            <w:tcW w:w="122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148,371</w:t>
            </w:r>
          </w:p>
        </w:tc>
        <w:tc>
          <w:tcPr>
            <w:tcW w:w="2280" w:type="dxa"/>
            <w:vAlign w:val="bottom"/>
          </w:tcPr>
          <w:p>
            <w:pPr>
              <w:jc w:val="right"/>
              <w:ind w:right="654"/>
              <w:spacing w:after="0" w:line="202" w:lineRule="exact"/>
              <w:rPr>
                <w:sz w:val="20"/>
                <w:szCs w:val="20"/>
                <w:color w:val="auto"/>
              </w:rPr>
            </w:pPr>
            <w:r>
              <w:rPr>
                <w:rFonts w:ascii="Arial" w:cs="Arial" w:eastAsia="Arial" w:hAnsi="Arial"/>
                <w:sz w:val="18"/>
                <w:szCs w:val="18"/>
                <w:color w:val="auto"/>
              </w:rPr>
              <w:t>148,103</w:t>
            </w:r>
          </w:p>
        </w:tc>
        <w:tc>
          <w:tcPr>
            <w:tcW w:w="106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0.2</w:t>
            </w: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 multi-peril</w:t>
            </w:r>
          </w:p>
        </w:tc>
        <w:tc>
          <w:tcPr>
            <w:tcW w:w="12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115,054</w:t>
            </w:r>
          </w:p>
        </w:tc>
        <w:tc>
          <w:tcPr>
            <w:tcW w:w="2280" w:type="dxa"/>
            <w:vAlign w:val="bottom"/>
            <w:shd w:val="clear" w:color="auto" w:fill="CCEEFF"/>
          </w:tcPr>
          <w:p>
            <w:pPr>
              <w:jc w:val="right"/>
              <w:ind w:right="654"/>
              <w:spacing w:after="0" w:line="202" w:lineRule="exact"/>
              <w:rPr>
                <w:sz w:val="20"/>
                <w:szCs w:val="20"/>
                <w:color w:val="auto"/>
              </w:rPr>
            </w:pPr>
            <w:r>
              <w:rPr>
                <w:rFonts w:ascii="Arial" w:cs="Arial" w:eastAsia="Arial" w:hAnsi="Arial"/>
                <w:sz w:val="18"/>
                <w:szCs w:val="18"/>
                <w:color w:val="auto"/>
              </w:rPr>
              <w:t>118,935</w:t>
            </w:r>
          </w:p>
        </w:tc>
        <w:tc>
          <w:tcPr>
            <w:tcW w:w="10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(3.3)</w:t>
            </w:r>
          </w:p>
        </w:tc>
      </w:tr>
      <w:tr>
        <w:trPr>
          <w:trHeight w:val="203"/>
        </w:trPr>
        <w:tc>
          <w:tcPr>
            <w:tcW w:w="20" w:type="dxa"/>
            <w:vAlign w:val="bottom"/>
          </w:tcPr>
          <w:p>
            <w:pPr>
              <w:spacing w:after="0"/>
              <w:rPr>
                <w:sz w:val="17"/>
                <w:szCs w:val="17"/>
                <w:color w:val="auto"/>
              </w:rPr>
            </w:pPr>
          </w:p>
        </w:tc>
        <w:tc>
          <w:tcPr>
            <w:tcW w:w="6840" w:type="dxa"/>
            <w:vAlign w:val="bottom"/>
          </w:tcPr>
          <w:p>
            <w:pPr>
              <w:spacing w:after="0" w:line="202" w:lineRule="exact"/>
              <w:rPr>
                <w:sz w:val="20"/>
                <w:szCs w:val="20"/>
                <w:color w:val="auto"/>
              </w:rPr>
            </w:pPr>
            <w:r>
              <w:rPr>
                <w:rFonts w:ascii="Arial" w:cs="Arial" w:eastAsia="Arial" w:hAnsi="Arial"/>
                <w:sz w:val="18"/>
                <w:szCs w:val="18"/>
                <w:color w:val="auto"/>
              </w:rPr>
              <w:t>Workers compensation</w:t>
            </w:r>
          </w:p>
        </w:tc>
        <w:tc>
          <w:tcPr>
            <w:tcW w:w="122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91,905</w:t>
            </w:r>
          </w:p>
        </w:tc>
        <w:tc>
          <w:tcPr>
            <w:tcW w:w="2280" w:type="dxa"/>
            <w:vAlign w:val="bottom"/>
          </w:tcPr>
          <w:p>
            <w:pPr>
              <w:jc w:val="right"/>
              <w:ind w:right="654"/>
              <w:spacing w:after="0" w:line="202" w:lineRule="exact"/>
              <w:rPr>
                <w:sz w:val="20"/>
                <w:szCs w:val="20"/>
                <w:color w:val="auto"/>
              </w:rPr>
            </w:pPr>
            <w:r>
              <w:rPr>
                <w:rFonts w:ascii="Arial" w:cs="Arial" w:eastAsia="Arial" w:hAnsi="Arial"/>
                <w:sz w:val="18"/>
                <w:szCs w:val="18"/>
                <w:color w:val="auto"/>
              </w:rPr>
              <w:t>98,245</w:t>
            </w:r>
          </w:p>
        </w:tc>
        <w:tc>
          <w:tcPr>
            <w:tcW w:w="10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(6.5)</w:t>
            </w: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 auto</w:t>
            </w:r>
          </w:p>
        </w:tc>
        <w:tc>
          <w:tcPr>
            <w:tcW w:w="12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83,166</w:t>
            </w:r>
          </w:p>
        </w:tc>
        <w:tc>
          <w:tcPr>
            <w:tcW w:w="2280" w:type="dxa"/>
            <w:vAlign w:val="bottom"/>
            <w:shd w:val="clear" w:color="auto" w:fill="CCEEFF"/>
          </w:tcPr>
          <w:p>
            <w:pPr>
              <w:jc w:val="right"/>
              <w:ind w:right="654"/>
              <w:spacing w:after="0" w:line="202" w:lineRule="exact"/>
              <w:rPr>
                <w:sz w:val="20"/>
                <w:szCs w:val="20"/>
                <w:color w:val="auto"/>
              </w:rPr>
            </w:pPr>
            <w:r>
              <w:rPr>
                <w:rFonts w:ascii="Arial" w:cs="Arial" w:eastAsia="Arial" w:hAnsi="Arial"/>
                <w:sz w:val="18"/>
                <w:szCs w:val="18"/>
                <w:color w:val="auto"/>
              </w:rPr>
              <w:t>85,648</w:t>
            </w:r>
          </w:p>
        </w:tc>
        <w:tc>
          <w:tcPr>
            <w:tcW w:w="10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(2.9)</w:t>
            </w:r>
          </w:p>
        </w:tc>
      </w:tr>
      <w:tr>
        <w:trPr>
          <w:trHeight w:val="210"/>
        </w:trPr>
        <w:tc>
          <w:tcPr>
            <w:tcW w:w="20" w:type="dxa"/>
            <w:vAlign w:val="bottom"/>
          </w:tcPr>
          <w:p>
            <w:pPr>
              <w:spacing w:after="0"/>
              <w:rPr>
                <w:sz w:val="18"/>
                <w:szCs w:val="18"/>
                <w:color w:val="auto"/>
              </w:rPr>
            </w:pPr>
          </w:p>
        </w:tc>
        <w:tc>
          <w:tcPr>
            <w:tcW w:w="6840" w:type="dxa"/>
            <w:vAlign w:val="bottom"/>
          </w:tcPr>
          <w:p>
            <w:pPr>
              <w:spacing w:after="0" w:line="202" w:lineRule="exact"/>
              <w:rPr>
                <w:sz w:val="20"/>
                <w:szCs w:val="20"/>
                <w:color w:val="auto"/>
              </w:rPr>
            </w:pPr>
            <w:r>
              <w:rPr>
                <w:rFonts w:ascii="Arial" w:cs="Arial" w:eastAsia="Arial" w:hAnsi="Arial"/>
                <w:sz w:val="18"/>
                <w:szCs w:val="18"/>
                <w:color w:val="auto"/>
              </w:rPr>
              <w:t>All other lines of business</w:t>
            </w:r>
          </w:p>
        </w:tc>
        <w:tc>
          <w:tcPr>
            <w:tcW w:w="1220" w:type="dxa"/>
            <w:vAlign w:val="bottom"/>
            <w:tcBorders>
              <w:bottom w:val="single" w:sz="8" w:color="auto"/>
            </w:tcBorders>
          </w:tcPr>
          <w:p>
            <w:pPr>
              <w:jc w:val="right"/>
              <w:ind w:right="171"/>
              <w:spacing w:after="0" w:line="202" w:lineRule="exact"/>
              <w:rPr>
                <w:sz w:val="20"/>
                <w:szCs w:val="20"/>
                <w:color w:val="auto"/>
              </w:rPr>
            </w:pPr>
            <w:r>
              <w:rPr>
                <w:rFonts w:ascii="Arial" w:cs="Arial" w:eastAsia="Arial" w:hAnsi="Arial"/>
                <w:sz w:val="18"/>
                <w:szCs w:val="18"/>
                <w:color w:val="auto"/>
              </w:rPr>
              <w:t>44,977</w:t>
            </w:r>
          </w:p>
        </w:tc>
        <w:tc>
          <w:tcPr>
            <w:tcW w:w="2280" w:type="dxa"/>
            <w:vAlign w:val="bottom"/>
            <w:tcBorders>
              <w:bottom w:val="single" w:sz="8" w:color="auto"/>
            </w:tcBorders>
          </w:tcPr>
          <w:p>
            <w:pPr>
              <w:jc w:val="right"/>
              <w:ind w:right="654"/>
              <w:spacing w:after="0" w:line="202" w:lineRule="exact"/>
              <w:rPr>
                <w:sz w:val="20"/>
                <w:szCs w:val="20"/>
                <w:color w:val="auto"/>
              </w:rPr>
            </w:pPr>
            <w:r>
              <w:rPr>
                <w:rFonts w:ascii="Arial" w:cs="Arial" w:eastAsia="Arial" w:hAnsi="Arial"/>
                <w:sz w:val="18"/>
                <w:szCs w:val="18"/>
                <w:color w:val="auto"/>
              </w:rPr>
              <w:t>43,129</w:t>
            </w:r>
          </w:p>
        </w:tc>
        <w:tc>
          <w:tcPr>
            <w:tcW w:w="1060" w:type="dxa"/>
            <w:vAlign w:val="bottom"/>
            <w:tcBorders>
              <w:bottom w:val="single" w:sz="8" w:color="auto"/>
            </w:tcBorders>
          </w:tcPr>
          <w:p>
            <w:pPr>
              <w:jc w:val="right"/>
              <w:ind w:right="252"/>
              <w:spacing w:after="0" w:line="202" w:lineRule="exact"/>
              <w:rPr>
                <w:sz w:val="20"/>
                <w:szCs w:val="20"/>
                <w:color w:val="auto"/>
              </w:rPr>
            </w:pPr>
            <w:r>
              <w:rPr>
                <w:rFonts w:ascii="Arial" w:cs="Arial" w:eastAsia="Arial" w:hAnsi="Arial"/>
                <w:sz w:val="18"/>
                <w:szCs w:val="18"/>
                <w:color w:val="auto"/>
              </w:rPr>
              <w:t>4.3</w:t>
            </w: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Casualty Group direct written premiums</w:t>
            </w:r>
          </w:p>
        </w:tc>
        <w:tc>
          <w:tcPr>
            <w:tcW w:w="12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918,178</w:t>
            </w:r>
          </w:p>
        </w:tc>
        <w:tc>
          <w:tcPr>
            <w:tcW w:w="2280" w:type="dxa"/>
            <w:vAlign w:val="bottom"/>
            <w:shd w:val="clear" w:color="auto" w:fill="CCEEFF"/>
          </w:tcPr>
          <w:p>
            <w:pPr>
              <w:jc w:val="right"/>
              <w:ind w:right="654"/>
              <w:spacing w:after="0" w:line="202" w:lineRule="exact"/>
              <w:rPr>
                <w:sz w:val="20"/>
                <w:szCs w:val="20"/>
                <w:color w:val="auto"/>
              </w:rPr>
            </w:pPr>
            <w:r>
              <w:rPr>
                <w:rFonts w:ascii="Arial" w:cs="Arial" w:eastAsia="Arial" w:hAnsi="Arial"/>
                <w:sz w:val="18"/>
                <w:szCs w:val="18"/>
                <w:color w:val="auto"/>
              </w:rPr>
              <w:t>942,768</w:t>
            </w:r>
          </w:p>
        </w:tc>
        <w:tc>
          <w:tcPr>
            <w:tcW w:w="10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(2.6)</w:t>
            </w:r>
          </w:p>
        </w:tc>
      </w:tr>
      <w:tr>
        <w:trPr>
          <w:trHeight w:val="210"/>
        </w:trPr>
        <w:tc>
          <w:tcPr>
            <w:tcW w:w="20" w:type="dxa"/>
            <w:vAlign w:val="bottom"/>
          </w:tcPr>
          <w:p>
            <w:pPr>
              <w:spacing w:after="0"/>
              <w:rPr>
                <w:sz w:val="18"/>
                <w:szCs w:val="18"/>
                <w:color w:val="auto"/>
              </w:rPr>
            </w:pPr>
          </w:p>
        </w:tc>
        <w:tc>
          <w:tcPr>
            <w:tcW w:w="6840" w:type="dxa"/>
            <w:vAlign w:val="bottom"/>
          </w:tcPr>
          <w:p>
            <w:pPr>
              <w:spacing w:after="0" w:line="202" w:lineRule="exact"/>
              <w:rPr>
                <w:sz w:val="20"/>
                <w:szCs w:val="20"/>
                <w:color w:val="auto"/>
              </w:rPr>
            </w:pPr>
            <w:r>
              <w:rPr>
                <w:rFonts w:ascii="Arial" w:cs="Arial" w:eastAsia="Arial" w:hAnsi="Arial"/>
                <w:sz w:val="18"/>
                <w:szCs w:val="18"/>
                <w:color w:val="auto"/>
              </w:rPr>
              <w:t>Management fee rate</w:t>
            </w:r>
          </w:p>
        </w:tc>
        <w:tc>
          <w:tcPr>
            <w:tcW w:w="12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25.00%</w:t>
            </w:r>
          </w:p>
        </w:tc>
        <w:tc>
          <w:tcPr>
            <w:tcW w:w="2280" w:type="dxa"/>
            <w:vAlign w:val="bottom"/>
            <w:tcBorders>
              <w:bottom w:val="single" w:sz="8" w:color="auto"/>
            </w:tcBorders>
          </w:tcPr>
          <w:p>
            <w:pPr>
              <w:jc w:val="right"/>
              <w:ind w:right="494"/>
              <w:spacing w:after="0" w:line="202" w:lineRule="exact"/>
              <w:rPr>
                <w:sz w:val="20"/>
                <w:szCs w:val="20"/>
                <w:color w:val="auto"/>
              </w:rPr>
            </w:pPr>
            <w:r>
              <w:rPr>
                <w:rFonts w:ascii="Arial" w:cs="Arial" w:eastAsia="Arial" w:hAnsi="Arial"/>
                <w:sz w:val="18"/>
                <w:szCs w:val="18"/>
                <w:color w:val="auto"/>
              </w:rPr>
              <w:t>24.75%</w:t>
            </w:r>
          </w:p>
        </w:tc>
        <w:tc>
          <w:tcPr>
            <w:tcW w:w="1060" w:type="dxa"/>
            <w:vAlign w:val="bottom"/>
            <w:tcBorders>
              <w:bottom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Management fee revenue, gross</w:t>
            </w:r>
          </w:p>
        </w:tc>
        <w:tc>
          <w:tcPr>
            <w:tcW w:w="12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229,545</w:t>
            </w:r>
          </w:p>
        </w:tc>
        <w:tc>
          <w:tcPr>
            <w:tcW w:w="2280" w:type="dxa"/>
            <w:vAlign w:val="bottom"/>
            <w:shd w:val="clear" w:color="auto" w:fill="CCEEFF"/>
          </w:tcPr>
          <w:p>
            <w:pPr>
              <w:jc w:val="right"/>
              <w:ind w:right="654"/>
              <w:spacing w:after="0" w:line="202" w:lineRule="exact"/>
              <w:rPr>
                <w:sz w:val="20"/>
                <w:szCs w:val="20"/>
                <w:color w:val="auto"/>
              </w:rPr>
            </w:pPr>
            <w:r>
              <w:rPr>
                <w:rFonts w:ascii="Arial" w:cs="Arial" w:eastAsia="Arial" w:hAnsi="Arial"/>
                <w:sz w:val="18"/>
                <w:szCs w:val="18"/>
                <w:color w:val="auto"/>
              </w:rPr>
              <w:t>233,335</w:t>
            </w:r>
          </w:p>
        </w:tc>
        <w:tc>
          <w:tcPr>
            <w:tcW w:w="10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(1.6)</w:t>
            </w:r>
          </w:p>
        </w:tc>
      </w:tr>
      <w:tr>
        <w:trPr>
          <w:trHeight w:val="210"/>
        </w:trPr>
        <w:tc>
          <w:tcPr>
            <w:tcW w:w="20" w:type="dxa"/>
            <w:vAlign w:val="bottom"/>
          </w:tcPr>
          <w:p>
            <w:pPr>
              <w:spacing w:after="0"/>
              <w:rPr>
                <w:sz w:val="18"/>
                <w:szCs w:val="18"/>
                <w:color w:val="auto"/>
              </w:rPr>
            </w:pPr>
          </w:p>
        </w:tc>
        <w:tc>
          <w:tcPr>
            <w:tcW w:w="6840" w:type="dxa"/>
            <w:vAlign w:val="bottom"/>
          </w:tcPr>
          <w:p>
            <w:pPr>
              <w:spacing w:after="0" w:line="202" w:lineRule="exact"/>
              <w:rPr>
                <w:sz w:val="20"/>
                <w:szCs w:val="20"/>
                <w:color w:val="auto"/>
              </w:rPr>
            </w:pPr>
            <w:r>
              <w:rPr>
                <w:rFonts w:ascii="Arial" w:cs="Arial" w:eastAsia="Arial" w:hAnsi="Arial"/>
                <w:sz w:val="18"/>
                <w:szCs w:val="18"/>
                <w:color w:val="auto"/>
              </w:rPr>
              <w:t>Change in allowance for management fee returned on cancelled policies*</w:t>
            </w:r>
          </w:p>
        </w:tc>
        <w:tc>
          <w:tcPr>
            <w:tcW w:w="1220" w:type="dxa"/>
            <w:vAlign w:val="bottom"/>
            <w:tcBorders>
              <w:bottom w:val="single" w:sz="8" w:color="auto"/>
            </w:tcBorders>
          </w:tcPr>
          <w:p>
            <w:pPr>
              <w:jc w:val="right"/>
              <w:ind w:right="111"/>
              <w:spacing w:after="0" w:line="202" w:lineRule="exact"/>
              <w:rPr>
                <w:sz w:val="20"/>
                <w:szCs w:val="20"/>
                <w:color w:val="auto"/>
              </w:rPr>
            </w:pPr>
            <w:r>
              <w:rPr>
                <w:rFonts w:ascii="Arial" w:cs="Arial" w:eastAsia="Arial" w:hAnsi="Arial"/>
                <w:sz w:val="18"/>
                <w:szCs w:val="18"/>
                <w:color w:val="auto"/>
              </w:rPr>
              <w:t>(900)</w:t>
            </w:r>
          </w:p>
        </w:tc>
        <w:tc>
          <w:tcPr>
            <w:tcW w:w="2280" w:type="dxa"/>
            <w:vAlign w:val="bottom"/>
            <w:tcBorders>
              <w:bottom w:val="single" w:sz="8" w:color="auto"/>
            </w:tcBorders>
          </w:tcPr>
          <w:p>
            <w:pPr>
              <w:jc w:val="right"/>
              <w:ind w:right="594"/>
              <w:spacing w:after="0" w:line="202" w:lineRule="exact"/>
              <w:rPr>
                <w:sz w:val="20"/>
                <w:szCs w:val="20"/>
                <w:color w:val="auto"/>
              </w:rPr>
            </w:pPr>
            <w:r>
              <w:rPr>
                <w:rFonts w:ascii="Arial" w:cs="Arial" w:eastAsia="Arial" w:hAnsi="Arial"/>
                <w:sz w:val="18"/>
                <w:szCs w:val="18"/>
                <w:color w:val="auto"/>
              </w:rPr>
              <w:t>(400)</w:t>
            </w:r>
          </w:p>
        </w:tc>
        <w:tc>
          <w:tcPr>
            <w:tcW w:w="1060" w:type="dxa"/>
            <w:vAlign w:val="bottom"/>
            <w:tcBorders>
              <w:bottom w:val="single" w:sz="8" w:color="auto"/>
            </w:tcBorders>
          </w:tcPr>
          <w:p>
            <w:pPr>
              <w:jc w:val="right"/>
              <w:ind w:right="272"/>
              <w:spacing w:after="0" w:line="202" w:lineRule="exact"/>
              <w:rPr>
                <w:sz w:val="20"/>
                <w:szCs w:val="20"/>
                <w:color w:val="auto"/>
              </w:rPr>
            </w:pPr>
            <w:r>
              <w:rPr>
                <w:rFonts w:ascii="Arial" w:cs="Arial" w:eastAsia="Arial" w:hAnsi="Arial"/>
                <w:sz w:val="18"/>
                <w:szCs w:val="18"/>
                <w:color w:val="auto"/>
              </w:rPr>
              <w:t>NM</w:t>
            </w: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Management fee revenue, net of allowance</w:t>
            </w:r>
          </w:p>
        </w:tc>
        <w:tc>
          <w:tcPr>
            <w:tcW w:w="1220" w:type="dxa"/>
            <w:vAlign w:val="bottom"/>
            <w:tcBorders>
              <w:bottom w:val="single" w:sz="8" w:color="auto"/>
            </w:tcBorders>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$228,645</w:t>
            </w:r>
          </w:p>
        </w:tc>
        <w:tc>
          <w:tcPr>
            <w:tcW w:w="2280" w:type="dxa"/>
            <w:vAlign w:val="bottom"/>
            <w:tcBorders>
              <w:bottom w:val="single" w:sz="8" w:color="auto"/>
            </w:tcBorders>
            <w:shd w:val="clear" w:color="auto" w:fill="CCEEFF"/>
          </w:tcPr>
          <w:p>
            <w:pPr>
              <w:jc w:val="right"/>
              <w:ind w:right="654"/>
              <w:spacing w:after="0" w:line="202" w:lineRule="exact"/>
              <w:rPr>
                <w:sz w:val="20"/>
                <w:szCs w:val="20"/>
                <w:color w:val="auto"/>
              </w:rPr>
            </w:pPr>
            <w:r>
              <w:rPr>
                <w:rFonts w:ascii="Arial" w:cs="Arial" w:eastAsia="Arial" w:hAnsi="Arial"/>
                <w:sz w:val="18"/>
                <w:szCs w:val="18"/>
                <w:color w:val="auto"/>
              </w:rPr>
              <w:t>$232,935</w:t>
            </w:r>
          </w:p>
        </w:tc>
        <w:tc>
          <w:tcPr>
            <w:tcW w:w="106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(1.8)%</w:t>
            </w: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63" w:lineRule="exact"/>
        <w:rPr>
          <w:sz w:val="20"/>
          <w:szCs w:val="20"/>
          <w:color w:val="auto"/>
        </w:rPr>
      </w:pPr>
    </w:p>
    <w:p>
      <w:pPr>
        <w:ind w:left="460" w:right="140" w:hanging="452"/>
        <w:spacing w:after="0" w:line="246"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Management fees are returned to the Exchange when policies are cancelled mid-term and unearned premiums are refunded. We record an estimated allowance for management fees returned on mid-term policy cancellations.</w:t>
      </w:r>
    </w:p>
    <w:p>
      <w:pPr>
        <w:spacing w:after="0" w:line="89"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Management fee revenue is based upon the management fee rate, determined by our Board of Directors, and the direct written premiums of the Property and Casualty Group. The higher management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0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fee rate in 2007 of 25.0% resulted in an increase of $2.3 million in management fee revenue, or an increase in net income per share-diluted of $0.02. Although the mid-term cancellations of policies for the Property and Casualty Group continue to trend downward, the seasonal effects on the unearned premium reserve resulted in an increase in the allowance for management fees returned on cancelled policies. The policy retention ratio improved again to 89.7% at March 31, 2007 from 89.5% at December 31, 2006 and 88.8% at March 31, 2006.</w:t>
      </w:r>
    </w:p>
    <w:p>
      <w:pPr>
        <w:spacing w:after="0" w:line="94"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The 2.6% decline in direct written premiums of the Property and Casualty Group was principally the result of decreases in average premium in the first quarter of 2007 despite an increase in the policies in force of 1.3%. The year-over-year average premium per policy declined 5.1% to $991 at March 31, 2007 from $1,044 at March 31, 2006.</w:t>
      </w:r>
    </w:p>
    <w:p>
      <w:pPr>
        <w:spacing w:after="0" w:line="95"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Property and Casualty Group implemented rate reductions in 2005, 2006 and 2007 to be more price-competitive for potential new policyholders and to improve retention of existing policyholders. We continuously evaluate pricing and estimate that those pricing actions approved, filed and contemplated for filing could reduce the direct written premiums of the Property and Casualty Group by approximately $79.5 million during 2007, of which approximately $34.4 million occurred in the first quarter of 2007. Included in the $79.5 million are approximately $49.7 million in estimated premium reductions related to the carryover impact of pricing actions approved and effective in 2006. The most significant rate reductions effective in 2007 are in private passenger auto and homeowners in Pennsylvania, Virginia and Ohio and workers compensation and commercial multi-peril in Pennsylvania, Maryland and Virginia. In addition, segmented pricing in auto and home, where we offer lower prices to better risks, has accelerated the decline in average premium per policy.</w:t>
      </w:r>
    </w:p>
    <w:p>
      <w:pPr>
        <w:spacing w:after="0" w:line="100"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Total year-over-year policies in force increased by 1.3% to 3,811,723 at March 31, 2007. Growth in policies in force is the result of the expansion of our independent agency force through appointments, the new business incentive on private passenger auto policies and other marketing initiatives.</w:t>
      </w:r>
    </w:p>
    <w:p>
      <w:pPr>
        <w:spacing w:after="0" w:line="95"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Premiums generated from new business increased 5.6% to $91.5 million from $86.6 million in the first quarter of 2007 as compared to 2006. New business policies in force increased 3.7% to 442,313 at March 31, 2007 from 426,651 at March 31, 2006, while the year-over-year average premium per policy on new business decreased 3.3% to $843 at March 31, 2007 from $872 at March 31, 2006.</w:t>
      </w:r>
    </w:p>
    <w:p>
      <w:pPr>
        <w:spacing w:after="0" w:line="95"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Premiums generated from renewal business decreased 3.4% to $826.7 million from $856.2 million at March 31, 2007 and 2006, respectively. Renewal policies in force increased 1.0% to 3,369,410 from 3,334,849, while the year-over-year average premium per policy on renewal business decreased 5.2% to $1,011 from $1,066 for the same respective periods in 2007 and 2006. Policy retention ratios for all lines increased to a 12-month moving average of 89.7%, up slightly from 89.5% at December 31, 2006.</w:t>
      </w:r>
    </w:p>
    <w:p>
      <w:pPr>
        <w:spacing w:after="0" w:line="72" w:lineRule="exact"/>
        <w:rPr>
          <w:sz w:val="20"/>
          <w:szCs w:val="20"/>
          <w:color w:val="auto"/>
        </w:rPr>
      </w:pPr>
    </w:p>
    <w:p>
      <w:pPr>
        <w:ind w:left="220" w:right="220"/>
        <w:spacing w:after="0" w:line="247" w:lineRule="auto"/>
        <w:rPr>
          <w:sz w:val="20"/>
          <w:szCs w:val="20"/>
          <w:color w:val="auto"/>
        </w:rPr>
      </w:pPr>
      <w:r>
        <w:rPr>
          <w:rFonts w:ascii="Arial" w:cs="Arial" w:eastAsia="Arial" w:hAnsi="Arial"/>
          <w:sz w:val="18"/>
          <w:szCs w:val="18"/>
          <w:b w:val="1"/>
          <w:bCs w:val="1"/>
          <w:color w:val="auto"/>
        </w:rPr>
        <w:t xml:space="preserve">Personal lines </w:t>
      </w:r>
      <w:r>
        <w:rPr>
          <w:rFonts w:ascii="Arial" w:cs="Arial" w:eastAsia="Arial" w:hAnsi="Arial"/>
          <w:sz w:val="18"/>
          <w:szCs w:val="18"/>
          <w:color w:val="auto"/>
        </w:rPr>
        <w:t>- The Property and Casualty Group’s personal lines new business premiums written increased 5.9% to $58.8 million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quarter of 2007 from $55.5 million in the first quarter of 2006. The year-over-year average premium per policy on personal lines new business decreased 3.3% to $684 at March 31, 2007 from $707 at March 31, 2006. Personal lines new policies in force increased 4.2% to 366,117 at March 31, 2007 compared to 351,496 at March 31, 2006.</w:t>
      </w:r>
    </w:p>
    <w:p>
      <w:pPr>
        <w:spacing w:after="0" w:line="102" w:lineRule="exact"/>
        <w:rPr>
          <w:sz w:val="20"/>
          <w:szCs w:val="20"/>
          <w:color w:val="auto"/>
        </w:rPr>
      </w:pPr>
    </w:p>
    <w:p>
      <w:pPr>
        <w:ind w:left="220"/>
        <w:spacing w:after="0" w:line="246" w:lineRule="auto"/>
        <w:rPr>
          <w:sz w:val="20"/>
          <w:szCs w:val="20"/>
          <w:color w:val="auto"/>
        </w:rPr>
      </w:pPr>
      <w:r>
        <w:rPr>
          <w:rFonts w:ascii="Arial" w:cs="Arial" w:eastAsia="Arial" w:hAnsi="Arial"/>
          <w:sz w:val="18"/>
          <w:szCs w:val="18"/>
          <w:color w:val="auto"/>
        </w:rPr>
        <w:t>The private passenger auto new business year-over-year average premium per policy decreased 4.3% to $1,026 at March 31, 2007. Despite this rate decrease, private passenger auto new premiums written increased 9.1% to $37.5 million during the first quarter of 2007</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04" w:lineRule="exact"/>
        <w:rPr>
          <w:sz w:val="20"/>
          <w:szCs w:val="20"/>
          <w:color w:val="auto"/>
        </w:rPr>
      </w:pPr>
    </w:p>
    <w:p>
      <w:pPr>
        <w:ind w:left="220" w:right="60"/>
        <w:spacing w:after="0" w:line="237" w:lineRule="auto"/>
        <w:rPr>
          <w:sz w:val="20"/>
          <w:szCs w:val="20"/>
          <w:color w:val="auto"/>
        </w:rPr>
      </w:pPr>
      <w:r>
        <w:rPr>
          <w:rFonts w:ascii="Arial" w:cs="Arial" w:eastAsia="Arial" w:hAnsi="Arial"/>
          <w:sz w:val="18"/>
          <w:szCs w:val="18"/>
          <w:color w:val="auto"/>
        </w:rPr>
        <w:t>driven by a 7.9% increase in new business policies in force to 149,464. The Property and Casualty Group has been implementing rate reductions, of which the most significant dollar impact has been in the private passenger auto line of business in the state of Pennsylvania. Incorporated in these rate changes are reductions on certain coverages for new private passenger auto policyholders with no claims or violations. Also, in July 2006, a new incentive program that runs through December 31, 2007 was implemented to stimulate policy growth. Under the program, eligible agents receive a $50 bonus on each new private passenger auto policy. Homeowners new business premium increased 3.8% to $17.0 million in the first quarter of 2007. Policies in force increased 1.4% to 168,404 in the first quarter of 2007, while the year-over-year average premium per policy decreased 3.3%.</w:t>
      </w:r>
    </w:p>
    <w:p>
      <w:pPr>
        <w:spacing w:after="0" w:line="109" w:lineRule="exact"/>
        <w:rPr>
          <w:sz w:val="20"/>
          <w:szCs w:val="20"/>
          <w:color w:val="auto"/>
        </w:rPr>
      </w:pPr>
    </w:p>
    <w:p>
      <w:pPr>
        <w:ind w:left="220" w:right="20"/>
        <w:spacing w:after="0" w:line="239" w:lineRule="auto"/>
        <w:rPr>
          <w:sz w:val="20"/>
          <w:szCs w:val="20"/>
          <w:color w:val="auto"/>
        </w:rPr>
      </w:pPr>
      <w:r>
        <w:rPr>
          <w:rFonts w:ascii="Arial" w:cs="Arial" w:eastAsia="Arial" w:hAnsi="Arial"/>
          <w:sz w:val="18"/>
          <w:szCs w:val="18"/>
          <w:color w:val="auto"/>
        </w:rPr>
        <w:t>Renewal premiums written decreased 2.8% on personal lines policies during the first quarter of 2007. The overall decrease reflects the impact of the rate reductions and change in the mix by tier of personal lines business written by the Property and Casualty Group. The year-over-year policy retention ratio for private passenger auto improved to 91.0% at March 31, 2007, from 90.8% at December 31, 2006 and 90.1% at March 31, 2006.</w:t>
      </w:r>
    </w:p>
    <w:p>
      <w:pPr>
        <w:spacing w:after="0" w:line="85" w:lineRule="exact"/>
        <w:rPr>
          <w:sz w:val="20"/>
          <w:szCs w:val="20"/>
          <w:color w:val="auto"/>
        </w:rPr>
      </w:pPr>
    </w:p>
    <w:p>
      <w:pPr>
        <w:ind w:left="220" w:right="160"/>
        <w:spacing w:after="0" w:line="242" w:lineRule="auto"/>
        <w:rPr>
          <w:sz w:val="20"/>
          <w:szCs w:val="20"/>
          <w:color w:val="auto"/>
        </w:rPr>
      </w:pPr>
      <w:r>
        <w:rPr>
          <w:rFonts w:ascii="Arial" w:cs="Arial" w:eastAsia="Arial" w:hAnsi="Arial"/>
          <w:sz w:val="18"/>
          <w:szCs w:val="18"/>
          <w:b w:val="1"/>
          <w:bCs w:val="1"/>
          <w:color w:val="auto"/>
        </w:rPr>
        <w:t xml:space="preserve">Commercial lines </w:t>
      </w:r>
      <w:r>
        <w:rPr>
          <w:rFonts w:ascii="Arial" w:cs="Arial" w:eastAsia="Arial" w:hAnsi="Arial"/>
          <w:sz w:val="18"/>
          <w:szCs w:val="18"/>
          <w:color w:val="auto"/>
        </w:rPr>
        <w:t>- The commercial lines new business premiums written increased 5.3% to $32.5 million in the first quarter of 2007 from</w:t>
      </w:r>
      <w:r>
        <w:rPr>
          <w:rFonts w:ascii="Arial" w:cs="Arial" w:eastAsia="Arial" w:hAnsi="Arial"/>
          <w:sz w:val="18"/>
          <w:szCs w:val="18"/>
          <w:b w:val="1"/>
          <w:bCs w:val="1"/>
          <w:color w:val="auto"/>
        </w:rPr>
        <w:t xml:space="preserve"> </w:t>
      </w:r>
      <w:r>
        <w:rPr>
          <w:rFonts w:ascii="Arial" w:cs="Arial" w:eastAsia="Arial" w:hAnsi="Arial"/>
          <w:sz w:val="18"/>
          <w:szCs w:val="18"/>
          <w:color w:val="auto"/>
        </w:rPr>
        <w:t>$30.9 million in the first quarter of 2006. Commercial lines new policies in force increased 1.4% to 76,196 at March 31, 2007. While new policies in force have increased, the average premium per policy on commercial lines has declined 1.9%, reflecting rate decreases and changes in the size and risk characteristics of policyholders. A more refined process of evaluating commercial accounts using predictive modeling, continues to be used to gain a better alignment between rate and risk level which should continue to improve commercial lines policy growth and profitability.</w:t>
      </w:r>
    </w:p>
    <w:p>
      <w:pPr>
        <w:spacing w:after="0" w:line="107" w:lineRule="exact"/>
        <w:rPr>
          <w:sz w:val="20"/>
          <w:szCs w:val="20"/>
          <w:color w:val="auto"/>
        </w:rPr>
      </w:pPr>
    </w:p>
    <w:p>
      <w:pPr>
        <w:ind w:left="220"/>
        <w:spacing w:after="0" w:line="238" w:lineRule="auto"/>
        <w:rPr>
          <w:sz w:val="20"/>
          <w:szCs w:val="20"/>
          <w:color w:val="auto"/>
        </w:rPr>
      </w:pPr>
      <w:r>
        <w:rPr>
          <w:rFonts w:ascii="Arial" w:cs="Arial" w:eastAsia="Arial" w:hAnsi="Arial"/>
          <w:sz w:val="18"/>
          <w:szCs w:val="18"/>
          <w:color w:val="auto"/>
        </w:rPr>
        <w:t>Renewal premiums for commercial lines decreased 4.8% to $277.3 million from $291.2 million in the first three months of 2007 as compared to 2006. Renewal policies in force have increased 1.5% to 409,366 at March 31, 2007, while the year-over-year average premium per policy on commercial lines has declined 5.9%. The year-over-year policy retention ratio for commercial multi-peril improved to 86.1% at March 31, 2007 from 85.9% at March 31, 2006. The year-over-year policy retention ratio for workers compensation improved to 86.2% at March 31, 2007 from 86.0% at March 31, 2006.</w:t>
      </w:r>
    </w:p>
    <w:p>
      <w:pPr>
        <w:spacing w:after="0" w:line="73" w:lineRule="exact"/>
        <w:rPr>
          <w:sz w:val="20"/>
          <w:szCs w:val="20"/>
          <w:color w:val="auto"/>
        </w:rPr>
      </w:pPr>
    </w:p>
    <w:p>
      <w:pPr>
        <w:ind w:left="240" w:right="20"/>
        <w:spacing w:after="0" w:line="242" w:lineRule="auto"/>
        <w:rPr>
          <w:sz w:val="20"/>
          <w:szCs w:val="20"/>
          <w:color w:val="auto"/>
        </w:rPr>
      </w:pPr>
      <w:r>
        <w:rPr>
          <w:rFonts w:ascii="Arial" w:cs="Arial" w:eastAsia="Arial" w:hAnsi="Arial"/>
          <w:sz w:val="18"/>
          <w:szCs w:val="18"/>
          <w:b w:val="1"/>
          <w:bCs w:val="1"/>
          <w:color w:val="auto"/>
        </w:rPr>
        <w:t xml:space="preserve">Future trends – premium revenue – </w:t>
      </w:r>
      <w:r>
        <w:rPr>
          <w:rFonts w:ascii="Arial" w:cs="Arial" w:eastAsia="Arial" w:hAnsi="Arial"/>
          <w:sz w:val="18"/>
          <w:szCs w:val="18"/>
          <w:color w:val="auto"/>
        </w:rPr>
        <w:t>We are continuing our efforts to grow premiums and improve our competitive position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marketplace. Expanding the size of the agency force will contribute to future growth as new agents build up their books of business with the Property and Casualty Group. Through the first quarter of 2007, we added 38 net producing agencies, therefore at March 31, 2007, we had 1,832 producing agencies. We expect to meet our goal of appointing 200 new agencies for the year. In 2006, we appointed 139 new agencies. Agency appointments are expected to continue to help drive long term growth. We also continue to evaluate the interactions used in our pricing segmentation models and potential new product line extensions and enhancements that could be offered.</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20"/>
        <w:spacing w:after="0" w:line="371" w:lineRule="auto"/>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 </w:t>
      </w:r>
      <w:r>
        <w:rPr>
          <w:rFonts w:ascii="Arial" w:cs="Arial" w:eastAsia="Arial" w:hAnsi="Arial"/>
          <w:sz w:val="18"/>
          <w:szCs w:val="18"/>
          <w:i w:val="1"/>
          <w:iCs w:val="1"/>
          <w:u w:val="single" w:color="auto"/>
          <w:color w:val="auto"/>
        </w:rPr>
        <w:t>Cost of management operations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360" w:type="dxa"/>
            <w:vAlign w:val="bottom"/>
          </w:tcPr>
          <w:p>
            <w:pPr>
              <w:jc w:val="right"/>
              <w:ind w:right="135"/>
              <w:spacing w:after="0"/>
              <w:rPr>
                <w:sz w:val="20"/>
                <w:szCs w:val="20"/>
                <w:color w:val="auto"/>
              </w:rPr>
            </w:pPr>
            <w:r>
              <w:rPr>
                <w:rFonts w:ascii="Arial" w:cs="Arial" w:eastAsia="Arial" w:hAnsi="Arial"/>
                <w:sz w:val="14"/>
                <w:szCs w:val="14"/>
                <w:color w:val="auto"/>
              </w:rPr>
              <w:t>Three months ended March 31</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140" w:type="dxa"/>
            <w:vAlign w:val="bottom"/>
            <w:tcBorders>
              <w:bottom w:val="single" w:sz="8" w:color="auto"/>
            </w:tcBorders>
          </w:tcPr>
          <w:p>
            <w:pPr>
              <w:jc w:val="right"/>
              <w:ind w:right="252"/>
              <w:spacing w:after="0" w:line="157" w:lineRule="exact"/>
              <w:rPr>
                <w:sz w:val="20"/>
                <w:szCs w:val="20"/>
                <w:color w:val="auto"/>
              </w:rPr>
            </w:pPr>
            <w:r>
              <w:rPr>
                <w:rFonts w:ascii="Arial" w:cs="Arial" w:eastAsia="Arial" w:hAnsi="Arial"/>
                <w:sz w:val="14"/>
                <w:szCs w:val="14"/>
                <w:color w:val="auto"/>
              </w:rPr>
              <w:t>2007</w:t>
            </w:r>
          </w:p>
        </w:tc>
        <w:tc>
          <w:tcPr>
            <w:tcW w:w="2360" w:type="dxa"/>
            <w:vAlign w:val="bottom"/>
            <w:tcBorders>
              <w:bottom w:val="single" w:sz="8" w:color="auto"/>
            </w:tcBorders>
          </w:tcPr>
          <w:p>
            <w:pPr>
              <w:jc w:val="right"/>
              <w:ind w:right="855"/>
              <w:spacing w:after="0" w:line="157" w:lineRule="exact"/>
              <w:rPr>
                <w:sz w:val="20"/>
                <w:szCs w:val="20"/>
                <w:color w:val="auto"/>
              </w:rPr>
            </w:pPr>
            <w:r>
              <w:rPr>
                <w:rFonts w:ascii="Arial" w:cs="Arial" w:eastAsia="Arial" w:hAnsi="Arial"/>
                <w:sz w:val="14"/>
                <w:szCs w:val="14"/>
                <w:color w:val="auto"/>
              </w:rPr>
              <w:t>2006</w:t>
            </w:r>
          </w:p>
        </w:tc>
        <w:tc>
          <w:tcPr>
            <w:tcW w:w="1080" w:type="dxa"/>
            <w:vAlign w:val="bottom"/>
            <w:tcBorders>
              <w:bottom w:val="single" w:sz="8" w:color="auto"/>
            </w:tcBorders>
          </w:tcPr>
          <w:p>
            <w:pPr>
              <w:jc w:val="right"/>
              <w:ind w:right="92"/>
              <w:spacing w:after="0" w:line="157"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56"/>
        </w:trPr>
        <w:tc>
          <w:tcPr>
            <w:tcW w:w="6840" w:type="dxa"/>
            <w:vAlign w:val="bottom"/>
            <w:gridSpan w:val="2"/>
          </w:tcPr>
          <w:p>
            <w:pPr>
              <w:spacing w:after="0" w:line="155" w:lineRule="exact"/>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3"/>
                <w:szCs w:val="13"/>
                <w:color w:val="auto"/>
              </w:rPr>
            </w:pPr>
          </w:p>
        </w:tc>
        <w:tc>
          <w:tcPr>
            <w:tcW w:w="2360" w:type="dxa"/>
            <w:vAlign w:val="bottom"/>
          </w:tcPr>
          <w:p>
            <w:pPr>
              <w:jc w:val="right"/>
              <w:ind w:right="755"/>
              <w:spacing w:after="0" w:line="155" w:lineRule="exact"/>
              <w:rPr>
                <w:sz w:val="20"/>
                <w:szCs w:val="20"/>
                <w:color w:val="auto"/>
              </w:rPr>
            </w:pPr>
            <w:r>
              <w:rPr>
                <w:rFonts w:ascii="Arial" w:cs="Arial" w:eastAsia="Arial" w:hAnsi="Arial"/>
                <w:sz w:val="14"/>
                <w:szCs w:val="14"/>
                <w:color w:val="auto"/>
              </w:rPr>
              <w:t>(Unaudited)</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Commissions</w:t>
            </w:r>
          </w:p>
        </w:tc>
        <w:tc>
          <w:tcPr>
            <w:tcW w:w="114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$130,849</w:t>
            </w:r>
          </w:p>
        </w:tc>
        <w:tc>
          <w:tcPr>
            <w:tcW w:w="2360" w:type="dxa"/>
            <w:vAlign w:val="bottom"/>
            <w:tcBorders>
              <w:bottom w:val="single" w:sz="8" w:color="auto"/>
            </w:tcBorders>
            <w:shd w:val="clear" w:color="auto" w:fill="CCEEFF"/>
          </w:tcPr>
          <w:p>
            <w:pPr>
              <w:jc w:val="right"/>
              <w:ind w:right="675"/>
              <w:spacing w:after="0" w:line="202" w:lineRule="exact"/>
              <w:rPr>
                <w:sz w:val="20"/>
                <w:szCs w:val="20"/>
                <w:color w:val="auto"/>
              </w:rPr>
            </w:pPr>
            <w:r>
              <w:rPr>
                <w:rFonts w:ascii="Arial" w:cs="Arial" w:eastAsia="Arial" w:hAnsi="Arial"/>
                <w:sz w:val="18"/>
                <w:szCs w:val="18"/>
                <w:color w:val="auto"/>
              </w:rPr>
              <w:t>$134,088</w:t>
            </w:r>
          </w:p>
        </w:tc>
        <w:tc>
          <w:tcPr>
            <w:tcW w:w="108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6840" w:type="dxa"/>
            <w:vAlign w:val="bottom"/>
            <w:gridSpan w:val="2"/>
          </w:tcPr>
          <w:p>
            <w:pPr>
              <w:spacing w:after="0"/>
              <w:rPr>
                <w:sz w:val="20"/>
                <w:szCs w:val="20"/>
                <w:color w:val="auto"/>
              </w:rPr>
            </w:pPr>
            <w:r>
              <w:rPr>
                <w:rFonts w:ascii="Arial" w:cs="Arial" w:eastAsia="Arial" w:hAnsi="Arial"/>
                <w:sz w:val="18"/>
                <w:szCs w:val="18"/>
                <w:color w:val="auto"/>
              </w:rPr>
              <w:t>Personnel costs</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33,913</w:t>
            </w:r>
          </w:p>
        </w:tc>
        <w:tc>
          <w:tcPr>
            <w:tcW w:w="2360" w:type="dxa"/>
            <w:vAlign w:val="bottom"/>
          </w:tcPr>
          <w:p>
            <w:pPr>
              <w:jc w:val="right"/>
              <w:ind w:right="675"/>
              <w:spacing w:after="0"/>
              <w:rPr>
                <w:sz w:val="20"/>
                <w:szCs w:val="20"/>
                <w:color w:val="auto"/>
              </w:rPr>
            </w:pPr>
            <w:r>
              <w:rPr>
                <w:rFonts w:ascii="Arial" w:cs="Arial" w:eastAsia="Arial" w:hAnsi="Arial"/>
                <w:sz w:val="18"/>
                <w:szCs w:val="18"/>
                <w:color w:val="auto"/>
              </w:rPr>
              <w:t>35,627</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Survey and underwriting costs</w:t>
            </w:r>
          </w:p>
        </w:tc>
        <w:tc>
          <w:tcPr>
            <w:tcW w:w="11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6,285</w:t>
            </w:r>
          </w:p>
        </w:tc>
        <w:tc>
          <w:tcPr>
            <w:tcW w:w="2360" w:type="dxa"/>
            <w:vAlign w:val="bottom"/>
            <w:shd w:val="clear" w:color="auto" w:fill="CCEEFF"/>
          </w:tcPr>
          <w:p>
            <w:pPr>
              <w:jc w:val="right"/>
              <w:ind w:right="675"/>
              <w:spacing w:after="0" w:line="202" w:lineRule="exact"/>
              <w:rPr>
                <w:sz w:val="20"/>
                <w:szCs w:val="20"/>
                <w:color w:val="auto"/>
              </w:rPr>
            </w:pPr>
            <w:r>
              <w:rPr>
                <w:rFonts w:ascii="Arial" w:cs="Arial" w:eastAsia="Arial" w:hAnsi="Arial"/>
                <w:sz w:val="18"/>
                <w:szCs w:val="18"/>
                <w:color w:val="auto"/>
              </w:rPr>
              <w:t>6,073</w:t>
            </w:r>
          </w:p>
        </w:tc>
        <w:tc>
          <w:tcPr>
            <w:tcW w:w="108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tcPr>
          <w:p>
            <w:pPr>
              <w:spacing w:after="0" w:line="202" w:lineRule="exact"/>
              <w:rPr>
                <w:sz w:val="20"/>
                <w:szCs w:val="20"/>
                <w:color w:val="auto"/>
              </w:rPr>
            </w:pPr>
            <w:r>
              <w:rPr>
                <w:rFonts w:ascii="Arial" w:cs="Arial" w:eastAsia="Arial" w:hAnsi="Arial"/>
                <w:sz w:val="18"/>
                <w:szCs w:val="18"/>
                <w:color w:val="auto"/>
              </w:rPr>
              <w:t>Sales and policy issuance costs</w:t>
            </w:r>
          </w:p>
        </w:tc>
        <w:tc>
          <w:tcPr>
            <w:tcW w:w="11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5,233</w:t>
            </w:r>
          </w:p>
        </w:tc>
        <w:tc>
          <w:tcPr>
            <w:tcW w:w="2360" w:type="dxa"/>
            <w:vAlign w:val="bottom"/>
          </w:tcPr>
          <w:p>
            <w:pPr>
              <w:jc w:val="right"/>
              <w:ind w:right="675"/>
              <w:spacing w:after="0" w:line="202" w:lineRule="exact"/>
              <w:rPr>
                <w:sz w:val="20"/>
                <w:szCs w:val="20"/>
                <w:color w:val="auto"/>
              </w:rPr>
            </w:pPr>
            <w:r>
              <w:rPr>
                <w:rFonts w:ascii="Arial" w:cs="Arial" w:eastAsia="Arial" w:hAnsi="Arial"/>
                <w:sz w:val="18"/>
                <w:szCs w:val="18"/>
                <w:color w:val="auto"/>
              </w:rPr>
              <w:t>5,898</w:t>
            </w:r>
          </w:p>
        </w:tc>
        <w:tc>
          <w:tcPr>
            <w:tcW w:w="10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 other operating costs</w:t>
            </w:r>
          </w:p>
        </w:tc>
        <w:tc>
          <w:tcPr>
            <w:tcW w:w="114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14,105</w:t>
            </w:r>
          </w:p>
        </w:tc>
        <w:tc>
          <w:tcPr>
            <w:tcW w:w="2360" w:type="dxa"/>
            <w:vAlign w:val="bottom"/>
            <w:tcBorders>
              <w:bottom w:val="single" w:sz="8" w:color="auto"/>
            </w:tcBorders>
            <w:shd w:val="clear" w:color="auto" w:fill="CCEEFF"/>
          </w:tcPr>
          <w:p>
            <w:pPr>
              <w:jc w:val="right"/>
              <w:ind w:right="675"/>
              <w:spacing w:after="0" w:line="202" w:lineRule="exact"/>
              <w:rPr>
                <w:sz w:val="20"/>
                <w:szCs w:val="20"/>
                <w:color w:val="auto"/>
              </w:rPr>
            </w:pPr>
            <w:r>
              <w:rPr>
                <w:rFonts w:ascii="Arial" w:cs="Arial" w:eastAsia="Arial" w:hAnsi="Arial"/>
                <w:sz w:val="18"/>
                <w:szCs w:val="18"/>
                <w:color w:val="auto"/>
              </w:rPr>
              <w:t>12,139</w:t>
            </w:r>
          </w:p>
        </w:tc>
        <w:tc>
          <w:tcPr>
            <w:tcW w:w="1080" w:type="dxa"/>
            <w:vAlign w:val="bottom"/>
            <w:tcBorders>
              <w:bottom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0"/>
        </w:trPr>
        <w:tc>
          <w:tcPr>
            <w:tcW w:w="6840" w:type="dxa"/>
            <w:vAlign w:val="bottom"/>
            <w:gridSpan w:val="2"/>
          </w:tcPr>
          <w:p>
            <w:pPr>
              <w:spacing w:after="0"/>
              <w:rPr>
                <w:sz w:val="20"/>
                <w:szCs w:val="20"/>
                <w:color w:val="auto"/>
              </w:rPr>
            </w:pPr>
            <w:r>
              <w:rPr>
                <w:rFonts w:ascii="Arial" w:cs="Arial" w:eastAsia="Arial" w:hAnsi="Arial"/>
                <w:sz w:val="18"/>
                <w:szCs w:val="18"/>
                <w:color w:val="auto"/>
              </w:rPr>
              <w:t>All other non-commission expense</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59,536</w:t>
            </w:r>
          </w:p>
        </w:tc>
        <w:tc>
          <w:tcPr>
            <w:tcW w:w="2360" w:type="dxa"/>
            <w:vAlign w:val="bottom"/>
            <w:tcBorders>
              <w:bottom w:val="single" w:sz="8" w:color="auto"/>
            </w:tcBorders>
          </w:tcPr>
          <w:p>
            <w:pPr>
              <w:jc w:val="right"/>
              <w:ind w:right="675"/>
              <w:spacing w:after="0"/>
              <w:rPr>
                <w:sz w:val="20"/>
                <w:szCs w:val="20"/>
                <w:color w:val="auto"/>
              </w:rPr>
            </w:pPr>
            <w:r>
              <w:rPr>
                <w:rFonts w:ascii="Arial" w:cs="Arial" w:eastAsia="Arial" w:hAnsi="Arial"/>
                <w:sz w:val="18"/>
                <w:szCs w:val="18"/>
                <w:color w:val="auto"/>
              </w:rPr>
              <w:t>59,737</w:t>
            </w: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cost of management operations</w:t>
            </w:r>
          </w:p>
        </w:tc>
        <w:tc>
          <w:tcPr>
            <w:tcW w:w="114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$190,385</w:t>
            </w:r>
          </w:p>
        </w:tc>
        <w:tc>
          <w:tcPr>
            <w:tcW w:w="2360" w:type="dxa"/>
            <w:vAlign w:val="bottom"/>
            <w:tcBorders>
              <w:bottom w:val="single" w:sz="8" w:color="auto"/>
            </w:tcBorders>
            <w:shd w:val="clear" w:color="auto" w:fill="CCEEFF"/>
          </w:tcPr>
          <w:p>
            <w:pPr>
              <w:jc w:val="right"/>
              <w:ind w:right="675"/>
              <w:spacing w:after="0" w:line="202" w:lineRule="exact"/>
              <w:rPr>
                <w:sz w:val="20"/>
                <w:szCs w:val="20"/>
                <w:color w:val="auto"/>
              </w:rPr>
            </w:pPr>
            <w:r>
              <w:rPr>
                <w:rFonts w:ascii="Arial" w:cs="Arial" w:eastAsia="Arial" w:hAnsi="Arial"/>
                <w:sz w:val="18"/>
                <w:szCs w:val="18"/>
                <w:color w:val="auto"/>
              </w:rPr>
              <w:t>$193,825</w:t>
            </w:r>
          </w:p>
        </w:tc>
        <w:tc>
          <w:tcPr>
            <w:tcW w:w="108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POINTS</w:t>
      </w:r>
    </w:p>
    <w:p>
      <w:pPr>
        <w:spacing w:after="0" w:line="126"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Included in the $3.2 million decrease in commissions are:</w:t>
      </w:r>
    </w:p>
    <w:p>
      <w:pPr>
        <w:spacing w:after="0" w:line="103" w:lineRule="exact"/>
        <w:rPr>
          <w:rFonts w:ascii="Arial" w:cs="Arial" w:eastAsia="Arial" w:hAnsi="Arial"/>
          <w:sz w:val="18"/>
          <w:szCs w:val="18"/>
          <w:b w:val="1"/>
          <w:bCs w:val="1"/>
          <w:color w:val="auto"/>
        </w:rPr>
      </w:pPr>
    </w:p>
    <w:p>
      <w:pPr>
        <w:ind w:left="1120" w:right="460" w:hanging="437"/>
        <w:spacing w:after="0" w:line="246" w:lineRule="auto"/>
        <w:tabs>
          <w:tab w:leader="none" w:pos="112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normal commissions decreased $2.2 million, or 2.0% to $108.0 million, in the first quarter of 2007 due to lower Property and Casualty Group premium volume.</w:t>
      </w:r>
    </w:p>
    <w:p>
      <w:pPr>
        <w:spacing w:after="0" w:line="102" w:lineRule="exact"/>
        <w:rPr>
          <w:rFonts w:ascii="Arial" w:cs="Arial" w:eastAsia="Arial" w:hAnsi="Arial"/>
          <w:sz w:val="18"/>
          <w:szCs w:val="18"/>
          <w:b w:val="1"/>
          <w:bCs w:val="1"/>
          <w:color w:val="auto"/>
        </w:rPr>
      </w:pPr>
    </w:p>
    <w:p>
      <w:pPr>
        <w:ind w:left="1120" w:hanging="437"/>
        <w:spacing w:after="0"/>
        <w:tabs>
          <w:tab w:leader="none" w:pos="112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an estimate for agent bonuses and incentives that decreased $0.9 million in the first quarter of 2007.</w:t>
      </w:r>
    </w:p>
    <w:p>
      <w:pPr>
        <w:spacing w:after="0" w:line="103"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Included in the 4.8% decrease in personnel costs are:</w:t>
      </w:r>
    </w:p>
    <w:p>
      <w:pPr>
        <w:spacing w:after="0" w:line="103" w:lineRule="exact"/>
        <w:rPr>
          <w:rFonts w:ascii="Arial" w:cs="Arial" w:eastAsia="Arial" w:hAnsi="Arial"/>
          <w:sz w:val="18"/>
          <w:szCs w:val="18"/>
          <w:b w:val="1"/>
          <w:bCs w:val="1"/>
          <w:color w:val="auto"/>
        </w:rPr>
      </w:pPr>
    </w:p>
    <w:p>
      <w:pPr>
        <w:ind w:left="1120" w:hanging="437"/>
        <w:spacing w:after="0"/>
        <w:tabs>
          <w:tab w:leader="none" w:pos="112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a decrease of $2.4 million in the expense for management incentive plans in 2007 compared to 2006,</w:t>
      </w:r>
    </w:p>
    <w:p>
      <w:pPr>
        <w:spacing w:after="0" w:line="117" w:lineRule="exact"/>
        <w:rPr>
          <w:rFonts w:ascii="Arial" w:cs="Arial" w:eastAsia="Arial" w:hAnsi="Arial"/>
          <w:sz w:val="18"/>
          <w:szCs w:val="18"/>
          <w:b w:val="1"/>
          <w:bCs w:val="1"/>
          <w:color w:val="auto"/>
        </w:rPr>
      </w:pPr>
    </w:p>
    <w:p>
      <w:pPr>
        <w:ind w:left="1120" w:hanging="437"/>
        <w:spacing w:after="0"/>
        <w:tabs>
          <w:tab w:leader="none" w:pos="112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an offsetting increase of $1.2 million in salaries due to higher average pay rates, and</w:t>
      </w:r>
    </w:p>
    <w:p>
      <w:pPr>
        <w:spacing w:after="0" w:line="117" w:lineRule="exact"/>
        <w:rPr>
          <w:rFonts w:ascii="Arial" w:cs="Arial" w:eastAsia="Arial" w:hAnsi="Arial"/>
          <w:sz w:val="18"/>
          <w:szCs w:val="18"/>
          <w:b w:val="1"/>
          <w:bCs w:val="1"/>
          <w:color w:val="auto"/>
        </w:rPr>
      </w:pPr>
    </w:p>
    <w:p>
      <w:pPr>
        <w:ind w:left="1120" w:hanging="437"/>
        <w:spacing w:after="0"/>
        <w:tabs>
          <w:tab w:leader="none" w:pos="112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lower pension expense of $0.7 million.</w:t>
      </w:r>
    </w:p>
    <w:p>
      <w:pPr>
        <w:spacing w:after="0" w:line="103" w:lineRule="exact"/>
        <w:rPr>
          <w:rFonts w:ascii="Arial" w:cs="Arial" w:eastAsia="Arial" w:hAnsi="Arial"/>
          <w:sz w:val="18"/>
          <w:szCs w:val="18"/>
          <w:b w:val="1"/>
          <w:bCs w:val="1"/>
          <w:color w:val="auto"/>
        </w:rPr>
      </w:pPr>
    </w:p>
    <w:p>
      <w:pPr>
        <w:ind w:left="660" w:right="120" w:hanging="436"/>
        <w:spacing w:after="0" w:line="246"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Sales and policy issuance costs reflected a decrease as 2006 included additional costs for an agent related promotional incentive that ended in June 2006.</w:t>
      </w:r>
    </w:p>
    <w:p>
      <w:pPr>
        <w:spacing w:after="0" w:line="102"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All other operating costs increased 16.2% driven by a $1.8 million increase in professional fees.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8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color w:val="auto"/>
        </w:rPr>
        <w:t xml:space="preserve">Commissions </w:t>
      </w:r>
      <w:r>
        <w:rPr>
          <w:rFonts w:ascii="Arial" w:cs="Arial" w:eastAsia="Arial" w:hAnsi="Arial"/>
          <w:sz w:val="18"/>
          <w:szCs w:val="18"/>
          <w:color w:val="auto"/>
        </w:rPr>
        <w:t>- Commissions to independent agents, which are the largest component of the cost of management operations,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scheduled commissions earned by independent agents on premiums written, accelerated commissions and agent bonuses and are outlined in the following table:</w:t>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(in thousands)</w:t>
      </w:r>
    </w:p>
    <w:p>
      <w:pPr>
        <w:spacing w:after="0" w:line="234" w:lineRule="auto"/>
        <w:rPr>
          <w:sz w:val="20"/>
          <w:szCs w:val="20"/>
          <w:color w:val="auto"/>
        </w:rPr>
      </w:pPr>
      <w:r>
        <w:rPr>
          <w:rFonts w:ascii="Arial" w:cs="Arial" w:eastAsia="Arial" w:hAnsi="Arial"/>
          <w:sz w:val="18"/>
          <w:szCs w:val="18"/>
          <w:color w:val="auto"/>
        </w:rPr>
        <w:t>Scheduled rate commissions</w:t>
      </w:r>
    </w:p>
    <w:p>
      <w:pPr>
        <w:spacing w:after="0" w:line="235" w:lineRule="auto"/>
        <w:rPr>
          <w:sz w:val="20"/>
          <w:szCs w:val="20"/>
          <w:color w:val="auto"/>
        </w:rPr>
      </w:pPr>
      <w:r>
        <w:rPr>
          <w:rFonts w:ascii="Arial" w:cs="Arial" w:eastAsia="Arial" w:hAnsi="Arial"/>
          <w:sz w:val="18"/>
          <w:szCs w:val="18"/>
          <w:color w:val="auto"/>
        </w:rPr>
        <w:t>Accelerated rate commissions</w:t>
      </w:r>
    </w:p>
    <w:p>
      <w:pPr>
        <w:spacing w:after="0" w:line="235" w:lineRule="auto"/>
        <w:rPr>
          <w:sz w:val="20"/>
          <w:szCs w:val="20"/>
          <w:color w:val="auto"/>
        </w:rPr>
      </w:pPr>
      <w:r>
        <w:rPr>
          <w:rFonts w:ascii="Arial" w:cs="Arial" w:eastAsia="Arial" w:hAnsi="Arial"/>
          <w:sz w:val="18"/>
          <w:szCs w:val="18"/>
          <w:color w:val="auto"/>
        </w:rPr>
        <w:t>Agent bonuses</w:t>
      </w:r>
    </w:p>
    <w:p>
      <w:pPr>
        <w:spacing w:after="0" w:line="235" w:lineRule="auto"/>
        <w:rPr>
          <w:sz w:val="20"/>
          <w:szCs w:val="20"/>
          <w:color w:val="auto"/>
        </w:rPr>
      </w:pPr>
      <w:r>
        <w:rPr>
          <w:rFonts w:ascii="Arial" w:cs="Arial" w:eastAsia="Arial" w:hAnsi="Arial"/>
          <w:sz w:val="18"/>
          <w:szCs w:val="18"/>
          <w:color w:val="auto"/>
        </w:rPr>
        <w:t>Promotional incentives</w:t>
      </w:r>
    </w:p>
    <w:p>
      <w:pPr>
        <w:spacing w:after="0"/>
        <w:rPr>
          <w:sz w:val="20"/>
          <w:szCs w:val="20"/>
          <w:color w:val="auto"/>
        </w:rPr>
      </w:pPr>
      <w:r>
        <w:rPr>
          <w:rFonts w:ascii="Arial" w:cs="Arial" w:eastAsia="Arial" w:hAnsi="Arial"/>
          <w:sz w:val="18"/>
          <w:szCs w:val="18"/>
          <w:color w:val="auto"/>
        </w:rPr>
        <w:t>$50 personal auto bonus</w:t>
      </w:r>
    </w:p>
    <w:p>
      <w:pPr>
        <w:spacing w:after="0" w:line="198" w:lineRule="exact"/>
        <w:rPr>
          <w:sz w:val="20"/>
          <w:szCs w:val="20"/>
          <w:color w:val="auto"/>
        </w:rPr>
      </w:pPr>
    </w:p>
    <w:p>
      <w:pPr>
        <w:ind w:right="1820"/>
        <w:spacing w:after="0" w:line="277" w:lineRule="auto"/>
        <w:rPr>
          <w:sz w:val="20"/>
          <w:szCs w:val="20"/>
          <w:color w:val="auto"/>
        </w:rPr>
      </w:pPr>
      <w:r>
        <w:rPr>
          <w:rFonts w:ascii="Arial" w:cs="Arial" w:eastAsia="Arial" w:hAnsi="Arial"/>
          <w:sz w:val="18"/>
          <w:szCs w:val="18"/>
          <w:color w:val="auto"/>
        </w:rPr>
        <w:t>Change in allowance for mid-term policy cancellations Total commissions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2320" w:type="dxa"/>
            <w:vAlign w:val="bottom"/>
          </w:tcPr>
          <w:p>
            <w:pPr>
              <w:jc w:val="right"/>
              <w:ind w:right="135"/>
              <w:spacing w:after="0"/>
              <w:rPr>
                <w:sz w:val="20"/>
                <w:szCs w:val="20"/>
                <w:color w:val="auto"/>
              </w:rPr>
            </w:pPr>
            <w:r>
              <w:rPr>
                <w:rFonts w:ascii="Arial" w:cs="Arial" w:eastAsia="Arial" w:hAnsi="Arial"/>
                <w:sz w:val="14"/>
                <w:szCs w:val="14"/>
                <w:color w:val="auto"/>
              </w:rPr>
              <w:t>Three months ended March 31</w:t>
            </w:r>
          </w:p>
        </w:tc>
        <w:tc>
          <w:tcPr>
            <w:tcW w:w="1080" w:type="dxa"/>
            <w:vAlign w:val="bottom"/>
          </w:tcPr>
          <w:p>
            <w:pPr>
              <w:spacing w:after="0"/>
              <w:rPr>
                <w:sz w:val="14"/>
                <w:szCs w:val="14"/>
                <w:color w:val="auto"/>
              </w:rPr>
            </w:pPr>
          </w:p>
        </w:tc>
      </w:tr>
      <w:tr>
        <w:trPr>
          <w:trHeight w:val="157"/>
        </w:trPr>
        <w:tc>
          <w:tcPr>
            <w:tcW w:w="1180" w:type="dxa"/>
            <w:vAlign w:val="bottom"/>
            <w:tcBorders>
              <w:bottom w:val="single" w:sz="8" w:color="auto"/>
            </w:tcBorders>
          </w:tcPr>
          <w:p>
            <w:pPr>
              <w:jc w:val="right"/>
              <w:ind w:right="292"/>
              <w:spacing w:after="0" w:line="157" w:lineRule="exact"/>
              <w:rPr>
                <w:sz w:val="20"/>
                <w:szCs w:val="20"/>
                <w:color w:val="auto"/>
              </w:rPr>
            </w:pPr>
            <w:r>
              <w:rPr>
                <w:rFonts w:ascii="Arial" w:cs="Arial" w:eastAsia="Arial" w:hAnsi="Arial"/>
                <w:sz w:val="14"/>
                <w:szCs w:val="14"/>
                <w:color w:val="auto"/>
              </w:rPr>
              <w:t>2007</w:t>
            </w:r>
          </w:p>
        </w:tc>
        <w:tc>
          <w:tcPr>
            <w:tcW w:w="2320" w:type="dxa"/>
            <w:vAlign w:val="bottom"/>
            <w:tcBorders>
              <w:bottom w:val="single" w:sz="8" w:color="auto"/>
            </w:tcBorders>
          </w:tcPr>
          <w:p>
            <w:pPr>
              <w:jc w:val="right"/>
              <w:ind w:right="855"/>
              <w:spacing w:after="0" w:line="157" w:lineRule="exact"/>
              <w:rPr>
                <w:sz w:val="20"/>
                <w:szCs w:val="20"/>
                <w:color w:val="auto"/>
              </w:rPr>
            </w:pPr>
            <w:r>
              <w:rPr>
                <w:rFonts w:ascii="Arial" w:cs="Arial" w:eastAsia="Arial" w:hAnsi="Arial"/>
                <w:sz w:val="14"/>
                <w:szCs w:val="14"/>
                <w:color w:val="auto"/>
              </w:rPr>
              <w:t>2006</w:t>
            </w:r>
          </w:p>
        </w:tc>
        <w:tc>
          <w:tcPr>
            <w:tcW w:w="1080" w:type="dxa"/>
            <w:vAlign w:val="bottom"/>
            <w:tcBorders>
              <w:bottom w:val="single" w:sz="8" w:color="auto"/>
            </w:tcBorders>
          </w:tcPr>
          <w:p>
            <w:pPr>
              <w:jc w:val="right"/>
              <w:ind w:right="92"/>
              <w:spacing w:after="0" w:line="157" w:lineRule="exact"/>
              <w:rPr>
                <w:sz w:val="20"/>
                <w:szCs w:val="20"/>
                <w:color w:val="auto"/>
              </w:rPr>
            </w:pPr>
            <w:r>
              <w:rPr>
                <w:rFonts w:ascii="Arial" w:cs="Arial" w:eastAsia="Arial" w:hAnsi="Arial"/>
                <w:sz w:val="14"/>
                <w:szCs w:val="14"/>
                <w:color w:val="auto"/>
              </w:rPr>
              <w:t>% Change</w:t>
            </w:r>
          </w:p>
        </w:tc>
      </w:tr>
      <w:tr>
        <w:trPr>
          <w:trHeight w:val="155"/>
        </w:trPr>
        <w:tc>
          <w:tcPr>
            <w:tcW w:w="1180" w:type="dxa"/>
            <w:vAlign w:val="bottom"/>
          </w:tcPr>
          <w:p>
            <w:pPr>
              <w:spacing w:after="0"/>
              <w:rPr>
                <w:sz w:val="13"/>
                <w:szCs w:val="13"/>
                <w:color w:val="auto"/>
              </w:rPr>
            </w:pPr>
          </w:p>
        </w:tc>
        <w:tc>
          <w:tcPr>
            <w:tcW w:w="2320" w:type="dxa"/>
            <w:vAlign w:val="bottom"/>
          </w:tcPr>
          <w:p>
            <w:pPr>
              <w:jc w:val="right"/>
              <w:ind w:right="635"/>
              <w:spacing w:after="0" w:line="155" w:lineRule="exact"/>
              <w:rPr>
                <w:sz w:val="20"/>
                <w:szCs w:val="20"/>
                <w:color w:val="auto"/>
              </w:rPr>
            </w:pPr>
            <w:r>
              <w:rPr>
                <w:rFonts w:ascii="Arial" w:cs="Arial" w:eastAsia="Arial" w:hAnsi="Arial"/>
                <w:sz w:val="14"/>
                <w:szCs w:val="14"/>
                <w:color w:val="auto"/>
              </w:rPr>
              <w:t>(Unaudited)</w:t>
            </w:r>
          </w:p>
        </w:tc>
        <w:tc>
          <w:tcPr>
            <w:tcW w:w="1080" w:type="dxa"/>
            <w:vAlign w:val="bottom"/>
          </w:tcPr>
          <w:p>
            <w:pPr>
              <w:spacing w:after="0"/>
              <w:rPr>
                <w:sz w:val="13"/>
                <w:szCs w:val="13"/>
                <w:color w:val="auto"/>
              </w:rPr>
            </w:pPr>
          </w:p>
        </w:tc>
      </w:tr>
      <w:tr>
        <w:trPr>
          <w:trHeight w:val="203"/>
        </w:trPr>
        <w:tc>
          <w:tcPr>
            <w:tcW w:w="11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$107,963</w:t>
            </w:r>
          </w:p>
        </w:tc>
        <w:tc>
          <w:tcPr>
            <w:tcW w:w="2320" w:type="dxa"/>
            <w:vAlign w:val="bottom"/>
          </w:tcPr>
          <w:p>
            <w:pPr>
              <w:jc w:val="right"/>
              <w:ind w:right="675"/>
              <w:spacing w:after="0" w:line="202" w:lineRule="exact"/>
              <w:rPr>
                <w:sz w:val="20"/>
                <w:szCs w:val="20"/>
                <w:color w:val="auto"/>
              </w:rPr>
            </w:pPr>
            <w:r>
              <w:rPr>
                <w:rFonts w:ascii="Arial" w:cs="Arial" w:eastAsia="Arial" w:hAnsi="Arial"/>
                <w:sz w:val="18"/>
                <w:szCs w:val="18"/>
                <w:color w:val="auto"/>
              </w:rPr>
              <w:t>$110,155</w:t>
            </w:r>
          </w:p>
        </w:tc>
        <w:tc>
          <w:tcPr>
            <w:tcW w:w="10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(2.0)%</w:t>
            </w:r>
          </w:p>
        </w:tc>
      </w:tr>
      <w:tr>
        <w:trPr>
          <w:trHeight w:val="203"/>
        </w:trPr>
        <w:tc>
          <w:tcPr>
            <w:tcW w:w="11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513</w:t>
            </w:r>
          </w:p>
        </w:tc>
        <w:tc>
          <w:tcPr>
            <w:tcW w:w="2320" w:type="dxa"/>
            <w:vAlign w:val="bottom"/>
          </w:tcPr>
          <w:p>
            <w:pPr>
              <w:jc w:val="right"/>
              <w:ind w:right="675"/>
              <w:spacing w:after="0" w:line="202" w:lineRule="exact"/>
              <w:rPr>
                <w:sz w:val="20"/>
                <w:szCs w:val="20"/>
                <w:color w:val="auto"/>
              </w:rPr>
            </w:pPr>
            <w:r>
              <w:rPr>
                <w:rFonts w:ascii="Arial" w:cs="Arial" w:eastAsia="Arial" w:hAnsi="Arial"/>
                <w:sz w:val="18"/>
                <w:szCs w:val="18"/>
                <w:color w:val="auto"/>
              </w:rPr>
              <w:t>383</w:t>
            </w:r>
          </w:p>
        </w:tc>
        <w:tc>
          <w:tcPr>
            <w:tcW w:w="108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33.9</w:t>
            </w:r>
          </w:p>
        </w:tc>
      </w:tr>
      <w:tr>
        <w:trPr>
          <w:trHeight w:val="203"/>
        </w:trPr>
        <w:tc>
          <w:tcPr>
            <w:tcW w:w="11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21,328</w:t>
            </w:r>
          </w:p>
        </w:tc>
        <w:tc>
          <w:tcPr>
            <w:tcW w:w="2320" w:type="dxa"/>
            <w:vAlign w:val="bottom"/>
          </w:tcPr>
          <w:p>
            <w:pPr>
              <w:jc w:val="right"/>
              <w:ind w:right="675"/>
              <w:spacing w:after="0" w:line="202" w:lineRule="exact"/>
              <w:rPr>
                <w:sz w:val="20"/>
                <w:szCs w:val="20"/>
                <w:color w:val="auto"/>
              </w:rPr>
            </w:pPr>
            <w:r>
              <w:rPr>
                <w:rFonts w:ascii="Arial" w:cs="Arial" w:eastAsia="Arial" w:hAnsi="Arial"/>
                <w:sz w:val="18"/>
                <w:szCs w:val="18"/>
                <w:color w:val="auto"/>
              </w:rPr>
              <w:t>22,424</w:t>
            </w:r>
          </w:p>
        </w:tc>
        <w:tc>
          <w:tcPr>
            <w:tcW w:w="10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(4.9)</w:t>
            </w:r>
          </w:p>
        </w:tc>
      </w:tr>
      <w:tr>
        <w:trPr>
          <w:trHeight w:val="203"/>
        </w:trPr>
        <w:tc>
          <w:tcPr>
            <w:tcW w:w="11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93</w:t>
            </w:r>
          </w:p>
        </w:tc>
        <w:tc>
          <w:tcPr>
            <w:tcW w:w="2320" w:type="dxa"/>
            <w:vAlign w:val="bottom"/>
          </w:tcPr>
          <w:p>
            <w:pPr>
              <w:jc w:val="right"/>
              <w:ind w:right="675"/>
              <w:spacing w:after="0" w:line="202" w:lineRule="exact"/>
              <w:rPr>
                <w:sz w:val="20"/>
                <w:szCs w:val="20"/>
                <w:color w:val="auto"/>
              </w:rPr>
            </w:pPr>
            <w:r>
              <w:rPr>
                <w:rFonts w:ascii="Arial" w:cs="Arial" w:eastAsia="Arial" w:hAnsi="Arial"/>
                <w:sz w:val="18"/>
                <w:szCs w:val="18"/>
                <w:color w:val="auto"/>
              </w:rPr>
              <w:t>1,326</w:t>
            </w:r>
          </w:p>
        </w:tc>
        <w:tc>
          <w:tcPr>
            <w:tcW w:w="10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(93.0)</w:t>
            </w:r>
          </w:p>
        </w:tc>
      </w:tr>
      <w:tr>
        <w:trPr>
          <w:trHeight w:val="217"/>
        </w:trPr>
        <w:tc>
          <w:tcPr>
            <w:tcW w:w="1180" w:type="dxa"/>
            <w:vAlign w:val="bottom"/>
          </w:tcPr>
          <w:p>
            <w:pPr>
              <w:jc w:val="right"/>
              <w:ind w:right="112"/>
              <w:spacing w:after="0"/>
              <w:rPr>
                <w:sz w:val="20"/>
                <w:szCs w:val="20"/>
                <w:color w:val="auto"/>
              </w:rPr>
            </w:pPr>
            <w:r>
              <w:rPr>
                <w:rFonts w:ascii="Arial" w:cs="Arial" w:eastAsia="Arial" w:hAnsi="Arial"/>
                <w:sz w:val="18"/>
                <w:szCs w:val="18"/>
                <w:color w:val="auto"/>
              </w:rPr>
              <w:t>1,452</w:t>
            </w:r>
          </w:p>
        </w:tc>
        <w:tc>
          <w:tcPr>
            <w:tcW w:w="2320" w:type="dxa"/>
            <w:vAlign w:val="bottom"/>
          </w:tcPr>
          <w:p>
            <w:pPr>
              <w:jc w:val="right"/>
              <w:ind w:right="675"/>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NM</w:t>
            </w:r>
          </w:p>
        </w:tc>
      </w:tr>
      <w:tr>
        <w:trPr>
          <w:trHeight w:val="392"/>
        </w:trPr>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(500)</w:t>
            </w:r>
          </w:p>
        </w:tc>
        <w:tc>
          <w:tcPr>
            <w:tcW w:w="2320" w:type="dxa"/>
            <w:vAlign w:val="bottom"/>
            <w:tcBorders>
              <w:bottom w:val="single" w:sz="8" w:color="auto"/>
            </w:tcBorders>
          </w:tcPr>
          <w:p>
            <w:pPr>
              <w:jc w:val="right"/>
              <w:ind w:right="615"/>
              <w:spacing w:after="0"/>
              <w:rPr>
                <w:sz w:val="20"/>
                <w:szCs w:val="20"/>
                <w:color w:val="auto"/>
              </w:rPr>
            </w:pPr>
            <w:r>
              <w:rPr>
                <w:rFonts w:ascii="Arial" w:cs="Arial" w:eastAsia="Arial" w:hAnsi="Arial"/>
                <w:sz w:val="18"/>
                <w:szCs w:val="18"/>
                <w:color w:val="auto"/>
              </w:rPr>
              <w:t>(200)</w:t>
            </w: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NM</w:t>
            </w:r>
          </w:p>
        </w:tc>
      </w:tr>
      <w:tr>
        <w:trPr>
          <w:trHeight w:val="210"/>
        </w:trPr>
        <w:tc>
          <w:tcPr>
            <w:tcW w:w="11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$130,849</w:t>
            </w:r>
          </w:p>
        </w:tc>
        <w:tc>
          <w:tcPr>
            <w:tcW w:w="2320" w:type="dxa"/>
            <w:vAlign w:val="bottom"/>
            <w:tcBorders>
              <w:bottom w:val="single" w:sz="8" w:color="auto"/>
            </w:tcBorders>
          </w:tcPr>
          <w:p>
            <w:pPr>
              <w:jc w:val="right"/>
              <w:ind w:right="675"/>
              <w:spacing w:after="0"/>
              <w:rPr>
                <w:sz w:val="20"/>
                <w:szCs w:val="20"/>
                <w:color w:val="auto"/>
              </w:rPr>
            </w:pPr>
            <w:r>
              <w:rPr>
                <w:rFonts w:ascii="Arial" w:cs="Arial" w:eastAsia="Arial" w:hAnsi="Arial"/>
                <w:sz w:val="18"/>
                <w:szCs w:val="18"/>
                <w:color w:val="auto"/>
              </w:rPr>
              <w:t>$134,088</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w:t>
            </w: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-1071245</wp:posOffset>
            </wp:positionV>
            <wp:extent cx="724662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-814070</wp:posOffset>
            </wp:positionV>
            <wp:extent cx="724662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-556895</wp:posOffset>
            </wp:positionV>
            <wp:extent cx="724662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-153670</wp:posOffset>
            </wp:positionV>
            <wp:extent cx="724662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413" w:lineRule="exact"/>
        <w:rPr>
          <w:sz w:val="20"/>
          <w:szCs w:val="20"/>
          <w:color w:val="auto"/>
        </w:rPr>
      </w:pPr>
    </w:p>
    <w:p>
      <w:pPr>
        <w:sectPr>
          <w:pgSz w:w="11900" w:h="16838" w:orient="portrait"/>
          <w:cols w:equalWidth="0" w:num="2">
            <w:col w:w="6120" w:space="720"/>
            <w:col w:w="4580"/>
          </w:cols>
          <w:pgMar w:left="240" w:top="419" w:right="239" w:bottom="1440" w:gutter="0" w:footer="0" w:header="0"/>
          <w:type w:val="continuous"/>
        </w:sectPr>
      </w:pPr>
    </w:p>
    <w:p>
      <w:pPr>
        <w:ind w:left="240" w:right="420"/>
        <w:spacing w:after="0" w:line="242" w:lineRule="auto"/>
        <w:rPr>
          <w:sz w:val="20"/>
          <w:szCs w:val="20"/>
          <w:color w:val="auto"/>
        </w:rPr>
      </w:pPr>
      <w:r>
        <w:rPr>
          <w:rFonts w:ascii="Arial" w:cs="Arial" w:eastAsia="Arial" w:hAnsi="Arial"/>
          <w:sz w:val="18"/>
          <w:szCs w:val="18"/>
          <w:i w:val="1"/>
          <w:iCs w:val="1"/>
          <w:color w:val="auto"/>
        </w:rPr>
        <w:t xml:space="preserve">Scheduled and accelerated rate commissions </w:t>
      </w:r>
      <w:r>
        <w:rPr>
          <w:rFonts w:ascii="Arial" w:cs="Arial" w:eastAsia="Arial" w:hAnsi="Arial"/>
          <w:sz w:val="18"/>
          <w:szCs w:val="18"/>
          <w:color w:val="auto"/>
        </w:rPr>
        <w:t>- Scheduled rate commissions were impacted by a 2.6% decrease in the direct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premiums of the Property and Casualty Group in the first quarter of 2007 compared to the first quarter of 2006. This decrease was concentrated in the personal lines of business (comprising approximately 66% of the Property and Casualty Group’s business based on direct written premiums which have lower commission rates than commercial lines of business). The decrease in scheduled rate commissions of 2.0%, when compared to the reduction in direct written premiums of 2.6%, is reflective of this mix of premium dollars.</w:t>
      </w:r>
    </w:p>
    <w:p>
      <w:pPr>
        <w:spacing w:after="0" w:line="95" w:lineRule="exact"/>
        <w:rPr>
          <w:sz w:val="20"/>
          <w:szCs w:val="20"/>
          <w:color w:val="auto"/>
        </w:rPr>
      </w:pPr>
    </w:p>
    <w:p>
      <w:pPr>
        <w:ind w:left="240" w:right="80"/>
        <w:spacing w:after="0" w:line="248" w:lineRule="auto"/>
        <w:rPr>
          <w:sz w:val="20"/>
          <w:szCs w:val="20"/>
          <w:color w:val="auto"/>
        </w:rPr>
      </w:pPr>
      <w:r>
        <w:rPr>
          <w:rFonts w:ascii="Arial" w:cs="Arial" w:eastAsia="Arial" w:hAnsi="Arial"/>
          <w:sz w:val="17"/>
          <w:szCs w:val="17"/>
          <w:color w:val="auto"/>
        </w:rPr>
        <w:t>Accelerated rate commissions increased slightly during the first quarter of 2007. Accelerated rate commissions are offered under specific circumstances to certain newly-recruited agents for their initial three years. We have been expanding our agency force as part of our growth strategy. As new agency appointments continue, accelerated commissions are expected to increase. We appointed 65 new agencies in</w:t>
      </w:r>
    </w:p>
    <w:p>
      <w:pPr>
        <w:spacing w:after="0" w:line="2" w:lineRule="exact"/>
        <w:rPr>
          <w:sz w:val="20"/>
          <w:szCs w:val="20"/>
          <w:color w:val="auto"/>
        </w:rPr>
      </w:pPr>
    </w:p>
    <w:p>
      <w:pPr>
        <w:ind w:left="240" w:right="60"/>
        <w:spacing w:after="0" w:line="246" w:lineRule="auto"/>
        <w:rPr>
          <w:sz w:val="20"/>
          <w:szCs w:val="20"/>
          <w:color w:val="auto"/>
        </w:rPr>
      </w:pPr>
      <w:r>
        <w:rPr>
          <w:rFonts w:ascii="Arial" w:cs="Arial" w:eastAsia="Arial" w:hAnsi="Arial"/>
          <w:sz w:val="18"/>
          <w:szCs w:val="18"/>
          <w:color w:val="auto"/>
        </w:rPr>
        <w:t>2005 and 139 new agencies in 2006. We appointed 66 new agencies in the first quarter of 2007, of which 38 were productive, and expect to appoint 200 for the year.</w:t>
      </w:r>
    </w:p>
    <w:p>
      <w:pPr>
        <w:spacing w:after="0" w:line="71" w:lineRule="exact"/>
        <w:rPr>
          <w:sz w:val="20"/>
          <w:szCs w:val="20"/>
          <w:color w:val="auto"/>
        </w:rPr>
      </w:pPr>
    </w:p>
    <w:p>
      <w:pPr>
        <w:ind w:left="240"/>
        <w:spacing w:after="0" w:line="241" w:lineRule="auto"/>
        <w:rPr>
          <w:sz w:val="20"/>
          <w:szCs w:val="20"/>
          <w:color w:val="auto"/>
        </w:rPr>
      </w:pPr>
      <w:r>
        <w:rPr>
          <w:rFonts w:ascii="Arial" w:cs="Arial" w:eastAsia="Arial" w:hAnsi="Arial"/>
          <w:sz w:val="18"/>
          <w:szCs w:val="18"/>
          <w:i w:val="1"/>
          <w:iCs w:val="1"/>
          <w:color w:val="auto"/>
        </w:rPr>
        <w:t xml:space="preserve">Agent bonuses </w:t>
      </w:r>
      <w:r>
        <w:rPr>
          <w:rFonts w:ascii="Arial" w:cs="Arial" w:eastAsia="Arial" w:hAnsi="Arial"/>
          <w:sz w:val="18"/>
          <w:szCs w:val="18"/>
          <w:color w:val="auto"/>
        </w:rPr>
        <w:t>–Agent bonuses are based predominantly on an individual agency’s property/casualty underwriting profitability over a three-year period. There is also a growth component to the bonus, paid only if the agency is profitable. The estimate for the bonus is modeled on a monthly basis using the two prior year’s actual underwriting data by agency combined with the current year-to-date actual data. The decrease in the estimate for agent bonuses in the first quarter of 2007 reflects a reduction in our estimate of the profitability component of the bonus. The agent bonus award is estimated at $80.4 million for 2007. Of this estimate, $77.3 million represents the profitability component and $3.1 million represents the growth component.</w:t>
      </w:r>
    </w:p>
    <w:p>
      <w:pPr>
        <w:spacing w:after="0" w:line="76" w:lineRule="exact"/>
        <w:rPr>
          <w:sz w:val="20"/>
          <w:szCs w:val="20"/>
          <w:color w:val="auto"/>
        </w:rPr>
      </w:pPr>
    </w:p>
    <w:p>
      <w:pPr>
        <w:ind w:left="240" w:right="40"/>
        <w:spacing w:after="0" w:line="251" w:lineRule="auto"/>
        <w:rPr>
          <w:sz w:val="20"/>
          <w:szCs w:val="20"/>
          <w:color w:val="auto"/>
        </w:rPr>
      </w:pPr>
      <w:r>
        <w:rPr>
          <w:rFonts w:ascii="Arial" w:cs="Arial" w:eastAsia="Arial" w:hAnsi="Arial"/>
          <w:sz w:val="18"/>
          <w:szCs w:val="18"/>
          <w:i w:val="1"/>
          <w:iCs w:val="1"/>
          <w:color w:val="auto"/>
        </w:rPr>
        <w:t xml:space="preserve">$50 personal auto bonus </w:t>
      </w:r>
      <w:r>
        <w:rPr>
          <w:rFonts w:ascii="Arial" w:cs="Arial" w:eastAsia="Arial" w:hAnsi="Arial"/>
          <w:sz w:val="18"/>
          <w:szCs w:val="18"/>
          <w:color w:val="auto"/>
        </w:rPr>
        <w:t>– In July 2006, an incentive program was implemented that runs through December 2007 that pays a $50 bonus to</w:t>
      </w:r>
      <w:r>
        <w:rPr>
          <w:rFonts w:ascii="Arial" w:cs="Arial" w:eastAsia="Arial" w:hAnsi="Arial"/>
          <w:sz w:val="18"/>
          <w:szCs w:val="18"/>
          <w:i w:val="1"/>
          <w:iCs w:val="1"/>
          <w:color w:val="auto"/>
        </w:rPr>
        <w:t xml:space="preserve"> </w:t>
      </w:r>
      <w:r>
        <w:rPr>
          <w:rFonts w:ascii="Arial" w:cs="Arial" w:eastAsia="Arial" w:hAnsi="Arial"/>
          <w:sz w:val="18"/>
          <w:szCs w:val="18"/>
          <w:color w:val="auto"/>
        </w:rPr>
        <w:t>agents for each qualifying new private passenger auto policy issued. The cost of this program for the first three months of 2007 was $1.5 million. These incentive program costs are expected to approximate $7.3 million for 2007.</w:t>
      </w:r>
    </w:p>
    <w:p>
      <w:pPr>
        <w:spacing w:after="0" w:line="1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8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b w:val="1"/>
          <w:bCs w:val="1"/>
          <w:color w:val="auto"/>
        </w:rPr>
        <w:t xml:space="preserve">Other costs of management operations </w:t>
      </w:r>
      <w:r>
        <w:rPr>
          <w:rFonts w:ascii="Arial" w:cs="Arial" w:eastAsia="Arial" w:hAnsi="Arial"/>
          <w:sz w:val="18"/>
          <w:szCs w:val="18"/>
          <w:color w:val="auto"/>
        </w:rPr>
        <w:t>– The cost of management operations excluding commission costs decreased 0.3% for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2007. Personnel costs, which are the second largest component in the cost of management operations, decreased 4.8%, or $1.7 million, in the first quarter of 2007. Expense for our management incentive plans decreased $2.4 million due to a reduction in the estimates for the management incentive plan payouts primarily attributable to lower than targeted Property and Casualty Group premium production. Offsetting this decrease was a $1.2 million increase in salaries primarily due to a 6% increase in the average pay rate less lower staffing levels. Employee benefit costs, which are included in personnel costs, include a decrease of $0.7 million in pension costs in the first quarter of 2007 compared to the first quarter of 2006, resulting from the change in the discount rate assumption used to calculate the pension expense from 5.75% in 2006 to 6.25% in 2007. The retiree health benefit plan net periodic cost decreased $0.2 million in the first quarter of 2007. Due to the curtailment of the retiree health benefit plan in May 2006, annual costs for 2007 are estimated at $0.6 million, compared to $2.9 million for 2006, before consideration of allocations to related entities. All other operating costs increased 16.2% primarily due to a $1.8 million increase in professional fees.</w:t>
      </w:r>
    </w:p>
    <w:p>
      <w:pPr>
        <w:spacing w:after="0" w:line="79" w:lineRule="exact"/>
        <w:rPr>
          <w:sz w:val="20"/>
          <w:szCs w:val="20"/>
          <w:color w:val="auto"/>
        </w:rPr>
      </w:pPr>
    </w:p>
    <w:p>
      <w:pPr>
        <w:spacing w:after="0" w:line="241" w:lineRule="auto"/>
        <w:rPr>
          <w:sz w:val="20"/>
          <w:szCs w:val="20"/>
          <w:color w:val="auto"/>
        </w:rPr>
      </w:pPr>
      <w:r>
        <w:rPr>
          <w:rFonts w:ascii="Arial" w:cs="Arial" w:eastAsia="Arial" w:hAnsi="Arial"/>
          <w:sz w:val="18"/>
          <w:szCs w:val="18"/>
          <w:b w:val="1"/>
          <w:bCs w:val="1"/>
          <w:color w:val="auto"/>
        </w:rPr>
        <w:t xml:space="preserve">Future trends – cost of management operations — </w:t>
      </w:r>
      <w:r>
        <w:rPr>
          <w:rFonts w:ascii="Arial" w:cs="Arial" w:eastAsia="Arial" w:hAnsi="Arial"/>
          <w:sz w:val="18"/>
          <w:szCs w:val="18"/>
          <w:color w:val="auto"/>
        </w:rPr>
        <w:t>The competitive position of the Property and Casualty Group is based on many factors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price considerations, service levels, ease of doing business, product features and billing arrangements, among others. Pricing of Property and Casualty Group policies is directly affected by the cost structure of the Property and Casualty Group and the underlying costs of sales, underwriting and policy issuance activities performed by the Company for the Property and Casualty Group. In 2006, management worked to better align our growth in costs to the growth in premium over the long term. Our estimate for growth in non-commission operating expenses for the year 2007 is 6% after factoring in the effect of moderating costs recorded in the first quarter 2007. Much of the increase will be expended on information technology initiatives in 2007.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Insurance Underwriting Operations</w:t>
      </w:r>
    </w:p>
    <w:p>
      <w:pPr>
        <w:spacing w:after="0" w:line="122"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Our insurance underwriting operations originate through direct business of our property/casualty insurance subsidiaries but net underwriting results are a product of the intercompany reinsurance pooling agreement between our subsidiaries and the Erie Insurance Exchange.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20" w:type="dxa"/>
            <w:vAlign w:val="bottom"/>
            <w:gridSpan w:val="2"/>
          </w:tcPr>
          <w:p>
            <w:pPr>
              <w:jc w:val="right"/>
              <w:ind w:right="33"/>
              <w:spacing w:after="0"/>
              <w:rPr>
                <w:sz w:val="20"/>
                <w:szCs w:val="20"/>
                <w:color w:val="auto"/>
              </w:rPr>
            </w:pPr>
            <w:r>
              <w:rPr>
                <w:rFonts w:ascii="Arial" w:cs="Arial" w:eastAsia="Arial" w:hAnsi="Arial"/>
                <w:sz w:val="14"/>
                <w:szCs w:val="14"/>
                <w:color w:val="auto"/>
              </w:rPr>
              <w:t>Three months ended March 31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53"/>
              <w:spacing w:after="0" w:line="157" w:lineRule="exact"/>
              <w:rPr>
                <w:sz w:val="20"/>
                <w:szCs w:val="20"/>
                <w:color w:val="auto"/>
              </w:rPr>
            </w:pPr>
            <w:r>
              <w:rPr>
                <w:rFonts w:ascii="Arial" w:cs="Arial" w:eastAsia="Arial" w:hAnsi="Arial"/>
                <w:sz w:val="14"/>
                <w:szCs w:val="14"/>
                <w:color w:val="auto"/>
              </w:rPr>
              <w:t>2007</w:t>
            </w:r>
          </w:p>
        </w:tc>
        <w:tc>
          <w:tcPr>
            <w:tcW w:w="10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33"/>
              <w:spacing w:after="0" w:line="157" w:lineRule="exact"/>
              <w:rPr>
                <w:sz w:val="20"/>
                <w:szCs w:val="20"/>
                <w:color w:val="auto"/>
              </w:rPr>
            </w:pPr>
            <w:r>
              <w:rPr>
                <w:rFonts w:ascii="Arial" w:cs="Arial" w:eastAsia="Arial" w:hAnsi="Arial"/>
                <w:sz w:val="14"/>
                <w:szCs w:val="14"/>
                <w:color w:val="auto"/>
              </w:rPr>
              <w:t>2006</w:t>
            </w:r>
          </w:p>
        </w:tc>
        <w:tc>
          <w:tcPr>
            <w:tcW w:w="8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56"/>
        </w:trPr>
        <w:tc>
          <w:tcPr>
            <w:tcW w:w="4840" w:type="dxa"/>
            <w:vAlign w:val="bottom"/>
            <w:gridSpan w:val="2"/>
          </w:tcPr>
          <w:p>
            <w:pPr>
              <w:spacing w:after="0" w:line="155" w:lineRule="exact"/>
              <w:rPr>
                <w:sz w:val="20"/>
                <w:szCs w:val="20"/>
                <w:color w:val="auto"/>
              </w:rPr>
            </w:pPr>
            <w:r>
              <w:rPr>
                <w:rFonts w:ascii="Arial" w:cs="Arial" w:eastAsia="Arial" w:hAnsi="Arial"/>
                <w:sz w:val="14"/>
                <w:szCs w:val="14"/>
                <w:color w:val="auto"/>
              </w:rPr>
              <w:t>(in thousands)</w:t>
            </w:r>
          </w:p>
        </w:tc>
        <w:tc>
          <w:tcPr>
            <w:tcW w:w="2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20" w:type="dxa"/>
            <w:vAlign w:val="bottom"/>
            <w:gridSpan w:val="2"/>
          </w:tcPr>
          <w:p>
            <w:pPr>
              <w:ind w:left="980"/>
              <w:spacing w:after="0" w:line="155" w:lineRule="exact"/>
              <w:rPr>
                <w:sz w:val="20"/>
                <w:szCs w:val="20"/>
                <w:color w:val="auto"/>
              </w:rPr>
            </w:pPr>
            <w:r>
              <w:rPr>
                <w:rFonts w:ascii="Arial" w:cs="Arial" w:eastAsia="Arial" w:hAnsi="Arial"/>
                <w:sz w:val="14"/>
                <w:szCs w:val="14"/>
                <w:color w:val="auto"/>
              </w:rPr>
              <w:t>(Unaudited)</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Premiums earned</w:t>
            </w:r>
          </w:p>
        </w:tc>
        <w:tc>
          <w:tcPr>
            <w:tcW w:w="3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51,974</w:t>
            </w:r>
          </w:p>
        </w:tc>
        <w:tc>
          <w:tcPr>
            <w:tcW w:w="1080" w:type="dxa"/>
            <w:vAlign w:val="bottom"/>
            <w:shd w:val="clear" w:color="auto" w:fill="CCEEFF"/>
          </w:tcPr>
          <w:p>
            <w:pPr>
              <w:ind w:left="96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w w:val="94"/>
              </w:rPr>
              <w:t>54,026</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24"/>
        </w:trPr>
        <w:tc>
          <w:tcPr>
            <w:tcW w:w="4840" w:type="dxa"/>
            <w:vAlign w:val="bottom"/>
            <w:gridSpan w:val="2"/>
          </w:tcPr>
          <w:p>
            <w:pPr>
              <w:spacing w:after="0"/>
              <w:rPr>
                <w:sz w:val="20"/>
                <w:szCs w:val="20"/>
                <w:color w:val="auto"/>
              </w:rPr>
            </w:pPr>
            <w:r>
              <w:rPr>
                <w:rFonts w:ascii="Arial" w:cs="Arial" w:eastAsia="Arial" w:hAnsi="Arial"/>
                <w:sz w:val="18"/>
                <w:szCs w:val="18"/>
                <w:color w:val="auto"/>
              </w:rPr>
              <w:t>Losses and loss adjustment expenses incurred</w:t>
            </w:r>
          </w:p>
        </w:tc>
        <w:tc>
          <w:tcPr>
            <w:tcW w:w="2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32,234</w:t>
            </w:r>
          </w:p>
        </w:tc>
        <w:tc>
          <w:tcPr>
            <w:tcW w:w="1080" w:type="dxa"/>
            <w:vAlign w:val="bottom"/>
          </w:tcPr>
          <w:p>
            <w:pPr>
              <w:spacing w:after="0"/>
              <w:rPr>
                <w:sz w:val="24"/>
                <w:szCs w:val="24"/>
                <w:color w:val="auto"/>
              </w:rPr>
            </w:pPr>
          </w:p>
        </w:tc>
        <w:tc>
          <w:tcPr>
            <w:tcW w:w="1040" w:type="dxa"/>
            <w:vAlign w:val="bottom"/>
          </w:tcPr>
          <w:p>
            <w:pPr>
              <w:jc w:val="right"/>
              <w:ind w:right="413"/>
              <w:spacing w:after="0"/>
              <w:rPr>
                <w:sz w:val="20"/>
                <w:szCs w:val="20"/>
                <w:color w:val="auto"/>
              </w:rPr>
            </w:pPr>
            <w:r>
              <w:rPr>
                <w:rFonts w:ascii="Arial" w:cs="Arial" w:eastAsia="Arial" w:hAnsi="Arial"/>
                <w:sz w:val="18"/>
                <w:szCs w:val="18"/>
                <w:color w:val="auto"/>
                <w:w w:val="94"/>
              </w:rPr>
              <w:t>30,053</w:t>
            </w: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Policy acquisition and other underwriting expenses</w:t>
            </w:r>
          </w:p>
        </w:tc>
        <w:tc>
          <w:tcPr>
            <w:tcW w:w="27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14,121</w:t>
            </w:r>
          </w:p>
        </w:tc>
        <w:tc>
          <w:tcPr>
            <w:tcW w:w="10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w w:val="94"/>
              </w:rPr>
              <w:t>16,663</w:t>
            </w:r>
          </w:p>
        </w:tc>
        <w:tc>
          <w:tcPr>
            <w:tcW w:w="800" w:type="dxa"/>
            <w:vAlign w:val="bottom"/>
            <w:tcBorders>
              <w:bottom w:val="single" w:sz="8" w:color="auto"/>
            </w:tcBorders>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0"/>
        </w:trPr>
        <w:tc>
          <w:tcPr>
            <w:tcW w:w="4840" w:type="dxa"/>
            <w:vAlign w:val="bottom"/>
            <w:gridSpan w:val="2"/>
          </w:tcPr>
          <w:p>
            <w:pPr>
              <w:spacing w:after="0"/>
              <w:rPr>
                <w:sz w:val="20"/>
                <w:szCs w:val="20"/>
                <w:color w:val="auto"/>
              </w:rPr>
            </w:pPr>
            <w:r>
              <w:rPr>
                <w:rFonts w:ascii="Arial" w:cs="Arial" w:eastAsia="Arial" w:hAnsi="Arial"/>
                <w:sz w:val="18"/>
                <w:szCs w:val="18"/>
                <w:color w:val="auto"/>
              </w:rPr>
              <w:t>Total losses and expenses</w:t>
            </w:r>
          </w:p>
        </w:tc>
        <w:tc>
          <w:tcPr>
            <w:tcW w:w="27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46,355</w:t>
            </w:r>
          </w:p>
        </w:tc>
        <w:tc>
          <w:tcPr>
            <w:tcW w:w="10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color w:val="auto"/>
                <w:w w:val="94"/>
              </w:rPr>
              <w:t>46,716</w:t>
            </w: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Underwriting income</w:t>
            </w:r>
          </w:p>
        </w:tc>
        <w:tc>
          <w:tcPr>
            <w:tcW w:w="3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5,619</w:t>
            </w:r>
          </w:p>
        </w:tc>
        <w:tc>
          <w:tcPr>
            <w:tcW w:w="1080" w:type="dxa"/>
            <w:vAlign w:val="bottom"/>
            <w:shd w:val="clear" w:color="auto" w:fill="CCEEFF"/>
          </w:tcPr>
          <w:p>
            <w:pPr>
              <w:ind w:left="96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7,310</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780" w:type="dxa"/>
            <w:vAlign w:val="bottom"/>
            <w:vMerge w:val="restart"/>
          </w:tcPr>
          <w:p>
            <w:pPr>
              <w:jc w:val="right"/>
              <w:ind w:right="1710"/>
              <w:spacing w:after="0"/>
              <w:rPr>
                <w:sz w:val="20"/>
                <w:szCs w:val="20"/>
                <w:color w:val="auto"/>
              </w:rPr>
            </w:pPr>
            <w:r>
              <w:rPr>
                <w:rFonts w:ascii="Arial" w:cs="Arial" w:eastAsia="Arial" w:hAnsi="Arial"/>
                <w:sz w:val="18"/>
                <w:szCs w:val="18"/>
                <w:color w:val="auto"/>
              </w:rPr>
              <w:t>33</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tcBorders>
              <w:bottom w:val="single" w:sz="8" w:color="808080"/>
            </w:tcBorders>
          </w:tcPr>
          <w:p>
            <w:pPr>
              <w:spacing w:after="0"/>
              <w:rPr>
                <w:sz w:val="18"/>
                <w:szCs w:val="18"/>
                <w:color w:val="auto"/>
              </w:rPr>
            </w:pPr>
          </w:p>
        </w:tc>
        <w:tc>
          <w:tcPr>
            <w:tcW w:w="27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20"/>
        <w:spacing w:after="0" w:line="352" w:lineRule="auto"/>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 </w:t>
      </w:r>
      <w:r>
        <w:rPr>
          <w:rFonts w:ascii="Arial" w:cs="Arial" w:eastAsia="Arial" w:hAnsi="Arial"/>
          <w:sz w:val="18"/>
          <w:szCs w:val="18"/>
          <w:b w:val="1"/>
          <w:bCs w:val="1"/>
          <w:color w:val="auto"/>
        </w:rPr>
        <w:t>KEY POINTS</w:t>
      </w:r>
    </w:p>
    <w:p>
      <w:pPr>
        <w:spacing w:after="0" w:line="14"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Earned premiums of the Property and Casualty Group declined $41 million reflecting the trend of rate decreases.</w:t>
      </w:r>
    </w:p>
    <w:p>
      <w:pPr>
        <w:spacing w:after="0" w:line="130" w:lineRule="exact"/>
        <w:rPr>
          <w:rFonts w:ascii="Arial" w:cs="Arial" w:eastAsia="Arial" w:hAnsi="Arial"/>
          <w:sz w:val="18"/>
          <w:szCs w:val="18"/>
          <w:color w:val="auto"/>
        </w:rPr>
      </w:pPr>
    </w:p>
    <w:p>
      <w:pPr>
        <w:ind w:left="660" w:right="520" w:hanging="436"/>
        <w:spacing w:after="0" w:line="24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Development of prior accident year loss reserves continued to be favorable in the first quarter 2007, improving the loss ratio 10.3 points, or $5.4 million, compared to an improvement of 7.9 points for the first quarter of 2006.</w:t>
      </w:r>
    </w:p>
    <w:p>
      <w:pPr>
        <w:spacing w:after="0" w:line="210" w:lineRule="exact"/>
        <w:rPr>
          <w:rFonts w:ascii="Arial" w:cs="Arial" w:eastAsia="Arial" w:hAnsi="Arial"/>
          <w:sz w:val="18"/>
          <w:szCs w:val="18"/>
          <w:color w:val="auto"/>
        </w:rPr>
      </w:pPr>
    </w:p>
    <w:p>
      <w:pPr>
        <w:ind w:left="1120" w:right="340" w:hanging="437"/>
        <w:spacing w:after="0"/>
        <w:tabs>
          <w:tab w:leader="none" w:pos="11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majority of this positive development resulted from favorable re-estimates of reserves on prior accident quarters for automobile bodily injury and uninsured/underinsured motorist bodily injury. Improvements in the accident quarter loss ratios in these lines were a result of improved frequency and severity trends.</w:t>
      </w:r>
    </w:p>
    <w:p>
      <w:pPr>
        <w:spacing w:after="0" w:line="108" w:lineRule="exact"/>
        <w:rPr>
          <w:rFonts w:ascii="Arial" w:cs="Arial" w:eastAsia="Arial" w:hAnsi="Arial"/>
          <w:sz w:val="18"/>
          <w:szCs w:val="18"/>
          <w:color w:val="auto"/>
        </w:rPr>
      </w:pPr>
    </w:p>
    <w:p>
      <w:pPr>
        <w:ind w:left="1120" w:right="460" w:hanging="437"/>
        <w:spacing w:after="0" w:line="246" w:lineRule="auto"/>
        <w:tabs>
          <w:tab w:leader="none" w:pos="11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Offsetting this favorable development was a strengthening of reserves for certain workers compensation claims of which our share was $0.4 million, or 0.8 GAAP combined ratio points.</w:t>
      </w:r>
    </w:p>
    <w:p>
      <w:pPr>
        <w:spacing w:after="0" w:line="210" w:lineRule="exact"/>
        <w:rPr>
          <w:rFonts w:ascii="Arial" w:cs="Arial" w:eastAsia="Arial" w:hAnsi="Arial"/>
          <w:sz w:val="18"/>
          <w:szCs w:val="18"/>
          <w:color w:val="auto"/>
        </w:rPr>
      </w:pPr>
    </w:p>
    <w:p>
      <w:pPr>
        <w:ind w:left="660" w:right="180" w:hanging="436"/>
        <w:spacing w:after="0" w:line="24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recognized certain adjusting and other liabilities of $1.4 million, or 2.4 combined ratio points, for estimated employee salaries and benefits of the Exchange not fully considered in the reserve.</w:t>
      </w:r>
    </w:p>
    <w:p>
      <w:pPr>
        <w:spacing w:after="0" w:line="102" w:lineRule="exact"/>
        <w:rPr>
          <w:rFonts w:ascii="Arial" w:cs="Arial" w:eastAsia="Arial" w:hAnsi="Arial"/>
          <w:sz w:val="18"/>
          <w:szCs w:val="18"/>
          <w:color w:val="auto"/>
        </w:rPr>
      </w:pPr>
    </w:p>
    <w:p>
      <w:pPr>
        <w:ind w:left="660" w:right="340" w:hanging="436"/>
        <w:spacing w:after="0" w:line="24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Policy acquisition and other underwriting costs included $2.0 million in additional expenses, or 3.8 combined ratio points, in the first quarter of 2006 for the write-off the intangible asset related to the ERIE</w:t>
      </w:r>
      <w:r>
        <w:rPr>
          <w:rFonts w:ascii="Arial" w:cs="Arial" w:eastAsia="Arial" w:hAnsi="Arial"/>
          <w:sz w:val="18"/>
          <w:szCs w:val="18"/>
          <w:i w:val="1"/>
          <w:iCs w:val="1"/>
          <w:color w:val="auto"/>
        </w:rPr>
        <w:t>Connection</w:t>
      </w:r>
      <w:r>
        <w:rPr>
          <w:rFonts w:ascii="Arial" w:cs="Arial" w:eastAsia="Arial" w:hAnsi="Arial"/>
          <w:sz w:val="18"/>
          <w:szCs w:val="18"/>
          <w:color w:val="auto"/>
        </w:rPr>
        <w:t xml:space="preserve"> system.</w:t>
      </w:r>
    </w:p>
    <w:p>
      <w:pPr>
        <w:sectPr>
          <w:pgSz w:w="11900" w:h="16838" w:orient="portrait"/>
          <w:cols w:equalWidth="0" w:num="1">
            <w:col w:w="11420"/>
          </w:cols>
          <w:pgMar w:left="240" w:top="419" w:right="239" w:bottom="1440" w:gutter="0" w:footer="0" w:header="0"/>
        </w:sectPr>
      </w:pP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PROFITABILITY MEASURES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Erie Indemnity Company GAAP Loss and LAE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Erie Indemnity Company GAAP combined ratio(1)</w:t>
      </w:r>
    </w:p>
    <w:p>
      <w:pPr>
        <w:spacing w:after="0" w:line="235" w:lineRule="auto"/>
        <w:rPr>
          <w:sz w:val="20"/>
          <w:szCs w:val="20"/>
          <w:color w:val="auto"/>
        </w:rPr>
      </w:pPr>
      <w:r>
        <w:rPr>
          <w:rFonts w:ascii="Arial" w:cs="Arial" w:eastAsia="Arial" w:hAnsi="Arial"/>
          <w:sz w:val="18"/>
          <w:szCs w:val="18"/>
          <w:color w:val="auto"/>
        </w:rPr>
        <w:t>P&amp;C Group statutory combined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P&amp;C Group adjusted statutory combined ratio(2)</w:t>
      </w:r>
    </w:p>
    <w:p>
      <w:pPr>
        <w:spacing w:after="0" w:line="235" w:lineRule="auto"/>
        <w:rPr>
          <w:sz w:val="20"/>
          <w:szCs w:val="20"/>
          <w:color w:val="auto"/>
        </w:rPr>
      </w:pPr>
      <w:r>
        <w:rPr>
          <w:rFonts w:ascii="Arial" w:cs="Arial" w:eastAsia="Arial" w:hAnsi="Arial"/>
          <w:sz w:val="18"/>
          <w:szCs w:val="18"/>
          <w:color w:val="auto"/>
        </w:rPr>
        <w:t>Direct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220"/>
        <w:spacing w:after="0" w:line="235" w:lineRule="auto"/>
        <w:rPr>
          <w:sz w:val="20"/>
          <w:szCs w:val="20"/>
          <w:color w:val="auto"/>
        </w:rPr>
      </w:pPr>
      <w:r>
        <w:rPr>
          <w:rFonts w:ascii="Arial" w:cs="Arial" w:eastAsia="Arial" w:hAnsi="Arial"/>
          <w:sz w:val="18"/>
          <w:szCs w:val="18"/>
          <w:color w:val="auto"/>
        </w:rPr>
        <w:t>Personal lines adjusted statutory combined ratio</w:t>
      </w:r>
    </w:p>
    <w:p>
      <w:pPr>
        <w:ind w:left="220"/>
        <w:spacing w:after="0"/>
        <w:rPr>
          <w:sz w:val="20"/>
          <w:szCs w:val="20"/>
          <w:color w:val="auto"/>
        </w:rPr>
      </w:pPr>
      <w:r>
        <w:rPr>
          <w:rFonts w:ascii="Arial" w:cs="Arial" w:eastAsia="Arial" w:hAnsi="Arial"/>
          <w:sz w:val="18"/>
          <w:szCs w:val="18"/>
          <w:color w:val="auto"/>
        </w:rPr>
        <w:t>Commercial lines adjusted statutory combined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178" w:lineRule="exact"/>
        <w:rPr>
          <w:sz w:val="20"/>
          <w:szCs w:val="20"/>
          <w:color w:val="auto"/>
        </w:rPr>
      </w:pPr>
    </w:p>
    <w:p>
      <w:pPr>
        <w:ind w:left="220" w:right="3280"/>
        <w:spacing w:after="0" w:line="265" w:lineRule="auto"/>
        <w:rPr>
          <w:sz w:val="20"/>
          <w:szCs w:val="20"/>
          <w:color w:val="auto"/>
        </w:rPr>
      </w:pPr>
      <w:r>
        <w:rPr>
          <w:rFonts w:ascii="Arial" w:cs="Arial" w:eastAsia="Arial" w:hAnsi="Arial"/>
          <w:sz w:val="17"/>
          <w:szCs w:val="17"/>
          <w:color w:val="auto"/>
        </w:rPr>
        <w:t>Prior accident year reserve development — redundancy Prior year salvage and subrogation recoveries collected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Total loss ratio points from prior accident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3036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Three months ended March 31</w:t>
      </w:r>
    </w:p>
    <w:p>
      <w:pPr>
        <w:ind w:left="400"/>
        <w:spacing w:after="0" w:line="236" w:lineRule="auto"/>
        <w:tabs>
          <w:tab w:leader="none" w:pos="2040" w:val="left"/>
        </w:tabs>
        <w:rPr>
          <w:sz w:val="20"/>
          <w:szCs w:val="20"/>
          <w:color w:val="auto"/>
        </w:rPr>
      </w:pPr>
      <w:r>
        <w:rPr>
          <w:rFonts w:ascii="Arial" w:cs="Arial" w:eastAsia="Arial" w:hAnsi="Arial"/>
          <w:sz w:val="14"/>
          <w:szCs w:val="14"/>
          <w:color w:val="auto"/>
        </w:rPr>
        <w:t>2007</w:t>
      </w:r>
      <w:r>
        <w:rPr>
          <w:sz w:val="20"/>
          <w:szCs w:val="20"/>
          <w:color w:val="auto"/>
        </w:rPr>
        <w:tab/>
      </w:r>
      <w:r>
        <w:rPr>
          <w:rFonts w:ascii="Arial" w:cs="Arial" w:eastAsia="Arial" w:hAnsi="Arial"/>
          <w:sz w:val="14"/>
          <w:szCs w:val="14"/>
          <w:color w:val="auto"/>
        </w:rPr>
        <w:t>2006</w:t>
      </w:r>
    </w:p>
    <w:tbl>
      <w:tblPr>
        <w:tblLayout w:type="fixed"/>
        <w:tblInd w:w="0" w:type="dxa"/>
        <w:tblCellMar>
          <w:top w:w="0" w:type="dxa"/>
          <w:left w:w="0" w:type="dxa"/>
          <w:bottom w:w="0" w:type="dxa"/>
          <w:right w:w="0" w:type="dxa"/>
        </w:tblCellMar>
      </w:tblPr>
      <w:tr>
        <w:trPr>
          <w:trHeight w:val="195"/>
        </w:trPr>
        <w:tc>
          <w:tcPr>
            <w:tcW w:w="110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rPr>
              <w:t>62.0%</w:t>
            </w:r>
          </w:p>
        </w:tc>
        <w:tc>
          <w:tcPr>
            <w:tcW w:w="560" w:type="dxa"/>
            <w:vAlign w:val="bottom"/>
          </w:tcPr>
          <w:p>
            <w:pPr>
              <w:spacing w:after="0"/>
              <w:rPr>
                <w:sz w:val="16"/>
                <w:szCs w:val="16"/>
                <w:color w:val="auto"/>
              </w:rPr>
            </w:pPr>
          </w:p>
        </w:tc>
        <w:tc>
          <w:tcPr>
            <w:tcW w:w="110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rPr>
              <w:t>55.6%</w:t>
            </w:r>
          </w:p>
        </w:tc>
      </w:tr>
      <w:tr>
        <w:trPr>
          <w:trHeight w:val="203"/>
        </w:trPr>
        <w:tc>
          <w:tcPr>
            <w:tcW w:w="11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89.2</w:t>
            </w:r>
          </w:p>
        </w:tc>
        <w:tc>
          <w:tcPr>
            <w:tcW w:w="166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86.5</w:t>
            </w:r>
          </w:p>
        </w:tc>
      </w:tr>
      <w:tr>
        <w:trPr>
          <w:trHeight w:val="203"/>
        </w:trPr>
        <w:tc>
          <w:tcPr>
            <w:tcW w:w="11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89.6</w:t>
            </w:r>
          </w:p>
        </w:tc>
        <w:tc>
          <w:tcPr>
            <w:tcW w:w="166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86.5</w:t>
            </w:r>
          </w:p>
        </w:tc>
      </w:tr>
      <w:tr>
        <w:trPr>
          <w:trHeight w:val="217"/>
        </w:trPr>
        <w:tc>
          <w:tcPr>
            <w:tcW w:w="1100" w:type="dxa"/>
            <w:vAlign w:val="bottom"/>
          </w:tcPr>
          <w:p>
            <w:pPr>
              <w:jc w:val="right"/>
              <w:ind w:right="250"/>
              <w:spacing w:after="0"/>
              <w:rPr>
                <w:sz w:val="20"/>
                <w:szCs w:val="20"/>
                <w:color w:val="auto"/>
              </w:rPr>
            </w:pPr>
            <w:r>
              <w:rPr>
                <w:rFonts w:ascii="Arial" w:cs="Arial" w:eastAsia="Arial" w:hAnsi="Arial"/>
                <w:sz w:val="18"/>
                <w:szCs w:val="18"/>
                <w:color w:val="auto"/>
              </w:rPr>
              <w:t>85.5</w:t>
            </w:r>
          </w:p>
        </w:tc>
        <w:tc>
          <w:tcPr>
            <w:tcW w:w="1660" w:type="dxa"/>
            <w:vAlign w:val="bottom"/>
            <w:gridSpan w:val="2"/>
          </w:tcPr>
          <w:p>
            <w:pPr>
              <w:jc w:val="right"/>
              <w:ind w:right="250"/>
              <w:spacing w:after="0"/>
              <w:rPr>
                <w:sz w:val="20"/>
                <w:szCs w:val="20"/>
                <w:color w:val="auto"/>
              </w:rPr>
            </w:pPr>
            <w:r>
              <w:rPr>
                <w:rFonts w:ascii="Arial" w:cs="Arial" w:eastAsia="Arial" w:hAnsi="Arial"/>
                <w:sz w:val="18"/>
                <w:szCs w:val="18"/>
                <w:color w:val="auto"/>
              </w:rPr>
              <w:t>82.3</w:t>
            </w:r>
          </w:p>
        </w:tc>
      </w:tr>
      <w:tr>
        <w:trPr>
          <w:trHeight w:val="391"/>
        </w:trPr>
        <w:tc>
          <w:tcPr>
            <w:tcW w:w="1100" w:type="dxa"/>
            <w:vAlign w:val="bottom"/>
          </w:tcPr>
          <w:p>
            <w:pPr>
              <w:jc w:val="right"/>
              <w:ind w:right="250"/>
              <w:spacing w:after="0"/>
              <w:rPr>
                <w:sz w:val="20"/>
                <w:szCs w:val="20"/>
                <w:color w:val="auto"/>
              </w:rPr>
            </w:pPr>
            <w:r>
              <w:rPr>
                <w:rFonts w:ascii="Arial" w:cs="Arial" w:eastAsia="Arial" w:hAnsi="Arial"/>
                <w:sz w:val="18"/>
                <w:szCs w:val="18"/>
                <w:color w:val="auto"/>
              </w:rPr>
              <w:t>81.8</w:t>
            </w:r>
          </w:p>
        </w:tc>
        <w:tc>
          <w:tcPr>
            <w:tcW w:w="1660" w:type="dxa"/>
            <w:vAlign w:val="bottom"/>
            <w:gridSpan w:val="2"/>
          </w:tcPr>
          <w:p>
            <w:pPr>
              <w:jc w:val="right"/>
              <w:ind w:right="250"/>
              <w:spacing w:after="0"/>
              <w:rPr>
                <w:sz w:val="20"/>
                <w:szCs w:val="20"/>
                <w:color w:val="auto"/>
              </w:rPr>
            </w:pPr>
            <w:r>
              <w:rPr>
                <w:rFonts w:ascii="Arial" w:cs="Arial" w:eastAsia="Arial" w:hAnsi="Arial"/>
                <w:sz w:val="18"/>
                <w:szCs w:val="18"/>
                <w:color w:val="auto"/>
              </w:rPr>
              <w:t>83.5</w:t>
            </w:r>
          </w:p>
        </w:tc>
      </w:tr>
      <w:tr>
        <w:trPr>
          <w:trHeight w:val="217"/>
        </w:trPr>
        <w:tc>
          <w:tcPr>
            <w:tcW w:w="1100" w:type="dxa"/>
            <w:vAlign w:val="bottom"/>
          </w:tcPr>
          <w:p>
            <w:pPr>
              <w:jc w:val="right"/>
              <w:ind w:right="250"/>
              <w:spacing w:after="0"/>
              <w:rPr>
                <w:sz w:val="20"/>
                <w:szCs w:val="20"/>
                <w:color w:val="auto"/>
              </w:rPr>
            </w:pPr>
            <w:r>
              <w:rPr>
                <w:rFonts w:ascii="Arial" w:cs="Arial" w:eastAsia="Arial" w:hAnsi="Arial"/>
                <w:sz w:val="18"/>
                <w:szCs w:val="18"/>
                <w:color w:val="auto"/>
              </w:rPr>
              <w:t>88.7</w:t>
            </w:r>
          </w:p>
        </w:tc>
        <w:tc>
          <w:tcPr>
            <w:tcW w:w="1660" w:type="dxa"/>
            <w:vAlign w:val="bottom"/>
            <w:gridSpan w:val="2"/>
          </w:tcPr>
          <w:p>
            <w:pPr>
              <w:jc w:val="right"/>
              <w:ind w:right="250"/>
              <w:spacing w:after="0"/>
              <w:rPr>
                <w:sz w:val="20"/>
                <w:szCs w:val="20"/>
                <w:color w:val="auto"/>
              </w:rPr>
            </w:pPr>
            <w:r>
              <w:rPr>
                <w:rFonts w:ascii="Arial" w:cs="Arial" w:eastAsia="Arial" w:hAnsi="Arial"/>
                <w:sz w:val="18"/>
                <w:szCs w:val="18"/>
                <w:color w:val="auto"/>
              </w:rPr>
              <w:t>73.6</w:t>
            </w:r>
          </w:p>
        </w:tc>
      </w:tr>
      <w:tr>
        <w:trPr>
          <w:trHeight w:val="391"/>
        </w:trPr>
        <w:tc>
          <w:tcPr>
            <w:tcW w:w="1100" w:type="dxa"/>
            <w:vAlign w:val="bottom"/>
          </w:tcPr>
          <w:p>
            <w:pPr>
              <w:jc w:val="right"/>
              <w:ind w:right="190"/>
              <w:spacing w:after="0"/>
              <w:rPr>
                <w:sz w:val="20"/>
                <w:szCs w:val="20"/>
                <w:color w:val="auto"/>
              </w:rPr>
            </w:pPr>
            <w:r>
              <w:rPr>
                <w:rFonts w:ascii="Arial" w:cs="Arial" w:eastAsia="Arial" w:hAnsi="Arial"/>
                <w:sz w:val="18"/>
                <w:szCs w:val="18"/>
                <w:color w:val="auto"/>
              </w:rPr>
              <w:t>(10.3)</w:t>
            </w:r>
          </w:p>
        </w:tc>
        <w:tc>
          <w:tcPr>
            <w:tcW w:w="1660" w:type="dxa"/>
            <w:vAlign w:val="bottom"/>
            <w:gridSpan w:val="2"/>
          </w:tcPr>
          <w:p>
            <w:pPr>
              <w:jc w:val="right"/>
              <w:ind w:right="190"/>
              <w:spacing w:after="0"/>
              <w:rPr>
                <w:sz w:val="20"/>
                <w:szCs w:val="20"/>
                <w:color w:val="auto"/>
              </w:rPr>
            </w:pPr>
            <w:r>
              <w:rPr>
                <w:rFonts w:ascii="Arial" w:cs="Arial" w:eastAsia="Arial" w:hAnsi="Arial"/>
                <w:sz w:val="18"/>
                <w:szCs w:val="18"/>
                <w:color w:val="auto"/>
              </w:rPr>
              <w:t>(7.9)</w:t>
            </w:r>
          </w:p>
        </w:tc>
      </w:tr>
      <w:tr>
        <w:trPr>
          <w:trHeight w:val="203"/>
        </w:trPr>
        <w:tc>
          <w:tcPr>
            <w:tcW w:w="11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(3.1)</w:t>
            </w:r>
          </w:p>
        </w:tc>
        <w:tc>
          <w:tcPr>
            <w:tcW w:w="1660" w:type="dxa"/>
            <w:vAlign w:val="bottom"/>
            <w:tcBorders>
              <w:bottom w:val="single" w:sz="8" w:color="auto"/>
            </w:tcBorders>
            <w:gridSpan w:val="2"/>
          </w:tcPr>
          <w:p>
            <w:pPr>
              <w:jc w:val="right"/>
              <w:ind w:right="190"/>
              <w:spacing w:after="0" w:line="203" w:lineRule="exact"/>
              <w:rPr>
                <w:sz w:val="20"/>
                <w:szCs w:val="20"/>
                <w:color w:val="auto"/>
              </w:rPr>
            </w:pPr>
            <w:r>
              <w:rPr>
                <w:rFonts w:ascii="Arial" w:cs="Arial" w:eastAsia="Arial" w:hAnsi="Arial"/>
                <w:sz w:val="18"/>
                <w:szCs w:val="18"/>
                <w:color w:val="auto"/>
              </w:rPr>
              <w:t>(3.1)</w:t>
            </w:r>
          </w:p>
        </w:tc>
      </w:tr>
      <w:tr>
        <w:trPr>
          <w:trHeight w:val="210"/>
        </w:trPr>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(13.4)%</w:t>
            </w:r>
          </w:p>
        </w:tc>
        <w:tc>
          <w:tcPr>
            <w:tcW w:w="16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(11.0)%</w:t>
            </w: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40" w:space="720"/>
            <w:col w:w="2760"/>
          </w:cols>
          <w:pgMar w:left="240" w:top="419" w:right="239" w:bottom="1440" w:gutter="0" w:footer="0" w:header="0"/>
          <w:type w:val="continuous"/>
        </w:sectPr>
      </w:pPr>
    </w:p>
    <w:p>
      <w:pPr>
        <w:spacing w:after="0" w:line="191" w:lineRule="exact"/>
        <w:rPr>
          <w:sz w:val="20"/>
          <w:szCs w:val="20"/>
          <w:color w:val="auto"/>
        </w:rPr>
      </w:pPr>
    </w:p>
    <w:p>
      <w:pPr>
        <w:ind w:left="460" w:right="660" w:hanging="452"/>
        <w:spacing w:after="0" w:line="246"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GAAP combined ratio represents the ratio of losses, loss adjustment, acquisition and other underwriting expenses incurred to premiums earned.</w:t>
      </w:r>
    </w:p>
    <w:p>
      <w:pPr>
        <w:spacing w:after="0" w:line="48"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adjusted statutory combined ratio removes the profit component of the management fee we earn.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560"/>
        <w:spacing w:after="0" w:line="360" w:lineRule="auto"/>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 </w:t>
      </w:r>
      <w:r>
        <w:rPr>
          <w:rFonts w:ascii="Arial" w:cs="Arial" w:eastAsia="Arial" w:hAnsi="Arial"/>
          <w:sz w:val="18"/>
          <w:szCs w:val="18"/>
          <w:b w:val="1"/>
          <w:bCs w:val="1"/>
          <w:color w:val="auto"/>
        </w:rPr>
        <w:t>Development of direct loss reserves</w:t>
      </w:r>
    </w:p>
    <w:p>
      <w:pPr>
        <w:spacing w:after="0" w:line="236" w:lineRule="auto"/>
        <w:rPr>
          <w:sz w:val="20"/>
          <w:szCs w:val="20"/>
          <w:color w:val="auto"/>
        </w:rPr>
      </w:pPr>
      <w:r>
        <w:rPr>
          <w:rFonts w:ascii="Arial" w:cs="Arial" w:eastAsia="Arial" w:hAnsi="Arial"/>
          <w:sz w:val="18"/>
          <w:szCs w:val="18"/>
          <w:color w:val="auto"/>
        </w:rPr>
        <w:t>Our 5.5% share of the Property and Casualty Group’s development of prior accident year losses, after removing the effects of salvage and subrogation recoveries, had a $5.4 million favorable impact in the first quarter of 2007, which improved the loss ratio by 10.3 points. A majority of the improvements related to frequency and severity trends on the automobile bodily injury and uninsured/underinsured motorist bodily injury. These trends reflect results from the Claims IMPACT initiative and changes in the way these claims are settled in Pennsylvania. Overall our personal auto loss trends remain favorable, which is consistent with industry projections. In the first quarter of 2006, favorable development of prior accident year losses, removing the effects of salvage and subrogation recoveries, was $4.3 million, primarily experienced in personal auto, homeowners and workers compensation lines of business. Severity trends were flattening in the first quarter of 2006 compared to those anticipated based on historical patterns.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Catastrophe losses</w:t>
      </w:r>
    </w:p>
    <w:p>
      <w:pPr>
        <w:spacing w:after="0" w:line="126"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Our share of catastrophe losses as defined by the Property and Casualty Group amounted to $0.3 million in each of the first quarters of 2007 and 2006. These catastrophe losses contributed 0.5 points and 0.6 points to the GAAP combined ratio in the first quarters of 2007 and 2006, respectively. Underwriting losses are seasonally higher in the second and fourth quarters and as a consequence, our property/casualty combined ratio generally increases as the year progresses. In the first quarter of 2007, our share of the reduction to incurred but not reported reserves related to seasonality adjustments was $3.3 million, compared to $2.3 million in the first quarter of 2006.</w:t>
      </w:r>
    </w:p>
    <w:p>
      <w:pPr>
        <w:spacing w:after="0" w:line="9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While the Property and Casualty Group did not renew the intercompany excess-of-loss reinsurance agreement for accident years 2006 and 2007, the unexpired accident years of 2001 through 2005 will be settled and losses commuted in accordance with the agreement as the 60-month periods expire. Any charges and recoveries under the agreement are recorded to our loss and loss adjustment expenses on the Consolidated Statements of Operations. Through March 31, 2007, none of the unexpired accident years have been triggered under the agreement. In the first quarter of 2007, $6.8 million was received from the Exchange for cash settlement of the 2001 accident year, which had been commuted as of December 31, 2006. The 2006 accident year has been commuted as of December 31, 2005, with settlement of the cash payment of the $1.7 million received from the Exchange occurring in the first quarter of 2006.</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20"/>
        <w:spacing w:after="0" w:line="371" w:lineRule="auto"/>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 </w:t>
      </w:r>
      <w:r>
        <w:rPr>
          <w:rFonts w:ascii="Arial" w:cs="Arial" w:eastAsia="Arial" w:hAnsi="Arial"/>
          <w:sz w:val="18"/>
          <w:szCs w:val="18"/>
          <w:i w:val="1"/>
          <w:iCs w:val="1"/>
          <w:u w:val="single" w:color="auto"/>
          <w:color w:val="auto"/>
        </w:rPr>
        <w:t>Investment Operations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00" w:type="dxa"/>
            <w:vAlign w:val="bottom"/>
            <w:gridSpan w:val="4"/>
          </w:tcPr>
          <w:p>
            <w:pPr>
              <w:ind w:left="60"/>
              <w:spacing w:after="0"/>
              <w:rPr>
                <w:sz w:val="20"/>
                <w:szCs w:val="20"/>
                <w:color w:val="auto"/>
              </w:rPr>
            </w:pPr>
            <w:r>
              <w:rPr>
                <w:rFonts w:ascii="Arial" w:cs="Arial" w:eastAsia="Arial" w:hAnsi="Arial"/>
                <w:sz w:val="14"/>
                <w:szCs w:val="14"/>
                <w:color w:val="auto"/>
              </w:rPr>
              <w:t>Three months ended March 31</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920" w:type="dxa"/>
            <w:vAlign w:val="bottom"/>
            <w:tcBorders>
              <w:bottom w:val="single" w:sz="8" w:color="auto"/>
            </w:tcBorders>
          </w:tcPr>
          <w:p>
            <w:pPr>
              <w:jc w:val="right"/>
              <w:ind w:right="113"/>
              <w:spacing w:after="0" w:line="157" w:lineRule="exact"/>
              <w:rPr>
                <w:sz w:val="20"/>
                <w:szCs w:val="20"/>
                <w:color w:val="auto"/>
              </w:rPr>
            </w:pPr>
            <w:r>
              <w:rPr>
                <w:rFonts w:ascii="Arial" w:cs="Arial" w:eastAsia="Arial" w:hAnsi="Arial"/>
                <w:sz w:val="14"/>
                <w:szCs w:val="14"/>
                <w:color w:val="auto"/>
              </w:rPr>
              <w:t>2007</w:t>
            </w:r>
          </w:p>
        </w:tc>
        <w:tc>
          <w:tcPr>
            <w:tcW w:w="22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Borders>
              <w:bottom w:val="single" w:sz="8" w:color="auto"/>
            </w:tcBorders>
          </w:tcPr>
          <w:p>
            <w:pPr>
              <w:jc w:val="right"/>
              <w:ind w:right="388"/>
              <w:spacing w:after="0" w:line="157" w:lineRule="exact"/>
              <w:rPr>
                <w:sz w:val="20"/>
                <w:szCs w:val="20"/>
                <w:color w:val="auto"/>
              </w:rPr>
            </w:pPr>
            <w:r>
              <w:rPr>
                <w:rFonts w:ascii="Arial" w:cs="Arial" w:eastAsia="Arial" w:hAnsi="Arial"/>
                <w:sz w:val="14"/>
                <w:szCs w:val="14"/>
                <w:color w:val="auto"/>
              </w:rPr>
              <w:t>2006</w:t>
            </w:r>
          </w:p>
        </w:tc>
        <w:tc>
          <w:tcPr>
            <w:tcW w:w="200" w:type="dxa"/>
            <w:vAlign w:val="bottom"/>
          </w:tcPr>
          <w:p>
            <w:pPr>
              <w:spacing w:after="0"/>
              <w:rPr>
                <w:sz w:val="13"/>
                <w:szCs w:val="13"/>
                <w:color w:val="auto"/>
              </w:rPr>
            </w:pPr>
          </w:p>
        </w:tc>
        <w:tc>
          <w:tcPr>
            <w:tcW w:w="920" w:type="dxa"/>
            <w:vAlign w:val="bottom"/>
            <w:tcBorders>
              <w:bottom w:val="single" w:sz="8" w:color="auto"/>
            </w:tcBorders>
          </w:tcPr>
          <w:p>
            <w:pPr>
              <w:jc w:val="right"/>
              <w:ind w:right="33"/>
              <w:spacing w:after="0" w:line="157"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56"/>
        </w:trPr>
        <w:tc>
          <w:tcPr>
            <w:tcW w:w="7480" w:type="dxa"/>
            <w:vAlign w:val="bottom"/>
            <w:gridSpan w:val="2"/>
          </w:tcPr>
          <w:p>
            <w:pPr>
              <w:spacing w:after="0" w:line="155" w:lineRule="exact"/>
              <w:rPr>
                <w:sz w:val="20"/>
                <w:szCs w:val="20"/>
                <w:color w:val="auto"/>
              </w:rPr>
            </w:pPr>
            <w:r>
              <w:rPr>
                <w:rFonts w:ascii="Arial" w:cs="Arial" w:eastAsia="Arial" w:hAnsi="Arial"/>
                <w:sz w:val="14"/>
                <w:szCs w:val="14"/>
                <w:color w:val="auto"/>
              </w:rPr>
              <w:t>(in thousands)</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20" w:type="dxa"/>
            <w:vAlign w:val="bottom"/>
            <w:gridSpan w:val="2"/>
          </w:tcPr>
          <w:p>
            <w:pPr>
              <w:ind w:left="220"/>
              <w:spacing w:after="0" w:line="155" w:lineRule="exact"/>
              <w:rPr>
                <w:sz w:val="20"/>
                <w:szCs w:val="20"/>
                <w:color w:val="auto"/>
              </w:rPr>
            </w:pPr>
            <w:r>
              <w:rPr>
                <w:rFonts w:ascii="Arial" w:cs="Arial" w:eastAsia="Arial" w:hAnsi="Arial"/>
                <w:sz w:val="14"/>
                <w:szCs w:val="14"/>
                <w:color w:val="auto"/>
              </w:rPr>
              <w:t>(Unaudited)</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investment income</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$ 13,978</w:t>
            </w:r>
          </w:p>
        </w:tc>
        <w:tc>
          <w:tcPr>
            <w:tcW w:w="1900" w:type="dxa"/>
            <w:vAlign w:val="bottom"/>
            <w:gridSpan w:val="3"/>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$ 15,000</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19"/>
        </w:trPr>
        <w:tc>
          <w:tcPr>
            <w:tcW w:w="7480" w:type="dxa"/>
            <w:vAlign w:val="bottom"/>
            <w:gridSpan w:val="2"/>
          </w:tcPr>
          <w:p>
            <w:pPr>
              <w:spacing w:after="0"/>
              <w:rPr>
                <w:sz w:val="20"/>
                <w:szCs w:val="20"/>
                <w:color w:val="auto"/>
              </w:rPr>
            </w:pPr>
            <w:r>
              <w:rPr>
                <w:rFonts w:ascii="Arial" w:cs="Arial" w:eastAsia="Arial" w:hAnsi="Arial"/>
                <w:sz w:val="18"/>
                <w:szCs w:val="18"/>
                <w:color w:val="auto"/>
              </w:rPr>
              <w:t>Net realized gains on investments</w:t>
            </w:r>
          </w:p>
        </w:tc>
        <w:tc>
          <w:tcPr>
            <w:tcW w:w="920" w:type="dxa"/>
            <w:vAlign w:val="bottom"/>
          </w:tcPr>
          <w:p>
            <w:pPr>
              <w:jc w:val="right"/>
              <w:spacing w:after="0"/>
              <w:rPr>
                <w:sz w:val="20"/>
                <w:szCs w:val="20"/>
                <w:color w:val="auto"/>
              </w:rPr>
            </w:pPr>
            <w:r>
              <w:rPr>
                <w:rFonts w:ascii="Arial" w:cs="Arial" w:eastAsia="Arial" w:hAnsi="Arial"/>
                <w:sz w:val="18"/>
                <w:szCs w:val="18"/>
                <w:color w:val="auto"/>
              </w:rPr>
              <w:t>1,890</w:t>
            </w:r>
          </w:p>
        </w:tc>
        <w:tc>
          <w:tcPr>
            <w:tcW w:w="1900" w:type="dxa"/>
            <w:vAlign w:val="bottom"/>
            <w:gridSpan w:val="3"/>
          </w:tcPr>
          <w:p>
            <w:pPr>
              <w:jc w:val="right"/>
              <w:ind w:right="268"/>
              <w:spacing w:after="0"/>
              <w:rPr>
                <w:sz w:val="20"/>
                <w:szCs w:val="20"/>
                <w:color w:val="auto"/>
              </w:rPr>
            </w:pPr>
            <w:r>
              <w:rPr>
                <w:rFonts w:ascii="Arial" w:cs="Arial" w:eastAsia="Arial" w:hAnsi="Arial"/>
                <w:sz w:val="18"/>
                <w:szCs w:val="18"/>
                <w:color w:val="auto"/>
              </w:rPr>
              <w:t>784</w:t>
            </w:r>
          </w:p>
        </w:tc>
        <w:tc>
          <w:tcPr>
            <w:tcW w:w="200" w:type="dxa"/>
            <w:vAlign w:val="bottom"/>
          </w:tcPr>
          <w:p>
            <w:pPr>
              <w:spacing w:after="0"/>
              <w:rPr>
                <w:sz w:val="24"/>
                <w:szCs w:val="24"/>
                <w:color w:val="auto"/>
              </w:rPr>
            </w:pPr>
          </w:p>
        </w:tc>
        <w:tc>
          <w:tcPr>
            <w:tcW w:w="920" w:type="dxa"/>
            <w:vAlign w:val="bottom"/>
          </w:tcPr>
          <w:p>
            <w:pPr>
              <w:jc w:val="right"/>
              <w:ind w:right="23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in earnings of limited partnerships</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12,518</w:t>
            </w:r>
          </w:p>
        </w:tc>
        <w:tc>
          <w:tcPr>
            <w:tcW w:w="1900" w:type="dxa"/>
            <w:vAlign w:val="bottom"/>
            <w:gridSpan w:val="3"/>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4,142</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412"/>
        </w:trPr>
        <w:tc>
          <w:tcPr>
            <w:tcW w:w="7480" w:type="dxa"/>
            <w:vAlign w:val="bottom"/>
            <w:gridSpan w:val="2"/>
          </w:tcPr>
          <w:p>
            <w:pPr>
              <w:spacing w:after="0"/>
              <w:rPr>
                <w:sz w:val="20"/>
                <w:szCs w:val="20"/>
                <w:color w:val="auto"/>
              </w:rPr>
            </w:pPr>
            <w:r>
              <w:rPr>
                <w:rFonts w:ascii="Arial" w:cs="Arial" w:eastAsia="Arial" w:hAnsi="Arial"/>
                <w:sz w:val="18"/>
                <w:szCs w:val="18"/>
                <w:color w:val="auto"/>
              </w:rPr>
              <w:t>Equity in earnings of EFL</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190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8"/>
                <w:szCs w:val="18"/>
                <w:color w:val="auto"/>
              </w:rPr>
              <w:t>651</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 from investment operations</w:t>
            </w: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$29,752</w:t>
            </w:r>
          </w:p>
        </w:tc>
        <w:tc>
          <w:tcPr>
            <w:tcW w:w="1900" w:type="dxa"/>
            <w:vAlign w:val="bottom"/>
            <w:tcBorders>
              <w:bottom w:val="single" w:sz="8" w:color="auto"/>
            </w:tcBorders>
            <w:gridSpan w:val="3"/>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$20,577</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NM = not meaningful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POINTS</w:t>
      </w:r>
    </w:p>
    <w:p>
      <w:pPr>
        <w:spacing w:after="0" w:line="126" w:lineRule="exact"/>
        <w:rPr>
          <w:sz w:val="20"/>
          <w:szCs w:val="20"/>
          <w:color w:val="auto"/>
        </w:rPr>
      </w:pPr>
    </w:p>
    <w:p>
      <w:pPr>
        <w:ind w:left="660" w:right="720" w:hanging="436"/>
        <w:spacing w:after="0" w:line="246"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Net investment income decreased 6.8% for the quarter as a result of lower invested asset balances due to prior period’s share repurchase activity.</w:t>
      </w:r>
    </w:p>
    <w:p>
      <w:pPr>
        <w:spacing w:after="0" w:line="102" w:lineRule="exact"/>
        <w:rPr>
          <w:rFonts w:ascii="Arial" w:cs="Arial" w:eastAsia="Arial" w:hAnsi="Arial"/>
          <w:sz w:val="18"/>
          <w:szCs w:val="18"/>
          <w:b w:val="1"/>
          <w:bCs w:val="1"/>
          <w:color w:val="auto"/>
        </w:rPr>
      </w:pPr>
    </w:p>
    <w:p>
      <w:pPr>
        <w:ind w:left="660" w:right="940" w:hanging="436"/>
        <w:spacing w:after="0" w:line="246"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net realized gains on investments in the first quarter of 2007 include $0.7 million from impairment charges compared to $2.0 million in the first quarter of 2006.</w:t>
      </w:r>
    </w:p>
    <w:p>
      <w:pPr>
        <w:spacing w:after="0" w:line="102"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Equity in earnings of limited partnerships increased $8.4 million in the first quarter of 2007 due to favorable market conditions.</w:t>
      </w:r>
    </w:p>
    <w:p>
      <w:pPr>
        <w:spacing w:after="0" w:line="104"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Net realized gains and losses on investments included impairment charges of $0.7 million and $2.0 million on fixed maturity and equity securities in the first quarter of 2007 and 2006, respectively. Included in these amounts were impairment charges on equity securities of $0.4 million and $1.1 million for the three months ended March 31, 2007 and 2006, respectively. Impairment charges on fixed maturities totaled $0.3 million and $0.9 million for the three months ended March 31, 2007 and 2006, respectively.</w:t>
      </w:r>
    </w:p>
    <w:p>
      <w:pPr>
        <w:spacing w:after="0" w:line="94"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Private equity and mezzanine debt limited partnerships generated earnings of $6.0 million and $ 2.3 million for the quarters ended March 31, 2007 and 2006, respectively. Real estate limited partnerships generated earnings of $6.5 million and $1.8 million in the first quarters of 2007 and 2006, respectively. Optimal market conditions resulted in a higher return on capital on mezzanine debt and private equity partnership investments by some of our more seasoned limited partnerships and appreciation of commercial properties owned by our real estate limited partnerships.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Provision for Income Taxes</w:t>
      </w:r>
    </w:p>
    <w:p>
      <w:pPr>
        <w:spacing w:after="0" w:line="12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Our 2007 provision for income taxes was based on an annualized effective income tax rate of 32.7% in the first quarter of 2007. However, the first quarter 2007 provision was reduced by $2.1 million due to a change to the deferred income tax calculation related to anticipated salvage and subrogation and an estimated $0.4 million recoverable recorded for the Internal Revenue Service audit for the years 2003 and 2004, somewhat offset by $0.8 million of interest expense on uncertain tax positions recorded in accordance with Financial Accounting Standards Interpretation 48, “Accounting for Uncertainty in Income Taxes”.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w:t>
      </w:r>
    </w:p>
    <w:p>
      <w:pPr>
        <w:spacing w:after="0" w:line="122"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Our investment strategy takes a long-term perspective emphasizing investment quality, diversification and superior investment returns. Investments are managed on a total return approach that focuses on current income and capital appreciation. Our investment strategy also provides for liquidity to meet our short- and long-term commitments. At March 31, 2007, our investment portfolio of investment-grade bonds and preferred stock, common stock and cash and cash equivalents represents $1.1 billion, or 35.3%, of total assets. These investments provide the liquidity we require to meet the demands on our funds.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2007, we repurchased 282,539 shares of our outstanding Class A common stock at a cost of</w:t>
      </w:r>
    </w:p>
    <w:p>
      <w:pPr>
        <w:ind w:right="80"/>
        <w:spacing w:after="0" w:line="246" w:lineRule="auto"/>
        <w:rPr>
          <w:sz w:val="20"/>
          <w:szCs w:val="20"/>
          <w:color w:val="auto"/>
        </w:rPr>
      </w:pPr>
      <w:r>
        <w:rPr>
          <w:rFonts w:ascii="Arial" w:cs="Arial" w:eastAsia="Arial" w:hAnsi="Arial"/>
          <w:sz w:val="18"/>
          <w:szCs w:val="18"/>
          <w:color w:val="auto"/>
        </w:rPr>
        <w:t>$15.1 million in conjunction with the continuation of the stock repurchase plan. We continued to use available funds to repurchase shares thus limiting the funds available for investment operations.</w:t>
      </w:r>
    </w:p>
    <w:p>
      <w:pPr>
        <w:spacing w:after="0" w:line="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investments are subject to certain risks, including interest rate and price risk. Our exposure to interest rates is concentrated in our fixed maturities portfolio. The fixed maturities portfolio comprises 62% and 63% of invested assets at March 31, 2007 and December 31, 2006, respectively. We calculate the duration and convexity of the fixed maturities portfolio each month to measure the price sensitivity of the portfolio to interest rate changes. Duration measures the relative sensitivity of the fair value of an investment to changes in interest rates. Convexity measures the rate of change of duration with respect to changes in interest rates. These factors are analyzed monthly to ensure that both the duration and convexity remain in the targeted ranges established by management.</w:t>
      </w:r>
    </w:p>
    <w:p>
      <w:pPr>
        <w:spacing w:after="0" w:line="97"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We continually review the investment portfolio to evaluate positions that might incur other-than-temporary declines in value. For all investment holdings, general economic conditions and/or conditions specifically affecting the underlying issuer or its industry, including downgrades by the major rating agencies, are considered in evaluating impairment in value. In addition to specific factors, other factors considered in our review of investment valuation are the length of time and amount the market value is below cost.</w:t>
      </w:r>
    </w:p>
    <w:p>
      <w:pPr>
        <w:spacing w:after="0" w:line="9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There is a presumption of impairment for common equity securities when the decline is, in management’s opinion significant and of an extended duration. We consider market conditions, industry characteristics and the fundamental operating results of the issuer to determine if sufficient objective evidence exists to refute the presumption of impairment. When the presumption of impairment is confirmed, we will recognize an impairment charge to operations. Impairments are included in realized losses in the Consolidated Statements of Operations.</w:t>
      </w:r>
    </w:p>
    <w:p>
      <w:pPr>
        <w:spacing w:after="0" w:line="94"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For fixed maturity and preferred stock investments, we individually analyze all positions with emphasis on those that have, in management’s opinion, declined significantly below cost. We consider market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0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conditions, industry characteristics and the fundamental operating results of the issuer to determine if the decline is due to changes in interest rates, changes relating to a decline in credit quality, or other issues affecting the investment. A charge is recorded in the Consolidated Statements of Operations for positions that have experienced other-than-temporary impairments due to credit quality or other factors, or for which it is not our intent or ability to hold the position until recovery has occurred. (See “Analysis of Investment Operations” section).</w:t>
      </w:r>
    </w:p>
    <w:p>
      <w:pPr>
        <w:spacing w:after="0" w:line="9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If our policy for determining the recognition of impaired positions were different, our Consolidated Results of Operations could be significantly impacted. Management believes its investment valuation philosophy and accounting practices result in appropriate and timely measurement of value and recognition of impairment.</w:t>
      </w:r>
    </w:p>
    <w:p>
      <w:pPr>
        <w:spacing w:after="0" w:line="9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Our portfolio of marketable equity securities, which is carried on the Consolidated Statements of Financial Position at estimated fair value, has exposure to price risk, the risk of potential loss in estimated fair value resulting from an adverse change in prices. We do not hedge our exposure to equity price risk inherent in our equity investments. Our objective is to earn competitive relative returns by investing in a diverse portfolio of high-quality, liquid securities. Portfolio holdings are diversified across industries and among exchange traded mid- to large-cap stocks. We measure risk by comparing the performance of the marketable equity portfolio to benchmark returns such as the S&amp;P 500.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Property/casualty loss reserves</w:t>
      </w:r>
    </w:p>
    <w:p>
      <w:pPr>
        <w:spacing w:after="0" w:line="122"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Loss reserves are established to account for the estimated ultimate costs of loss and loss adjustment expenses for claims that have been reported but not yet settled and claims that have been incurred but not reported.</w:t>
      </w:r>
    </w:p>
    <w:p>
      <w:pPr>
        <w:spacing w:after="0" w:line="89"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The factors which may potentially cause the greatest variation between current reserve estimates and the actual future paid amounts are: unforeseen changes in statutory or case law altering the amounts to be paid on existing claim obligations, new medical procedures and/or drugs whose cost is significantly different from that seen in the past, and claims patterns on current business that differ significantly from historical claims patterns.</w:t>
      </w:r>
    </w:p>
    <w:p>
      <w:pPr>
        <w:spacing w:after="0" w:line="9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Loss and loss adjustment expense reserves are presented on our Consolidated Statements of Financial Position on a gross basis for EIC, EINY, and EIPC, our property/casualty insurance subsidiaries that wrote about 16% of the direct property/casualty premiums of the Property and Casualty Group. Under the terms of the Property and Casualty Group’s quota share and intercompany pooling arrangement, a significant portion of these reserve liabilities are recoverable. Recoverable amounts are reflected as an asset on our Consolidated Statements of Financial Position. The direct and assumed loss and loss adjustment expense reserves by major line of business and the related amount recoverable under the intercompany pooling arrangement are presented below:</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color w:val="auto"/>
              </w:rPr>
              <w:t>As of</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color w:val="auto"/>
              </w:rPr>
              <w:t>March 31,</w:t>
            </w:r>
          </w:p>
        </w:tc>
        <w:tc>
          <w:tcPr>
            <w:tcW w:w="5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color w:val="auto"/>
              </w:rPr>
              <w:t>December 31,</w:t>
            </w:r>
          </w:p>
        </w:tc>
      </w:tr>
      <w:tr>
        <w:trPr>
          <w:trHeight w:val="157"/>
        </w:trPr>
        <w:tc>
          <w:tcPr>
            <w:tcW w:w="8820" w:type="dxa"/>
            <w:vAlign w:val="bottom"/>
          </w:tcPr>
          <w:p>
            <w:pPr>
              <w:spacing w:after="0" w:line="157" w:lineRule="exact"/>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2"/>
              <w:spacing w:after="0" w:line="157" w:lineRule="exact"/>
              <w:rPr>
                <w:sz w:val="20"/>
                <w:szCs w:val="20"/>
                <w:color w:val="auto"/>
              </w:rPr>
            </w:pPr>
            <w:r>
              <w:rPr>
                <w:rFonts w:ascii="Arial" w:cs="Arial" w:eastAsia="Arial" w:hAnsi="Arial"/>
                <w:sz w:val="14"/>
                <w:szCs w:val="14"/>
                <w:color w:val="auto"/>
              </w:rPr>
              <w:t>2007</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1"/>
              <w:spacing w:after="0" w:line="157" w:lineRule="exact"/>
              <w:rPr>
                <w:sz w:val="20"/>
                <w:szCs w:val="20"/>
                <w:color w:val="auto"/>
              </w:rPr>
            </w:pPr>
            <w:r>
              <w:rPr>
                <w:rFonts w:ascii="Arial" w:cs="Arial" w:eastAsia="Arial" w:hAnsi="Arial"/>
                <w:sz w:val="14"/>
                <w:szCs w:val="14"/>
                <w:color w:val="auto"/>
              </w:rPr>
              <w:t>2006</w:t>
            </w:r>
          </w:p>
        </w:tc>
        <w:tc>
          <w:tcPr>
            <w:tcW w:w="100" w:type="dxa"/>
            <w:vAlign w:val="bottom"/>
          </w:tcPr>
          <w:p>
            <w:pPr>
              <w:spacing w:after="0"/>
              <w:rPr>
                <w:sz w:val="13"/>
                <w:szCs w:val="13"/>
                <w:color w:val="auto"/>
              </w:rPr>
            </w:pPr>
          </w:p>
        </w:tc>
      </w:tr>
      <w:tr>
        <w:trPr>
          <w:trHeight w:val="196"/>
        </w:trPr>
        <w:tc>
          <w:tcPr>
            <w:tcW w:w="8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reserve liability</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820" w:type="dxa"/>
            <w:vAlign w:val="bottom"/>
          </w:tcPr>
          <w:p>
            <w:pPr>
              <w:ind w:left="220"/>
              <w:spacing w:after="0" w:line="202" w:lineRule="exact"/>
              <w:rPr>
                <w:sz w:val="20"/>
                <w:szCs w:val="20"/>
                <w:color w:val="auto"/>
              </w:rPr>
            </w:pPr>
            <w:r>
              <w:rPr>
                <w:rFonts w:ascii="Arial" w:cs="Arial" w:eastAsia="Arial" w:hAnsi="Arial"/>
                <w:sz w:val="18"/>
                <w:szCs w:val="18"/>
                <w:color w:val="auto"/>
              </w:rPr>
              <w:t>Personal lines: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8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Private passenger auto</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355,450</w:t>
            </w:r>
          </w:p>
        </w:tc>
        <w:tc>
          <w:tcPr>
            <w:tcW w:w="68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373,108</w:t>
            </w:r>
          </w:p>
        </w:tc>
      </w:tr>
      <w:tr>
        <w:trPr>
          <w:trHeight w:val="203"/>
        </w:trPr>
        <w:tc>
          <w:tcPr>
            <w:tcW w:w="8820" w:type="dxa"/>
            <w:vAlign w:val="bottom"/>
          </w:tcPr>
          <w:p>
            <w:pPr>
              <w:ind w:left="420"/>
              <w:spacing w:after="0" w:line="202" w:lineRule="exact"/>
              <w:rPr>
                <w:sz w:val="20"/>
                <w:szCs w:val="20"/>
                <w:color w:val="auto"/>
              </w:rPr>
            </w:pPr>
            <w:r>
              <w:rPr>
                <w:rFonts w:ascii="Arial" w:cs="Arial" w:eastAsia="Arial" w:hAnsi="Arial"/>
                <w:sz w:val="18"/>
                <w:szCs w:val="18"/>
                <w:color w:val="auto"/>
              </w:rPr>
              <w:t>Catastrophic injury</w:t>
            </w:r>
          </w:p>
        </w:tc>
        <w:tc>
          <w:tcPr>
            <w:tcW w:w="12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188,774</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196,306</w:t>
            </w:r>
          </w:p>
        </w:tc>
      </w:tr>
      <w:tr>
        <w:trPr>
          <w:trHeight w:val="203"/>
        </w:trPr>
        <w:tc>
          <w:tcPr>
            <w:tcW w:w="88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Homeowners</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28,742</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27,224</w:t>
            </w:r>
          </w:p>
        </w:tc>
      </w:tr>
      <w:tr>
        <w:trPr>
          <w:trHeight w:val="203"/>
        </w:trPr>
        <w:tc>
          <w:tcPr>
            <w:tcW w:w="8820" w:type="dxa"/>
            <w:vAlign w:val="bottom"/>
          </w:tcPr>
          <w:p>
            <w:pPr>
              <w:ind w:left="420"/>
              <w:spacing w:after="0" w:line="202" w:lineRule="exact"/>
              <w:rPr>
                <w:sz w:val="20"/>
                <w:szCs w:val="20"/>
                <w:color w:val="auto"/>
              </w:rPr>
            </w:pPr>
            <w:r>
              <w:rPr>
                <w:rFonts w:ascii="Arial" w:cs="Arial" w:eastAsia="Arial" w:hAnsi="Arial"/>
                <w:sz w:val="18"/>
                <w:szCs w:val="18"/>
                <w:color w:val="auto"/>
              </w:rPr>
              <w:t>Other personal</w:t>
            </w:r>
          </w:p>
        </w:tc>
        <w:tc>
          <w:tcPr>
            <w:tcW w:w="12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10,802</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11,416</w:t>
            </w:r>
          </w:p>
        </w:tc>
      </w:tr>
      <w:tr>
        <w:trPr>
          <w:trHeight w:val="203"/>
        </w:trPr>
        <w:tc>
          <w:tcPr>
            <w:tcW w:w="8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Commercial lines: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820" w:type="dxa"/>
            <w:vAlign w:val="bottom"/>
          </w:tcPr>
          <w:p>
            <w:pPr>
              <w:ind w:left="420"/>
              <w:spacing w:after="0" w:line="202" w:lineRule="exact"/>
              <w:rPr>
                <w:sz w:val="20"/>
                <w:szCs w:val="20"/>
                <w:color w:val="auto"/>
              </w:rPr>
            </w:pPr>
            <w:r>
              <w:rPr>
                <w:rFonts w:ascii="Arial" w:cs="Arial" w:eastAsia="Arial" w:hAnsi="Arial"/>
                <w:sz w:val="18"/>
                <w:szCs w:val="18"/>
                <w:color w:val="auto"/>
              </w:rPr>
              <w:t>Workers compensation</w:t>
            </w:r>
          </w:p>
        </w:tc>
        <w:tc>
          <w:tcPr>
            <w:tcW w:w="12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229,619</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221,078</w:t>
            </w:r>
          </w:p>
        </w:tc>
      </w:tr>
      <w:tr>
        <w:trPr>
          <w:trHeight w:val="203"/>
        </w:trPr>
        <w:tc>
          <w:tcPr>
            <w:tcW w:w="88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Commercial auto</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84,596</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87,202</w:t>
            </w:r>
          </w:p>
        </w:tc>
      </w:tr>
      <w:tr>
        <w:trPr>
          <w:trHeight w:val="203"/>
        </w:trPr>
        <w:tc>
          <w:tcPr>
            <w:tcW w:w="8820" w:type="dxa"/>
            <w:vAlign w:val="bottom"/>
          </w:tcPr>
          <w:p>
            <w:pPr>
              <w:ind w:left="420"/>
              <w:spacing w:after="0" w:line="202" w:lineRule="exact"/>
              <w:rPr>
                <w:sz w:val="20"/>
                <w:szCs w:val="20"/>
                <w:color w:val="auto"/>
              </w:rPr>
            </w:pPr>
            <w:r>
              <w:rPr>
                <w:rFonts w:ascii="Arial" w:cs="Arial" w:eastAsia="Arial" w:hAnsi="Arial"/>
                <w:sz w:val="18"/>
                <w:szCs w:val="18"/>
                <w:color w:val="auto"/>
              </w:rPr>
              <w:t>Commercial multi-peril</w:t>
            </w:r>
          </w:p>
        </w:tc>
        <w:tc>
          <w:tcPr>
            <w:tcW w:w="12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73,823</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73,542</w:t>
            </w:r>
          </w:p>
        </w:tc>
      </w:tr>
      <w:tr>
        <w:trPr>
          <w:trHeight w:val="203"/>
        </w:trPr>
        <w:tc>
          <w:tcPr>
            <w:tcW w:w="88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Catastrophic injury</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712</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550</w:t>
            </w:r>
          </w:p>
        </w:tc>
      </w:tr>
      <w:tr>
        <w:trPr>
          <w:trHeight w:val="203"/>
        </w:trPr>
        <w:tc>
          <w:tcPr>
            <w:tcW w:w="8820" w:type="dxa"/>
            <w:vAlign w:val="bottom"/>
          </w:tcPr>
          <w:p>
            <w:pPr>
              <w:ind w:left="420"/>
              <w:spacing w:after="0" w:line="202" w:lineRule="exact"/>
              <w:rPr>
                <w:sz w:val="20"/>
                <w:szCs w:val="20"/>
                <w:color w:val="auto"/>
              </w:rPr>
            </w:pPr>
            <w:r>
              <w:rPr>
                <w:rFonts w:ascii="Arial" w:cs="Arial" w:eastAsia="Arial" w:hAnsi="Arial"/>
                <w:sz w:val="18"/>
                <w:szCs w:val="18"/>
                <w:color w:val="auto"/>
              </w:rPr>
              <w:t>Other commercial</w:t>
            </w:r>
          </w:p>
        </w:tc>
        <w:tc>
          <w:tcPr>
            <w:tcW w:w="12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28,203</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37,119</w:t>
            </w:r>
          </w:p>
        </w:tc>
      </w:tr>
      <w:tr>
        <w:trPr>
          <w:trHeight w:val="203"/>
        </w:trPr>
        <w:tc>
          <w:tcPr>
            <w:tcW w:w="8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Reinsurance</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48,188</w:t>
            </w:r>
          </w:p>
        </w:tc>
        <w:tc>
          <w:tcPr>
            <w:tcW w:w="5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46,025</w:t>
            </w:r>
          </w:p>
        </w:tc>
      </w:tr>
      <w:tr>
        <w:trPr>
          <w:trHeight w:val="210"/>
        </w:trPr>
        <w:tc>
          <w:tcPr>
            <w:tcW w:w="8820" w:type="dxa"/>
            <w:vAlign w:val="bottom"/>
          </w:tcPr>
          <w:p>
            <w:pPr>
              <w:spacing w:after="0"/>
              <w:rPr>
                <w:sz w:val="20"/>
                <w:szCs w:val="20"/>
                <w:color w:val="auto"/>
              </w:rPr>
            </w:pPr>
            <w:r>
              <w:rPr>
                <w:rFonts w:ascii="Arial" w:cs="Arial" w:eastAsia="Arial" w:hAnsi="Arial"/>
                <w:sz w:val="18"/>
                <w:szCs w:val="18"/>
                <w:color w:val="auto"/>
              </w:rPr>
              <w:t>Gross reserves</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1,048,909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1,073,570</w:t>
            </w:r>
          </w:p>
        </w:tc>
      </w:tr>
      <w:tr>
        <w:trPr>
          <w:trHeight w:val="203"/>
        </w:trPr>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Reinsurance recoverables</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852,848</w:t>
            </w:r>
          </w:p>
        </w:tc>
        <w:tc>
          <w:tcPr>
            <w:tcW w:w="5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874,485</w:t>
            </w:r>
          </w:p>
        </w:tc>
      </w:tr>
      <w:tr>
        <w:trPr>
          <w:trHeight w:val="210"/>
        </w:trPr>
        <w:tc>
          <w:tcPr>
            <w:tcW w:w="8820" w:type="dxa"/>
            <w:vAlign w:val="bottom"/>
          </w:tcPr>
          <w:p>
            <w:pPr>
              <w:spacing w:after="0"/>
              <w:rPr>
                <w:sz w:val="20"/>
                <w:szCs w:val="20"/>
                <w:color w:val="auto"/>
              </w:rPr>
            </w:pPr>
            <w:r>
              <w:rPr>
                <w:rFonts w:ascii="Arial" w:cs="Arial" w:eastAsia="Arial" w:hAnsi="Arial"/>
                <w:sz w:val="18"/>
                <w:szCs w:val="18"/>
                <w:color w:val="auto"/>
              </w:rPr>
              <w:t>Net reserve liability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196,061</w:t>
            </w:r>
          </w:p>
        </w:tc>
        <w:tc>
          <w:tcPr>
            <w:tcW w:w="6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199,085</w:t>
            </w:r>
          </w:p>
        </w:tc>
      </w:tr>
      <w:tr>
        <w:trPr>
          <w:trHeight w:val="20"/>
        </w:trPr>
        <w:tc>
          <w:tcPr>
            <w:tcW w:w="8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Losses and loss adjustment expense reserves are developed using multiple estimation methods that generate point estimates. The estimate recorded is a function of detailed analysis of historical trends and actuarial and management expectations of future events and trends. The product coverage that has the greatest potential for variation is the pre-1986 automobile catastrophic injury liability reserve. The automobile no-fault law in Pennsylvania at that time provided for unlimited medical benefits. The estimation of ultimate liabilities for these claims is subject to significant judgment due to variations in claimant health and mortality over time. Because the coverage related to these claims is unique, ultimate losses are estimated on a claim-by-claim basis. An annual payment assumption is made for each claimant and then projected into the future based upon a particular assumption of future inflation rate and life expectancy of the claimant. There are currently about 300 claimants requiring lifetime medical care of which less than 100 involve catastrophic injuries.</w:t>
      </w:r>
    </w:p>
    <w:p>
      <w:pPr>
        <w:spacing w:after="0" w:line="100"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The reserve carried by the Property and Casualty Group for the catastrophic injury claimants, which is our best estimate of this liability at this time, was $277.0 million at March 31, 2007, which is net of $160.3 million of anticipated reinsurance recoverables. Our property/casualty subsidiaries share of the net automobile catastrophic injury liability reserve is $15.2 million at March 31, 2007.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Off-balance sheet arrangements</w:t>
      </w:r>
    </w:p>
    <w:p>
      <w:pPr>
        <w:spacing w:after="0" w:line="122" w:lineRule="exact"/>
        <w:rPr>
          <w:sz w:val="20"/>
          <w:szCs w:val="20"/>
          <w:color w:val="auto"/>
        </w:rPr>
      </w:pPr>
    </w:p>
    <w:p>
      <w:pPr>
        <w:jc w:val="both"/>
        <w:ind w:right="180"/>
        <w:spacing w:after="0" w:line="275" w:lineRule="auto"/>
        <w:rPr>
          <w:sz w:val="20"/>
          <w:szCs w:val="20"/>
          <w:color w:val="auto"/>
        </w:rPr>
      </w:pPr>
      <w:r>
        <w:rPr>
          <w:rFonts w:ascii="Arial" w:cs="Arial" w:eastAsia="Arial" w:hAnsi="Arial"/>
          <w:sz w:val="17"/>
          <w:szCs w:val="17"/>
          <w:color w:val="auto"/>
        </w:rPr>
        <w:t>There are no off-balance sheet obligations related to the variable interest we have in the Exchange. Any liabilities between the Exchange and us are recorded in our Consolidated Statements of Financial Position. We have no other material off-balance sheet obligations or guarantees.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0"/>
        <w:spacing w:after="0" w:line="360" w:lineRule="auto"/>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 </w:t>
      </w:r>
      <w:r>
        <w:rPr>
          <w:rFonts w:ascii="Arial" w:cs="Arial" w:eastAsia="Arial" w:hAnsi="Arial"/>
          <w:sz w:val="18"/>
          <w:szCs w:val="18"/>
          <w:u w:val="single" w:color="auto"/>
          <w:color w:val="auto"/>
        </w:rPr>
        <w:t>LIQUIDITY AND CAPITAL RESOURCES</w:t>
      </w:r>
    </w:p>
    <w:p>
      <w:pPr>
        <w:ind w:right="100"/>
        <w:spacing w:after="0" w:line="239" w:lineRule="auto"/>
        <w:rPr>
          <w:sz w:val="20"/>
          <w:szCs w:val="20"/>
          <w:color w:val="auto"/>
        </w:rPr>
      </w:pPr>
      <w:r>
        <w:rPr>
          <w:rFonts w:ascii="Arial" w:cs="Arial" w:eastAsia="Arial" w:hAnsi="Arial"/>
          <w:sz w:val="18"/>
          <w:szCs w:val="18"/>
          <w:color w:val="auto"/>
        </w:rPr>
        <w:t>Liquidity is a measure of an entity’s ability to secure enough cash to meet its contractual obligations and operating needs. We have historically generated sufficient net positive cash flow from our operations to fund our commitments and build the investment portfolio. We also maintain a high degree of liquidity in our investment portfolio in the form of readily marketable fixed maturities, equity securities and short-term investments.</w:t>
      </w:r>
    </w:p>
    <w:p>
      <w:pPr>
        <w:spacing w:after="0" w:line="9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primary sources of cash from operations are generated from our net management revenues and by collecting and investing in premiums from new and renewal business in advance of paying claims. Management fees from the Exchange represented 71.1% of our total revenues for the first quarter of 2007. Cash outflows are variable because settlement dates for claim payments vary and cannot be predicted with absolute certainty. While volatility in claims payments could be significant for the Property and Casualty Group, the effect on us of this volatility is mitigated by the intercompany reinsurance pooling arrangement. The cash flow requirements for claims have not historically been significant to our liquidity. Historically, about 50% of losses and loss adjustment expenses included in the reserve are paid out in the subsequent 12-month period and approximately 89% is paid out within a five year period. Such payments are reduced by recoveries under the intercompany reinsurance pooling agreement. We generated positive cash flows from our operating activities of $11.2 million for the three months ended March 31, 2007.</w:t>
      </w:r>
    </w:p>
    <w:p>
      <w:pPr>
        <w:spacing w:after="0" w:line="99"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Cash paid in the first three months of 2007 for agent bonuses was $91.4 million, of which $90.2 million was accrued at December 31, 2006. Management fee revenues were lower in the first quarter of 2007 compared to 2006 primarily due to the significant rate reductions implemented by the Property and Casualty Group. However, because the Company changed its cash settlement practices from monthly to quarterly during the second quarter of 2006, cash received from management fees in 2007 was higher than in 2006.</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2007, we repurchased 282,539 shares of our outstanding Class A common stock in conjunction with the continuation</w:t>
      </w:r>
    </w:p>
    <w:p>
      <w:pPr>
        <w:spacing w:after="0" w:line="234" w:lineRule="auto"/>
        <w:rPr>
          <w:sz w:val="20"/>
          <w:szCs w:val="20"/>
          <w:color w:val="auto"/>
        </w:rPr>
      </w:pPr>
      <w:r>
        <w:rPr>
          <w:rFonts w:ascii="Arial" w:cs="Arial" w:eastAsia="Arial" w:hAnsi="Arial"/>
          <w:sz w:val="18"/>
          <w:szCs w:val="18"/>
          <w:color w:val="auto"/>
        </w:rPr>
        <w:t>of our stock repurchase plan that was authorized in February 2006. The shares were purchased at a total cost of $15.1 million. We have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$115 million remaining under this plan authorized through December 31, 2009. (See Part II of Item 2. Issuer Purchases of Equity Securities.)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ESTIMATES</w:t>
      </w:r>
    </w:p>
    <w:p>
      <w:pPr>
        <w:spacing w:after="0" w:line="10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make estimates and assumptions that have a significant effect on the amounts and disclosures reported in the financial statements. The most significant estimates relate to valuation of investments, reserves for property/casualty insurance unpaid losses and loss adjustment expenses and retirement benefits. While management believes its estimates are appropriate, the ultimate amounts may differ from estimates provided. Our most critical accounting estimates are described in Item 7, “Management’s Discussion and Analysis of Financial Condition and Results of Operations” of our Annual Report on Form 10-K for the year ended December 31, 2006. There have been no significant changes to the policies surrounding these estimates since that time.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FACTORS THAT MAY AFFECT FUTURE RESULTS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condition of the Exchange</w:t>
      </w:r>
    </w:p>
    <w:p>
      <w:pPr>
        <w:spacing w:after="0" w:line="12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We have a direct interest in the financial condition of the Exchange because management fee revenues are based on the direct written premiums of the Exchange and the other members of the Property and Casualty Group. Additionally, we participate in the underwriting results of the Exchange through the pooling arrangement in which our insurance subsidiaries have 5.5% participation. A concentration of credit risk also exists related to the unsecured receivables due from the Exchange for certain fees, costs and reimbursements.</w:t>
      </w:r>
    </w:p>
    <w:p>
      <w:pPr>
        <w:spacing w:after="0" w:line="9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To the extent that the Exchange incurs underwriting losses or investment losses resulting from declines in the value of its marketable securities, the Exchange’s policyholders’ surplus would be adversely affected. If the surplus of the Exchange were to decline significantly from its current level, the Property and Casualty Group could find it more difficult to retain its existing business and attract new business. A decline in the business of the Property and Casualty Group would have an adverse effect on the amount of the management fees we receive and the underwriting results of the Property and Casualty Group in which we have 5.5% participation. In addition, a substantial decline in the surplus of the Exchange from its current level would make it more likely that the management fee rate would be reduced. At March 31, 2007, the Exchange had $4.3 billion in statutory surplus and a premium to surplus ratio of less than 1 to 1. We believe the Exchange’s capital levels are very strong.</w:t>
      </w:r>
    </w:p>
    <w:p>
      <w:pPr>
        <w:spacing w:after="0" w:line="100"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Additional information, including condensed statutory financial statements of the Exchange, is presented in Note 12 to the Consolidated Financial Statements herein.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Insurance premium rates</w:t>
      </w:r>
    </w:p>
    <w:p>
      <w:pPr>
        <w:spacing w:after="0" w:line="12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changes in premiums written attributable to rate changes of the Property and Casualty Group directly affect underwriting profitability of the Property and Casualty Group, the Exchange and us and also have a direct bearing on management fees. Rate reductions have been implemented and continue to be sought in 2007 by the Property and Casualty Group to recognize improved underwriting results and to maintain price competitiveness.</w:t>
      </w:r>
    </w:p>
    <w:p>
      <w:pPr>
        <w:spacing w:after="0" w:line="94"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Pricing actions contemplated or taken by the Property and Casualty Group are subject to various regulatory requirements of the states in which these insurers operate. The pricing actions already implemented, or to be implemented through 2007, will also have an effect on the market competitiveness of the Property and Casualty Group’s insurance products. Such pricing actions, and</w:t>
      </w:r>
    </w:p>
    <w:p>
      <w:pPr>
        <w:spacing w:after="0" w:line="2"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those of competitors, could affect the ability of our agents to sell and/or renew business. Management forecasts that pricing actions approved, filed and awaiting approval or contemplated through 2007, will reduce premium for the Property and Casualty Group by $45 million through the remainder of the year.</w:t>
      </w:r>
    </w:p>
    <w:p>
      <w:pPr>
        <w:spacing w:after="0" w:line="9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Property and Casualty Group continues refining its pricing segmentation model for private passenger auto and homeowners lines of business. The refined rating plans include significantly more pricing segments than the former plans, providing us greater flexibility in pricing for policyholders with varying degrees of risk. Refining pricing segmentation should enable us to provide more competitive rates to policyholders with varying risk characteristics, as risks can be more accurately priced over time.</w:t>
      </w:r>
    </w:p>
    <w:p>
      <w:pPr>
        <w:spacing w:after="0" w:line="94"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continued introduction of new pricing variables could impact retention of existing policyholders and could affect the Property and Casualty Group’s ability to attract new policyholders. These outcomes will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0"/>
        <w:spacing w:after="0" w:line="371" w:lineRule="auto"/>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 then impact the Property and Casualty Group’s premium dollars and ultimately our management fee revenue.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Policy growth</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Premium levels attributable to growth in policies in force of the Property and Casualty Group directly affect the profitability of our management operations. The continued focus on underwriting discipline and implementation of the new rate classification plan through the pricing segmentation model resulted in an initial reduction in new policy sales and policy retention ratios, as expected. In 2007, new policy sales and policy retention ratios have experienced modest but steady improvements. The growth of the policy base of the Property and Casualty Group is dependent upon its ability to retain existing and attract new policyholders. A lack of new policy growth or the inability to retain existing customers could have an adverse effect on the growth of premium levels for the Property and Casualty Group.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Catastrophe losses</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Property and Casualty Group conducts business in 11 states and the District of Columbia, primarily in the mid-Atlantic, midwestern and southeastern portions of the United States. A substantial portion of the business is private passenger and commercial automobile, homeowners and other commercial lines of business in Ohio, Maryland, Virginia and particularly, Pennsylvania. As a result, a single catastrophe occurrence or destructive weather pattern could have a material adverse affect on the results of operations and surplus position of the members of the Property and Casualty Group. Common catastrophic events include severe winter storms, hurricanes, earthquakes, tornadoes, wind and hail storms. In its homeowners line of insurance, the Property and Casualty Group is particularly exposed to an Atlantic hurricane, which might strike the states of North Carolina, Maryland, Virginia and Pennsylvania. The Property and Casualty Group maintains catastrophe occurrence reinsurance coverage to mitigate the future potential catastrophe loss exposure.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Information technology development and costs</w:t>
      </w:r>
    </w:p>
    <w:p>
      <w:pPr>
        <w:spacing w:after="0" w:line="12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Management has established a program of initiatives to enhance the functionality of our legacy processing and Agency interface systems aimed at improving the ease of doing business, enhancing Agent and Employee productivity and access to information. Several of these initiatives are underway and others are in the planning or preliminary development stages. The entire cost and duration of these investments is not yet determined, but is not expected to have a material financial impact in any single period. Management is also exploring alternatives for acquisition of Agency interface and policy processing systems, but is unable to estimate the timing and cost of these efforts at this early stage of evaluation.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Erie Family Life business process outsourcing</w:t>
      </w:r>
    </w:p>
    <w:p>
      <w:pPr>
        <w:spacing w:after="0" w:line="122" w:lineRule="exact"/>
        <w:rPr>
          <w:sz w:val="20"/>
          <w:szCs w:val="20"/>
          <w:color w:val="auto"/>
        </w:rPr>
      </w:pPr>
    </w:p>
    <w:p>
      <w:pPr>
        <w:jc w:val="both"/>
        <w:ind w:right="280"/>
        <w:spacing w:after="0"/>
        <w:rPr>
          <w:sz w:val="20"/>
          <w:szCs w:val="20"/>
          <w:color w:val="auto"/>
        </w:rPr>
      </w:pPr>
      <w:r>
        <w:rPr>
          <w:rFonts w:ascii="Arial" w:cs="Arial" w:eastAsia="Arial" w:hAnsi="Arial"/>
          <w:sz w:val="18"/>
          <w:szCs w:val="18"/>
          <w:color w:val="auto"/>
        </w:rPr>
        <w:t>During 2006, Erie Family Life (EFL) decided to outsource certain business processes and core information technology to an external vendor beginning in 2007. The transition of functions and technology to the external vendor is expected to be complete in the third quarter of 2007. EFL expects to incur substantial conversion costs in 2007 of which we will be impacted by our 21.6% ownership share of EFL.</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QUANTITATIVE AND QUALITATIVE DISCLOSURES ABOUT MARKET RISK</w:t>
      </w:r>
    </w:p>
    <w:p>
      <w:pPr>
        <w:spacing w:after="0" w:line="10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exposure to market risk is primarily related to fluctuations in prices and interest rates. Quantitative and qualitative disclosures about market risk resulting from changes in prices and interest rates are included in Item 7A. in our 2006 Annual Report on Form 10-K. There have been no material changes in such risks or our periodic reviews of asset and liability positions during the three months ended March 31, 2007. The information contained in the investments section of Management’s Discussion and Analysis of Financial Condition and Results of Operations is incorporated herein by reference.</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objective is to earn competitive returns by investing in a diversified portfolio of securities. We are exposed to credit risk through our portfolios of fixed maturity securities, nonredeemable preferred stock, mortgage loans and to a lesser extent short-term investments. This risk is defined as the potential loss in market value resulting from adverse changes in the borrower’s ability to repay the debt. We manage this risk by performing up front underwriting analysis and ongoing reviews of credit quality by position and for the fixed maturity portfolio in total. We do not hedge credit risk inherent in our fixed maturity investments.</w:t>
      </w:r>
    </w:p>
    <w:p>
      <w:pPr>
        <w:spacing w:after="0" w:line="95"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We have significant receivables from the Exchange, which are subject to credit risk. Our results are directly related to the financial strength of the Exchange. Credit risks related to the receivables from the Exchange are evaluated periodically by management. Since our inception, we have collected all amounts due from the Exchange in a timely manner (generally within 120 days).</w:t>
      </w:r>
    </w:p>
    <w:p>
      <w:pPr>
        <w:spacing w:after="0" w:line="95"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“Safe Harbor” Statement Under the Private Securities Litigation Reform Act of 1995: Certain forward-looking statements contained herein involve risks and uncertainties. These statements include certain discussions relating to management fee revenue, cost of management operations, underwriting, premium and investment income volume, business strategies, profitability and business relationships and our other business activities during 2007 and beyond. In some cases, you can identify forward-looking statements by terms such as “may,” “will,” “should,” “could,” “would,” “expect,” “plan,” “intend,” “anticipate,” “believe,” “estimate,” “project,” “predict,” “potential” and similar expressions. These forward-looking statements reflect our current views about future events, are based on assumptions and are subject to known and unknown risks and uncertainties that may cause results to differ materially from those anticipated in those statements. Many of the factors that will determine future events or achievements are beyond our ability to control or predict.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CONTROLS AND PROCEDURES</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carried out an evaluation, with the participation of management, including the Chief Executive Officer and Chief Financial Officer, of the effectiveness of our disclosure controls and procedures (pursuant to Rule 13a-15(e) under the Securities Exchange Act of 1934, as amended) as of the end of the period covered by this report. Based upon that evaluation, the Chief Executive Officer and Chief Financial Officer concluded that our disclosure controls and procedures are effective for gathering, analyzing and disclosing the information we are required to disclose in the reports it files under the Securities Exchange Act of 1934, within the time periods specified in the SEC’s rules and forms. Our management evaluated, with the participation of the Chief Executive Officer and Chief Financial Officer, any change in our internal control over financial reporting and determined that there has been no change in our internal control over financial reporting during the quarter ended March 31, 2007 that has materially affected, or is reasonably likely to materially affect, our internal control over financial reporting .</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 II.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104"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fiscal year ended December 31, 2006.</w:t>
      </w:r>
    </w:p>
    <w:p>
      <w:pPr>
        <w:spacing w:after="0" w:line="197" w:lineRule="exact"/>
        <w:rPr>
          <w:sz w:val="20"/>
          <w:szCs w:val="20"/>
          <w:color w:val="auto"/>
        </w:rPr>
      </w:pPr>
    </w:p>
    <w:p>
      <w:pPr>
        <w:ind w:right="4320"/>
        <w:spacing w:after="0" w:line="371" w:lineRule="auto"/>
        <w:rPr>
          <w:sz w:val="20"/>
          <w:szCs w:val="20"/>
          <w:color w:val="auto"/>
        </w:rPr>
      </w:pPr>
      <w:r>
        <w:rPr>
          <w:rFonts w:ascii="Arial" w:cs="Arial" w:eastAsia="Arial" w:hAnsi="Arial"/>
          <w:sz w:val="18"/>
          <w:szCs w:val="18"/>
          <w:u w:val="single" w:color="auto"/>
          <w:color w:val="auto"/>
        </w:rPr>
        <w:t xml:space="preserve">ITEM 2. UNREGISTERED SALES OF EQUITY SECURITIES AND USE OF PROCEEDS </w:t>
      </w:r>
      <w:r>
        <w:rPr>
          <w:rFonts w:ascii="Arial" w:cs="Arial" w:eastAsia="Arial" w:hAnsi="Arial"/>
          <w:sz w:val="18"/>
          <w:szCs w:val="18"/>
          <w:color w:val="auto"/>
        </w:rPr>
        <w:t>Issuer Purchases of Equity Securities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rPr>
              <w:t>Approximate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rPr>
              <w:t>Dollar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jc w:val="center"/>
              <w:ind w:right="620"/>
              <w:spacing w:after="0"/>
              <w:rPr>
                <w:sz w:val="20"/>
                <w:szCs w:val="20"/>
                <w:color w:val="auto"/>
              </w:rPr>
            </w:pPr>
            <w:r>
              <w:rPr>
                <w:rFonts w:ascii="Arial" w:cs="Arial" w:eastAsia="Arial" w:hAnsi="Arial"/>
                <w:sz w:val="14"/>
                <w:szCs w:val="14"/>
                <w:color w:val="auto"/>
              </w:rPr>
              <w:t>Total Number of</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rPr>
              <w:t>of Shares that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rPr>
              <w:t>Total Number</w:t>
            </w:r>
          </w:p>
        </w:tc>
        <w:tc>
          <w:tcPr>
            <w:tcW w:w="30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color w:val="auto"/>
              </w:rPr>
              <w:t>Average</w:t>
            </w:r>
          </w:p>
        </w:tc>
        <w:tc>
          <w:tcPr>
            <w:tcW w:w="2100" w:type="dxa"/>
            <w:vAlign w:val="bottom"/>
            <w:gridSpan w:val="3"/>
          </w:tcPr>
          <w:p>
            <w:pPr>
              <w:jc w:val="center"/>
              <w:ind w:right="300"/>
              <w:spacing w:after="0"/>
              <w:rPr>
                <w:sz w:val="20"/>
                <w:szCs w:val="20"/>
                <w:color w:val="auto"/>
              </w:rPr>
            </w:pPr>
            <w:r>
              <w:rPr>
                <w:rFonts w:ascii="Arial" w:cs="Arial" w:eastAsia="Arial" w:hAnsi="Arial"/>
                <w:sz w:val="14"/>
                <w:szCs w:val="14"/>
                <w:color w:val="auto"/>
              </w:rPr>
              <w:t>Shares Purchased</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rPr>
              <w:t>May Yet Be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rPr>
              <w:t>of Shares</w:t>
            </w:r>
          </w:p>
        </w:tc>
        <w:tc>
          <w:tcPr>
            <w:tcW w:w="30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Price Paid</w:t>
            </w:r>
          </w:p>
        </w:tc>
        <w:tc>
          <w:tcPr>
            <w:tcW w:w="300" w:type="dxa"/>
            <w:vAlign w:val="bottom"/>
          </w:tcPr>
          <w:p>
            <w:pPr>
              <w:spacing w:after="0"/>
              <w:rPr>
                <w:sz w:val="14"/>
                <w:szCs w:val="14"/>
                <w:color w:val="auto"/>
              </w:rPr>
            </w:pPr>
          </w:p>
        </w:tc>
        <w:tc>
          <w:tcPr>
            <w:tcW w:w="1800" w:type="dxa"/>
            <w:vAlign w:val="bottom"/>
            <w:gridSpan w:val="2"/>
          </w:tcPr>
          <w:p>
            <w:pPr>
              <w:jc w:val="center"/>
              <w:ind w:right="600"/>
              <w:spacing w:after="0"/>
              <w:rPr>
                <w:sz w:val="20"/>
                <w:szCs w:val="20"/>
                <w:color w:val="auto"/>
              </w:rPr>
            </w:pPr>
            <w:r>
              <w:rPr>
                <w:rFonts w:ascii="Arial" w:cs="Arial" w:eastAsia="Arial" w:hAnsi="Arial"/>
                <w:sz w:val="14"/>
                <w:szCs w:val="14"/>
                <w:color w:val="auto"/>
              </w:rPr>
              <w:t>as Part of Publicly</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rPr>
              <w:t>Purchased</w:t>
            </w:r>
          </w:p>
        </w:tc>
        <w:tc>
          <w:tcPr>
            <w:tcW w:w="0" w:type="dxa"/>
            <w:vAlign w:val="bottom"/>
          </w:tcPr>
          <w:p>
            <w:pPr>
              <w:spacing w:after="0"/>
              <w:rPr>
                <w:sz w:val="1"/>
                <w:szCs w:val="1"/>
                <w:color w:val="auto"/>
              </w:rPr>
            </w:pPr>
          </w:p>
        </w:tc>
      </w:tr>
      <w:tr>
        <w:trPr>
          <w:trHeight w:val="157"/>
        </w:trPr>
        <w:tc>
          <w:tcPr>
            <w:tcW w:w="5160" w:type="dxa"/>
            <w:vAlign w:val="bottom"/>
            <w:gridSpan w:val="2"/>
          </w:tcPr>
          <w:p>
            <w:pPr>
              <w:spacing w:after="0" w:line="157" w:lineRule="exact"/>
              <w:rPr>
                <w:sz w:val="20"/>
                <w:szCs w:val="20"/>
                <w:color w:val="auto"/>
              </w:rPr>
            </w:pPr>
            <w:r>
              <w:rPr>
                <w:rFonts w:ascii="Arial" w:cs="Arial" w:eastAsia="Arial" w:hAnsi="Arial"/>
                <w:sz w:val="14"/>
                <w:szCs w:val="14"/>
                <w:color w:val="auto"/>
              </w:rPr>
              <w:t>Period</w:t>
            </w:r>
          </w:p>
        </w:tc>
        <w:tc>
          <w:tcPr>
            <w:tcW w:w="500" w:type="dxa"/>
            <w:vAlign w:val="bottom"/>
          </w:tcPr>
          <w:p>
            <w:pPr>
              <w:spacing w:after="0"/>
              <w:rPr>
                <w:sz w:val="13"/>
                <w:szCs w:val="13"/>
                <w:color w:val="auto"/>
              </w:rPr>
            </w:pPr>
          </w:p>
        </w:tc>
        <w:tc>
          <w:tcPr>
            <w:tcW w:w="1160" w:type="dxa"/>
            <w:vAlign w:val="bottom"/>
            <w:gridSpan w:val="2"/>
          </w:tcPr>
          <w:p>
            <w:pPr>
              <w:jc w:val="center"/>
              <w:ind w:right="300"/>
              <w:spacing w:after="0" w:line="157" w:lineRule="exact"/>
              <w:rPr>
                <w:sz w:val="20"/>
                <w:szCs w:val="20"/>
                <w:color w:val="auto"/>
              </w:rPr>
            </w:pPr>
            <w:r>
              <w:rPr>
                <w:rFonts w:ascii="Arial" w:cs="Arial" w:eastAsia="Arial" w:hAnsi="Arial"/>
                <w:sz w:val="14"/>
                <w:szCs w:val="14"/>
                <w:color w:val="auto"/>
              </w:rPr>
              <w:t>Purchased</w:t>
            </w:r>
          </w:p>
        </w:tc>
        <w:tc>
          <w:tcPr>
            <w:tcW w:w="300" w:type="dxa"/>
            <w:vAlign w:val="bottom"/>
          </w:tcPr>
          <w:p>
            <w:pPr>
              <w:spacing w:after="0"/>
              <w:rPr>
                <w:sz w:val="13"/>
                <w:szCs w:val="13"/>
                <w:color w:val="auto"/>
              </w:rPr>
            </w:pPr>
          </w:p>
        </w:tc>
        <w:tc>
          <w:tcPr>
            <w:tcW w:w="980" w:type="dxa"/>
            <w:vAlign w:val="bottom"/>
            <w:gridSpan w:val="2"/>
          </w:tcPr>
          <w:p>
            <w:pPr>
              <w:jc w:val="right"/>
              <w:ind w:right="320"/>
              <w:spacing w:after="0" w:line="157" w:lineRule="exact"/>
              <w:rPr>
                <w:sz w:val="20"/>
                <w:szCs w:val="20"/>
                <w:color w:val="auto"/>
              </w:rPr>
            </w:pPr>
            <w:r>
              <w:rPr>
                <w:rFonts w:ascii="Arial" w:cs="Arial" w:eastAsia="Arial" w:hAnsi="Arial"/>
                <w:sz w:val="14"/>
                <w:szCs w:val="14"/>
                <w:color w:val="auto"/>
              </w:rPr>
              <w:t>Per Share</w:t>
            </w:r>
          </w:p>
        </w:tc>
        <w:tc>
          <w:tcPr>
            <w:tcW w:w="300" w:type="dxa"/>
            <w:vAlign w:val="bottom"/>
          </w:tcPr>
          <w:p>
            <w:pPr>
              <w:spacing w:after="0"/>
              <w:rPr>
                <w:sz w:val="13"/>
                <w:szCs w:val="13"/>
                <w:color w:val="auto"/>
              </w:rPr>
            </w:pPr>
          </w:p>
        </w:tc>
        <w:tc>
          <w:tcPr>
            <w:tcW w:w="1800" w:type="dxa"/>
            <w:vAlign w:val="bottom"/>
            <w:gridSpan w:val="2"/>
          </w:tcPr>
          <w:p>
            <w:pPr>
              <w:jc w:val="center"/>
              <w:ind w:right="620"/>
              <w:spacing w:after="0" w:line="157" w:lineRule="exact"/>
              <w:rPr>
                <w:sz w:val="20"/>
                <w:szCs w:val="20"/>
                <w:color w:val="auto"/>
              </w:rPr>
            </w:pPr>
            <w:r>
              <w:rPr>
                <w:rFonts w:ascii="Arial" w:cs="Arial" w:eastAsia="Arial" w:hAnsi="Arial"/>
                <w:sz w:val="14"/>
                <w:szCs w:val="14"/>
                <w:color w:val="auto"/>
              </w:rPr>
              <w:t>Announced Plan</w:t>
            </w:r>
          </w:p>
        </w:tc>
        <w:tc>
          <w:tcPr>
            <w:tcW w:w="122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rPr>
              <w:t>Under the Plan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January 1 – 31, 2007</w:t>
            </w: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48,971</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  54.74</w:t>
            </w:r>
          </w:p>
        </w:tc>
        <w:tc>
          <w:tcPr>
            <w:tcW w:w="2100" w:type="dxa"/>
            <w:vAlign w:val="bottom"/>
            <w:gridSpan w:val="3"/>
            <w:shd w:val="clear" w:color="auto" w:fill="CCEEFF"/>
          </w:tcPr>
          <w:p>
            <w:pPr>
              <w:jc w:val="right"/>
              <w:ind w:right="620"/>
              <w:spacing w:after="0" w:line="196" w:lineRule="exact"/>
              <w:rPr>
                <w:sz w:val="20"/>
                <w:szCs w:val="20"/>
                <w:color w:val="auto"/>
              </w:rPr>
            </w:pPr>
            <w:r>
              <w:rPr>
                <w:rFonts w:ascii="Arial" w:cs="Arial" w:eastAsia="Arial" w:hAnsi="Arial"/>
                <w:sz w:val="18"/>
                <w:szCs w:val="18"/>
                <w:color w:val="auto"/>
              </w:rPr>
              <w:t>46,229</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5160" w:type="dxa"/>
            <w:vAlign w:val="bottom"/>
            <w:gridSpan w:val="2"/>
          </w:tcPr>
          <w:p>
            <w:pPr>
              <w:spacing w:after="0"/>
              <w:rPr>
                <w:sz w:val="20"/>
                <w:szCs w:val="20"/>
                <w:color w:val="auto"/>
              </w:rPr>
            </w:pPr>
            <w:r>
              <w:rPr>
                <w:rFonts w:ascii="Arial" w:cs="Arial" w:eastAsia="Arial" w:hAnsi="Arial"/>
                <w:sz w:val="18"/>
                <w:szCs w:val="18"/>
                <w:color w:val="auto"/>
              </w:rPr>
              <w:t>February 1 – 28, 2007</w:t>
            </w:r>
          </w:p>
        </w:tc>
        <w:tc>
          <w:tcPr>
            <w:tcW w:w="1660" w:type="dxa"/>
            <w:vAlign w:val="bottom"/>
            <w:gridSpan w:val="3"/>
          </w:tcPr>
          <w:p>
            <w:pPr>
              <w:jc w:val="right"/>
              <w:ind w:right="300"/>
              <w:spacing w:after="0"/>
              <w:rPr>
                <w:sz w:val="20"/>
                <w:szCs w:val="20"/>
                <w:color w:val="auto"/>
              </w:rPr>
            </w:pPr>
            <w:r>
              <w:rPr>
                <w:rFonts w:ascii="Arial" w:cs="Arial" w:eastAsia="Arial" w:hAnsi="Arial"/>
                <w:sz w:val="18"/>
                <w:szCs w:val="18"/>
                <w:color w:val="auto"/>
              </w:rPr>
              <w:t>33,807</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54.79</w:t>
            </w:r>
          </w:p>
        </w:tc>
        <w:tc>
          <w:tcPr>
            <w:tcW w:w="2100" w:type="dxa"/>
            <w:vAlign w:val="bottom"/>
            <w:gridSpan w:val="3"/>
          </w:tcPr>
          <w:p>
            <w:pPr>
              <w:jc w:val="right"/>
              <w:ind w:right="620"/>
              <w:spacing w:after="0"/>
              <w:rPr>
                <w:sz w:val="20"/>
                <w:szCs w:val="20"/>
                <w:color w:val="auto"/>
              </w:rPr>
            </w:pPr>
            <w:r>
              <w:rPr>
                <w:rFonts w:ascii="Arial" w:cs="Arial" w:eastAsia="Arial" w:hAnsi="Arial"/>
                <w:sz w:val="18"/>
                <w:szCs w:val="18"/>
                <w:color w:val="auto"/>
              </w:rPr>
              <w:t>33,807</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March 1 – 31, 2007</w:t>
            </w: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202,503</w:t>
            </w:r>
          </w:p>
        </w:tc>
        <w:tc>
          <w:tcPr>
            <w:tcW w:w="30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52.78</w:t>
            </w:r>
          </w:p>
        </w:tc>
        <w:tc>
          <w:tcPr>
            <w:tcW w:w="30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202,503</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1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285,281</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gridSpan w:val="3"/>
          </w:tcPr>
          <w:p>
            <w:pPr>
              <w:jc w:val="right"/>
              <w:ind w:right="620"/>
              <w:spacing w:after="0"/>
              <w:rPr>
                <w:sz w:val="20"/>
                <w:szCs w:val="20"/>
                <w:color w:val="auto"/>
              </w:rPr>
            </w:pPr>
            <w:r>
              <w:rPr>
                <w:rFonts w:ascii="Arial" w:cs="Arial" w:eastAsia="Arial" w:hAnsi="Arial"/>
                <w:sz w:val="18"/>
                <w:szCs w:val="18"/>
                <w:color w:val="auto"/>
              </w:rPr>
              <w:t>282,539</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115,000,000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The month of January 2007 includes 2,742 shares that vested under the stock compensation plan for our outside directors. Included in this amount are the vesting of 2,479 of awards previously granted and 245 dividend equivalent shares that vest as they are granted (as dividends are declared).</w:t>
      </w:r>
    </w:p>
    <w:p>
      <w:pPr>
        <w:spacing w:after="0" w:line="95"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In February 2006, our Board of Directors approved a continuation of the stock repurchase program for an additional $250 million authorizing repurchases through December 31, 2009.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 II. OTHER INFORMATION (Continued)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spacing w:after="0"/>
              <w:rPr>
                <w:sz w:val="20"/>
                <w:szCs w:val="20"/>
                <w:color w:val="auto"/>
              </w:rPr>
            </w:pPr>
            <w:r>
              <w:rPr>
                <w:rFonts w:ascii="Arial" w:cs="Arial" w:eastAsia="Arial" w:hAnsi="Arial"/>
                <w:sz w:val="14"/>
                <w:szCs w:val="14"/>
                <w:color w:val="auto"/>
              </w:rPr>
              <w:t>Exhibit</w:t>
            </w:r>
          </w:p>
        </w:tc>
        <w:tc>
          <w:tcPr>
            <w:tcW w:w="340" w:type="dxa"/>
            <w:vAlign w:val="bottom"/>
          </w:tcPr>
          <w:p>
            <w:pPr>
              <w:spacing w:after="0"/>
              <w:rPr>
                <w:sz w:val="14"/>
                <w:szCs w:val="14"/>
                <w:color w:val="auto"/>
              </w:rPr>
            </w:pPr>
          </w:p>
        </w:tc>
        <w:tc>
          <w:tcPr>
            <w:tcW w:w="10040" w:type="dxa"/>
            <w:vAlign w:val="bottom"/>
          </w:tcPr>
          <w:p>
            <w:pPr>
              <w:spacing w:after="0"/>
              <w:rPr>
                <w:sz w:val="14"/>
                <w:szCs w:val="14"/>
                <w:color w:val="auto"/>
              </w:rPr>
            </w:pPr>
          </w:p>
        </w:tc>
      </w:tr>
      <w:tr>
        <w:trPr>
          <w:trHeight w:val="157"/>
        </w:trPr>
        <w:tc>
          <w:tcPr>
            <w:tcW w:w="10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Number</w:t>
            </w:r>
          </w:p>
        </w:tc>
        <w:tc>
          <w:tcPr>
            <w:tcW w:w="340" w:type="dxa"/>
            <w:vAlign w:val="bottom"/>
          </w:tcPr>
          <w:p>
            <w:pPr>
              <w:spacing w:after="0"/>
              <w:rPr>
                <w:sz w:val="13"/>
                <w:szCs w:val="13"/>
                <w:color w:val="auto"/>
              </w:rPr>
            </w:pPr>
          </w:p>
        </w:tc>
        <w:tc>
          <w:tcPr>
            <w:tcW w:w="100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Description of Exhibit</w:t>
            </w: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10.91</w:t>
            </w:r>
          </w:p>
        </w:tc>
        <w:tc>
          <w:tcPr>
            <w:tcW w:w="34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Employment Agreement effective April 30, 2007 by and between Erie Indemnity Company and James J. Tanous</w:t>
            </w:r>
          </w:p>
        </w:tc>
      </w:tr>
      <w:tr>
        <w:trPr>
          <w:trHeight w:val="404"/>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05"/>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bl>
    <w:p>
      <w:pPr>
        <w:spacing w:after="0" w:line="188" w:lineRule="exact"/>
        <w:rPr>
          <w:sz w:val="20"/>
          <w:szCs w:val="20"/>
          <w:color w:val="auto"/>
        </w:rPr>
      </w:pPr>
    </w:p>
    <w:p>
      <w:pPr>
        <w:ind w:left="5620" w:right="460" w:hanging="5612"/>
        <w:spacing w:after="0" w:line="465" w:lineRule="auto"/>
        <w:tabs>
          <w:tab w:leader="none" w:pos="13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Certification pursuant to 18 U.S.C. Section 1350, as adopted pursuant to Section 906 of the Sarbanes-Oxley Act of 2002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SIGNATURES</w:t>
      </w:r>
    </w:p>
    <w:p>
      <w:pPr>
        <w:spacing w:after="0" w:line="10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Erie Indemnity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-1905</wp:posOffset>
            </wp:positionV>
            <wp:extent cx="36188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(Registrant)</w:t>
      </w:r>
    </w:p>
    <w:p>
      <w:pPr>
        <w:spacing w:after="0" w:line="198"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2, 2007</w:t>
      </w:r>
      <w:r>
        <w:rPr>
          <w:sz w:val="20"/>
          <w:szCs w:val="20"/>
          <w:color w:val="auto"/>
        </w:rPr>
        <w:tab/>
      </w:r>
      <w:r>
        <w:rPr>
          <w:rFonts w:ascii="Arial" w:cs="Arial" w:eastAsia="Arial" w:hAnsi="Arial"/>
          <w:sz w:val="17"/>
          <w:szCs w:val="17"/>
          <w:color w:val="auto"/>
        </w:rPr>
        <w:t>/s/ Jeffrey A. Ludrof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-1905</wp:posOffset>
            </wp:positionV>
            <wp:extent cx="36188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Jeffrey A. Ludrof, President &amp; CEO</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Philip 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-1905</wp:posOffset>
            </wp:positionV>
            <wp:extent cx="36188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Philip A. Garcia, Executive Vice President &amp; CFO</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240" w:top="419" w:right="53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18"/>
          <w:szCs w:val="18"/>
          <w:b w:val="1"/>
          <w:bCs w:val="1"/>
          <w:color w:val="auto"/>
        </w:rPr>
        <w:t>EXHIBIT 10.91</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EMPLOYMENT AGREEMENT</w:t>
      </w:r>
    </w:p>
    <w:p>
      <w:pPr>
        <w:spacing w:after="0" w:line="126" w:lineRule="exact"/>
        <w:rPr>
          <w:sz w:val="20"/>
          <w:szCs w:val="20"/>
          <w:color w:val="auto"/>
        </w:rPr>
      </w:pPr>
    </w:p>
    <w:p>
      <w:pPr>
        <w:ind w:right="100" w:firstLine="247"/>
        <w:spacing w:after="0"/>
        <w:rPr>
          <w:sz w:val="20"/>
          <w:szCs w:val="20"/>
          <w:color w:val="auto"/>
        </w:rPr>
      </w:pPr>
      <w:r>
        <w:rPr>
          <w:rFonts w:ascii="Arial" w:cs="Arial" w:eastAsia="Arial" w:hAnsi="Arial"/>
          <w:sz w:val="18"/>
          <w:szCs w:val="18"/>
          <w:color w:val="auto"/>
        </w:rPr>
        <w:t>THIS EMPLOYMENT AGREEMENT (the “Agreement”) made effective as of the 30th day of April, 2007 (the “Effective Date”) by and between ERIE INDEMNITY COMPANY, a Pennsylvania corporation with its principal place of business at Erie, Pennsylvania (the “Company”), and James J. Tanous (the “Executive”);</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WITNESSETH:</w:t>
      </w:r>
    </w:p>
    <w:p>
      <w:pPr>
        <w:spacing w:after="0" w:line="104" w:lineRule="exact"/>
        <w:rPr>
          <w:sz w:val="20"/>
          <w:szCs w:val="20"/>
          <w:color w:val="auto"/>
        </w:rPr>
      </w:pPr>
    </w:p>
    <w:p>
      <w:pPr>
        <w:ind w:right="100" w:firstLine="250"/>
        <w:spacing w:after="0" w:line="246" w:lineRule="auto"/>
        <w:rPr>
          <w:sz w:val="20"/>
          <w:szCs w:val="20"/>
          <w:color w:val="auto"/>
        </w:rPr>
      </w:pPr>
      <w:r>
        <w:rPr>
          <w:rFonts w:ascii="Arial" w:cs="Arial" w:eastAsia="Arial" w:hAnsi="Arial"/>
          <w:sz w:val="18"/>
          <w:szCs w:val="18"/>
          <w:color w:val="auto"/>
        </w:rPr>
        <w:t>WHEREAS, it is in the best interests of the Company to secure the employment of the Executive on the terms and subject to the conditions set forth in this Agreement; and</w:t>
      </w:r>
    </w:p>
    <w:p>
      <w:pPr>
        <w:spacing w:after="0" w:line="89" w:lineRule="exact"/>
        <w:rPr>
          <w:sz w:val="20"/>
          <w:szCs w:val="20"/>
          <w:color w:val="auto"/>
        </w:rPr>
      </w:pPr>
    </w:p>
    <w:p>
      <w:pPr>
        <w:ind w:right="380" w:firstLine="250"/>
        <w:spacing w:after="0" w:line="246" w:lineRule="auto"/>
        <w:rPr>
          <w:sz w:val="20"/>
          <w:szCs w:val="20"/>
          <w:color w:val="auto"/>
        </w:rPr>
      </w:pPr>
      <w:r>
        <w:rPr>
          <w:rFonts w:ascii="Arial" w:cs="Arial" w:eastAsia="Arial" w:hAnsi="Arial"/>
          <w:sz w:val="18"/>
          <w:szCs w:val="18"/>
          <w:color w:val="auto"/>
        </w:rPr>
        <w:t>WHEREAS, the Executive desires and is willing to accept employment with the Company on the terms and subject to the conditions set forth herein;</w:t>
      </w:r>
    </w:p>
    <w:p>
      <w:pPr>
        <w:spacing w:after="0" w:line="89" w:lineRule="exact"/>
        <w:rPr>
          <w:sz w:val="20"/>
          <w:szCs w:val="20"/>
          <w:color w:val="auto"/>
        </w:rPr>
      </w:pPr>
    </w:p>
    <w:p>
      <w:pPr>
        <w:ind w:right="20" w:firstLine="250"/>
        <w:spacing w:after="0" w:line="246" w:lineRule="auto"/>
        <w:rPr>
          <w:sz w:val="20"/>
          <w:szCs w:val="20"/>
          <w:color w:val="auto"/>
        </w:rPr>
      </w:pPr>
      <w:r>
        <w:rPr>
          <w:rFonts w:ascii="Arial" w:cs="Arial" w:eastAsia="Arial" w:hAnsi="Arial"/>
          <w:sz w:val="18"/>
          <w:szCs w:val="18"/>
          <w:color w:val="auto"/>
        </w:rPr>
        <w:t>NOW THEREFORE, in consideration of the premises and mutual covenants contained herein, and intending to be legally bound hereby, the parties hereto agree as follows:</w:t>
      </w:r>
    </w:p>
    <w:p>
      <w:pPr>
        <w:spacing w:after="0" w:line="89" w:lineRule="exact"/>
        <w:rPr>
          <w:sz w:val="20"/>
          <w:szCs w:val="20"/>
          <w:color w:val="auto"/>
        </w:rPr>
      </w:pPr>
    </w:p>
    <w:p>
      <w:pPr>
        <w:ind w:firstLine="258"/>
        <w:spacing w:after="0" w:line="237" w:lineRule="auto"/>
        <w:tabs>
          <w:tab w:leader="none" w:pos="45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Company hereby agrees to employ the Executive and the Executive hereby agrees to such employment with the Company pursuant to the terms and conditions of this Agreement as Executive Vice President, Secretary and General Counsel of the Company, or in such other position with the Company of at least commensurate responsibility and authority in all material respects, for a term of three (3) years commencing on the Effective Date hereof and expiring on April 29, 2010, unless earlier terminated pursuant to Section 5 hereof. The Executive shall serve in said office(s) at the pleasure of the Company’s Chief Executive Officer (the “CEO”) and the Executive may be removed from said office(s) at any time with or without Cause, as hereinafter defined, pursuant to Sections 5(a) or 5(b) hereof; provided that any such removal shall be without prejudice to any contract rights the Executive may have hereunder. This Agreement shall expire by its terms on April 29, 2010.</w:t>
      </w:r>
    </w:p>
    <w:p>
      <w:pPr>
        <w:spacing w:after="0" w:line="95" w:lineRule="exact"/>
        <w:rPr>
          <w:rFonts w:ascii="Arial" w:cs="Arial" w:eastAsia="Arial" w:hAnsi="Arial"/>
          <w:sz w:val="18"/>
          <w:szCs w:val="18"/>
          <w:color w:val="auto"/>
        </w:rPr>
      </w:pPr>
    </w:p>
    <w:p>
      <w:pPr>
        <w:ind w:firstLine="258"/>
        <w:spacing w:after="0" w:line="236" w:lineRule="auto"/>
        <w:tabs>
          <w:tab w:leader="none" w:pos="45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Duties and Responsibilities</w:t>
      </w:r>
      <w:r>
        <w:rPr>
          <w:rFonts w:ascii="Arial" w:cs="Arial" w:eastAsia="Arial" w:hAnsi="Arial"/>
          <w:sz w:val="18"/>
          <w:szCs w:val="18"/>
          <w:color w:val="auto"/>
        </w:rPr>
        <w:t>. The Executive’s duties hereunder shall be those which shall be prescribed by the CEO from time to time, and shall include such executive authority, duties, powers and responsibilities as customarily attend the office as Executive Vice President, Secretary and General Counsel of a company comparable to the Company. The Executive shall discharge such duties consistent with sound business practices and in accordance with law and the Company’s general employment policies, in each case, as in effect from time to time, in all material respects and the Executive shall use best efforts to promote the best interests of the Company. During the term of this Agreement, the Executive’s position (including the Executive’s status and reporting requirements), authority, duties, powers and responsibilities shall at all times be at least commensurate in all material respects with the most significant of those held, exercised or assigned to the Executive as of the Effective Date. The Executive shall devote the Executive’s knowledge, skill and all of the Executive’s professional time, attention and energies (reasonable absences for vacations and illness excepted), to the business of the Company in order to perform such assigned duties faithfully, competently and diligently.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4" w:right="259" w:bottom="1440" w:gutter="0" w:footer="0" w:header="0"/>
        </w:sectPr>
      </w:pPr>
    </w:p>
    <w:bookmarkStart w:id="49" w:name="page50"/>
    <w:bookmarkEnd w:id="49"/>
    <w:p>
      <w:pPr>
        <w:ind w:left="-60" w:right="160" w:firstLine="258"/>
        <w:spacing w:after="0" w:line="246" w:lineRule="auto"/>
        <w:tabs>
          <w:tab w:leader="none" w:pos="39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During the term of this Agreement, the Executive shall receive, for all services rendered to the Company hereunder, the following (hereinafter referred to collectively as “Compensation”):</w:t>
      </w:r>
    </w:p>
    <w:p>
      <w:pPr>
        <w:spacing w:after="0" w:line="88" w:lineRule="exact"/>
        <w:rPr>
          <w:rFonts w:ascii="Arial" w:cs="Arial" w:eastAsia="Arial" w:hAnsi="Arial"/>
          <w:sz w:val="18"/>
          <w:szCs w:val="18"/>
          <w:color w:val="auto"/>
        </w:rPr>
      </w:pPr>
    </w:p>
    <w:p>
      <w:pPr>
        <w:ind w:left="180" w:right="20" w:firstLine="246"/>
        <w:spacing w:after="0" w:line="238" w:lineRule="auto"/>
        <w:tabs>
          <w:tab w:leader="none" w:pos="70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Starting Bonus</w:t>
      </w:r>
      <w:r>
        <w:rPr>
          <w:rFonts w:ascii="Arial" w:cs="Arial" w:eastAsia="Arial" w:hAnsi="Arial"/>
          <w:sz w:val="18"/>
          <w:szCs w:val="18"/>
          <w:color w:val="auto"/>
        </w:rPr>
        <w:t>. The Executive shall be paid a one-time starting bonus in the amount of $100,000 upon the execution of this Agreement. Executive agrees that should he voluntarily end his employment with the Company for any reason: (i) within the first twelve months of the term of this Agreement, Executive will reimburse the Company the full amount of the starting bonus, and (ii) after the first twelve months of the term of this Agreement, but before the expiration of twenty-four months, then in that event the Executive will reimburse the Company a pro-ratio of the starting bonus calculated as follows:.</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Reimbursement to Company = 1 — </w:t>
      </w:r>
      <w:r>
        <w:rPr>
          <w:rFonts w:ascii="Arial" w:cs="Arial" w:eastAsia="Arial" w:hAnsi="Arial"/>
          <w:sz w:val="18"/>
          <w:szCs w:val="18"/>
          <w:u w:val="single" w:color="auto"/>
          <w:color w:val="auto"/>
        </w:rPr>
        <w:t>months of employment</w:t>
      </w:r>
      <w:r>
        <w:rPr>
          <w:rFonts w:ascii="Arial" w:cs="Arial" w:eastAsia="Arial" w:hAnsi="Arial"/>
          <w:sz w:val="18"/>
          <w:szCs w:val="18"/>
          <w:color w:val="auto"/>
        </w:rPr>
        <w:t xml:space="preserve"> x $100,000</w:t>
      </w:r>
    </w:p>
    <w:p>
      <w:pPr>
        <w:ind w:left="5080"/>
        <w:spacing w:after="0"/>
        <w:rPr>
          <w:sz w:val="20"/>
          <w:szCs w:val="20"/>
          <w:color w:val="auto"/>
        </w:rPr>
      </w:pPr>
      <w:r>
        <w:rPr>
          <w:rFonts w:ascii="Arial" w:cs="Arial" w:eastAsia="Arial" w:hAnsi="Arial"/>
          <w:sz w:val="18"/>
          <w:szCs w:val="18"/>
          <w:color w:val="auto"/>
        </w:rPr>
        <w:t>24</w:t>
      </w:r>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After the expiration of 24 months of employment, there will be no requirement for reimbursement of the Starting Bonus.</w:t>
      </w:r>
    </w:p>
    <w:p>
      <w:pPr>
        <w:spacing w:after="0" w:line="104" w:lineRule="exact"/>
        <w:rPr>
          <w:sz w:val="20"/>
          <w:szCs w:val="20"/>
          <w:color w:val="auto"/>
        </w:rPr>
      </w:pPr>
    </w:p>
    <w:p>
      <w:pPr>
        <w:ind w:left="180" w:right="80" w:firstLine="24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Salary</w:t>
      </w:r>
      <w:r>
        <w:rPr>
          <w:rFonts w:ascii="Arial" w:cs="Arial" w:eastAsia="Arial" w:hAnsi="Arial"/>
          <w:sz w:val="18"/>
          <w:szCs w:val="18"/>
          <w:color w:val="auto"/>
        </w:rPr>
        <w:t>. The Executive shall be paid an annual base salary at an annual rate of $375,000. The Executive’s annual base salary shall not be reduced during the term of this Agreement. The Executive’s annual base salary shall be payable in equal installments in accordance with the Company’s general salary payment policies, but no less frequently than bi-weekly.</w:t>
      </w:r>
    </w:p>
    <w:p>
      <w:pPr>
        <w:spacing w:after="0" w:line="94" w:lineRule="exact"/>
        <w:rPr>
          <w:rFonts w:ascii="Arial" w:cs="Arial" w:eastAsia="Arial" w:hAnsi="Arial"/>
          <w:sz w:val="18"/>
          <w:szCs w:val="18"/>
          <w:color w:val="auto"/>
        </w:rPr>
      </w:pPr>
    </w:p>
    <w:p>
      <w:pPr>
        <w:ind w:left="180" w:firstLine="246"/>
        <w:spacing w:after="0" w:line="238" w:lineRule="auto"/>
        <w:tabs>
          <w:tab w:leader="none" w:pos="69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Incentive Compensation</w:t>
      </w:r>
      <w:r>
        <w:rPr>
          <w:rFonts w:ascii="Arial" w:cs="Arial" w:eastAsia="Arial" w:hAnsi="Arial"/>
          <w:sz w:val="18"/>
          <w:szCs w:val="18"/>
          <w:color w:val="auto"/>
        </w:rPr>
        <w:t>. The Executive shall be eligible for awards under the Company’s incentive compensation plans, if any, applicable to executive officers of the Company or to key employees of the Company or its subsidiaries, including, but not limited to, management incentive plans and stock plans, in accordance with and subject to the terms thereof (including any provisions providing for changes in the level of or termination of benefits thereunder), on a basis commensurate with the Executive’s position and authorities, duties, powers and responsibilities.</w:t>
      </w:r>
    </w:p>
    <w:p>
      <w:pPr>
        <w:spacing w:after="0" w:line="94" w:lineRule="exact"/>
        <w:rPr>
          <w:rFonts w:ascii="Arial" w:cs="Arial" w:eastAsia="Arial" w:hAnsi="Arial"/>
          <w:sz w:val="18"/>
          <w:szCs w:val="18"/>
          <w:color w:val="auto"/>
        </w:rPr>
      </w:pPr>
    </w:p>
    <w:p>
      <w:pPr>
        <w:ind w:left="180" w:right="20" w:firstLine="246"/>
        <w:spacing w:after="0" w:line="23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Employee Benefit Plans</w:t>
      </w:r>
      <w:r>
        <w:rPr>
          <w:rFonts w:ascii="Arial" w:cs="Arial" w:eastAsia="Arial" w:hAnsi="Arial"/>
          <w:sz w:val="18"/>
          <w:szCs w:val="18"/>
          <w:color w:val="auto"/>
        </w:rPr>
        <w:t>. The Executive and the Executive’s “dependents,” as that term may be defined under the applicable employee benefit plan(s) of the Company, shall be included, to the extent eligible thereunder and subject to the terms of the plans (including any provisions for changing the level of or termination of benefits thereunder), in all plans, programs and policies which provide benefits for Company employees and their dependents on a basis commensurate with the Executive’s position and authorities, duties, powers and responsibilities including, without limitation, health care insurance, health and welfare plans, pension and retirement plans, group or individual life insurance plans, short and long-term disability plans, survivors’ benefits, executive supplemental benefits, holidays and other similar or comparable benefits made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132715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49" w:right="299" w:bottom="1440" w:gutter="0" w:footer="0" w:header="0"/>
        </w:sectPr>
      </w:pPr>
    </w:p>
    <w:bookmarkStart w:id="50" w:name="page51"/>
    <w:bookmarkEnd w:id="50"/>
    <w:p>
      <w:pPr>
        <w:ind w:left="240" w:right="260"/>
        <w:spacing w:after="0" w:line="246" w:lineRule="auto"/>
        <w:rPr>
          <w:sz w:val="20"/>
          <w:szCs w:val="20"/>
          <w:color w:val="auto"/>
        </w:rPr>
      </w:pPr>
      <w:r>
        <w:rPr>
          <w:rFonts w:ascii="Arial" w:cs="Arial" w:eastAsia="Arial" w:hAnsi="Arial"/>
          <w:sz w:val="18"/>
          <w:szCs w:val="18"/>
          <w:color w:val="auto"/>
        </w:rPr>
        <w:t>available to the Company’s employees (hereinafter, such plans, programs and policies shall be collectively referred to as the “Erie Benefit Plans”).</w:t>
      </w:r>
    </w:p>
    <w:p>
      <w:pPr>
        <w:spacing w:after="0" w:line="89" w:lineRule="exact"/>
        <w:rPr>
          <w:sz w:val="20"/>
          <w:szCs w:val="20"/>
          <w:color w:val="auto"/>
        </w:rPr>
      </w:pPr>
    </w:p>
    <w:p>
      <w:pPr>
        <w:ind w:left="240" w:firstLine="246"/>
        <w:spacing w:after="0" w:line="246" w:lineRule="auto"/>
        <w:tabs>
          <w:tab w:leader="none" w:pos="760"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Performance Appraisal</w:t>
      </w:r>
      <w:r>
        <w:rPr>
          <w:rFonts w:ascii="Arial" w:cs="Arial" w:eastAsia="Arial" w:hAnsi="Arial"/>
          <w:sz w:val="18"/>
          <w:szCs w:val="18"/>
          <w:color w:val="auto"/>
        </w:rPr>
        <w:t>. The Executive’s performance may be evaluated by the CEO from time to time. The Executive shall be entitled to such additional remuneration as the CEO, in his discretion, determines from time to time.</w:t>
      </w:r>
    </w:p>
    <w:p>
      <w:pPr>
        <w:spacing w:after="0" w:line="88" w:lineRule="exact"/>
        <w:rPr>
          <w:rFonts w:ascii="Arial" w:cs="Arial" w:eastAsia="Arial" w:hAnsi="Arial"/>
          <w:sz w:val="18"/>
          <w:szCs w:val="18"/>
          <w:color w:val="auto"/>
        </w:rPr>
      </w:pPr>
    </w:p>
    <w:p>
      <w:pPr>
        <w:jc w:val="both"/>
        <w:ind w:right="160" w:firstLine="258"/>
        <w:spacing w:after="0" w:line="239" w:lineRule="auto"/>
        <w:tabs>
          <w:tab w:leader="none" w:pos="45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Absences</w:t>
      </w:r>
      <w:r>
        <w:rPr>
          <w:rFonts w:ascii="Arial" w:cs="Arial" w:eastAsia="Arial" w:hAnsi="Arial"/>
          <w:sz w:val="18"/>
          <w:szCs w:val="18"/>
          <w:color w:val="auto"/>
        </w:rPr>
        <w:t>. The Executive shall be entitled to vacations in accordance with the Company’s vacation policy in effect from time to time (but in no event shall the Executive be entitled to fewer vacation days than under the Company’s vacation policy as in effect on the Effective Date) and to absences because of illness or other incapacity, and shall also be entitled to such other absences, whether for holiday, personal time, conventions, or for any other purpose, as are customarily granted to the Company’s other officers.</w:t>
      </w:r>
    </w:p>
    <w:p>
      <w:pPr>
        <w:spacing w:after="0" w:line="93" w:lineRule="exact"/>
        <w:rPr>
          <w:rFonts w:ascii="Arial" w:cs="Arial" w:eastAsia="Arial" w:hAnsi="Arial"/>
          <w:sz w:val="18"/>
          <w:szCs w:val="18"/>
          <w:color w:val="auto"/>
        </w:rPr>
      </w:pPr>
    </w:p>
    <w:p>
      <w:pPr>
        <w:ind w:left="460" w:hanging="20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During the term of this Agreement, the Executive’s employment hereunder may be terminated only as follows:</w:t>
      </w:r>
    </w:p>
    <w:p>
      <w:pPr>
        <w:spacing w:after="0" w:line="103" w:lineRule="exact"/>
        <w:rPr>
          <w:rFonts w:ascii="Arial" w:cs="Arial" w:eastAsia="Arial" w:hAnsi="Arial"/>
          <w:sz w:val="18"/>
          <w:szCs w:val="18"/>
          <w:color w:val="auto"/>
        </w:rPr>
      </w:pPr>
    </w:p>
    <w:p>
      <w:pPr>
        <w:ind w:left="240" w:right="360" w:firstLine="246"/>
        <w:spacing w:after="0" w:line="246" w:lineRule="auto"/>
        <w:tabs>
          <w:tab w:leader="none" w:pos="76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By the Company Without Cause</w:t>
      </w:r>
      <w:r>
        <w:rPr>
          <w:rFonts w:ascii="Arial" w:cs="Arial" w:eastAsia="Arial" w:hAnsi="Arial"/>
          <w:sz w:val="18"/>
          <w:szCs w:val="18"/>
          <w:color w:val="auto"/>
        </w:rPr>
        <w:t>. The CEO may at any time terminate the Executive’s employment hereunder without Cause, and upon no less than thirty (30) days’ prior written notice to the Executive.</w:t>
      </w:r>
    </w:p>
    <w:p>
      <w:pPr>
        <w:spacing w:after="0" w:line="88" w:lineRule="exact"/>
        <w:rPr>
          <w:rFonts w:ascii="Arial" w:cs="Arial" w:eastAsia="Arial" w:hAnsi="Arial"/>
          <w:sz w:val="18"/>
          <w:szCs w:val="18"/>
          <w:color w:val="auto"/>
        </w:rPr>
      </w:pPr>
    </w:p>
    <w:p>
      <w:pPr>
        <w:ind w:left="240" w:right="20" w:firstLine="246"/>
        <w:spacing w:after="0"/>
        <w:tabs>
          <w:tab w:leader="none" w:pos="76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By the Company For Cause</w:t>
      </w:r>
      <w:r>
        <w:rPr>
          <w:rFonts w:ascii="Arial" w:cs="Arial" w:eastAsia="Arial" w:hAnsi="Arial"/>
          <w:sz w:val="18"/>
          <w:szCs w:val="18"/>
          <w:color w:val="auto"/>
        </w:rPr>
        <w:t>. The CEO may terminate the Executive’s employment hereunder for Cause. In such event, the CEO shall give to the Executive prompt written notice specifying in reasonable detail the basis for such termination. For purposes of this Agreement, “Cause” shall mean any of the following conduct by the Executive:</w:t>
      </w:r>
    </w:p>
    <w:p>
      <w:pPr>
        <w:spacing w:after="0" w:line="94" w:lineRule="exact"/>
        <w:rPr>
          <w:rFonts w:ascii="Arial" w:cs="Arial" w:eastAsia="Arial" w:hAnsi="Arial"/>
          <w:sz w:val="18"/>
          <w:szCs w:val="18"/>
          <w:color w:val="auto"/>
        </w:rPr>
      </w:pPr>
    </w:p>
    <w:p>
      <w:pPr>
        <w:ind w:left="1260" w:right="180" w:hanging="347"/>
        <w:spacing w:after="0"/>
        <w:tabs>
          <w:tab w:leader="none" w:pos="126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The deliberate and intentional breach of any material provision of this Agreement, which breach Executive shall have failed to cure within thirty (30) days after Executive’s receipt of written notice from the Company specifying the specific nature of the Executive’s breach;</w:t>
      </w:r>
    </w:p>
    <w:p>
      <w:pPr>
        <w:spacing w:after="0" w:line="108" w:lineRule="exact"/>
        <w:rPr>
          <w:rFonts w:ascii="Arial" w:cs="Arial" w:eastAsia="Arial" w:hAnsi="Arial"/>
          <w:sz w:val="18"/>
          <w:szCs w:val="18"/>
          <w:color w:val="auto"/>
        </w:rPr>
      </w:pPr>
    </w:p>
    <w:p>
      <w:pPr>
        <w:ind w:left="1260" w:right="300" w:hanging="347"/>
        <w:spacing w:after="0" w:line="246" w:lineRule="auto"/>
        <w:tabs>
          <w:tab w:leader="none" w:pos="126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The deliberate and intentional engaging by Executive in gross misconduct that is materially and demonstrably inimical to the best interests, monetary or otherwise, of the Company; or</w:t>
      </w:r>
    </w:p>
    <w:p>
      <w:pPr>
        <w:spacing w:after="0" w:line="102" w:lineRule="exact"/>
        <w:rPr>
          <w:rFonts w:ascii="Arial" w:cs="Arial" w:eastAsia="Arial" w:hAnsi="Arial"/>
          <w:sz w:val="18"/>
          <w:szCs w:val="18"/>
          <w:color w:val="auto"/>
        </w:rPr>
      </w:pPr>
    </w:p>
    <w:p>
      <w:pPr>
        <w:ind w:left="1260" w:hanging="347"/>
        <w:spacing w:after="0"/>
        <w:tabs>
          <w:tab w:leader="none" w:pos="1260" w:val="left"/>
        </w:tabs>
        <w:numPr>
          <w:ilvl w:val="2"/>
          <w:numId w:val="19"/>
        </w:numPr>
        <w:rPr>
          <w:rFonts w:ascii="Arial" w:cs="Arial" w:eastAsia="Arial" w:hAnsi="Arial"/>
          <w:sz w:val="18"/>
          <w:szCs w:val="18"/>
          <w:color w:val="auto"/>
        </w:rPr>
      </w:pPr>
      <w:r>
        <w:rPr>
          <w:rFonts w:ascii="Arial" w:cs="Arial" w:eastAsia="Arial" w:hAnsi="Arial"/>
          <w:sz w:val="18"/>
          <w:szCs w:val="18"/>
          <w:color w:val="auto"/>
        </w:rPr>
        <w:t>Conviction of a felony or conviction of any crime involving moral turpitude, fraud or deceit.</w:t>
      </w:r>
    </w:p>
    <w:p>
      <w:pPr>
        <w:spacing w:after="0" w:line="104"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For purposes of this definition, no act, or failure to act, on the Executive’s part shall be considered “deliberate and intentional” unless done, or omitted to be done, by the Executive not in good faith and without reasonable belief that such action or omission was in the best interest of the Company.</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51" w:name="page52"/>
    <w:bookmarkEnd w:id="51"/>
    <w:p>
      <w:pPr>
        <w:jc w:val="both"/>
        <w:ind w:left="180" w:right="40" w:firstLine="246"/>
        <w:spacing w:after="0" w:line="238" w:lineRule="auto"/>
        <w:tabs>
          <w:tab w:leader="none" w:pos="69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In the event that the Executive shall be unable to perform the Executive’s duties hereunder on a full time basis for a period of one hundred-eighty (180) consecutive calendar days by reason of incapacity due to illness, accident or other physical or mental disability, then the CEO may, at his discretion, terminate the Executive’s employment hereunder if the Executive, within ten (10) days after receipt of written notice of termination (which notice may be given before or after the end of the entire 180 day period), shall not have returned to the performance of all of his duties hereunder on a full-time basis.</w:t>
      </w:r>
    </w:p>
    <w:p>
      <w:pPr>
        <w:spacing w:after="0" w:line="94" w:lineRule="exact"/>
        <w:rPr>
          <w:rFonts w:ascii="Arial" w:cs="Arial" w:eastAsia="Arial" w:hAnsi="Arial"/>
          <w:sz w:val="18"/>
          <w:szCs w:val="18"/>
          <w:color w:val="auto"/>
        </w:rPr>
      </w:pPr>
    </w:p>
    <w:p>
      <w:pPr>
        <w:ind w:left="700" w:hanging="274"/>
        <w:spacing w:after="0"/>
        <w:tabs>
          <w:tab w:leader="none" w:pos="70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Executive’s employment under this Agreement shall terminate upon the Executive’s death.</w:t>
      </w:r>
    </w:p>
    <w:p>
      <w:pPr>
        <w:spacing w:after="0" w:line="103" w:lineRule="exact"/>
        <w:rPr>
          <w:rFonts w:ascii="Arial" w:cs="Arial" w:eastAsia="Arial" w:hAnsi="Arial"/>
          <w:sz w:val="18"/>
          <w:szCs w:val="18"/>
          <w:color w:val="auto"/>
        </w:rPr>
      </w:pPr>
    </w:p>
    <w:p>
      <w:pPr>
        <w:ind w:left="180" w:right="60" w:firstLine="246"/>
        <w:spacing w:after="0" w:line="246" w:lineRule="auto"/>
        <w:tabs>
          <w:tab w:leader="none" w:pos="70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Mutual Written Agreement</w:t>
      </w:r>
      <w:r>
        <w:rPr>
          <w:rFonts w:ascii="Arial" w:cs="Arial" w:eastAsia="Arial" w:hAnsi="Arial"/>
          <w:sz w:val="18"/>
          <w:szCs w:val="18"/>
          <w:color w:val="auto"/>
        </w:rPr>
        <w:t>. This Agreement and the Executive’s employment hereunder may be terminated at any time by the mutual written agreement of the Executive and the Company.</w:t>
      </w:r>
    </w:p>
    <w:p>
      <w:pPr>
        <w:spacing w:after="0" w:line="88" w:lineRule="exact"/>
        <w:rPr>
          <w:rFonts w:ascii="Arial" w:cs="Arial" w:eastAsia="Arial" w:hAnsi="Arial"/>
          <w:sz w:val="18"/>
          <w:szCs w:val="18"/>
          <w:color w:val="auto"/>
        </w:rPr>
      </w:pPr>
    </w:p>
    <w:p>
      <w:pPr>
        <w:jc w:val="both"/>
        <w:ind w:left="-60" w:right="200" w:firstLine="258"/>
        <w:spacing w:after="0"/>
        <w:tabs>
          <w:tab w:leader="none" w:pos="39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Compensation in the Event of Termination</w:t>
      </w:r>
      <w:r>
        <w:rPr>
          <w:rFonts w:ascii="Arial" w:cs="Arial" w:eastAsia="Arial" w:hAnsi="Arial"/>
          <w:sz w:val="18"/>
          <w:szCs w:val="18"/>
          <w:color w:val="auto"/>
        </w:rPr>
        <w:t>. In the event that the Executive’s employment hereunder terminates prior to the expiration of this Agreement for any reason provided in Section 5 hereof, the Company shall pay the Executive, compensation and provide the Executive and the Executive’s eligible dependents with benefits as follows:</w:t>
      </w:r>
    </w:p>
    <w:p>
      <w:pPr>
        <w:spacing w:after="0" w:line="94" w:lineRule="exact"/>
        <w:rPr>
          <w:rFonts w:ascii="Arial" w:cs="Arial" w:eastAsia="Arial" w:hAnsi="Arial"/>
          <w:sz w:val="18"/>
          <w:szCs w:val="18"/>
          <w:color w:val="auto"/>
        </w:rPr>
      </w:pPr>
    </w:p>
    <w:p>
      <w:pPr>
        <w:ind w:left="180" w:right="80" w:firstLine="246"/>
        <w:spacing w:after="0" w:line="246" w:lineRule="auto"/>
        <w:tabs>
          <w:tab w:leader="none" w:pos="70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Termination By Company Without Cause</w:t>
      </w:r>
      <w:r>
        <w:rPr>
          <w:rFonts w:ascii="Arial" w:cs="Arial" w:eastAsia="Arial" w:hAnsi="Arial"/>
          <w:sz w:val="18"/>
          <w:szCs w:val="18"/>
          <w:color w:val="auto"/>
        </w:rPr>
        <w:t>. In the event that the Executive’s employment hereunder is terminated by the Company without Cause pursuant to Section 5(a) hereof, then in any such event the Company shall pay the following compensation to the Executive:</w:t>
      </w:r>
    </w:p>
    <w:p>
      <w:pPr>
        <w:spacing w:after="0" w:line="89" w:lineRule="exact"/>
        <w:rPr>
          <w:sz w:val="20"/>
          <w:szCs w:val="20"/>
          <w:color w:val="auto"/>
        </w:rPr>
      </w:pPr>
    </w:p>
    <w:p>
      <w:pPr>
        <w:ind w:left="860"/>
        <w:spacing w:after="0" w:line="238" w:lineRule="auto"/>
        <w:rPr>
          <w:sz w:val="20"/>
          <w:szCs w:val="20"/>
          <w:color w:val="auto"/>
        </w:rPr>
      </w:pPr>
      <w:r>
        <w:rPr>
          <w:rFonts w:ascii="Arial" w:cs="Arial" w:eastAsia="Arial" w:hAnsi="Arial"/>
          <w:sz w:val="18"/>
          <w:szCs w:val="18"/>
          <w:color w:val="auto"/>
        </w:rPr>
        <w:t>1.5 times the Executive’s highest annual base salary plus 1.5 times the greater of either any annual incentive award actually paid or the annual incentive target award, calculated using the base salary and annual incentive target award in effect immediately preceding the Executive’s termination. Such payment to the Executive by the Company shall be paid in a lump sum. The lump sum payment shall be paid as soon as administratively practicable following the date of the termination of the Executive’s employment hereunder, provided the same is consistent with applicable law.</w:t>
      </w:r>
    </w:p>
    <w:p>
      <w:pPr>
        <w:spacing w:after="0" w:line="95" w:lineRule="exact"/>
        <w:rPr>
          <w:sz w:val="20"/>
          <w:szCs w:val="20"/>
          <w:color w:val="auto"/>
        </w:rPr>
      </w:pPr>
    </w:p>
    <w:p>
      <w:pPr>
        <w:ind w:left="180" w:right="340" w:firstLine="24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w:t>
      </w:r>
      <w:r>
        <w:rPr>
          <w:rFonts w:ascii="Arial" w:cs="Arial" w:eastAsia="Arial" w:hAnsi="Arial"/>
          <w:sz w:val="18"/>
          <w:szCs w:val="18"/>
          <w:color w:val="auto"/>
        </w:rPr>
        <w:t>. In the event that the Company shall terminate the Executive’s employment hereunder for Cause pursuant to Section 5(b), this Agreement shall forthwith terminate and the Executive shall not be entitled to any additional compensation or severance benefit.</w:t>
      </w:r>
    </w:p>
    <w:p>
      <w:pPr>
        <w:spacing w:after="0" w:line="94" w:lineRule="exact"/>
        <w:rPr>
          <w:rFonts w:ascii="Arial" w:cs="Arial" w:eastAsia="Arial" w:hAnsi="Arial"/>
          <w:sz w:val="18"/>
          <w:szCs w:val="18"/>
          <w:color w:val="auto"/>
        </w:rPr>
      </w:pPr>
    </w:p>
    <w:p>
      <w:pPr>
        <w:ind w:left="180" w:right="420" w:firstLine="246"/>
        <w:spacing w:after="0" w:line="246" w:lineRule="auto"/>
        <w:tabs>
          <w:tab w:leader="none" w:pos="69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In the event that the Company elects to terminate the Executive’s employment hereunder pursuant to Section 5(c), the Executive shall continue to receive from the date of such termination through the expiration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132715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949" w:right="279" w:bottom="1440" w:gutter="0" w:footer="0" w:header="0"/>
        </w:sectPr>
      </w:pPr>
    </w:p>
    <w:bookmarkStart w:id="52" w:name="page53"/>
    <w:bookmarkEnd w:id="52"/>
    <w:p>
      <w:pPr>
        <w:ind w:left="240" w:right="220"/>
        <w:spacing w:after="0" w:line="239" w:lineRule="auto"/>
        <w:rPr>
          <w:sz w:val="20"/>
          <w:szCs w:val="20"/>
          <w:color w:val="auto"/>
        </w:rPr>
      </w:pPr>
      <w:r>
        <w:rPr>
          <w:rFonts w:ascii="Arial" w:cs="Arial" w:eastAsia="Arial" w:hAnsi="Arial"/>
          <w:sz w:val="18"/>
          <w:szCs w:val="18"/>
          <w:color w:val="auto"/>
        </w:rPr>
        <w:t>of this Agreement, sixty percent (60%) of the then current annual base salary to which the Executive was entitled pursuant to Section 3(b) hereof immediately preceding such termination, in accordance with the payroll practices of the Company for executive officers, reduced, however, by the amount of any proceeds from Social Security and disability insurance policies provided by and at the expense of the Company.</w:t>
      </w:r>
    </w:p>
    <w:p>
      <w:pPr>
        <w:spacing w:after="0" w:line="94" w:lineRule="exact"/>
        <w:rPr>
          <w:sz w:val="20"/>
          <w:szCs w:val="20"/>
          <w:color w:val="auto"/>
        </w:rPr>
      </w:pPr>
    </w:p>
    <w:p>
      <w:pPr>
        <w:ind w:left="240" w:right="140" w:firstLine="246"/>
        <w:spacing w:after="0" w:line="238"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In the event of the death of the Executive during the term of this Agreement, the then current annual base salary to which the Executive was entitled pursuant to Section 3(b) hereof immediately preceding the Executive’s death shall be paid, in twelve (12) equal monthly installments following the date of death, to the last beneficiary designated by the Executive under the Company’s group life insurance policy maintained by the Company or such other written designation expressly provided to the Company for the purposes hereof or, failing either such designation, to the Executive’s estate.</w:t>
      </w:r>
    </w:p>
    <w:p>
      <w:pPr>
        <w:spacing w:after="0" w:line="94" w:lineRule="exact"/>
        <w:rPr>
          <w:rFonts w:ascii="Arial" w:cs="Arial" w:eastAsia="Arial" w:hAnsi="Arial"/>
          <w:sz w:val="18"/>
          <w:szCs w:val="18"/>
          <w:color w:val="auto"/>
        </w:rPr>
      </w:pPr>
    </w:p>
    <w:p>
      <w:pPr>
        <w:ind w:left="240" w:right="140" w:firstLine="246"/>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Mutual Written Consent</w:t>
      </w:r>
      <w:r>
        <w:rPr>
          <w:rFonts w:ascii="Arial" w:cs="Arial" w:eastAsia="Arial" w:hAnsi="Arial"/>
          <w:sz w:val="18"/>
          <w:szCs w:val="18"/>
          <w:color w:val="auto"/>
        </w:rPr>
        <w:t>. In the event that the Executive and the Company shall terminate the Executive’s employment by mutual written agreement, the Company shall pay such compensation and provide such benefits, if any, as the parties may mutually agree upon in writing.</w:t>
      </w:r>
    </w:p>
    <w:p>
      <w:pPr>
        <w:spacing w:after="0" w:line="94" w:lineRule="exact"/>
        <w:rPr>
          <w:rFonts w:ascii="Arial" w:cs="Arial" w:eastAsia="Arial" w:hAnsi="Arial"/>
          <w:sz w:val="18"/>
          <w:szCs w:val="18"/>
          <w:color w:val="auto"/>
        </w:rPr>
      </w:pPr>
    </w:p>
    <w:p>
      <w:pPr>
        <w:ind w:left="240" w:right="480" w:firstLine="246"/>
        <w:spacing w:after="0" w:line="246" w:lineRule="auto"/>
        <w:tabs>
          <w:tab w:leader="none" w:pos="71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Executive shall be solely responsible for any federal, state or local income or related taxes for any payments to Executive under this Section 6.</w:t>
      </w:r>
    </w:p>
    <w:p>
      <w:pPr>
        <w:spacing w:after="0" w:line="89"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Executive shall not be required to mitigate the amount of any payment provided for in this Section 6 by seeking employment or otherwise, nor shall any amounts received from employment or otherwise by the Executive offset in any manner the obligations of the Company hereunder except as specifically provided in Section 6(c) hereof.</w:t>
      </w:r>
    </w:p>
    <w:p>
      <w:pPr>
        <w:spacing w:after="0" w:line="95" w:lineRule="exact"/>
        <w:rPr>
          <w:sz w:val="20"/>
          <w:szCs w:val="20"/>
          <w:color w:val="auto"/>
        </w:rPr>
      </w:pPr>
    </w:p>
    <w:p>
      <w:pPr>
        <w:ind w:right="60" w:firstLine="258"/>
        <w:spacing w:after="0"/>
        <w:tabs>
          <w:tab w:leader="none" w:pos="45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Covenants as to Confidential Information and Competitive Conduct</w:t>
      </w:r>
      <w:r>
        <w:rPr>
          <w:rFonts w:ascii="Arial" w:cs="Arial" w:eastAsia="Arial" w:hAnsi="Arial"/>
          <w:sz w:val="18"/>
          <w:szCs w:val="18"/>
          <w:color w:val="auto"/>
        </w:rPr>
        <w:t>. The Executive hereby acknowledges and agrees as follows: (i) this Section 7 is necessary for the protection of the legitimate business interests of the Company, and (ii) the Executive has received adequate and valuable consideration for entering into this Agreement.</w:t>
      </w:r>
    </w:p>
    <w:p>
      <w:pPr>
        <w:spacing w:after="0" w:line="94" w:lineRule="exact"/>
        <w:rPr>
          <w:rFonts w:ascii="Arial" w:cs="Arial" w:eastAsia="Arial" w:hAnsi="Arial"/>
          <w:sz w:val="18"/>
          <w:szCs w:val="18"/>
          <w:color w:val="auto"/>
        </w:rPr>
      </w:pPr>
    </w:p>
    <w:p>
      <w:pPr>
        <w:ind w:left="240" w:firstLine="246"/>
        <w:spacing w:after="0" w:line="237" w:lineRule="auto"/>
        <w:tabs>
          <w:tab w:leader="none" w:pos="760"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Confidentiality of Information and Nondisclosure</w:t>
      </w:r>
      <w:r>
        <w:rPr>
          <w:rFonts w:ascii="Arial" w:cs="Arial" w:eastAsia="Arial" w:hAnsi="Arial"/>
          <w:sz w:val="18"/>
          <w:szCs w:val="18"/>
          <w:color w:val="auto"/>
        </w:rPr>
        <w:t>. The Executive acknowledges and agrees that the Executive’s employment by the Company under this Agreement necessarily involves knowledge of and access to confidential and proprietary information pertaining to the business of the Company and its subsidiaries. Accordingly, the Executive agrees that at all times during the term of this Agreement and at any time thereafter, the Executive will not, directly or indirectly, without the express written approval of the Company, unless directed by applicable legal authority (including any court of competent jurisdiction, governmental agency having supervisory authority over the business of the Company or the subsidiaries, or any legislative or administrative body having supervisory authority over the business of the Company or its subsidiaries) having</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53" w:name="page54"/>
    <w:bookmarkEnd w:id="53"/>
    <w:p>
      <w:pPr>
        <w:ind w:left="220" w:right="80"/>
        <w:spacing w:after="0" w:line="236" w:lineRule="auto"/>
        <w:rPr>
          <w:sz w:val="20"/>
          <w:szCs w:val="20"/>
          <w:color w:val="auto"/>
        </w:rPr>
      </w:pPr>
      <w:r>
        <w:rPr>
          <w:rFonts w:ascii="Arial" w:cs="Arial" w:eastAsia="Arial" w:hAnsi="Arial"/>
          <w:sz w:val="18"/>
          <w:szCs w:val="18"/>
          <w:color w:val="auto"/>
        </w:rPr>
        <w:t>jurisdiction over the Executive, disclose to or use, or knowingly permit to be so disclosed or used, for the benefit of himself, any person, corporation or other entity other than the Company, (i) any information concerning any financial matters, customer relationships, competitive status, supplier matters, internal organizational matters, current or future plans, or other business affairs of or relating to the Company or its subsidiaries, (ii) any management, operational, trade, technical or other secrets or any other proprietary information or other data of the Company or its subsidiaries, or (iii) any other information related to the Company or its subsidiaries or which the Executive should reasonably believe will be damaging to the Company or its subsidiaries which has not been published and is not generally known outside of the Company. The Executive acknowledges that all of the foregoing constitutes confidential and proprietary information, which is the exclusive property of the Company.</w:t>
      </w:r>
    </w:p>
    <w:p>
      <w:pPr>
        <w:spacing w:after="0" w:line="100" w:lineRule="exact"/>
        <w:rPr>
          <w:sz w:val="20"/>
          <w:szCs w:val="20"/>
          <w:color w:val="auto"/>
        </w:rPr>
      </w:pPr>
    </w:p>
    <w:p>
      <w:pPr>
        <w:ind w:left="220" w:firstLine="246"/>
        <w:spacing w:after="0" w:line="237" w:lineRule="auto"/>
        <w:tabs>
          <w:tab w:leader="none" w:pos="740"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Company Remedies</w:t>
      </w:r>
      <w:r>
        <w:rPr>
          <w:rFonts w:ascii="Arial" w:cs="Arial" w:eastAsia="Arial" w:hAnsi="Arial"/>
          <w:sz w:val="18"/>
          <w:szCs w:val="18"/>
          <w:color w:val="auto"/>
        </w:rPr>
        <w:t>. The Executive acknowledges and agrees that any breach of this Section 7 will result in immediate and irreparable harm to the Company, and that the Company cannot be reasonably or adequately compensated by damages in an action at law. In the event of a breach by the Executive of the provisions of this Section 7, the Company shall be entitled, to the extent permitted by law, immediately to cease to pay or provide the Executive or the Executive’s dependents any compensation or benefit being, or to be, paid or provided to the Executive pursuant to this Agreement, and also to obtain immediate injunctive relief restraining the Executive from conduct in breach of the covenants contained in this Section 7. Nothing herein shall be construed as prohibiting the Company from pursuing any other remedies available to it for such breach, including the recovery of damages from the Executive.</w:t>
      </w:r>
    </w:p>
    <w:p>
      <w:pPr>
        <w:spacing w:after="0" w:line="95" w:lineRule="exact"/>
        <w:rPr>
          <w:rFonts w:ascii="Arial" w:cs="Arial" w:eastAsia="Arial" w:hAnsi="Arial"/>
          <w:sz w:val="18"/>
          <w:szCs w:val="18"/>
          <w:color w:val="auto"/>
        </w:rPr>
      </w:pPr>
    </w:p>
    <w:p>
      <w:pPr>
        <w:ind w:left="-20" w:right="20" w:firstLine="258"/>
        <w:spacing w:after="0" w:line="236" w:lineRule="auto"/>
        <w:tabs>
          <w:tab w:leader="none" w:pos="43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Resolution of Differences Over Breaches of Agreement</w:t>
      </w:r>
      <w:r>
        <w:rPr>
          <w:rFonts w:ascii="Arial" w:cs="Arial" w:eastAsia="Arial" w:hAnsi="Arial"/>
          <w:sz w:val="18"/>
          <w:szCs w:val="18"/>
          <w:color w:val="auto"/>
        </w:rPr>
        <w:t>. Except as otherwise provided herein, in the event of any controversy, dispute or claim arising out of, or relating to, this Agreement, or the breach thereof, or arising out of any other matter relating to the Executive’s employment with the Company, the parties may seek recourse only for temporary or preliminary injunctive relief to the courts having jurisdiction thereof and if any relief other than injunctive relief is sought, the Company and the Executive agree that such underlying controversy, dispute or claim shall be settled by arbitration conducted in Erie, Pennsylvania in accordance with this Section 8 and the Commercial Arbitration Rules of the American Arbitration Association (“AAA”). The matter shall be heard and decided, and awards rendered by a panel of three (3) arbitrators (the “Arbitration Panel”). The Company and the Executive shall each select one arbitrator from the AAA National Panel of Commercial Arbitrators (the “Commercial Panel”) and AAA shall select a third arbitrator from the Commercial Panel. The award rendered by the Arbitration Panel shall be final and binding as between the parties hereto and their heirs, executors, administrators, successors and assigns, and judgment on the award may be entered by any court having jurisdiction thereof. Each party shall bear sole responsibility for all expenses and costs incurred by such party in connection with the resolution of any controversy, dispute or claim in accordance with this Section 8.</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132715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49" w:right="239" w:bottom="1440" w:gutter="0" w:footer="0" w:header="0"/>
        </w:sectPr>
      </w:pPr>
    </w:p>
    <w:bookmarkStart w:id="54" w:name="page55"/>
    <w:bookmarkEnd w:id="54"/>
    <w:p>
      <w:pPr>
        <w:ind w:left="-80" w:right="60" w:firstLine="258"/>
        <w:spacing w:after="0" w:line="237" w:lineRule="auto"/>
        <w:tabs>
          <w:tab w:leader="none" w:pos="37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Payment of Executive’s Legal Fees</w:t>
      </w:r>
      <w:r>
        <w:rPr>
          <w:rFonts w:ascii="Arial" w:cs="Arial" w:eastAsia="Arial" w:hAnsi="Arial"/>
          <w:sz w:val="18"/>
          <w:szCs w:val="18"/>
          <w:color w:val="auto"/>
        </w:rPr>
        <w:t>. If the Executive is required to bring any action to enforce rights or to collect moneys due under this Agreement, the Company shall pay to the Executive the fees and expenses incurred by the Executive in bringing and pursuing such action if the Executive is successful, in whole or in part, on the merits or otherwise (including by way of a settlement involving a payment of money by the Company to the Executive), in such action. The Company shall pay such fees and expenses in advance of the final disposition of such action upon receipt of an undertaking from the Executive to repay to the Company such advances if the Executive is not ultimately successful, in whole or in part, on the merits or otherwise, in such action.</w:t>
      </w:r>
    </w:p>
    <w:p>
      <w:pPr>
        <w:spacing w:after="0" w:line="97" w:lineRule="exact"/>
        <w:rPr>
          <w:rFonts w:ascii="Arial" w:cs="Arial" w:eastAsia="Arial" w:hAnsi="Arial"/>
          <w:sz w:val="18"/>
          <w:szCs w:val="18"/>
          <w:color w:val="auto"/>
        </w:rPr>
      </w:pPr>
    </w:p>
    <w:p>
      <w:pPr>
        <w:ind w:left="-80" w:right="200" w:firstLine="258"/>
        <w:spacing w:after="0" w:line="238" w:lineRule="auto"/>
        <w:tabs>
          <w:tab w:leader="none" w:pos="47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The Executive hereby acknowledges and agrees that neither the Company nor any of its representatives or agents will be obligated to pay any compensation or benefit which the Executive has a right to be paid or provided to the Executive or the Executive’s dependents, unless the Executive, if requested by the Company in its sole discretion, executes a release in a form reasonably acceptable to the Company, which releases any and all claims the Executive has or may have against the Company or its subsidiaries, agents, officers, directors, successors or assigns.</w:t>
      </w:r>
    </w:p>
    <w:p>
      <w:pPr>
        <w:spacing w:after="0" w:line="94" w:lineRule="exact"/>
        <w:rPr>
          <w:rFonts w:ascii="Arial" w:cs="Arial" w:eastAsia="Arial" w:hAnsi="Arial"/>
          <w:sz w:val="18"/>
          <w:szCs w:val="18"/>
          <w:color w:val="auto"/>
        </w:rPr>
      </w:pPr>
    </w:p>
    <w:p>
      <w:pPr>
        <w:ind w:left="-80" w:right="80" w:firstLine="258"/>
        <w:spacing w:after="0" w:line="246" w:lineRule="auto"/>
        <w:tabs>
          <w:tab w:leader="none" w:pos="47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The waiver by a party hereto of any breach by the other party hereto of any provision of this Agreement shall not operate or be construed as a waiver of any other or subsequent breach by a party hereto.</w:t>
      </w:r>
    </w:p>
    <w:p>
      <w:pPr>
        <w:spacing w:after="0" w:line="88" w:lineRule="exact"/>
        <w:rPr>
          <w:rFonts w:ascii="Arial" w:cs="Arial" w:eastAsia="Arial" w:hAnsi="Arial"/>
          <w:sz w:val="18"/>
          <w:szCs w:val="18"/>
          <w:color w:val="auto"/>
        </w:rPr>
      </w:pPr>
    </w:p>
    <w:p>
      <w:pPr>
        <w:ind w:left="-80" w:right="160" w:firstLine="258"/>
        <w:spacing w:after="0" w:line="237" w:lineRule="auto"/>
        <w:tabs>
          <w:tab w:leader="none" w:pos="47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be binding upon and inure to the benefit of the successors and assigns of the Company, and the Company shall be obligated to require any successor to expressly acknowledge and assume its obligations hereunder. This Agreement shall inure to the extent provided hereunder to the benefit of and be enforceable by the Executive or the Executive’s legal representatives, executors, administrators, successors, heirs, distributees, devisees and legatees. The Executive may not delegate any of the Executive’s duties, responsibilities, obligations or positions hereunder to any person and any such purported delegation shall be void and of no force and effect.</w:t>
      </w:r>
    </w:p>
    <w:p>
      <w:pPr>
        <w:spacing w:after="0" w:line="97" w:lineRule="exact"/>
        <w:rPr>
          <w:rFonts w:ascii="Arial" w:cs="Arial" w:eastAsia="Arial" w:hAnsi="Arial"/>
          <w:sz w:val="18"/>
          <w:szCs w:val="18"/>
          <w:color w:val="auto"/>
        </w:rPr>
      </w:pPr>
    </w:p>
    <w:p>
      <w:pPr>
        <w:ind w:left="-80" w:firstLine="258"/>
        <w:spacing w:after="0" w:line="238" w:lineRule="auto"/>
        <w:tabs>
          <w:tab w:leader="none" w:pos="47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required or permitted to be given under this Agreement shall be sufficient if in writing, and if personally delivered or when sent by first class certified or registered mail, postage prepaid, return receipt requested—in the case of the Executive, to his residence address as set forth below, and in the case of the Company, to the address of its principal place of business as set forth below, to the attention of the President and Chief Executive Officer — or to such other person or at such other address with respect to each party as such party shall notify the other in writing.</w:t>
      </w:r>
    </w:p>
    <w:p>
      <w:pPr>
        <w:spacing w:after="0" w:line="94" w:lineRule="exact"/>
        <w:rPr>
          <w:rFonts w:ascii="Arial" w:cs="Arial" w:eastAsia="Arial" w:hAnsi="Arial"/>
          <w:sz w:val="18"/>
          <w:szCs w:val="18"/>
          <w:color w:val="auto"/>
        </w:rPr>
      </w:pPr>
    </w:p>
    <w:p>
      <w:pPr>
        <w:ind w:left="480" w:hanging="302"/>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Construction of Agreement</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680" w:hanging="274"/>
        <w:spacing w:after="0"/>
        <w:tabs>
          <w:tab w:leader="none" w:pos="680"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under the laws of the Commonwealth of Pennsylvania.</w:t>
      </w:r>
    </w:p>
    <w:p>
      <w:pPr>
        <w:spacing w:after="0" w:line="103" w:lineRule="exact"/>
        <w:rPr>
          <w:rFonts w:ascii="Arial" w:cs="Arial" w:eastAsia="Arial" w:hAnsi="Arial"/>
          <w:sz w:val="18"/>
          <w:szCs w:val="18"/>
          <w:color w:val="auto"/>
        </w:rPr>
      </w:pPr>
    </w:p>
    <w:p>
      <w:pPr>
        <w:ind w:left="160" w:firstLine="246"/>
        <w:spacing w:after="0" w:line="246" w:lineRule="auto"/>
        <w:tabs>
          <w:tab w:leader="none" w:pos="680"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one or more of the provisions of this Agreement shall be held to be invalid, illegal or unenforceable, the validity,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132715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320" w:top="949" w:right="319" w:bottom="1440" w:gutter="0" w:footer="0" w:header="0"/>
        </w:sectPr>
      </w:pPr>
    </w:p>
    <w:bookmarkStart w:id="55" w:name="page56"/>
    <w:bookmarkEnd w:id="55"/>
    <w:p>
      <w:pPr>
        <w:ind w:left="240"/>
        <w:spacing w:after="0"/>
        <w:rPr>
          <w:sz w:val="20"/>
          <w:szCs w:val="20"/>
          <w:color w:val="auto"/>
        </w:rPr>
      </w:pPr>
      <w:r>
        <w:rPr>
          <w:rFonts w:ascii="Arial" w:cs="Arial" w:eastAsia="Arial" w:hAnsi="Arial"/>
          <w:sz w:val="18"/>
          <w:szCs w:val="18"/>
          <w:color w:val="auto"/>
        </w:rPr>
        <w:t>legality or enforceability of the remaining provisions shall not in any way be affected or impaired thereby.</w:t>
      </w:r>
    </w:p>
    <w:p>
      <w:pPr>
        <w:spacing w:after="0" w:line="104" w:lineRule="exact"/>
        <w:rPr>
          <w:sz w:val="20"/>
          <w:szCs w:val="20"/>
          <w:color w:val="auto"/>
        </w:rPr>
      </w:pPr>
    </w:p>
    <w:p>
      <w:pPr>
        <w:ind w:left="240" w:right="120" w:firstLine="246"/>
        <w:spacing w:after="0" w:line="246" w:lineRule="auto"/>
        <w:tabs>
          <w:tab w:leader="none" w:pos="750"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descriptive headings of the several paragraphs of this Agreement are inserted for convenience of reference only and shall not constitute a part of this Agreement.</w:t>
      </w:r>
    </w:p>
    <w:p>
      <w:pPr>
        <w:spacing w:after="0" w:line="84" w:lineRule="exact"/>
        <w:rPr>
          <w:rFonts w:ascii="Arial" w:cs="Arial" w:eastAsia="Arial" w:hAnsi="Arial"/>
          <w:sz w:val="18"/>
          <w:szCs w:val="18"/>
          <w:color w:val="auto"/>
        </w:rPr>
      </w:pPr>
    </w:p>
    <w:p>
      <w:pPr>
        <w:ind w:left="560" w:hanging="302"/>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of the parties concerning the Executive’s employment and all</w:t>
      </w:r>
    </w:p>
    <w:p>
      <w:pPr>
        <w:spacing w:after="0"/>
        <w:rPr>
          <w:rFonts w:ascii="Arial" w:cs="Arial" w:eastAsia="Arial" w:hAnsi="Arial"/>
          <w:sz w:val="18"/>
          <w:szCs w:val="18"/>
          <w:color w:val="auto"/>
        </w:rPr>
      </w:pPr>
      <w:r>
        <w:rPr>
          <w:rFonts w:ascii="Arial" w:cs="Arial" w:eastAsia="Arial" w:hAnsi="Arial"/>
          <w:sz w:val="18"/>
          <w:szCs w:val="18"/>
          <w:color w:val="auto"/>
        </w:rPr>
        <w:t>promises, representations, understandings, arrangements and prior agreements on such subject are merged herein and superseded hereby. The provisions of this Agreement may not be amended, modified, repealed, waived, extended or discharged except by an agreement in writing signed by the party against whom enforcement of any amendment, modification, repeal, waiver, extension or discharge is sought.</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9" w:right="319" w:bottom="1440" w:gutter="0" w:footer="0" w:header="0"/>
        </w:sectPr>
      </w:pPr>
    </w:p>
    <w:bookmarkStart w:id="56" w:name="page57"/>
    <w:bookmarkEnd w:id="56"/>
    <w:p>
      <w:pPr>
        <w:ind w:firstLine="250"/>
        <w:spacing w:after="0" w:line="246" w:lineRule="auto"/>
        <w:rPr>
          <w:sz w:val="20"/>
          <w:szCs w:val="20"/>
          <w:color w:val="auto"/>
        </w:rPr>
      </w:pPr>
      <w:r>
        <w:rPr>
          <w:rFonts w:ascii="Arial" w:cs="Arial" w:eastAsia="Arial" w:hAnsi="Arial"/>
          <w:sz w:val="18"/>
          <w:szCs w:val="18"/>
          <w:color w:val="auto"/>
        </w:rPr>
        <w:t>IN WITNESS WHEREOF, the Company has caused this Agreement to be executed by its officers thereunto duly authorized, and the Executive has hereunto set his hand all as of the day and year first above written.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rPr>
          <w:sz w:val="20"/>
          <w:szCs w:val="20"/>
          <w:color w:val="auto"/>
        </w:rPr>
      </w:pPr>
      <w:r>
        <w:rPr>
          <w:rFonts w:ascii="Arial" w:cs="Arial" w:eastAsia="Arial" w:hAnsi="Arial"/>
          <w:sz w:val="18"/>
          <w:szCs w:val="18"/>
          <w:u w:val="single" w:color="auto"/>
          <w:color w:val="auto"/>
        </w:rPr>
        <w:t>/s/ Brian W. Bolash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ERIE INDEMNITY COMPANY</w:t>
      </w:r>
    </w:p>
    <w:p>
      <w:pPr>
        <w:spacing w:after="0" w:line="234" w:lineRule="auto"/>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Jeffrey A. Ludrof</w:t>
      </w:r>
    </w:p>
    <w:p>
      <w:pPr>
        <w:spacing w:after="0" w:line="235" w:lineRule="auto"/>
        <w:rPr>
          <w:sz w:val="20"/>
          <w:szCs w:val="20"/>
          <w:color w:val="auto"/>
        </w:rPr>
      </w:pPr>
      <w:r>
        <w:rPr>
          <w:rFonts w:ascii="Arial" w:cs="Arial" w:eastAsia="Arial" w:hAnsi="Arial"/>
          <w:sz w:val="18"/>
          <w:szCs w:val="18"/>
          <w:color w:val="auto"/>
        </w:rPr>
        <w:t>Jeffrey A. Ludrof</w:t>
      </w:r>
    </w:p>
    <w:p>
      <w:pPr>
        <w:spacing w:after="0" w:line="235" w:lineRule="auto"/>
        <w:rPr>
          <w:sz w:val="20"/>
          <w:szCs w:val="20"/>
          <w:color w:val="auto"/>
        </w:rPr>
      </w:pPr>
      <w:r>
        <w:rPr>
          <w:rFonts w:ascii="Arial" w:cs="Arial" w:eastAsia="Arial" w:hAnsi="Arial"/>
          <w:sz w:val="18"/>
          <w:szCs w:val="18"/>
          <w:color w:val="auto"/>
        </w:rPr>
        <w:t>President and Chief Executive Officer</w:t>
      </w:r>
    </w:p>
    <w:p>
      <w:pPr>
        <w:spacing w:after="0" w:line="235" w:lineRule="auto"/>
        <w:rPr>
          <w:sz w:val="20"/>
          <w:szCs w:val="20"/>
          <w:color w:val="auto"/>
        </w:rPr>
      </w:pPr>
      <w:r>
        <w:rPr>
          <w:rFonts w:ascii="Arial" w:cs="Arial" w:eastAsia="Arial" w:hAnsi="Arial"/>
          <w:sz w:val="18"/>
          <w:szCs w:val="18"/>
          <w:color w:val="auto"/>
        </w:rPr>
        <w:t>100 Erie Insurance Place</w:t>
      </w:r>
    </w:p>
    <w:p>
      <w:pPr>
        <w:spacing w:after="0"/>
        <w:rPr>
          <w:sz w:val="20"/>
          <w:szCs w:val="20"/>
          <w:color w:val="auto"/>
        </w:rPr>
      </w:pPr>
      <w:r>
        <w:rPr>
          <w:rFonts w:ascii="Arial" w:cs="Arial" w:eastAsia="Arial" w:hAnsi="Arial"/>
          <w:sz w:val="18"/>
          <w:szCs w:val="18"/>
          <w:color w:val="auto"/>
        </w:rPr>
        <w:t>Erie, PA 16530</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J. Tanous (SEAL)</w:t>
      </w:r>
    </w:p>
    <w:p>
      <w:pPr>
        <w:spacing w:after="0"/>
        <w:rPr>
          <w:sz w:val="20"/>
          <w:szCs w:val="20"/>
          <w:color w:val="auto"/>
        </w:rPr>
      </w:pPr>
      <w:r>
        <w:rPr>
          <w:rFonts w:ascii="Arial" w:cs="Arial" w:eastAsia="Arial" w:hAnsi="Arial"/>
          <w:sz w:val="18"/>
          <w:szCs w:val="18"/>
          <w:color w:val="auto"/>
        </w:rPr>
        <w:t>James J. Tanous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WITNESS :</w:t>
      </w:r>
    </w:p>
    <w:p>
      <w:pPr>
        <w:spacing w:after="0"/>
        <w:rPr>
          <w:sz w:val="20"/>
          <w:szCs w:val="20"/>
          <w:color w:val="auto"/>
        </w:rPr>
      </w:pPr>
      <w:r>
        <w:rPr>
          <w:rFonts w:ascii="Arial" w:cs="Arial" w:eastAsia="Arial" w:hAnsi="Arial"/>
          <w:sz w:val="18"/>
          <w:szCs w:val="18"/>
          <w:u w:val="single" w:color="auto"/>
          <w:color w:val="auto"/>
        </w:rPr>
        <w:t>/s/ Sheila M. Hirsch</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80"/>
          </w:cols>
          <w:pgMar w:left="240" w:top="949" w:right="87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EXHIBIT 31.1</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jc w:val="center"/>
        <w:spacing w:after="0" w:line="234" w:lineRule="auto"/>
        <w:rPr>
          <w:sz w:val="20"/>
          <w:szCs w:val="20"/>
          <w:color w:val="auto"/>
        </w:rPr>
      </w:pPr>
      <w:r>
        <w:rPr>
          <w:rFonts w:ascii="Arial" w:cs="Arial" w:eastAsia="Arial" w:hAnsi="Arial"/>
          <w:sz w:val="18"/>
          <w:szCs w:val="18"/>
          <w:color w:val="auto"/>
        </w:rPr>
        <w:t>PURSUANT TO SECTION 302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Jeffrey A. Ludrof, Chief Executive Officer of Erie Indemnity Company, certify that:</w:t>
      </w:r>
    </w:p>
    <w:p>
      <w:pPr>
        <w:spacing w:after="0" w:line="104" w:lineRule="exact"/>
        <w:rPr>
          <w:sz w:val="20"/>
          <w:szCs w:val="20"/>
          <w:color w:val="auto"/>
        </w:rPr>
      </w:pPr>
    </w:p>
    <w:p>
      <w:pPr>
        <w:ind w:left="660" w:hanging="43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Erie Indemnity Company;</w:t>
      </w:r>
    </w:p>
    <w:p>
      <w:pPr>
        <w:spacing w:after="0" w:line="117" w:lineRule="exact"/>
        <w:rPr>
          <w:rFonts w:ascii="Arial" w:cs="Arial" w:eastAsia="Arial" w:hAnsi="Arial"/>
          <w:sz w:val="18"/>
          <w:szCs w:val="18"/>
          <w:color w:val="auto"/>
        </w:rPr>
      </w:pPr>
    </w:p>
    <w:p>
      <w:pPr>
        <w:ind w:left="660" w:right="100" w:hanging="43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660" w:hanging="436"/>
        <w:spacing w:after="0" w:line="246"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8"/>
          <w:szCs w:val="18"/>
          <w:color w:val="auto"/>
        </w:rPr>
      </w:pPr>
    </w:p>
    <w:p>
      <w:pPr>
        <w:ind w:left="660" w:right="80" w:hanging="43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13a-15(f) and 15d-15(f)) for the registrant and have:</w:t>
      </w:r>
    </w:p>
    <w:p>
      <w:pPr>
        <w:spacing w:after="0" w:line="94" w:lineRule="exact"/>
        <w:rPr>
          <w:rFonts w:ascii="Arial" w:cs="Arial" w:eastAsia="Arial" w:hAnsi="Arial"/>
          <w:sz w:val="18"/>
          <w:szCs w:val="18"/>
          <w:color w:val="auto"/>
        </w:rPr>
      </w:pPr>
    </w:p>
    <w:p>
      <w:pPr>
        <w:jc w:val="both"/>
        <w:ind w:left="900" w:right="240" w:hanging="446"/>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900" w:right="120" w:hanging="446"/>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ind w:left="900" w:right="20" w:hanging="446"/>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ind w:left="900" w:right="60" w:hanging="446"/>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660" w:right="500" w:hanging="436"/>
        <w:spacing w:after="0" w:line="246"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88" w:lineRule="exact"/>
        <w:rPr>
          <w:rFonts w:ascii="Arial" w:cs="Arial" w:eastAsia="Arial" w:hAnsi="Arial"/>
          <w:sz w:val="18"/>
          <w:szCs w:val="18"/>
          <w:color w:val="auto"/>
        </w:rPr>
      </w:pPr>
    </w:p>
    <w:p>
      <w:pPr>
        <w:ind w:left="900" w:right="140" w:hanging="446"/>
        <w:spacing w:after="0" w:line="246"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900" w:right="420" w:hanging="446"/>
        <w:spacing w:after="0" w:line="246"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May 2, 2007</w:t>
      </w:r>
    </w:p>
    <w:p>
      <w:pPr>
        <w:spacing w:after="0" w:line="9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Jeffrey A. Ludrof</w:t>
      </w:r>
    </w:p>
    <w:p>
      <w:pPr>
        <w:ind w:left="5720"/>
        <w:spacing w:after="0"/>
        <w:rPr>
          <w:sz w:val="20"/>
          <w:szCs w:val="20"/>
          <w:color w:val="auto"/>
        </w:rPr>
      </w:pPr>
      <w:r>
        <w:rPr>
          <w:rFonts w:ascii="Arial" w:cs="Arial" w:eastAsia="Arial" w:hAnsi="Arial"/>
          <w:sz w:val="18"/>
          <w:szCs w:val="18"/>
          <w:color w:val="auto"/>
        </w:rPr>
        <w:t>Jeffrey A. Ludrof,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-121920</wp:posOffset>
            </wp:positionV>
            <wp:extent cx="17754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949"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EXHIBIT 31.2</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jc w:val="center"/>
        <w:spacing w:after="0" w:line="234" w:lineRule="auto"/>
        <w:rPr>
          <w:sz w:val="20"/>
          <w:szCs w:val="20"/>
          <w:color w:val="auto"/>
        </w:rPr>
      </w:pPr>
      <w:r>
        <w:rPr>
          <w:rFonts w:ascii="Arial" w:cs="Arial" w:eastAsia="Arial" w:hAnsi="Arial"/>
          <w:sz w:val="18"/>
          <w:szCs w:val="18"/>
          <w:color w:val="auto"/>
        </w:rPr>
        <w:t>PURSUANT TO SECTION 302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Philip A. Garcia, Chief Financial Officer of Erie Indemnity Company, certify that:</w:t>
      </w:r>
    </w:p>
    <w:p>
      <w:pPr>
        <w:spacing w:after="0" w:line="104" w:lineRule="exact"/>
        <w:rPr>
          <w:sz w:val="20"/>
          <w:szCs w:val="20"/>
          <w:color w:val="auto"/>
        </w:rPr>
      </w:pPr>
    </w:p>
    <w:p>
      <w:pPr>
        <w:ind w:left="660" w:hanging="43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Erie Indemnity Company;</w:t>
      </w:r>
    </w:p>
    <w:p>
      <w:pPr>
        <w:spacing w:after="0" w:line="117" w:lineRule="exact"/>
        <w:rPr>
          <w:rFonts w:ascii="Arial" w:cs="Arial" w:eastAsia="Arial" w:hAnsi="Arial"/>
          <w:sz w:val="18"/>
          <w:szCs w:val="18"/>
          <w:color w:val="auto"/>
        </w:rPr>
      </w:pPr>
    </w:p>
    <w:p>
      <w:pPr>
        <w:ind w:left="660" w:right="100" w:hanging="43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660" w:hanging="436"/>
        <w:spacing w:after="0" w:line="24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8"/>
          <w:szCs w:val="18"/>
          <w:color w:val="auto"/>
        </w:rPr>
      </w:pPr>
    </w:p>
    <w:p>
      <w:pPr>
        <w:ind w:left="660" w:right="80" w:hanging="43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13a-15(f) and 15d-15(f)) for the registrant and have:</w:t>
      </w:r>
    </w:p>
    <w:p>
      <w:pPr>
        <w:spacing w:after="0" w:line="94" w:lineRule="exact"/>
        <w:rPr>
          <w:rFonts w:ascii="Arial" w:cs="Arial" w:eastAsia="Arial" w:hAnsi="Arial"/>
          <w:sz w:val="18"/>
          <w:szCs w:val="18"/>
          <w:color w:val="auto"/>
        </w:rPr>
      </w:pPr>
    </w:p>
    <w:p>
      <w:pPr>
        <w:jc w:val="both"/>
        <w:ind w:left="900" w:right="240" w:hanging="446"/>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900" w:right="120" w:hanging="446"/>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ind w:left="900" w:right="20" w:hanging="446"/>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ind w:left="900" w:right="60" w:hanging="446"/>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660" w:right="500" w:hanging="436"/>
        <w:spacing w:after="0" w:line="24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88" w:lineRule="exact"/>
        <w:rPr>
          <w:rFonts w:ascii="Arial" w:cs="Arial" w:eastAsia="Arial" w:hAnsi="Arial"/>
          <w:sz w:val="18"/>
          <w:szCs w:val="18"/>
          <w:color w:val="auto"/>
        </w:rPr>
      </w:pPr>
    </w:p>
    <w:p>
      <w:pPr>
        <w:ind w:left="900" w:right="140" w:hanging="446"/>
        <w:spacing w:after="0" w:line="246"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900" w:right="420" w:hanging="446"/>
        <w:spacing w:after="0" w:line="246"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May 2, 2007</w:t>
      </w:r>
    </w:p>
    <w:p>
      <w:pPr>
        <w:spacing w:after="0" w:line="9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Philip A. Garcia</w:t>
      </w:r>
    </w:p>
    <w:p>
      <w:pPr>
        <w:ind w:left="5720"/>
        <w:spacing w:after="0"/>
        <w:rPr>
          <w:sz w:val="20"/>
          <w:szCs w:val="20"/>
          <w:color w:val="auto"/>
        </w:rPr>
      </w:pPr>
      <w:r>
        <w:rPr>
          <w:rFonts w:ascii="Arial" w:cs="Arial" w:eastAsia="Arial" w:hAnsi="Arial"/>
          <w:sz w:val="18"/>
          <w:szCs w:val="18"/>
          <w:color w:val="auto"/>
        </w:rPr>
        <w:t>Philip A. Garcia, Executive Vice President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-121920</wp:posOffset>
            </wp:positionV>
            <wp:extent cx="252158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949"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EXHIBIT 32</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jc w:val="center"/>
        <w:spacing w:after="0" w:line="234" w:lineRule="auto"/>
        <w:rPr>
          <w:sz w:val="20"/>
          <w:szCs w:val="20"/>
          <w:color w:val="auto"/>
        </w:rPr>
      </w:pPr>
      <w:r>
        <w:rPr>
          <w:rFonts w:ascii="Arial" w:cs="Arial" w:eastAsia="Arial" w:hAnsi="Arial"/>
          <w:sz w:val="18"/>
          <w:szCs w:val="18"/>
          <w:color w:val="auto"/>
        </w:rPr>
        <w:t>18 U.S.C. SECTION 1350,</w:t>
      </w:r>
    </w:p>
    <w:p>
      <w:pPr>
        <w:jc w:val="center"/>
        <w:spacing w:after="0" w:line="235" w:lineRule="auto"/>
        <w:rPr>
          <w:sz w:val="20"/>
          <w:szCs w:val="20"/>
          <w:color w:val="auto"/>
        </w:rPr>
      </w:pPr>
      <w:r>
        <w:rPr>
          <w:rFonts w:ascii="Arial" w:cs="Arial" w:eastAsia="Arial" w:hAnsi="Arial"/>
          <w:sz w:val="18"/>
          <w:szCs w:val="18"/>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Jeffrey A. Ludrof, Chief Executive Officer of the Company, and Philip A. Garcia, Chief Financial Officer of the Company, certify, pursuant to</w:t>
      </w:r>
    </w:p>
    <w:p>
      <w:pPr>
        <w:ind w:left="160" w:hanging="152"/>
        <w:spacing w:after="0"/>
        <w:tabs>
          <w:tab w:leader="none" w:pos="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906 of the Sarbanes-Oxley Act of 2002, 18 U.S.C. § 1350, that:</w:t>
      </w:r>
    </w:p>
    <w:p>
      <w:pPr>
        <w:spacing w:after="0" w:line="103" w:lineRule="exact"/>
        <w:rPr>
          <w:rFonts w:ascii="Arial" w:cs="Arial" w:eastAsia="Arial" w:hAnsi="Arial"/>
          <w:sz w:val="18"/>
          <w:szCs w:val="18"/>
          <w:color w:val="auto"/>
        </w:rPr>
      </w:pPr>
    </w:p>
    <w:p>
      <w:pPr>
        <w:ind w:left="660" w:right="480" w:hanging="436"/>
        <w:spacing w:after="0" w:line="246"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March 31, 2007 (the “Report”) fully complies with the requirements of section 13(a) or 15(d) of the Securities Exchange Act of 1934 (15 U.S.C. 78m); and</w:t>
      </w:r>
    </w:p>
    <w:p>
      <w:pPr>
        <w:spacing w:after="0" w:line="102" w:lineRule="exact"/>
        <w:rPr>
          <w:rFonts w:ascii="Arial" w:cs="Arial" w:eastAsia="Arial" w:hAnsi="Arial"/>
          <w:sz w:val="18"/>
          <w:szCs w:val="18"/>
          <w:color w:val="auto"/>
        </w:rPr>
      </w:pPr>
    </w:p>
    <w:p>
      <w:pPr>
        <w:ind w:left="660" w:right="180" w:hanging="436"/>
        <w:spacing w:after="0" w:line="246"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Jeffrey A. Ludrof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2670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Jeffrey A. Ludrof</w:t>
      </w:r>
    </w:p>
    <w:p>
      <w:pPr>
        <w:spacing w:after="0"/>
        <w:rPr>
          <w:sz w:val="20"/>
          <w:szCs w:val="20"/>
          <w:color w:val="auto"/>
        </w:rPr>
      </w:pPr>
      <w:r>
        <w:rPr>
          <w:rFonts w:ascii="Arial" w:cs="Arial" w:eastAsia="Arial" w:hAnsi="Arial"/>
          <w:sz w:val="18"/>
          <w:szCs w:val="18"/>
          <w:color w:val="auto"/>
        </w:rPr>
        <w:t>President and 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Philip 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2670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Philip A. Garcia</w:t>
      </w: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May 2, 2007</w:t>
      </w:r>
    </w:p>
    <w:p>
      <w:pPr>
        <w:spacing w:after="0" w:line="10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Erie Indemnity Company and will be retained by Erie Indemnity Company and furnished to the Securities and Exchange Commission or its staff upon request.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sectPr>
      <w:pgSz w:w="11900" w:h="16838" w:orient="portrait"/>
      <w:cols w:equalWidth="0" w:num="1">
        <w:col w:w="11420"/>
      </w:cols>
      <w:pgMar w:left="240" w:top="9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lvl w:ilvl="1">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lvl w:ilvl="1">
      <w:lvlJc w:val="left"/>
      <w:lvlText w:val="•"/>
      <w:numFmt w:val="bullet"/>
      <w:start w:val="1"/>
    </w:lvl>
  </w:abstractNum>
  <w:abstractNum w:abstractNumId="10">
    <w:nsid w:val="333AB105"/>
    <w:multiLevelType w:val="hybridMultilevel"/>
    <w:lvl w:ilvl="0">
      <w:lvlJc w:val="left"/>
      <w:lvlText w:val="§"/>
      <w:numFmt w:val="bullet"/>
      <w:start w:val="1"/>
    </w:lvl>
    <w:lvl w:ilvl="1">
      <w:lvlJc w:val="left"/>
      <w:lvlText w:val="§"/>
      <w:numFmt w:val="bullet"/>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1"/>
      <w:numFmt w:val="decimal"/>
      <w:start w:val="32"/>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3"/>
    </w:lvl>
    <w:lvl w:ilvl="1">
      <w:lvlJc w:val="left"/>
      <w:lvlText w:val="(%2)"/>
      <w:numFmt w:val="lowerLetter"/>
      <w:start w:val="1"/>
    </w:lvl>
  </w:abstractNum>
  <w:abstractNum w:abstractNumId="16">
    <w:nsid w:val="8EDBDAB"/>
    <w:multiLevelType w:val="hybridMultilevel"/>
    <w:lvl w:ilvl="0">
      <w:lvlJc w:val="left"/>
      <w:lvlText w:val="(%1)"/>
      <w:numFmt w:val="lowerLetter"/>
      <w:start w:val="2"/>
    </w:lvl>
  </w:abstractNum>
  <w:abstractNum w:abstractNumId="17">
    <w:nsid w:val="79838CB2"/>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18">
    <w:nsid w:val="4353D0CD"/>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19">
    <w:nsid w:val="B03E0C6"/>
    <w:multiLevelType w:val="hybridMultilevel"/>
    <w:lvl w:ilvl="0">
      <w:lvlJc w:val="left"/>
      <w:lvlText w:val="%1"/>
      <w:numFmt w:val="decimal"/>
      <w:start w:val="1"/>
    </w:lvl>
    <w:lvl w:ilvl="1">
      <w:lvlJc w:val="left"/>
      <w:lvlText w:val="(%2)"/>
      <w:numFmt w:val="lowerLetter"/>
      <w:start w:val="3"/>
    </w:lvl>
  </w:abstractNum>
  <w:abstractNum w:abstractNumId="20">
    <w:nsid w:val="189A769B"/>
    <w:multiLevelType w:val="hybridMultilevel"/>
    <w:lvl w:ilvl="0">
      <w:lvlJc w:val="left"/>
      <w:lvlText w:val="%1."/>
      <w:numFmt w:val="decimal"/>
      <w:start w:val="6"/>
    </w:lvl>
    <w:lvl w:ilvl="1">
      <w:lvlJc w:val="left"/>
      <w:lvlText w:val="(%2)"/>
      <w:numFmt w:val="lowerLetter"/>
      <w:start w:val="1"/>
    </w:lvl>
  </w:abstractNum>
  <w:abstractNum w:abstractNumId="21">
    <w:nsid w:val="54E49EB4"/>
    <w:multiLevelType w:val="hybridMultilevel"/>
    <w:lvl w:ilvl="0">
      <w:lvlJc w:val="left"/>
      <w:lvlText w:val="(%1)"/>
      <w:numFmt w:val="lowerLetter"/>
      <w:start w:val="2"/>
    </w:lvl>
  </w:abstractNum>
  <w:abstractNum w:abstractNumId="22">
    <w:nsid w:val="71F32454"/>
    <w:multiLevelType w:val="hybridMultilevel"/>
    <w:lvl w:ilvl="0">
      <w:lvlJc w:val="left"/>
      <w:lvlText w:val="(%1)"/>
      <w:numFmt w:val="lowerLetter"/>
      <w:start w:val="4"/>
    </w:lvl>
  </w:abstractNum>
  <w:abstractNum w:abstractNumId="23">
    <w:nsid w:val="2CA88611"/>
    <w:multiLevelType w:val="hybridMultilevel"/>
    <w:lvl w:ilvl="0">
      <w:lvlJc w:val="left"/>
      <w:lvlText w:val="%1."/>
      <w:numFmt w:val="decimal"/>
      <w:start w:val="7"/>
    </w:lvl>
    <w:lvl w:ilvl="1">
      <w:lvlJc w:val="left"/>
      <w:lvlText w:val="(%2)"/>
      <w:numFmt w:val="lowerLetter"/>
      <w:start w:val="1"/>
    </w:lvl>
  </w:abstractNum>
  <w:abstractNum w:abstractNumId="24">
    <w:nsid w:val="836C40E"/>
    <w:multiLevelType w:val="hybridMultilevel"/>
    <w:lvl w:ilvl="0">
      <w:lvlJc w:val="left"/>
      <w:lvlText w:val="%1"/>
      <w:numFmt w:val="decimal"/>
      <w:start w:val="1"/>
    </w:lvl>
    <w:lvl w:ilvl="1">
      <w:lvlJc w:val="left"/>
      <w:lvlText w:val="(%2)"/>
      <w:numFmt w:val="lowerLetter"/>
      <w:start w:val="2"/>
    </w:lvl>
  </w:abstractNum>
  <w:abstractNum w:abstractNumId="25">
    <w:nsid w:val="2901D82"/>
    <w:multiLevelType w:val="hybridMultilevel"/>
    <w:lvl w:ilvl="0">
      <w:lvlJc w:val="left"/>
      <w:lvlText w:val="%1."/>
      <w:numFmt w:val="decimal"/>
      <w:start w:val="8"/>
    </w:lvl>
    <w:lvl w:ilvl="1">
      <w:lvlJc w:val="left"/>
      <w:lvlText w:val="%2"/>
      <w:numFmt w:val="lowerLetter"/>
      <w:start w:val="1"/>
    </w:lvl>
  </w:abstractNum>
  <w:abstractNum w:abstractNumId="26">
    <w:nsid w:val="3A95F874"/>
    <w:multiLevelType w:val="hybridMultilevel"/>
    <w:lvl w:ilvl="0">
      <w:lvlJc w:val="left"/>
      <w:lvlText w:val="%1."/>
      <w:numFmt w:val="decimal"/>
      <w:start w:val="9"/>
    </w:lvl>
    <w:lvl w:ilvl="1">
      <w:lvlJc w:val="left"/>
      <w:lvlText w:val="(%2)"/>
      <w:numFmt w:val="lowerLetter"/>
      <w:start w:val="1"/>
    </w:lvl>
  </w:abstractNum>
  <w:abstractNum w:abstractNumId="27">
    <w:nsid w:val="8138641"/>
    <w:multiLevelType w:val="hybridMultilevel"/>
    <w:lvl w:ilvl="0">
      <w:lvlJc w:val="left"/>
      <w:lvlText w:val="%1"/>
      <w:numFmt w:val="decimal"/>
      <w:start w:val="1"/>
    </w:lvl>
    <w:lvl w:ilvl="1">
      <w:lvlJc w:val="left"/>
      <w:lvlText w:val="(%2)"/>
      <w:numFmt w:val="lowerLetter"/>
      <w:start w:val="3"/>
    </w:lvl>
  </w:abstractNum>
  <w:abstractNum w:abstractNumId="28">
    <w:nsid w:val="1E7FF521"/>
    <w:multiLevelType w:val="hybridMultilevel"/>
    <w:lvl w:ilvl="0">
      <w:lvlJc w:val="left"/>
      <w:lvlText w:val="%1."/>
      <w:numFmt w:val="decimal"/>
      <w:start w:val="15"/>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2019-12-14T03:39:27Z</dcterms:created>
  <dcterms:modified xsi:type="dcterms:W3CDTF">2019-12-14T03:39:27Z</dcterms:modified>
</cp:coreProperties>
</file>