
<file path=[Content_Types].xml><?xml version="1.0" encoding="utf-8"?>
<Types xmlns="http://schemas.openxmlformats.org/package/2006/content-types">
  <Default Extension="xml" ContentType="application/xml"/>
  <Default Extension="rels" ContentType="application/vnd.openxmlformats-package.relationships+xml"/>
  <Default Extension="png" ContentType="image/png"/>
  <Default Extension="jpeg" ContentType="image/jpeg"/>
  <Override PartName="/_rels/.rels" ContentType="application/vnd.openxmlformats-package.relationships+xml"/>
  <Override PartName="/docProps/core.xml" ContentType="application/vnd.openxmlformats-package.core-properties+xml"/>
  <Override PartName="/docProps/app.xml" ContentType="application/vnd.openxmlformats-officedocument.extended-properties+xml"/>
  <Override PartName="/word/_rels/document.xml.rels" ContentType="application/vnd.openxmlformats-package.relationships+xml"/>
  <Override PartName="/word/document.xml" ContentType="application/vnd.openxmlformats-officedocument.wordprocessingml.document.main+xml"/>
  <Override PartName="/word/styles.xml" ContentType="application/vnd.openxmlformats-officedocument.wordprocessingml.styles+xml"/>
  <Override PartName="/word/fontTable.xml" ContentType="application/vnd.openxmlformats-officedocument.wordprocessingml.fontTable+xml"/>
  <Override PartName="/word/settings.xml" ContentType="application/vnd.openxmlformats-officedocument.wordprocessingml.settings+xml"/>
</Types>
</file>

<file path=_rels/.rels><?xml version="1.0" encoding="UTF-8"?>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officeDocument" Target="word/document.xml"/>
</Relationships>
</file>

<file path=word/document.xml><?xml version="1.0" encoding="utf-8"?>
<w:document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xmlns:w15="http://schemas.microsoft.com/office/word/2012/wordml" mc:Ignorable="w14 wp14 w15">
  <w:body>
    <w:p>
      <w:pPr>
        <w:pStyle w:val="TextBody"/>
        <w:bidi w:val="0"/>
        <w:spacing w:before="0" w:after="0"/>
        <w:jc w:val="left"/>
        <w:rPr/>
      </w:pPr>
      <w:bookmarkStart w:id="0" w:name="wk-form4_1792604608.xml.htm"/>
      <w:bookmarkStart w:id="1" w:name="kswkform4_1792604608"/>
      <w:bookmarkEnd w:id="0"/>
      <w:bookmarkEnd w:id="1"/>
      <w:r>
        <w:rPr/>
        <w:t xml:space="preserve">SEC Form 4 </w:t>
      </w:r>
    </w:p>
    <w:tbl>
      <w:tblPr>
        <w:tblW w:w="5000" w:type="pct"/>
        <w:jc w:val="left"/>
        <w:tblInd w:w="0" w:type="dxa"/>
        <w:tblLayout w:type="fixed"/>
        <w:tblCellMar>
          <w:top w:w="60" w:type="dxa"/>
          <w:left w:w="60" w:type="dxa"/>
          <w:bottom w:w="60" w:type="dxa"/>
          <w:right w:w="60" w:type="dxa"/>
        </w:tblCellMar>
      </w:tblPr>
      <w:tblGrid>
        <w:gridCol w:w="345"/>
        <w:gridCol w:w="1891"/>
        <w:gridCol w:w="5977"/>
        <w:gridCol w:w="1992"/>
      </w:tblGrid>
      <w:tr>
        <w:trPr/>
        <w:tc>
          <w:tcPr>
            <w:tcW w:w="2236" w:type="dxa"/>
            <w:gridSpan w:val="2"/>
            <w:tcBorders/>
          </w:tcPr>
          <w:p>
            <w:pPr>
              <w:pStyle w:val="TableContents"/>
              <w:bidi w:val="0"/>
              <w:spacing w:before="0" w:after="283"/>
              <w:jc w:val="center"/>
              <w:rPr>
                <w:rFonts w:ascii="arial;helvetica;sans-serif" w:hAnsi="arial;helvetica;sans-serif"/>
                <w:b/>
                <w:sz w:val="36"/>
              </w:rPr>
            </w:pPr>
            <w:r>
              <w:rPr>
                <w:rFonts w:ascii="arial;helvetica;sans-serif" w:hAnsi="arial;helvetica;sans-serif"/>
                <w:b/>
                <w:sz w:val="36"/>
              </w:rPr>
              <w:t>FORM 4</w:t>
            </w:r>
          </w:p>
        </w:tc>
        <w:tc>
          <w:tcPr>
            <w:tcW w:w="5977" w:type="dxa"/>
            <w:vMerge w:val="restart"/>
            <w:tcBorders/>
            <w:vAlign w:val="center"/>
          </w:tcPr>
          <w:p>
            <w:pPr>
              <w:pStyle w:val="TableContents"/>
              <w:bidi w:val="0"/>
              <w:spacing w:before="0" w:after="283"/>
              <w:jc w:val="left"/>
              <w:rPr/>
            </w:pPr>
            <w:r>
              <w:rPr>
                <w:rFonts w:ascii="arial;helvetica;sans-serif" w:hAnsi="arial;helvetica;sans-serif"/>
                <w:b/>
                <w:sz w:val="28"/>
              </w:rPr>
              <w:t>UNITED STATES SECURITIES AND EXCHANGE COMMISSION</w:t>
            </w:r>
            <w:r>
              <w:rPr/>
              <w:br/>
            </w:r>
            <w:r>
              <w:rPr>
                <w:rFonts w:ascii="arial;helvetica;sans-serif" w:hAnsi="arial;helvetica;sans-serif"/>
                <w:sz w:val="20"/>
              </w:rPr>
              <w:t>Washington, D.C. 20549</w:t>
            </w:r>
            <w:r>
              <w:rPr/>
              <w:br/>
              <w:br/>
            </w:r>
            <w:r>
              <w:rPr>
                <w:rFonts w:ascii="arial;helvetica;sans-serif" w:hAnsi="arial;helvetica;sans-serif"/>
                <w:b/>
                <w:sz w:val="28"/>
              </w:rPr>
              <w:t>STATEMENT OF CHANGES IN BENEFICIAL OWNERSHIP</w:t>
            </w:r>
            <w:r>
              <w:rPr/>
              <w:br/>
              <w:br/>
            </w:r>
            <w:r>
              <w:rPr>
                <w:rFonts w:ascii="arial;helvetica;sans-serif" w:hAnsi="arial;helvetica;sans-serif"/>
                <w:sz w:val="20"/>
              </w:rPr>
              <w:t>Filed pursuant to Section 16(a) of the Securities Exchange Act of 1934</w:t>
            </w:r>
            <w:r>
              <w:rPr/>
              <w:br/>
            </w:r>
            <w:r>
              <w:rPr>
                <w:rFonts w:ascii="arial;helvetica;sans-serif" w:hAnsi="arial;helvetica;sans-serif"/>
                <w:sz w:val="20"/>
              </w:rPr>
              <w:t>or Section 30(h) of the Investment Company Act of 1940</w:t>
            </w:r>
          </w:p>
        </w:tc>
        <w:tc>
          <w:tcPr>
            <w:tcW w:w="1992" w:type="dxa"/>
            <w:vMerge w:val="restart"/>
            <w:tcBorders/>
          </w:tcPr>
          <w:p>
            <w:pPr>
              <w:pStyle w:val="TableContents"/>
              <w:bidi w:val="0"/>
              <w:spacing w:before="0" w:after="0"/>
              <w:jc w:val="center"/>
              <w:rPr/>
            </w:pPr>
            <w:r>
              <w:rPr/>
              <w:t> </w:t>
            </w:r>
          </w:p>
          <w:tbl>
            <w:tblPr>
              <w:tblW w:w="5000" w:type="pct"/>
              <w:jc w:val="center"/>
              <w:tblInd w:w="0" w:type="dxa"/>
              <w:tblLayout w:type="fixed"/>
              <w:tblCellMar>
                <w:top w:w="28" w:type="dxa"/>
                <w:left w:w="28" w:type="dxa"/>
                <w:bottom w:w="28" w:type="dxa"/>
                <w:right w:w="28" w:type="dxa"/>
              </w:tblCellMar>
            </w:tblPr>
            <w:tblGrid>
              <w:gridCol w:w="1872"/>
            </w:tblGrid>
            <w:tr>
              <w:trPr/>
              <w:tc>
                <w:tcPr>
                  <w:tcW w:w="1872" w:type="dxa"/>
                  <w:tcBorders>
                    <w:top w:val="double" w:sz="2" w:space="0" w:color="808080"/>
                    <w:left w:val="double" w:sz="2" w:space="0" w:color="808080"/>
                    <w:bottom w:val="double" w:sz="2" w:space="0" w:color="808080"/>
                    <w:right w:val="double" w:sz="2" w:space="0" w:color="808080"/>
                  </w:tcBorders>
                  <w:vAlign w:val="center"/>
                </w:tcPr>
                <w:p>
                  <w:pPr>
                    <w:pStyle w:val="TableContents"/>
                    <w:bidi w:val="0"/>
                    <w:spacing w:before="0" w:after="0"/>
                    <w:jc w:val="center"/>
                    <w:rPr>
                      <w:rFonts w:ascii="arial;helvetica;sans-serif" w:hAnsi="arial;helvetica;sans-serif"/>
                      <w:b w:val="false"/>
                      <w:sz w:val="24"/>
                    </w:rPr>
                  </w:pPr>
                  <w:r>
                    <w:rPr>
                      <w:rFonts w:ascii="arial;helvetica;sans-serif" w:hAnsi="arial;helvetica;sans-serif"/>
                      <w:b w:val="false"/>
                      <w:sz w:val="24"/>
                    </w:rPr>
                    <w:t>OMB APPROVAL</w:t>
                  </w:r>
                </w:p>
                <w:tbl>
                  <w:tblPr>
                    <w:tblW w:w="5000" w:type="pct"/>
                    <w:jc w:val="left"/>
                    <w:tblInd w:w="0" w:type="dxa"/>
                    <w:tblLayout w:type="fixed"/>
                    <w:tblCellMar>
                      <w:top w:w="28" w:type="dxa"/>
                      <w:left w:w="28" w:type="dxa"/>
                      <w:bottom w:w="28" w:type="dxa"/>
                      <w:right w:w="28" w:type="dxa"/>
                    </w:tblCellMar>
                  </w:tblPr>
                  <w:tblGrid>
                    <w:gridCol w:w="1147"/>
                    <w:gridCol w:w="669"/>
                  </w:tblGrid>
                  <w:tr>
                    <w:trPr/>
                    <w:tc>
                      <w:tcPr>
                        <w:tcW w:w="1147" w:type="dxa"/>
                        <w:tcBorders/>
                        <w:vAlign w:val="center"/>
                      </w:tcPr>
                      <w:p>
                        <w:pPr>
                          <w:pStyle w:val="TableContents"/>
                          <w:bidi w:val="0"/>
                          <w:spacing w:before="0" w:after="283"/>
                          <w:jc w:val="left"/>
                          <w:rPr>
                            <w:rFonts w:ascii="arial;helvetica;sans-serif" w:hAnsi="arial;helvetica;sans-serif"/>
                            <w:sz w:val="14"/>
                          </w:rPr>
                        </w:pPr>
                        <w:r>
                          <w:rPr>
                            <w:rFonts w:ascii="arial;helvetica;sans-serif" w:hAnsi="arial;helvetica;sans-serif"/>
                            <w:sz w:val="14"/>
                          </w:rPr>
                          <w:t>OMB Number:</w:t>
                        </w:r>
                      </w:p>
                    </w:tc>
                    <w:tc>
                      <w:tcPr>
                        <w:tcW w:w="669" w:type="dxa"/>
                        <w:tcBorders/>
                        <w:vAlign w:val="center"/>
                      </w:tcPr>
                      <w:p>
                        <w:pPr>
                          <w:pStyle w:val="TableContents"/>
                          <w:bidi w:val="0"/>
                          <w:spacing w:before="0" w:after="283"/>
                          <w:jc w:val="right"/>
                          <w:rPr>
                            <w:rFonts w:ascii="arial;helvetica;sans-serif" w:hAnsi="arial;helvetica;sans-serif"/>
                            <w:sz w:val="14"/>
                          </w:rPr>
                        </w:pPr>
                        <w:r>
                          <w:rPr>
                            <w:rFonts w:ascii="arial;helvetica;sans-serif" w:hAnsi="arial;helvetica;sans-serif"/>
                            <w:sz w:val="14"/>
                          </w:rPr>
                          <w:t>3235-0287</w:t>
                        </w:r>
                      </w:p>
                    </w:tc>
                  </w:tr>
                  <w:tr>
                    <w:trPr/>
                    <w:tc>
                      <w:tcPr>
                        <w:tcW w:w="1816" w:type="dxa"/>
                        <w:gridSpan w:val="2"/>
                        <w:tcBorders/>
                        <w:vAlign w:val="center"/>
                      </w:tcPr>
                      <w:p>
                        <w:pPr>
                          <w:pStyle w:val="TableContents"/>
                          <w:bidi w:val="0"/>
                          <w:spacing w:before="0" w:after="283"/>
                          <w:jc w:val="left"/>
                          <w:rPr>
                            <w:rFonts w:ascii="arial;helvetica;sans-serif" w:hAnsi="arial;helvetica;sans-serif"/>
                            <w:sz w:val="14"/>
                          </w:rPr>
                        </w:pPr>
                        <w:r>
                          <w:rPr>
                            <w:rFonts w:ascii="arial;helvetica;sans-serif" w:hAnsi="arial;helvetica;sans-serif"/>
                            <w:sz w:val="14"/>
                          </w:rPr>
                          <w:t>Estimated average burden</w:t>
                        </w:r>
                      </w:p>
                    </w:tc>
                  </w:tr>
                  <w:tr>
                    <w:trPr/>
                    <w:tc>
                      <w:tcPr>
                        <w:tcW w:w="1147" w:type="dxa"/>
                        <w:tcBorders/>
                        <w:vAlign w:val="center"/>
                      </w:tcPr>
                      <w:p>
                        <w:pPr>
                          <w:pStyle w:val="TableContents"/>
                          <w:bidi w:val="0"/>
                          <w:spacing w:before="0" w:after="283"/>
                          <w:jc w:val="left"/>
                          <w:rPr>
                            <w:rFonts w:ascii="arial;helvetica;sans-serif" w:hAnsi="arial;helvetica;sans-serif"/>
                            <w:sz w:val="14"/>
                          </w:rPr>
                        </w:pPr>
                        <w:r>
                          <w:rPr>
                            <w:rFonts w:ascii="arial;helvetica;sans-serif" w:hAnsi="arial;helvetica;sans-serif"/>
                            <w:sz w:val="14"/>
                          </w:rPr>
                          <w:t>hours per response:</w:t>
                        </w:r>
                      </w:p>
                    </w:tc>
                    <w:tc>
                      <w:tcPr>
                        <w:tcW w:w="669" w:type="dxa"/>
                        <w:tcBorders/>
                        <w:vAlign w:val="center"/>
                      </w:tcPr>
                      <w:p>
                        <w:pPr>
                          <w:pStyle w:val="TableContents"/>
                          <w:bidi w:val="0"/>
                          <w:spacing w:before="0" w:after="283"/>
                          <w:jc w:val="right"/>
                          <w:rPr>
                            <w:rFonts w:ascii="arial;helvetica;sans-serif" w:hAnsi="arial;helvetica;sans-serif"/>
                            <w:sz w:val="14"/>
                          </w:rPr>
                        </w:pPr>
                        <w:r>
                          <w:rPr>
                            <w:rFonts w:ascii="arial;helvetica;sans-serif" w:hAnsi="arial;helvetica;sans-serif"/>
                            <w:sz w:val="14"/>
                          </w:rPr>
                          <w:t>0.5</w:t>
                        </w:r>
                      </w:p>
                    </w:tc>
                  </w:tr>
                </w:tbl>
                <w:p>
                  <w:pPr>
                    <w:pStyle w:val="TableContents"/>
                    <w:bidi w:val="0"/>
                    <w:spacing w:before="0" w:after="283"/>
                    <w:jc w:val="left"/>
                    <w:rPr/>
                  </w:pPr>
                  <w:r>
                    <w:rPr/>
                  </w:r>
                </w:p>
              </w:tc>
            </w:tr>
            <w:tr>
              <w:trPr/>
              <w:tc>
                <w:tcPr>
                  <w:tcW w:w="1872" w:type="dxa"/>
                  <w:tcBorders>
                    <w:left w:val="double" w:sz="2" w:space="0" w:color="808080"/>
                    <w:bottom w:val="double" w:sz="2" w:space="0" w:color="808080"/>
                    <w:right w:val="double" w:sz="2" w:space="0" w:color="808080"/>
                  </w:tcBorders>
                  <w:vAlign w:val="center"/>
                </w:tcPr>
                <w:p>
                  <w:pPr>
                    <w:pStyle w:val="TableContents"/>
                    <w:bidi w:val="0"/>
                    <w:spacing w:before="0" w:after="283"/>
                    <w:jc w:val="left"/>
                    <w:rPr>
                      <w:sz w:val="4"/>
                      <w:szCs w:val="4"/>
                    </w:rPr>
                  </w:pPr>
                  <w:r>
                    <w:rPr>
                      <w:sz w:val="4"/>
                      <w:szCs w:val="4"/>
                    </w:rPr>
                  </w:r>
                </w:p>
              </w:tc>
            </w:tr>
          </w:tbl>
          <w:p>
            <w:pPr>
              <w:pStyle w:val="TableContents"/>
              <w:bidi w:val="0"/>
              <w:spacing w:before="0" w:after="283"/>
              <w:jc w:val="left"/>
              <w:rPr>
                <w:sz w:val="4"/>
                <w:szCs w:val="4"/>
              </w:rPr>
            </w:pPr>
            <w:r>
              <w:rPr>
                <w:sz w:val="4"/>
                <w:szCs w:val="4"/>
              </w:rPr>
            </w:r>
          </w:p>
        </w:tc>
      </w:tr>
      <w:tr>
        <w:trPr/>
        <w:tc>
          <w:tcPr>
            <w:tcW w:w="345" w:type="dxa"/>
            <w:tcBorders/>
            <w:vAlign w:val="center"/>
          </w:tcPr>
          <w:p>
            <w:pPr>
              <w:pStyle w:val="TableContents"/>
              <w:bidi w:val="0"/>
              <w:spacing w:before="0" w:after="283"/>
              <w:jc w:val="left"/>
              <w:rPr/>
            </w:pPr>
            <w:r>
              <w:rPr/>
              <w:drawing>
                <wp:inline distT="0" distB="0" distL="0" distR="0">
                  <wp:extent cx="142875" cy="142875"/>
                  <wp:effectExtent l="0" t="0" r="0" b="0"/>
                  <wp:docPr id="1" name="Image1"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Image1" descr=""/>
                          <pic:cNvPicPr>
                            <a:picLocks noChangeAspect="1" noChangeArrowheads="1"/>
                          </pic:cNvPicPr>
                        </pic:nvPicPr>
                        <pic:blipFill>
                          <a:blip r:link="rId2"/>
                          <a:stretch>
                            <a:fillRect/>
                          </a:stretch>
                        </pic:blipFill>
                        <pic:spPr bwMode="auto">
                          <a:xfrm>
                            <a:off x="0" y="0"/>
                            <a:ext cx="142875" cy="142875"/>
                          </a:xfrm>
                          <a:prstGeom prst="rect">
                            <a:avLst/>
                          </a:prstGeom>
                        </pic:spPr>
                      </pic:pic>
                    </a:graphicData>
                  </a:graphic>
                </wp:inline>
              </w:drawing>
            </w:r>
          </w:p>
        </w:tc>
        <w:tc>
          <w:tcPr>
            <w:tcW w:w="1891" w:type="dxa"/>
            <w:tcBorders/>
            <w:vAlign w:val="center"/>
          </w:tcPr>
          <w:p>
            <w:pPr>
              <w:pStyle w:val="TableContents"/>
              <w:bidi w:val="0"/>
              <w:spacing w:before="0" w:after="283"/>
              <w:jc w:val="left"/>
              <w:rPr>
                <w:rFonts w:ascii="arial;helvetica;sans-serif" w:hAnsi="arial;helvetica;sans-serif"/>
                <w:sz w:val="14"/>
              </w:rPr>
            </w:pPr>
            <w:r>
              <w:rPr>
                <w:rFonts w:ascii="arial;helvetica;sans-serif" w:hAnsi="arial;helvetica;sans-serif"/>
                <w:sz w:val="14"/>
              </w:rPr>
              <w:t xml:space="preserve">Check this box if no longer subject to Section 16. Form 4 or Form 5 obligations may continue. </w:t>
            </w:r>
            <w:r>
              <w:rPr>
                <w:rFonts w:ascii="arial;helvetica;sans-serif" w:hAnsi="arial;helvetica;sans-serif"/>
                <w:i/>
                <w:sz w:val="14"/>
              </w:rPr>
              <w:t>See</w:t>
            </w:r>
            <w:r>
              <w:rPr>
                <w:rFonts w:ascii="arial;helvetica;sans-serif" w:hAnsi="arial;helvetica;sans-serif"/>
                <w:sz w:val="14"/>
              </w:rPr>
              <w:t xml:space="preserve"> Instruction 1(b).</w:t>
            </w:r>
          </w:p>
        </w:tc>
        <w:tc>
          <w:tcPr>
            <w:tcW w:w="5977" w:type="dxa"/>
            <w:vMerge w:val="continue"/>
            <w:tcBorders/>
            <w:vAlign w:val="center"/>
          </w:tcPr>
          <w:p>
            <w:pPr>
              <w:pStyle w:val="Normal"/>
              <w:bidi w:val="0"/>
              <w:jc w:val="left"/>
              <w:rPr/>
            </w:pPr>
            <w:r>
              <w:rPr/>
            </w:r>
          </w:p>
        </w:tc>
        <w:tc>
          <w:tcPr>
            <w:tcW w:w="1992" w:type="dxa"/>
            <w:vMerge w:val="continue"/>
            <w:tcBorders/>
          </w:tcPr>
          <w:p>
            <w:pPr>
              <w:pStyle w:val="Normal"/>
              <w:bidi w:val="0"/>
              <w:jc w:val="left"/>
              <w:rPr/>
            </w:pPr>
            <w:r>
              <w:rPr/>
            </w:r>
          </w:p>
        </w:tc>
      </w:tr>
      <w:tr>
        <w:trPr>
          <w:trHeight w:val="570" w:hRule="atLeast"/>
        </w:trPr>
        <w:tc>
          <w:tcPr>
            <w:tcW w:w="345" w:type="dxa"/>
            <w:tcBorders/>
          </w:tcPr>
          <w:p>
            <w:pPr>
              <w:pStyle w:val="TableContents"/>
              <w:bidi w:val="0"/>
              <w:spacing w:before="0" w:after="283"/>
              <w:jc w:val="left"/>
              <w:rPr/>
            </w:pPr>
            <w:r>
              <w:rPr/>
              <w:drawing>
                <wp:inline distT="0" distB="0" distL="0" distR="0">
                  <wp:extent cx="142875" cy="142875"/>
                  <wp:effectExtent l="0" t="0" r="0" b="0"/>
                  <wp:docPr id="2" name="Image2"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Image2" descr=""/>
                          <pic:cNvPicPr>
                            <a:picLocks noChangeAspect="1" noChangeArrowheads="1"/>
                          </pic:cNvPicPr>
                        </pic:nvPicPr>
                        <pic:blipFill>
                          <a:blip r:link="rId3"/>
                          <a:stretch>
                            <a:fillRect/>
                          </a:stretch>
                        </pic:blipFill>
                        <pic:spPr bwMode="auto">
                          <a:xfrm>
                            <a:off x="0" y="0"/>
                            <a:ext cx="142875" cy="142875"/>
                          </a:xfrm>
                          <a:prstGeom prst="rect">
                            <a:avLst/>
                          </a:prstGeom>
                        </pic:spPr>
                      </pic:pic>
                    </a:graphicData>
                  </a:graphic>
                </wp:inline>
              </w:drawing>
            </w:r>
          </w:p>
        </w:tc>
        <w:tc>
          <w:tcPr>
            <w:tcW w:w="1891" w:type="dxa"/>
            <w:tcBorders/>
            <w:vAlign w:val="center"/>
          </w:tcPr>
          <w:p>
            <w:pPr>
              <w:pStyle w:val="TableContents"/>
              <w:bidi w:val="0"/>
              <w:spacing w:before="0" w:after="283"/>
              <w:jc w:val="left"/>
              <w:rPr>
                <w:rFonts w:ascii="arial;helvetica;sans-serif" w:hAnsi="arial;helvetica;sans-serif"/>
                <w:sz w:val="14"/>
              </w:rPr>
            </w:pPr>
            <w:r>
              <w:rPr>
                <w:rFonts w:ascii="arial;helvetica;sans-serif" w:hAnsi="arial;helvetica;sans-serif"/>
                <w:sz w:val="14"/>
              </w:rPr>
              <w:t>Check this box to indicate that a transaction was made pursuant to a contract, instruction or written plan for the purchase or sale of equity securities of the issuer that is intended to satisfy the affirmative defense conditions of Rule 10b5-1(c). See Instruction 10.</w:t>
            </w:r>
          </w:p>
        </w:tc>
        <w:tc>
          <w:tcPr>
            <w:tcW w:w="7969" w:type="dxa"/>
            <w:gridSpan w:val="2"/>
            <w:tcBorders/>
          </w:tcPr>
          <w:p>
            <w:pPr>
              <w:pStyle w:val="TableContents"/>
              <w:bidi w:val="0"/>
              <w:spacing w:before="0" w:after="283"/>
              <w:jc w:val="left"/>
              <w:rPr>
                <w:sz w:val="4"/>
                <w:szCs w:val="4"/>
              </w:rPr>
            </w:pPr>
            <w:r>
              <w:rPr>
                <w:sz w:val="4"/>
                <w:szCs w:val="4"/>
              </w:rPr>
            </w:r>
          </w:p>
        </w:tc>
      </w:tr>
    </w:tbl>
    <w:tbl>
      <w:tblPr>
        <w:tblW w:w="5000" w:type="pct"/>
        <w:jc w:val="left"/>
        <w:tblInd w:w="-7" w:type="dxa"/>
        <w:tblLayout w:type="fixed"/>
        <w:tblCellMar>
          <w:top w:w="60" w:type="dxa"/>
          <w:left w:w="60" w:type="dxa"/>
          <w:bottom w:w="60" w:type="dxa"/>
          <w:right w:w="60" w:type="dxa"/>
        </w:tblCellMar>
      </w:tblPr>
      <w:tblGrid>
        <w:gridCol w:w="3571"/>
        <w:gridCol w:w="3572"/>
        <w:gridCol w:w="3062"/>
      </w:tblGrid>
      <w:tr>
        <w:trPr/>
        <w:tc>
          <w:tcPr>
            <w:tcW w:w="3571" w:type="dxa"/>
            <w:vMerge w:val="restart"/>
            <w:tcBorders>
              <w:top w:val="single" w:sz="6" w:space="0" w:color="808080"/>
              <w:left w:val="single" w:sz="6" w:space="0" w:color="808080"/>
              <w:bottom w:val="single" w:sz="2" w:space="0" w:color="808080"/>
              <w:right w:val="single" w:sz="6" w:space="0" w:color="808080"/>
            </w:tcBorders>
          </w:tcPr>
          <w:p>
            <w:pPr>
              <w:pStyle w:val="TableContents"/>
              <w:bidi w:val="0"/>
              <w:spacing w:before="0" w:after="0"/>
              <w:jc w:val="left"/>
              <w:rPr>
                <w:rFonts w:ascii="arial;helvetica;sans-serif" w:hAnsi="arial;helvetica;sans-serif"/>
                <w:sz w:val="20"/>
              </w:rPr>
            </w:pPr>
            <w:r>
              <w:rPr>
                <w:rFonts w:ascii="arial;helvetica;sans-serif" w:hAnsi="arial;helvetica;sans-serif"/>
                <w:sz w:val="20"/>
              </w:rPr>
              <w:t>1. Name and Address of Reporting Person</w:t>
            </w:r>
            <w:r>
              <w:rPr>
                <w:rFonts w:ascii="arial;helvetica;sans-serif" w:hAnsi="arial;helvetica;sans-serif"/>
                <w:position w:val="7"/>
                <w:sz w:val="16"/>
                <w:sz w:val="20"/>
              </w:rPr>
              <w:t>*</w:t>
            </w:r>
          </w:p>
          <w:tbl>
            <w:tblPr>
              <w:tblW w:w="5000" w:type="pct"/>
              <w:jc w:val="left"/>
              <w:tblInd w:w="0" w:type="dxa"/>
              <w:tblLayout w:type="fixed"/>
              <w:tblCellMar>
                <w:top w:w="28" w:type="dxa"/>
                <w:left w:w="28" w:type="dxa"/>
                <w:bottom w:w="28" w:type="dxa"/>
                <w:right w:w="28" w:type="dxa"/>
              </w:tblCellMar>
            </w:tblPr>
            <w:tblGrid>
              <w:gridCol w:w="3451"/>
            </w:tblGrid>
            <w:tr>
              <w:trPr/>
              <w:tc>
                <w:tcPr>
                  <w:tcW w:w="3451" w:type="dxa"/>
                  <w:tcBorders/>
                  <w:vAlign w:val="center"/>
                </w:tcPr>
                <w:p>
                  <w:pPr>
                    <w:pStyle w:val="TableContents"/>
                    <w:bidi w:val="0"/>
                    <w:spacing w:before="0" w:after="283"/>
                    <w:jc w:val="left"/>
                    <w:rPr/>
                  </w:pPr>
                  <w:hyperlink r:id="rId4">
                    <w:r>
                      <w:rPr>
                        <w:rStyle w:val="InternetLink"/>
                      </w:rPr>
                      <w:t>Vorsheck Elizabeth A</w:t>
                    </w:r>
                  </w:hyperlink>
                </w:p>
              </w:tc>
            </w:tr>
          </w:tbl>
          <w:p>
            <w:pPr>
              <w:pStyle w:val="HorizontalLine"/>
              <w:pBdr>
                <w:bottom w:val="double" w:sz="2" w:space="0" w:color="808080"/>
              </w:pBdr>
              <w:bidi w:val="0"/>
              <w:spacing w:before="0" w:after="283"/>
              <w:jc w:val="left"/>
              <w:rPr/>
            </w:pPr>
            <w:r>
              <w:rPr/>
            </w:r>
          </w:p>
          <w:tbl>
            <w:tblPr>
              <w:tblW w:w="5000" w:type="pct"/>
              <w:jc w:val="left"/>
              <w:tblInd w:w="0" w:type="dxa"/>
              <w:tblLayout w:type="fixed"/>
              <w:tblCellMar>
                <w:top w:w="28" w:type="dxa"/>
                <w:left w:w="28" w:type="dxa"/>
                <w:bottom w:w="28" w:type="dxa"/>
                <w:right w:w="28" w:type="dxa"/>
              </w:tblCellMar>
            </w:tblPr>
            <w:tblGrid>
              <w:gridCol w:w="1150"/>
              <w:gridCol w:w="1150"/>
              <w:gridCol w:w="1151"/>
            </w:tblGrid>
            <w:tr>
              <w:trPr/>
              <w:tc>
                <w:tcPr>
                  <w:tcW w:w="1150"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(Last)</w:t>
                  </w:r>
                </w:p>
              </w:tc>
              <w:tc>
                <w:tcPr>
                  <w:tcW w:w="1150"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(First)</w:t>
                  </w:r>
                </w:p>
              </w:tc>
              <w:tc>
                <w:tcPr>
                  <w:tcW w:w="115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(Middle)</w:t>
                  </w:r>
                </w:p>
              </w:tc>
            </w:tr>
          </w:tbl>
          <w:tbl>
            <w:tblPr>
              <w:tblW w:w="5000" w:type="pct"/>
              <w:jc w:val="left"/>
              <w:tblInd w:w="0" w:type="dxa"/>
              <w:tblLayout w:type="fixed"/>
              <w:tblCellMar>
                <w:top w:w="28" w:type="dxa"/>
                <w:left w:w="28" w:type="dxa"/>
                <w:bottom w:w="28" w:type="dxa"/>
                <w:right w:w="28" w:type="dxa"/>
              </w:tblCellMar>
            </w:tblPr>
            <w:tblGrid>
              <w:gridCol w:w="3451"/>
            </w:tblGrid>
            <w:tr>
              <w:trPr/>
              <w:tc>
                <w:tcPr>
                  <w:tcW w:w="3451"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6252 COMMERCIAL WAY PMB 140</w:t>
                  </w:r>
                </w:p>
              </w:tc>
            </w:tr>
            <w:tr>
              <w:trPr/>
              <w:tc>
                <w:tcPr>
                  <w:tcW w:w="3451" w:type="dxa"/>
                  <w:tcBorders/>
                  <w:vAlign w:val="center"/>
                </w:tcPr>
                <w:p>
                  <w:pPr>
                    <w:pStyle w:val="TableContents"/>
                    <w:bidi w:val="0"/>
                    <w:spacing w:before="0" w:after="283"/>
                    <w:jc w:val="left"/>
                    <w:rPr>
                      <w:sz w:val="4"/>
                      <w:szCs w:val="4"/>
                    </w:rPr>
                  </w:pPr>
                  <w:r>
                    <w:rPr>
                      <w:sz w:val="4"/>
                      <w:szCs w:val="4"/>
                    </w:rPr>
                  </w:r>
                </w:p>
              </w:tc>
            </w:tr>
          </w:tbl>
          <w:p>
            <w:pPr>
              <w:pStyle w:val="HorizontalLine"/>
              <w:pBdr>
                <w:bottom w:val="double" w:sz="2" w:space="0" w:color="808080"/>
              </w:pBdr>
              <w:bidi w:val="0"/>
              <w:spacing w:before="0" w:after="283"/>
              <w:jc w:val="left"/>
              <w:rPr/>
            </w:pPr>
            <w:r>
              <w:rPr/>
            </w:r>
          </w:p>
          <w:p>
            <w:pPr>
              <w:pStyle w:val="TableContents"/>
              <w:bidi w:val="0"/>
              <w:spacing w:before="0" w:after="0"/>
              <w:jc w:val="left"/>
              <w:rPr>
                <w:rFonts w:ascii="arial;helvetica;sans-serif" w:hAnsi="arial;helvetica;sans-serif"/>
                <w:sz w:val="20"/>
              </w:rPr>
            </w:pPr>
            <w:r>
              <w:rPr>
                <w:rFonts w:ascii="arial;helvetica;sans-serif" w:hAnsi="arial;helvetica;sans-serif"/>
                <w:sz w:val="20"/>
              </w:rPr>
              <w:t>(Street)</w:t>
            </w:r>
          </w:p>
          <w:tbl>
            <w:tblPr>
              <w:tblW w:w="5000" w:type="pct"/>
              <w:jc w:val="left"/>
              <w:tblInd w:w="0" w:type="dxa"/>
              <w:tblLayout w:type="fixed"/>
              <w:tblCellMar>
                <w:top w:w="28" w:type="dxa"/>
                <w:left w:w="28" w:type="dxa"/>
                <w:bottom w:w="28" w:type="dxa"/>
                <w:right w:w="28" w:type="dxa"/>
              </w:tblCellMar>
            </w:tblPr>
            <w:tblGrid>
              <w:gridCol w:w="1150"/>
              <w:gridCol w:w="1150"/>
              <w:gridCol w:w="1151"/>
            </w:tblGrid>
            <w:tr>
              <w:trPr/>
              <w:tc>
                <w:tcPr>
                  <w:tcW w:w="1150"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BROOKSVILLE</w:t>
                  </w:r>
                </w:p>
              </w:tc>
              <w:tc>
                <w:tcPr>
                  <w:tcW w:w="1150"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FL</w:t>
                  </w:r>
                </w:p>
              </w:tc>
              <w:tc>
                <w:tcPr>
                  <w:tcW w:w="1151"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34613</w:t>
                  </w:r>
                </w:p>
              </w:tc>
            </w:tr>
          </w:tbl>
          <w:p>
            <w:pPr>
              <w:pStyle w:val="HorizontalLine"/>
              <w:pBdr>
                <w:bottom w:val="double" w:sz="2" w:space="0" w:color="808080"/>
              </w:pBdr>
              <w:bidi w:val="0"/>
              <w:spacing w:before="0" w:after="283"/>
              <w:jc w:val="left"/>
              <w:rPr/>
            </w:pPr>
            <w:r>
              <w:rPr/>
            </w:r>
          </w:p>
          <w:tbl>
            <w:tblPr>
              <w:tblW w:w="5000" w:type="pct"/>
              <w:jc w:val="left"/>
              <w:tblInd w:w="0" w:type="dxa"/>
              <w:tblLayout w:type="fixed"/>
              <w:tblCellMar>
                <w:top w:w="28" w:type="dxa"/>
                <w:left w:w="28" w:type="dxa"/>
                <w:bottom w:w="28" w:type="dxa"/>
                <w:right w:w="28" w:type="dxa"/>
              </w:tblCellMar>
            </w:tblPr>
            <w:tblGrid>
              <w:gridCol w:w="1150"/>
              <w:gridCol w:w="1150"/>
              <w:gridCol w:w="1151"/>
            </w:tblGrid>
            <w:tr>
              <w:trPr/>
              <w:tc>
                <w:tcPr>
                  <w:tcW w:w="1150"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(City)</w:t>
                  </w:r>
                </w:p>
              </w:tc>
              <w:tc>
                <w:tcPr>
                  <w:tcW w:w="1150"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(State)</w:t>
                  </w:r>
                </w:p>
              </w:tc>
              <w:tc>
                <w:tcPr>
                  <w:tcW w:w="115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(Zip)</w:t>
                  </w:r>
                </w:p>
              </w:tc>
            </w:tr>
          </w:tbl>
          <w:p>
            <w:pPr>
              <w:pStyle w:val="TableContents"/>
              <w:bidi w:val="0"/>
              <w:spacing w:before="0" w:after="283"/>
              <w:jc w:val="left"/>
              <w:rPr>
                <w:sz w:val="4"/>
                <w:szCs w:val="4"/>
              </w:rPr>
            </w:pPr>
            <w:r>
              <w:rPr>
                <w:sz w:val="4"/>
                <w:szCs w:val="4"/>
              </w:rPr>
            </w:r>
          </w:p>
        </w:tc>
        <w:tc>
          <w:tcPr>
            <w:tcW w:w="3572" w:type="dxa"/>
            <w:tcBorders>
              <w:top w:val="single" w:sz="6" w:space="0" w:color="808080"/>
              <w:left w:val="single" w:sz="2" w:space="0" w:color="808080"/>
              <w:bottom w:val="single" w:sz="2" w:space="0" w:color="808080"/>
              <w:right w:val="single" w:sz="6" w:space="0" w:color="808080"/>
            </w:tcBorders>
          </w:tcPr>
          <w:p>
            <w:pPr>
              <w:pStyle w:val="TableContents"/>
              <w:bidi w:val="0"/>
              <w:spacing w:before="0" w:after="283"/>
              <w:jc w:val="left"/>
              <w:rPr/>
            </w:pPr>
            <w:r>
              <w:rPr>
                <w:rFonts w:ascii="arial;helvetica;sans-serif" w:hAnsi="arial;helvetica;sans-serif"/>
                <w:sz w:val="20"/>
              </w:rPr>
              <w:t xml:space="preserve">2. Issuer Name </w:t>
            </w:r>
            <w:r>
              <w:rPr>
                <w:rFonts w:ascii="arial;helvetica;sans-serif" w:hAnsi="arial;helvetica;sans-serif"/>
                <w:b/>
                <w:sz w:val="20"/>
              </w:rPr>
              <w:t>and</w:t>
            </w:r>
            <w:r>
              <w:rPr>
                <w:rFonts w:ascii="arial;helvetica;sans-serif" w:hAnsi="arial;helvetica;sans-serif"/>
                <w:sz w:val="20"/>
              </w:rPr>
              <w:t xml:space="preserve"> Ticker or Trading Symbol </w:t>
            </w:r>
            <w:r>
              <w:rPr/>
              <w:br/>
            </w:r>
            <w:hyperlink r:id="rId5">
              <w:r>
                <w:rPr>
                  <w:rStyle w:val="InternetLink"/>
                </w:rPr>
                <w:t>ERIE INDEMNITY CO</w:t>
              </w:r>
            </w:hyperlink>
            <w:r>
              <w:rPr/>
              <w:t xml:space="preserve"> [ </w:t>
            </w:r>
            <w:r>
              <w:rPr>
                <w:rFonts w:ascii="Times;serif" w:hAnsi="Times;serif"/>
                <w:color w:val="0000FF"/>
                <w:sz w:val="24"/>
                <w:shd w:fill="FFFFFF" w:val="clear"/>
              </w:rPr>
              <w:t>ERIE</w:t>
            </w:r>
            <w:r>
              <w:rPr/>
              <w:t xml:space="preserve"> ] </w:t>
              <w:br/>
            </w:r>
            <w:r>
              <w:rPr>
                <w:rFonts w:ascii="arial;helvetica;sans-serif" w:hAnsi="arial;helvetica;sans-serif"/>
                <w:sz w:val="20"/>
              </w:rPr>
              <w:t>Foreign Trading Symbol</w:t>
            </w:r>
          </w:p>
        </w:tc>
        <w:tc>
          <w:tcPr>
            <w:tcW w:w="3062" w:type="dxa"/>
            <w:vMerge w:val="restart"/>
            <w:tcBorders>
              <w:top w:val="single" w:sz="6" w:space="0" w:color="808080"/>
              <w:left w:val="single" w:sz="2" w:space="0" w:color="808080"/>
              <w:bottom w:val="single" w:sz="2" w:space="0" w:color="808080"/>
              <w:right w:val="single" w:sz="6" w:space="0" w:color="808080"/>
            </w:tcBorders>
          </w:tcPr>
          <w:p>
            <w:pPr>
              <w:pStyle w:val="TableContents"/>
              <w:bidi w:val="0"/>
              <w:spacing w:before="0" w:after="0"/>
              <w:jc w:val="left"/>
              <w:rPr/>
            </w:pPr>
            <w:r>
              <w:rPr>
                <w:rFonts w:ascii="arial;helvetica;sans-serif" w:hAnsi="arial;helvetica;sans-serif"/>
                <w:sz w:val="20"/>
              </w:rPr>
              <w:t xml:space="preserve">5. Relationship of Reporting Person(s) to Issuer </w:t>
            </w:r>
            <w:r>
              <w:rPr/>
              <w:br/>
            </w:r>
            <w:r>
              <w:rPr>
                <w:rFonts w:ascii="arial;helvetica;sans-serif" w:hAnsi="arial;helvetica;sans-serif"/>
                <w:sz w:val="20"/>
              </w:rPr>
              <w:t>(Check all applicable)</w:t>
            </w:r>
          </w:p>
          <w:tbl>
            <w:tblPr>
              <w:tblW w:w="5000" w:type="pct"/>
              <w:jc w:val="left"/>
              <w:tblInd w:w="0" w:type="dxa"/>
              <w:tblLayout w:type="fixed"/>
              <w:tblCellMar>
                <w:top w:w="28" w:type="dxa"/>
                <w:left w:w="28" w:type="dxa"/>
                <w:bottom w:w="28" w:type="dxa"/>
                <w:right w:w="28" w:type="dxa"/>
              </w:tblCellMar>
            </w:tblPr>
            <w:tblGrid>
              <w:gridCol w:w="441"/>
              <w:gridCol w:w="1030"/>
              <w:gridCol w:w="441"/>
              <w:gridCol w:w="1030"/>
            </w:tblGrid>
            <w:tr>
              <w:trPr/>
              <w:tc>
                <w:tcPr>
                  <w:tcW w:w="441" w:type="dxa"/>
                  <w:tcBorders/>
                  <w:vAlign w:val="center"/>
                </w:tcPr>
                <w:p>
                  <w:pPr>
                    <w:pStyle w:val="TableContents"/>
                    <w:bidi w:val="0"/>
                    <w:spacing w:before="0" w:after="283"/>
                    <w:jc w:val="center"/>
                    <w:rPr>
                      <w:color w:val="0000FF"/>
                      <w:shd w:fill="FFFFFF" w:val="clear"/>
                    </w:rPr>
                  </w:pPr>
                  <w:r>
                    <w:rPr>
                      <w:color w:val="0000FF"/>
                      <w:shd w:fill="FFFFFF" w:val="clear"/>
                    </w:rPr>
                    <w:drawing>
                      <wp:inline distT="0" distB="0" distL="0" distR="0">
                        <wp:extent cx="142875" cy="142875"/>
                        <wp:effectExtent l="0" t="0" r="0" b="0"/>
                        <wp:docPr id="3" name="Image3"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 name="Image3" descr=""/>
                                <pic:cNvPicPr>
                                  <a:picLocks noChangeAspect="1" noChangeArrowheads="1"/>
                                </pic:cNvPicPr>
                              </pic:nvPicPr>
                              <pic:blipFill>
                                <a:blip r:link="rId6"/>
                                <a:stretch>
                                  <a:fillRect/>
                                </a:stretch>
                              </pic:blipFill>
                              <pic:spPr bwMode="auto">
                                <a:xfrm>
                                  <a:off x="0" y="0"/>
                                  <a:ext cx="142875" cy="142875"/>
                                </a:xfrm>
                                <a:prstGeom prst="rect">
                                  <a:avLst/>
                                </a:prstGeom>
                              </pic:spPr>
                            </pic:pic>
                          </a:graphicData>
                        </a:graphic>
                      </wp:inline>
                    </w:drawing>
                  </w:r>
                </w:p>
              </w:tc>
              <w:tc>
                <w:tcPr>
                  <w:tcW w:w="1030"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Director</w:t>
                  </w:r>
                </w:p>
              </w:tc>
              <w:tc>
                <w:tcPr>
                  <w:tcW w:w="441" w:type="dxa"/>
                  <w:tcBorders/>
                  <w:vAlign w:val="center"/>
                </w:tcPr>
                <w:p>
                  <w:pPr>
                    <w:pStyle w:val="TableContents"/>
                    <w:bidi w:val="0"/>
                    <w:spacing w:before="0" w:after="283"/>
                    <w:jc w:val="center"/>
                    <w:rPr>
                      <w:color w:val="0000FF"/>
                      <w:shd w:fill="FFFFFF" w:val="clear"/>
                    </w:rPr>
                  </w:pPr>
                  <w:r>
                    <w:rPr>
                      <w:color w:val="0000FF"/>
                      <w:shd w:fill="FFFFFF" w:val="clear"/>
                    </w:rPr>
                    <w:drawing>
                      <wp:inline distT="0" distB="0" distL="0" distR="0">
                        <wp:extent cx="142875" cy="142875"/>
                        <wp:effectExtent l="0" t="0" r="0" b="0"/>
                        <wp:docPr id="4" name="Image4"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 name="Image4" descr=""/>
                                <pic:cNvPicPr>
                                  <a:picLocks noChangeAspect="1" noChangeArrowheads="1"/>
                                </pic:cNvPicPr>
                              </pic:nvPicPr>
                              <pic:blipFill>
                                <a:blip r:link="rId7"/>
                                <a:stretch>
                                  <a:fillRect/>
                                </a:stretch>
                              </pic:blipFill>
                              <pic:spPr bwMode="auto">
                                <a:xfrm>
                                  <a:off x="0" y="0"/>
                                  <a:ext cx="142875" cy="142875"/>
                                </a:xfrm>
                                <a:prstGeom prst="rect">
                                  <a:avLst/>
                                </a:prstGeom>
                              </pic:spPr>
                            </pic:pic>
                          </a:graphicData>
                        </a:graphic>
                      </wp:inline>
                    </w:drawing>
                  </w:r>
                </w:p>
              </w:tc>
              <w:tc>
                <w:tcPr>
                  <w:tcW w:w="1030"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10% Owner</w:t>
                  </w:r>
                </w:p>
              </w:tc>
            </w:tr>
            <w:tr>
              <w:trPr/>
              <w:tc>
                <w:tcPr>
                  <w:tcW w:w="441" w:type="dxa"/>
                  <w:tcBorders/>
                  <w:vAlign w:val="center"/>
                </w:tcPr>
                <w:p>
                  <w:pPr>
                    <w:pStyle w:val="TableContents"/>
                    <w:bidi w:val="0"/>
                    <w:spacing w:before="0" w:after="283"/>
                    <w:jc w:val="left"/>
                    <w:rPr>
                      <w:sz w:val="4"/>
                      <w:szCs w:val="4"/>
                    </w:rPr>
                  </w:pPr>
                  <w:r>
                    <w:rPr>
                      <w:sz w:val="4"/>
                      <w:szCs w:val="4"/>
                    </w:rPr>
                  </w:r>
                </w:p>
              </w:tc>
              <w:tc>
                <w:tcPr>
                  <w:tcW w:w="1030"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Officer (give title below)</w:t>
                  </w:r>
                </w:p>
              </w:tc>
              <w:tc>
                <w:tcPr>
                  <w:tcW w:w="441" w:type="dxa"/>
                  <w:tcBorders/>
                  <w:vAlign w:val="center"/>
                </w:tcPr>
                <w:p>
                  <w:pPr>
                    <w:pStyle w:val="TableContents"/>
                    <w:bidi w:val="0"/>
                    <w:spacing w:before="0" w:after="283"/>
                    <w:jc w:val="left"/>
                    <w:rPr>
                      <w:sz w:val="4"/>
                      <w:szCs w:val="4"/>
                    </w:rPr>
                  </w:pPr>
                  <w:r>
                    <w:rPr>
                      <w:sz w:val="4"/>
                      <w:szCs w:val="4"/>
                    </w:rPr>
                  </w:r>
                </w:p>
              </w:tc>
              <w:tc>
                <w:tcPr>
                  <w:tcW w:w="1030"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Other (specify below)</w:t>
                  </w:r>
                </w:p>
              </w:tc>
            </w:tr>
            <w:tr>
              <w:trPr/>
              <w:tc>
                <w:tcPr>
                  <w:tcW w:w="2942" w:type="dxa"/>
                  <w:gridSpan w:val="4"/>
                  <w:tcBorders/>
                  <w:vAlign w:val="center"/>
                </w:tcPr>
                <w:p>
                  <w:pPr>
                    <w:pStyle w:val="TableContents"/>
                    <w:bidi w:val="0"/>
                    <w:spacing w:before="0" w:after="283"/>
                    <w:jc w:val="left"/>
                    <w:rPr>
                      <w:sz w:val="4"/>
                      <w:szCs w:val="4"/>
                    </w:rPr>
                  </w:pPr>
                  <w:r>
                    <w:rPr>
                      <w:sz w:val="4"/>
                      <w:szCs w:val="4"/>
                    </w:rPr>
                  </w:r>
                </w:p>
              </w:tc>
            </w:tr>
          </w:tbl>
          <w:p>
            <w:pPr>
              <w:pStyle w:val="TableContents"/>
              <w:bidi w:val="0"/>
              <w:spacing w:before="0" w:after="283"/>
              <w:jc w:val="left"/>
              <w:rPr>
                <w:sz w:val="4"/>
                <w:szCs w:val="4"/>
              </w:rPr>
            </w:pPr>
            <w:r>
              <w:rPr>
                <w:sz w:val="4"/>
                <w:szCs w:val="4"/>
              </w:rPr>
            </w:r>
          </w:p>
        </w:tc>
      </w:tr>
      <w:tr>
        <w:trPr/>
        <w:tc>
          <w:tcPr>
            <w:tcW w:w="3571" w:type="dxa"/>
            <w:vMerge w:val="continue"/>
            <w:tcBorders>
              <w:left w:val="single" w:sz="6" w:space="0" w:color="808080"/>
              <w:bottom w:val="single" w:sz="2" w:space="0" w:color="808080"/>
              <w:right w:val="single" w:sz="6" w:space="0" w:color="808080"/>
            </w:tcBorders>
          </w:tcPr>
          <w:p>
            <w:pPr>
              <w:pStyle w:val="Normal"/>
              <w:bidi w:val="0"/>
              <w:jc w:val="left"/>
              <w:rPr/>
            </w:pPr>
            <w:r>
              <w:rPr/>
            </w:r>
          </w:p>
        </w:tc>
        <w:tc>
          <w:tcPr>
            <w:tcW w:w="3572" w:type="dxa"/>
            <w:tcBorders>
              <w:left w:val="single" w:sz="2" w:space="0" w:color="808080"/>
              <w:bottom w:val="single" w:sz="2" w:space="0" w:color="808080"/>
              <w:right w:val="single" w:sz="6" w:space="0" w:color="808080"/>
            </w:tcBorders>
          </w:tcPr>
          <w:p>
            <w:pPr>
              <w:pStyle w:val="TableContents"/>
              <w:bidi w:val="0"/>
              <w:spacing w:before="0" w:after="283"/>
              <w:jc w:val="left"/>
              <w:rPr/>
            </w:pPr>
            <w:r>
              <w:rPr>
                <w:rFonts w:ascii="arial;helvetica;sans-serif" w:hAnsi="arial;helvetica;sans-serif"/>
                <w:sz w:val="20"/>
              </w:rPr>
              <w:t>3. Date of Earliest Transaction (Month/Day/Year)</w:t>
            </w:r>
            <w:r>
              <w:rPr/>
              <w:br/>
            </w:r>
            <w:r>
              <w:rPr>
                <w:rFonts w:ascii="Times;serif" w:hAnsi="Times;serif"/>
                <w:color w:val="0000FF"/>
                <w:sz w:val="24"/>
                <w:shd w:fill="FFFFFF" w:val="clear"/>
              </w:rPr>
              <w:t>10/20/2026</w:t>
            </w:r>
          </w:p>
        </w:tc>
        <w:tc>
          <w:tcPr>
            <w:tcW w:w="3062" w:type="dxa"/>
            <w:vMerge w:val="continue"/>
            <w:tcBorders>
              <w:left w:val="single" w:sz="2" w:space="0" w:color="808080"/>
              <w:bottom w:val="single" w:sz="2" w:space="0" w:color="808080"/>
              <w:right w:val="single" w:sz="6" w:space="0" w:color="808080"/>
            </w:tcBorders>
          </w:tcPr>
          <w:p>
            <w:pPr>
              <w:pStyle w:val="Normal"/>
              <w:bidi w:val="0"/>
              <w:jc w:val="left"/>
              <w:rPr/>
            </w:pPr>
            <w:r>
              <w:rPr/>
            </w:r>
          </w:p>
        </w:tc>
      </w:tr>
      <w:tr>
        <w:trPr/>
        <w:tc>
          <w:tcPr>
            <w:tcW w:w="3571" w:type="dxa"/>
            <w:vMerge w:val="continue"/>
            <w:tcBorders>
              <w:left w:val="single" w:sz="6" w:space="0" w:color="808080"/>
              <w:bottom w:val="single" w:sz="6" w:space="0" w:color="808080"/>
              <w:right w:val="single" w:sz="6" w:space="0" w:color="808080"/>
            </w:tcBorders>
          </w:tcPr>
          <w:p>
            <w:pPr>
              <w:pStyle w:val="Normal"/>
              <w:bidi w:val="0"/>
              <w:jc w:val="left"/>
              <w:rPr/>
            </w:pPr>
            <w:r>
              <w:rPr/>
            </w:r>
          </w:p>
        </w:tc>
        <w:tc>
          <w:tcPr>
            <w:tcW w:w="3572" w:type="dxa"/>
            <w:tcBorders>
              <w:left w:val="single" w:sz="2" w:space="0" w:color="808080"/>
              <w:bottom w:val="single" w:sz="6" w:space="0" w:color="808080"/>
              <w:right w:val="single" w:sz="6" w:space="0" w:color="808080"/>
            </w:tcBorders>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4. If Amendment, Date of Original Filed (Month/Day/Year)</w:t>
            </w:r>
          </w:p>
        </w:tc>
        <w:tc>
          <w:tcPr>
            <w:tcW w:w="3062" w:type="dxa"/>
            <w:tcBorders>
              <w:left w:val="single" w:sz="2" w:space="0" w:color="808080"/>
              <w:bottom w:val="single" w:sz="6" w:space="0" w:color="808080"/>
              <w:right w:val="single" w:sz="6" w:space="0" w:color="808080"/>
            </w:tcBorders>
          </w:tcPr>
          <w:p>
            <w:pPr>
              <w:pStyle w:val="TableContents"/>
              <w:bidi w:val="0"/>
              <w:spacing w:before="0" w:after="0"/>
              <w:jc w:val="left"/>
              <w:rPr>
                <w:rFonts w:ascii="arial;helvetica;sans-serif" w:hAnsi="arial;helvetica;sans-serif"/>
                <w:sz w:val="20"/>
              </w:rPr>
            </w:pPr>
            <w:r>
              <w:rPr>
                <w:rFonts w:ascii="arial;helvetica;sans-serif" w:hAnsi="arial;helvetica;sans-serif"/>
                <w:sz w:val="20"/>
              </w:rPr>
              <w:t xml:space="preserve">6. Individual or Joint/Group Filing (Check Applicable Line) </w:t>
            </w:r>
          </w:p>
          <w:tbl>
            <w:tblPr>
              <w:tblW w:w="5000" w:type="pct"/>
              <w:jc w:val="left"/>
              <w:tblInd w:w="0" w:type="dxa"/>
              <w:tblLayout w:type="fixed"/>
              <w:tblCellMar>
                <w:top w:w="28" w:type="dxa"/>
                <w:left w:w="28" w:type="dxa"/>
                <w:bottom w:w="28" w:type="dxa"/>
                <w:right w:w="28" w:type="dxa"/>
              </w:tblCellMar>
            </w:tblPr>
            <w:tblGrid>
              <w:gridCol w:w="440"/>
              <w:gridCol w:w="2502"/>
            </w:tblGrid>
            <w:tr>
              <w:trPr/>
              <w:tc>
                <w:tcPr>
                  <w:tcW w:w="440" w:type="dxa"/>
                  <w:tcBorders/>
                  <w:vAlign w:val="center"/>
                </w:tcPr>
                <w:p>
                  <w:pPr>
                    <w:pStyle w:val="TableContents"/>
                    <w:bidi w:val="0"/>
                    <w:spacing w:before="0" w:after="283"/>
                    <w:jc w:val="center"/>
                    <w:rPr>
                      <w:color w:val="0000FF"/>
                      <w:shd w:fill="FFFFFF" w:val="clear"/>
                    </w:rPr>
                  </w:pPr>
                  <w:r>
                    <w:rPr>
                      <w:color w:val="0000FF"/>
                      <w:shd w:fill="FFFFFF" w:val="clear"/>
                    </w:rPr>
                    <w:drawing>
                      <wp:inline distT="0" distB="0" distL="0" distR="0">
                        <wp:extent cx="142875" cy="142875"/>
                        <wp:effectExtent l="0" t="0" r="0" b="0"/>
                        <wp:docPr id="5" name="Image5"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 name="Image5" descr=""/>
                                <pic:cNvPicPr>
                                  <a:picLocks noChangeAspect="1" noChangeArrowheads="1"/>
                                </pic:cNvPicPr>
                              </pic:nvPicPr>
                              <pic:blipFill>
                                <a:blip r:link="rId8"/>
                                <a:stretch>
                                  <a:fillRect/>
                                </a:stretch>
                              </pic:blipFill>
                              <pic:spPr bwMode="auto">
                                <a:xfrm>
                                  <a:off x="0" y="0"/>
                                  <a:ext cx="142875" cy="142875"/>
                                </a:xfrm>
                                <a:prstGeom prst="rect">
                                  <a:avLst/>
                                </a:prstGeom>
                              </pic:spPr>
                            </pic:pic>
                          </a:graphicData>
                        </a:graphic>
                      </wp:inline>
                    </w:drawing>
                  </w:r>
                </w:p>
              </w:tc>
              <w:tc>
                <w:tcPr>
                  <w:tcW w:w="2502"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Form filed by One Reporting Person</w:t>
                  </w:r>
                </w:p>
              </w:tc>
            </w:tr>
            <w:tr>
              <w:trPr/>
              <w:tc>
                <w:tcPr>
                  <w:tcW w:w="440" w:type="dxa"/>
                  <w:tcBorders/>
                  <w:vAlign w:val="center"/>
                </w:tcPr>
                <w:p>
                  <w:pPr>
                    <w:pStyle w:val="TableContents"/>
                    <w:bidi w:val="0"/>
                    <w:spacing w:before="0" w:after="283"/>
                    <w:jc w:val="left"/>
                    <w:rPr>
                      <w:sz w:val="4"/>
                      <w:szCs w:val="4"/>
                    </w:rPr>
                  </w:pPr>
                  <w:r>
                    <w:rPr>
                      <w:sz w:val="4"/>
                      <w:szCs w:val="4"/>
                    </w:rPr>
                  </w:r>
                </w:p>
              </w:tc>
              <w:tc>
                <w:tcPr>
                  <w:tcW w:w="2502"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Form filed by More than One Reporting Person</w:t>
                  </w:r>
                </w:p>
              </w:tc>
            </w:tr>
          </w:tbl>
          <w:p>
            <w:pPr>
              <w:pStyle w:val="TableContents"/>
              <w:bidi w:val="0"/>
              <w:spacing w:before="0" w:after="283"/>
              <w:jc w:val="left"/>
              <w:rPr>
                <w:sz w:val="4"/>
                <w:szCs w:val="4"/>
              </w:rPr>
            </w:pPr>
            <w:r>
              <w:rPr>
                <w:sz w:val="4"/>
                <w:szCs w:val="4"/>
              </w:rPr>
            </w:r>
          </w:p>
        </w:tc>
      </w:tr>
    </w:tbl>
    <w:tbl>
      <w:tblPr>
        <w:tblW w:w="5000" w:type="pct"/>
        <w:jc w:val="left"/>
        <w:tblInd w:w="-7" w:type="dxa"/>
        <w:tblLayout w:type="fixed"/>
        <w:tblCellMar>
          <w:top w:w="60" w:type="dxa"/>
          <w:left w:w="60" w:type="dxa"/>
          <w:bottom w:w="60" w:type="dxa"/>
          <w:right w:w="60" w:type="dxa"/>
        </w:tblCellMar>
      </w:tblPr>
      <w:tblGrid>
        <w:gridCol w:w="2173"/>
        <w:gridCol w:w="928"/>
        <w:gridCol w:w="795"/>
        <w:gridCol w:w="616"/>
        <w:gridCol w:w="349"/>
        <w:gridCol w:w="790"/>
        <w:gridCol w:w="441"/>
        <w:gridCol w:w="608"/>
        <w:gridCol w:w="1281"/>
        <w:gridCol w:w="993"/>
        <w:gridCol w:w="1231"/>
      </w:tblGrid>
      <w:tr>
        <w:trPr>
          <w:tblHeader w:val="true"/>
        </w:trPr>
        <w:tc>
          <w:tcPr>
            <w:tcW w:w="10205" w:type="dxa"/>
            <w:gridSpan w:val="11"/>
            <w:tcBorders>
              <w:top w:val="single" w:sz="6" w:space="0" w:color="808080"/>
              <w:left w:val="single" w:sz="6" w:space="0" w:color="808080"/>
              <w:bottom w:val="single" w:sz="2" w:space="0" w:color="808080"/>
              <w:right w:val="single" w:sz="6" w:space="0" w:color="808080"/>
            </w:tcBorders>
          </w:tcPr>
          <w:p>
            <w:pPr>
              <w:pStyle w:val="TableHeading"/>
              <w:bidi w:val="0"/>
              <w:spacing w:before="0" w:after="283"/>
              <w:jc w:val="center"/>
              <w:rPr>
                <w:rFonts w:ascii="arial;helvetica;sans-serif" w:hAnsi="arial;helvetica;sans-serif"/>
                <w:b/>
                <w:sz w:val="24"/>
              </w:rPr>
            </w:pPr>
            <w:r>
              <w:rPr>
                <w:rFonts w:ascii="arial;helvetica;sans-serif" w:hAnsi="arial;helvetica;sans-serif"/>
                <w:b/>
                <w:sz w:val="24"/>
              </w:rPr>
              <w:t>Table I - Non-Derivative Securities Acquired, Disposed of, or Beneficially Owned</w:t>
            </w:r>
          </w:p>
        </w:tc>
      </w:tr>
      <w:tr>
        <w:trPr>
          <w:tblHeader w:val="true"/>
        </w:trPr>
        <w:tc>
          <w:tcPr>
            <w:tcW w:w="2173" w:type="dxa"/>
            <w:vMerge w:val="restart"/>
            <w:tcBorders>
              <w:left w:val="single" w:sz="6"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20"/>
              </w:rPr>
            </w:pPr>
            <w:r>
              <w:rPr>
                <w:rFonts w:ascii="arial;helvetica;sans-serif" w:hAnsi="arial;helvetica;sans-serif"/>
                <w:sz w:val="20"/>
              </w:rPr>
              <w:t xml:space="preserve">1. Title of Security (Instr. 3) </w:t>
            </w:r>
          </w:p>
        </w:tc>
        <w:tc>
          <w:tcPr>
            <w:tcW w:w="928"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2. Transaction Date (Month/Day/Year)</w:t>
            </w:r>
          </w:p>
        </w:tc>
        <w:tc>
          <w:tcPr>
            <w:tcW w:w="795"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2A. Deemed Execution Date, if any (Month/Day/Year)</w:t>
            </w:r>
          </w:p>
        </w:tc>
        <w:tc>
          <w:tcPr>
            <w:tcW w:w="965" w:type="dxa"/>
            <w:gridSpan w:val="2"/>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3. Transaction Code (Instr. 8) </w:t>
            </w:r>
          </w:p>
        </w:tc>
        <w:tc>
          <w:tcPr>
            <w:tcW w:w="1839" w:type="dxa"/>
            <w:gridSpan w:val="3"/>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4. Securities Acquired (A) or Disposed Of (D) (Instr. 3, 4 and 5) </w:t>
            </w:r>
          </w:p>
        </w:tc>
        <w:tc>
          <w:tcPr>
            <w:tcW w:w="1281"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5. Amount of Securities Beneficially Owned Following Reported Transaction(s) (Instr. 3 and 4) </w:t>
            </w:r>
          </w:p>
        </w:tc>
        <w:tc>
          <w:tcPr>
            <w:tcW w:w="993"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6. Ownership Form: Direct (D) or Indirect (I) (Instr. 4) </w:t>
            </w:r>
          </w:p>
        </w:tc>
        <w:tc>
          <w:tcPr>
            <w:tcW w:w="1231"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7. Nature of Indirect Beneficial Ownership (Instr. 4) </w:t>
            </w:r>
          </w:p>
        </w:tc>
      </w:tr>
      <w:tr>
        <w:trPr>
          <w:tblHeader w:val="true"/>
        </w:trPr>
        <w:tc>
          <w:tcPr>
            <w:tcW w:w="2173" w:type="dxa"/>
            <w:vMerge w:val="continue"/>
            <w:tcBorders>
              <w:left w:val="single" w:sz="6" w:space="0" w:color="808080"/>
              <w:bottom w:val="single" w:sz="2" w:space="0" w:color="808080"/>
              <w:right w:val="single" w:sz="6" w:space="0" w:color="808080"/>
            </w:tcBorders>
          </w:tcPr>
          <w:p>
            <w:pPr>
              <w:pStyle w:val="Normal"/>
              <w:bidi w:val="0"/>
              <w:jc w:val="left"/>
              <w:rPr/>
            </w:pPr>
            <w:r>
              <w:rPr/>
            </w:r>
          </w:p>
        </w:tc>
        <w:tc>
          <w:tcPr>
            <w:tcW w:w="928" w:type="dxa"/>
            <w:vMerge w:val="continue"/>
            <w:tcBorders>
              <w:left w:val="single" w:sz="2" w:space="0" w:color="808080"/>
              <w:bottom w:val="single" w:sz="2" w:space="0" w:color="808080"/>
              <w:right w:val="single" w:sz="6" w:space="0" w:color="808080"/>
            </w:tcBorders>
          </w:tcPr>
          <w:p>
            <w:pPr>
              <w:pStyle w:val="Normal"/>
              <w:bidi w:val="0"/>
              <w:jc w:val="left"/>
              <w:rPr/>
            </w:pPr>
            <w:r>
              <w:rPr/>
            </w:r>
          </w:p>
        </w:tc>
        <w:tc>
          <w:tcPr>
            <w:tcW w:w="795" w:type="dxa"/>
            <w:vMerge w:val="continue"/>
            <w:tcBorders>
              <w:left w:val="single" w:sz="2" w:space="0" w:color="808080"/>
              <w:bottom w:val="single" w:sz="2" w:space="0" w:color="808080"/>
              <w:right w:val="single" w:sz="6" w:space="0" w:color="808080"/>
            </w:tcBorders>
          </w:tcPr>
          <w:p>
            <w:pPr>
              <w:pStyle w:val="Normal"/>
              <w:bidi w:val="0"/>
              <w:jc w:val="left"/>
              <w:rPr/>
            </w:pPr>
            <w:r>
              <w:rPr/>
            </w:r>
          </w:p>
        </w:tc>
        <w:tc>
          <w:tcPr>
            <w:tcW w:w="616" w:type="dxa"/>
            <w:tcBorders>
              <w:left w:val="single" w:sz="2" w:space="0" w:color="808080"/>
              <w:bottom w:val="single" w:sz="2" w:space="0" w:color="808080"/>
              <w:right w:val="single" w:sz="6" w:space="0" w:color="808080"/>
            </w:tcBorders>
            <w:vAlign w:val="center"/>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Code</w:t>
            </w:r>
          </w:p>
        </w:tc>
        <w:tc>
          <w:tcPr>
            <w:tcW w:w="349" w:type="dxa"/>
            <w:tcBorders>
              <w:left w:val="single" w:sz="2" w:space="0" w:color="808080"/>
              <w:bottom w:val="single" w:sz="2" w:space="0" w:color="808080"/>
              <w:right w:val="single" w:sz="6" w:space="0" w:color="808080"/>
            </w:tcBorders>
            <w:vAlign w:val="center"/>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V</w:t>
            </w:r>
          </w:p>
        </w:tc>
        <w:tc>
          <w:tcPr>
            <w:tcW w:w="790" w:type="dxa"/>
            <w:tcBorders>
              <w:left w:val="single" w:sz="2" w:space="0" w:color="808080"/>
              <w:bottom w:val="single" w:sz="2" w:space="0" w:color="808080"/>
              <w:right w:val="single" w:sz="6" w:space="0" w:color="808080"/>
            </w:tcBorders>
            <w:vAlign w:val="center"/>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Amount</w:t>
            </w:r>
          </w:p>
        </w:tc>
        <w:tc>
          <w:tcPr>
            <w:tcW w:w="441" w:type="dxa"/>
            <w:tcBorders>
              <w:left w:val="single" w:sz="2" w:space="0" w:color="808080"/>
              <w:bottom w:val="single" w:sz="2" w:space="0" w:color="808080"/>
              <w:right w:val="single" w:sz="6" w:space="0" w:color="808080"/>
            </w:tcBorders>
            <w:vAlign w:val="center"/>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(A) or (D)</w:t>
            </w:r>
          </w:p>
        </w:tc>
        <w:tc>
          <w:tcPr>
            <w:tcW w:w="608" w:type="dxa"/>
            <w:tcBorders>
              <w:left w:val="single" w:sz="2" w:space="0" w:color="808080"/>
              <w:bottom w:val="single" w:sz="2" w:space="0" w:color="808080"/>
              <w:right w:val="single" w:sz="6" w:space="0" w:color="808080"/>
            </w:tcBorders>
            <w:vAlign w:val="center"/>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Price</w:t>
            </w:r>
          </w:p>
        </w:tc>
        <w:tc>
          <w:tcPr>
            <w:tcW w:w="1281" w:type="dxa"/>
            <w:vMerge w:val="continue"/>
            <w:tcBorders>
              <w:left w:val="single" w:sz="2" w:space="0" w:color="808080"/>
              <w:bottom w:val="single" w:sz="2" w:space="0" w:color="808080"/>
              <w:right w:val="single" w:sz="6" w:space="0" w:color="808080"/>
            </w:tcBorders>
          </w:tcPr>
          <w:p>
            <w:pPr>
              <w:pStyle w:val="Normal"/>
              <w:bidi w:val="0"/>
              <w:jc w:val="left"/>
              <w:rPr/>
            </w:pPr>
            <w:r>
              <w:rPr/>
            </w:r>
          </w:p>
        </w:tc>
        <w:tc>
          <w:tcPr>
            <w:tcW w:w="993" w:type="dxa"/>
            <w:vMerge w:val="continue"/>
            <w:tcBorders>
              <w:left w:val="single" w:sz="2" w:space="0" w:color="808080"/>
              <w:bottom w:val="single" w:sz="2" w:space="0" w:color="808080"/>
              <w:right w:val="single" w:sz="6" w:space="0" w:color="808080"/>
            </w:tcBorders>
          </w:tcPr>
          <w:p>
            <w:pPr>
              <w:pStyle w:val="Normal"/>
              <w:bidi w:val="0"/>
              <w:jc w:val="left"/>
              <w:rPr/>
            </w:pPr>
            <w:r>
              <w:rPr/>
            </w:r>
          </w:p>
        </w:tc>
        <w:tc>
          <w:tcPr>
            <w:tcW w:w="1231" w:type="dxa"/>
            <w:vMerge w:val="continue"/>
            <w:tcBorders>
              <w:left w:val="single" w:sz="2" w:space="0" w:color="808080"/>
              <w:bottom w:val="single" w:sz="2" w:space="0" w:color="808080"/>
              <w:right w:val="single" w:sz="6" w:space="0" w:color="808080"/>
            </w:tcBorders>
          </w:tcPr>
          <w:p>
            <w:pPr>
              <w:pStyle w:val="Normal"/>
              <w:bidi w:val="0"/>
              <w:jc w:val="left"/>
              <w:rPr/>
            </w:pPr>
            <w:r>
              <w:rPr/>
            </w:r>
          </w:p>
        </w:tc>
      </w:tr>
      <w:tr>
        <w:trPr/>
        <w:tc>
          <w:tcPr>
            <w:tcW w:w="2173" w:type="dxa"/>
            <w:tcBorders>
              <w:left w:val="single" w:sz="6" w:space="0" w:color="808080"/>
              <w:bottom w:val="single" w:sz="2" w:space="0" w:color="808080"/>
              <w:right w:val="single" w:sz="6" w:space="0" w:color="808080"/>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Class A Common Stock</w:t>
            </w:r>
          </w:p>
        </w:tc>
        <w:tc>
          <w:tcPr>
            <w:tcW w:w="928"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795"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616"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349"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790"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441"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608"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1281"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324,300</w:t>
            </w:r>
          </w:p>
        </w:tc>
        <w:tc>
          <w:tcPr>
            <w:tcW w:w="993"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I</w:t>
            </w:r>
          </w:p>
        </w:tc>
        <w:tc>
          <w:tcPr>
            <w:tcW w:w="1231"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By Audrey C. Hirt 1989/1990 Income Trust For E. Vorsheck</w:t>
            </w:r>
          </w:p>
        </w:tc>
      </w:tr>
      <w:tr>
        <w:trPr/>
        <w:tc>
          <w:tcPr>
            <w:tcW w:w="2173" w:type="dxa"/>
            <w:tcBorders>
              <w:left w:val="single" w:sz="6" w:space="0" w:color="808080"/>
              <w:bottom w:val="single" w:sz="2" w:space="0" w:color="808080"/>
              <w:right w:val="single" w:sz="6" w:space="0" w:color="808080"/>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Class A Common Stock</w:t>
            </w:r>
          </w:p>
        </w:tc>
        <w:tc>
          <w:tcPr>
            <w:tcW w:w="928"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795"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616"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349"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790"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441"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608"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1281"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3,004,000</w:t>
            </w:r>
          </w:p>
        </w:tc>
        <w:tc>
          <w:tcPr>
            <w:tcW w:w="993"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I</w:t>
            </w:r>
          </w:p>
        </w:tc>
        <w:tc>
          <w:tcPr>
            <w:tcW w:w="1231"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VEIC Limited Partnership</w:t>
            </w:r>
          </w:p>
        </w:tc>
      </w:tr>
      <w:tr>
        <w:trPr/>
        <w:tc>
          <w:tcPr>
            <w:tcW w:w="2173" w:type="dxa"/>
            <w:tcBorders>
              <w:left w:val="single" w:sz="6" w:space="0" w:color="808080"/>
              <w:bottom w:val="single" w:sz="2" w:space="0" w:color="808080"/>
              <w:right w:val="single" w:sz="6" w:space="0" w:color="808080"/>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Class A Common Stock</w:t>
            </w:r>
          </w:p>
        </w:tc>
        <w:tc>
          <w:tcPr>
            <w:tcW w:w="928"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795"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616"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349"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790"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441"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608"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1281"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267,081</w:t>
            </w:r>
          </w:p>
        </w:tc>
        <w:tc>
          <w:tcPr>
            <w:tcW w:w="993"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I</w:t>
            </w:r>
          </w:p>
        </w:tc>
        <w:tc>
          <w:tcPr>
            <w:tcW w:w="1231"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By Elizabeth Vorsheck Trustee Elizabeth Vorsheck Revocable Trust U/A DTD 05/03/99</w:t>
            </w:r>
          </w:p>
        </w:tc>
      </w:tr>
      <w:tr>
        <w:trPr/>
        <w:tc>
          <w:tcPr>
            <w:tcW w:w="2173" w:type="dxa"/>
            <w:tcBorders>
              <w:left w:val="single" w:sz="6" w:space="0" w:color="808080"/>
              <w:bottom w:val="single" w:sz="6" w:space="0" w:color="808080"/>
              <w:right w:val="single" w:sz="6" w:space="0" w:color="808080"/>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Class A Common Stock</w:t>
            </w:r>
          </w:p>
        </w:tc>
        <w:tc>
          <w:tcPr>
            <w:tcW w:w="928"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795"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616"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349"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790"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441"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608"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1281"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372,565</w:t>
            </w:r>
          </w:p>
        </w:tc>
        <w:tc>
          <w:tcPr>
            <w:tcW w:w="993"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I</w:t>
            </w:r>
          </w:p>
        </w:tc>
        <w:tc>
          <w:tcPr>
            <w:tcW w:w="1231"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By Frank William Hirt 1989/1990 Trust For E. Vorsheck</w:t>
            </w:r>
          </w:p>
        </w:tc>
      </w:tr>
    </w:tbl>
    <w:tbl>
      <w:tblPr>
        <w:tblW w:w="13559" w:type="dxa"/>
        <w:jc w:val="left"/>
        <w:tblInd w:w="-7" w:type="dxa"/>
        <w:tblLayout w:type="fixed"/>
        <w:tblCellMar>
          <w:top w:w="60" w:type="dxa"/>
          <w:left w:w="60" w:type="dxa"/>
          <w:bottom w:w="60" w:type="dxa"/>
          <w:right w:w="60" w:type="dxa"/>
        </w:tblCellMar>
      </w:tblPr>
      <w:tblGrid>
        <w:gridCol w:w="1340"/>
        <w:gridCol w:w="861"/>
        <w:gridCol w:w="891"/>
        <w:gridCol w:w="771"/>
        <w:gridCol w:w="591"/>
        <w:gridCol w:w="300"/>
        <w:gridCol w:w="771"/>
        <w:gridCol w:w="276"/>
        <w:gridCol w:w="906"/>
        <w:gridCol w:w="801"/>
        <w:gridCol w:w="891"/>
        <w:gridCol w:w="1161"/>
        <w:gridCol w:w="801"/>
        <w:gridCol w:w="1071"/>
        <w:gridCol w:w="831"/>
        <w:gridCol w:w="1296"/>
      </w:tblGrid>
      <w:tr>
        <w:trPr>
          <w:tblHeader w:val="true"/>
        </w:trPr>
        <w:tc>
          <w:tcPr>
            <w:tcW w:w="13559" w:type="dxa"/>
            <w:gridSpan w:val="16"/>
            <w:tcBorders>
              <w:top w:val="single" w:sz="6" w:space="0" w:color="808080"/>
              <w:left w:val="single" w:sz="6" w:space="0" w:color="808080"/>
              <w:bottom w:val="single" w:sz="2" w:space="0" w:color="808080"/>
              <w:right w:val="single" w:sz="6" w:space="0" w:color="808080"/>
            </w:tcBorders>
          </w:tcPr>
          <w:p>
            <w:pPr>
              <w:pStyle w:val="TableHeading"/>
              <w:bidi w:val="0"/>
              <w:spacing w:before="0" w:after="283"/>
              <w:jc w:val="center"/>
              <w:rPr>
                <w:rFonts w:ascii="arial;helvetica;sans-serif" w:hAnsi="arial;helvetica;sans-serif"/>
                <w:b w:val="false"/>
                <w:sz w:val="24"/>
              </w:rPr>
            </w:pPr>
            <w:r>
              <w:rPr>
                <w:rFonts w:ascii="arial;helvetica;sans-serif" w:hAnsi="arial;helvetica;sans-serif"/>
                <w:b/>
                <w:sz w:val="24"/>
              </w:rPr>
              <w:t>Table II - Derivative Securities Acquired, Disposed of, or Beneficially Owned</w:t>
            </w:r>
            <w:r>
              <w:rPr>
                <w:rFonts w:ascii="arial;helvetica;sans-serif" w:hAnsi="arial;helvetica;sans-serif"/>
                <w:b w:val="false"/>
                <w:sz w:val="24"/>
              </w:rPr>
              <w:br/>
            </w:r>
            <w:r>
              <w:rPr>
                <w:rFonts w:ascii="arial;helvetica;sans-serif" w:hAnsi="arial;helvetica;sans-serif"/>
                <w:b/>
                <w:sz w:val="24"/>
              </w:rPr>
              <w:t>(e.g., puts, calls, warrants, options, convertible securities)</w:t>
            </w:r>
          </w:p>
        </w:tc>
      </w:tr>
      <w:tr>
        <w:trPr>
          <w:tblHeader w:val="true"/>
        </w:trPr>
        <w:tc>
          <w:tcPr>
            <w:tcW w:w="1340" w:type="dxa"/>
            <w:vMerge w:val="restart"/>
            <w:tcBorders>
              <w:left w:val="single" w:sz="6"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1. Title of Derivative Security (Instr. 3) </w:t>
            </w:r>
          </w:p>
        </w:tc>
        <w:tc>
          <w:tcPr>
            <w:tcW w:w="861"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2. Conversion or Exercise Price of Derivative Security </w:t>
            </w:r>
          </w:p>
        </w:tc>
        <w:tc>
          <w:tcPr>
            <w:tcW w:w="891"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3. Transaction Date (Month/Day/Year)</w:t>
            </w:r>
          </w:p>
        </w:tc>
        <w:tc>
          <w:tcPr>
            <w:tcW w:w="771"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3A. Deemed Execution Date, if any (Month/Day/Year)</w:t>
            </w:r>
          </w:p>
        </w:tc>
        <w:tc>
          <w:tcPr>
            <w:tcW w:w="891" w:type="dxa"/>
            <w:gridSpan w:val="2"/>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4. Transaction Code (Instr. 8) </w:t>
            </w:r>
          </w:p>
        </w:tc>
        <w:tc>
          <w:tcPr>
            <w:tcW w:w="1047" w:type="dxa"/>
            <w:gridSpan w:val="2"/>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5. Number of Derivative Securities Acquired (A) or Disposed of (D) (Instr. 3, 4 and 5) </w:t>
            </w:r>
          </w:p>
        </w:tc>
        <w:tc>
          <w:tcPr>
            <w:tcW w:w="1707" w:type="dxa"/>
            <w:gridSpan w:val="2"/>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6. Date Exercisable and Expiration Date (Month/Day/Year)</w:t>
            </w:r>
          </w:p>
        </w:tc>
        <w:tc>
          <w:tcPr>
            <w:tcW w:w="2052" w:type="dxa"/>
            <w:gridSpan w:val="2"/>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7. Title and Amount of Securities Underlying Derivative Security (Instr. 3 and 4) </w:t>
            </w:r>
          </w:p>
        </w:tc>
        <w:tc>
          <w:tcPr>
            <w:tcW w:w="801"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8. Price of Derivative Security (Instr. 5) </w:t>
            </w:r>
          </w:p>
        </w:tc>
        <w:tc>
          <w:tcPr>
            <w:tcW w:w="1071"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9. Number of derivative Securities Beneficially Owned Following Reported Transaction(s) (Instr. 4) </w:t>
            </w:r>
          </w:p>
        </w:tc>
        <w:tc>
          <w:tcPr>
            <w:tcW w:w="831"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10. Ownership Form: Direct (D) or Indirect (I) (Instr. 4) </w:t>
            </w:r>
          </w:p>
        </w:tc>
        <w:tc>
          <w:tcPr>
            <w:tcW w:w="1296"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11. Nature of Indirect Beneficial Ownership (Instr. 4) </w:t>
            </w:r>
          </w:p>
        </w:tc>
      </w:tr>
      <w:tr>
        <w:trPr>
          <w:tblHeader w:val="true"/>
        </w:trPr>
        <w:tc>
          <w:tcPr>
            <w:tcW w:w="1340" w:type="dxa"/>
            <w:vMerge w:val="continue"/>
            <w:tcBorders>
              <w:left w:val="single" w:sz="6" w:space="0" w:color="808080"/>
              <w:bottom w:val="single" w:sz="2" w:space="0" w:color="808080"/>
              <w:right w:val="single" w:sz="6" w:space="0" w:color="808080"/>
            </w:tcBorders>
          </w:tcPr>
          <w:p>
            <w:pPr>
              <w:pStyle w:val="Normal"/>
              <w:bidi w:val="0"/>
              <w:jc w:val="left"/>
              <w:rPr/>
            </w:pPr>
            <w:r>
              <w:rPr/>
            </w:r>
          </w:p>
        </w:tc>
        <w:tc>
          <w:tcPr>
            <w:tcW w:w="861" w:type="dxa"/>
            <w:vMerge w:val="continue"/>
            <w:tcBorders>
              <w:left w:val="single" w:sz="2" w:space="0" w:color="808080"/>
              <w:bottom w:val="single" w:sz="2" w:space="0" w:color="808080"/>
              <w:right w:val="single" w:sz="6" w:space="0" w:color="808080"/>
            </w:tcBorders>
          </w:tcPr>
          <w:p>
            <w:pPr>
              <w:pStyle w:val="Normal"/>
              <w:bidi w:val="0"/>
              <w:jc w:val="left"/>
              <w:rPr/>
            </w:pPr>
            <w:r>
              <w:rPr/>
            </w:r>
          </w:p>
        </w:tc>
        <w:tc>
          <w:tcPr>
            <w:tcW w:w="891" w:type="dxa"/>
            <w:vMerge w:val="continue"/>
            <w:tcBorders>
              <w:left w:val="single" w:sz="2" w:space="0" w:color="808080"/>
              <w:bottom w:val="single" w:sz="2" w:space="0" w:color="808080"/>
              <w:right w:val="single" w:sz="6" w:space="0" w:color="808080"/>
            </w:tcBorders>
          </w:tcPr>
          <w:p>
            <w:pPr>
              <w:pStyle w:val="Normal"/>
              <w:bidi w:val="0"/>
              <w:jc w:val="left"/>
              <w:rPr/>
            </w:pPr>
            <w:r>
              <w:rPr/>
            </w:r>
          </w:p>
        </w:tc>
        <w:tc>
          <w:tcPr>
            <w:tcW w:w="771" w:type="dxa"/>
            <w:vMerge w:val="continue"/>
            <w:tcBorders>
              <w:left w:val="single" w:sz="2" w:space="0" w:color="808080"/>
              <w:bottom w:val="single" w:sz="2" w:space="0" w:color="808080"/>
              <w:right w:val="single" w:sz="6" w:space="0" w:color="808080"/>
            </w:tcBorders>
          </w:tcPr>
          <w:p>
            <w:pPr>
              <w:pStyle w:val="Normal"/>
              <w:bidi w:val="0"/>
              <w:jc w:val="left"/>
              <w:rPr/>
            </w:pPr>
            <w:r>
              <w:rPr/>
            </w:r>
          </w:p>
        </w:tc>
        <w:tc>
          <w:tcPr>
            <w:tcW w:w="591" w:type="dxa"/>
            <w:tcBorders>
              <w:left w:val="single" w:sz="2" w:space="0" w:color="808080"/>
              <w:bottom w:val="single" w:sz="2"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Code</w:t>
            </w:r>
          </w:p>
        </w:tc>
        <w:tc>
          <w:tcPr>
            <w:tcW w:w="300" w:type="dxa"/>
            <w:tcBorders>
              <w:left w:val="single" w:sz="2" w:space="0" w:color="808080"/>
              <w:bottom w:val="single" w:sz="2"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V</w:t>
            </w:r>
          </w:p>
        </w:tc>
        <w:tc>
          <w:tcPr>
            <w:tcW w:w="771" w:type="dxa"/>
            <w:tcBorders>
              <w:left w:val="single" w:sz="2" w:space="0" w:color="808080"/>
              <w:bottom w:val="single" w:sz="2"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(A)</w:t>
            </w:r>
          </w:p>
        </w:tc>
        <w:tc>
          <w:tcPr>
            <w:tcW w:w="276" w:type="dxa"/>
            <w:tcBorders>
              <w:left w:val="single" w:sz="2" w:space="0" w:color="808080"/>
              <w:bottom w:val="single" w:sz="2"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(D)</w:t>
            </w:r>
          </w:p>
        </w:tc>
        <w:tc>
          <w:tcPr>
            <w:tcW w:w="906" w:type="dxa"/>
            <w:tcBorders>
              <w:left w:val="single" w:sz="2" w:space="0" w:color="808080"/>
              <w:bottom w:val="single" w:sz="2"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Date Exercisable</w:t>
            </w:r>
          </w:p>
        </w:tc>
        <w:tc>
          <w:tcPr>
            <w:tcW w:w="801" w:type="dxa"/>
            <w:tcBorders>
              <w:left w:val="single" w:sz="2" w:space="0" w:color="808080"/>
              <w:bottom w:val="single" w:sz="2"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Expiration Date</w:t>
            </w:r>
          </w:p>
        </w:tc>
        <w:tc>
          <w:tcPr>
            <w:tcW w:w="891" w:type="dxa"/>
            <w:tcBorders>
              <w:left w:val="single" w:sz="2" w:space="0" w:color="808080"/>
              <w:bottom w:val="single" w:sz="2"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Title</w:t>
            </w:r>
          </w:p>
        </w:tc>
        <w:tc>
          <w:tcPr>
            <w:tcW w:w="1161" w:type="dxa"/>
            <w:tcBorders>
              <w:left w:val="single" w:sz="2" w:space="0" w:color="808080"/>
              <w:bottom w:val="single" w:sz="2"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Amount or Number of Shares</w:t>
            </w:r>
          </w:p>
        </w:tc>
        <w:tc>
          <w:tcPr>
            <w:tcW w:w="801" w:type="dxa"/>
            <w:vMerge w:val="continue"/>
            <w:tcBorders>
              <w:left w:val="single" w:sz="2" w:space="0" w:color="808080"/>
              <w:bottom w:val="single" w:sz="2" w:space="0" w:color="808080"/>
              <w:right w:val="single" w:sz="6" w:space="0" w:color="808080"/>
            </w:tcBorders>
          </w:tcPr>
          <w:p>
            <w:pPr>
              <w:pStyle w:val="Normal"/>
              <w:bidi w:val="0"/>
              <w:jc w:val="left"/>
              <w:rPr/>
            </w:pPr>
            <w:r>
              <w:rPr/>
            </w:r>
          </w:p>
        </w:tc>
        <w:tc>
          <w:tcPr>
            <w:tcW w:w="1071" w:type="dxa"/>
            <w:vMerge w:val="continue"/>
            <w:tcBorders>
              <w:left w:val="single" w:sz="2" w:space="0" w:color="808080"/>
              <w:bottom w:val="single" w:sz="2" w:space="0" w:color="808080"/>
              <w:right w:val="single" w:sz="6" w:space="0" w:color="808080"/>
            </w:tcBorders>
          </w:tcPr>
          <w:p>
            <w:pPr>
              <w:pStyle w:val="Normal"/>
              <w:bidi w:val="0"/>
              <w:jc w:val="left"/>
              <w:rPr/>
            </w:pPr>
            <w:r>
              <w:rPr/>
            </w:r>
          </w:p>
        </w:tc>
        <w:tc>
          <w:tcPr>
            <w:tcW w:w="831" w:type="dxa"/>
            <w:vMerge w:val="continue"/>
            <w:tcBorders>
              <w:left w:val="single" w:sz="2" w:space="0" w:color="808080"/>
              <w:bottom w:val="single" w:sz="2" w:space="0" w:color="808080"/>
              <w:right w:val="single" w:sz="6" w:space="0" w:color="808080"/>
            </w:tcBorders>
          </w:tcPr>
          <w:p>
            <w:pPr>
              <w:pStyle w:val="Normal"/>
              <w:bidi w:val="0"/>
              <w:jc w:val="left"/>
              <w:rPr/>
            </w:pPr>
            <w:r>
              <w:rPr/>
            </w:r>
          </w:p>
        </w:tc>
        <w:tc>
          <w:tcPr>
            <w:tcW w:w="1296" w:type="dxa"/>
            <w:vMerge w:val="continue"/>
            <w:tcBorders>
              <w:left w:val="single" w:sz="2" w:space="0" w:color="808080"/>
              <w:bottom w:val="single" w:sz="2" w:space="0" w:color="808080"/>
              <w:right w:val="single" w:sz="6" w:space="0" w:color="808080"/>
            </w:tcBorders>
          </w:tcPr>
          <w:p>
            <w:pPr>
              <w:pStyle w:val="Normal"/>
              <w:bidi w:val="0"/>
              <w:jc w:val="left"/>
              <w:rPr/>
            </w:pPr>
            <w:r>
              <w:rPr/>
            </w:r>
          </w:p>
        </w:tc>
      </w:tr>
      <w:tr>
        <w:trPr/>
        <w:tc>
          <w:tcPr>
            <w:tcW w:w="1340" w:type="dxa"/>
            <w:tcBorders>
              <w:left w:val="single" w:sz="6" w:space="0" w:color="808080"/>
              <w:bottom w:val="single" w:sz="2" w:space="0" w:color="808080"/>
              <w:right w:val="single" w:sz="6" w:space="0" w:color="808080"/>
            </w:tcBorders>
            <w:vAlign w:val="center"/>
          </w:tcPr>
          <w:p>
            <w:pPr>
              <w:pStyle w:val="TableContents"/>
              <w:bidi w:val="0"/>
              <w:spacing w:before="0" w:after="283"/>
              <w:jc w:val="left"/>
              <w:rPr>
                <w:rFonts w:ascii="Times;serif" w:hAnsi="Times;serif"/>
                <w:color w:val="0000FF"/>
                <w:sz w:val="20"/>
                <w:shd w:fill="FFFFFF" w:val="clear"/>
              </w:rPr>
            </w:pPr>
            <w:r>
              <w:rPr>
                <w:rFonts w:ascii="Times;serif" w:hAnsi="Times;serif"/>
                <w:color w:val="0000FF"/>
                <w:sz w:val="20"/>
                <w:shd w:fill="FFFFFF" w:val="clear"/>
              </w:rPr>
              <w:t>Directors' Deferred Compensation Share Credits</w:t>
            </w:r>
          </w:p>
        </w:tc>
        <w:tc>
          <w:tcPr>
            <w:tcW w:w="861"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pPr>
            <w:r>
              <w:rPr>
                <w:rFonts w:ascii="arial;helvetica;sans-serif" w:hAnsi="arial;helvetica;sans-serif"/>
                <w:sz w:val="14"/>
              </w:rPr>
              <w:t>$</w:t>
            </w:r>
            <w:r>
              <w:rPr>
                <w:rFonts w:ascii="Times;serif" w:hAnsi="Times;serif"/>
                <w:color w:val="0000FF"/>
                <w:sz w:val="20"/>
                <w:shd w:fill="FFFFFF" w:val="clear"/>
              </w:rPr>
              <w:t>0</w:t>
            </w:r>
            <w:r>
              <w:rPr>
                <w:rFonts w:ascii="Times;serif" w:hAnsi="Times;serif"/>
                <w:color w:val="008000"/>
                <w:position w:val="7"/>
                <w:sz w:val="16"/>
                <w:sz w:val="20"/>
                <w:shd w:fill="FFFFFF" w:val="clear"/>
              </w:rPr>
              <w:t>(1)</w:t>
            </w:r>
          </w:p>
        </w:tc>
        <w:tc>
          <w:tcPr>
            <w:tcW w:w="891"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0"/>
                <w:shd w:fill="FFFFFF" w:val="clear"/>
              </w:rPr>
            </w:pPr>
            <w:r>
              <w:rPr>
                <w:rFonts w:ascii="Times;serif" w:hAnsi="Times;serif"/>
                <w:color w:val="0000FF"/>
                <w:sz w:val="20"/>
                <w:shd w:fill="FFFFFF" w:val="clear"/>
              </w:rPr>
              <w:t>10/20/2026</w:t>
            </w:r>
          </w:p>
        </w:tc>
        <w:tc>
          <w:tcPr>
            <w:tcW w:w="771"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591"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0"/>
                <w:shd w:fill="FFFFFF" w:val="clear"/>
              </w:rPr>
            </w:pPr>
            <w:r>
              <w:rPr>
                <w:rFonts w:ascii="Times;serif" w:hAnsi="Times;serif"/>
                <w:color w:val="0000FF"/>
                <w:sz w:val="20"/>
                <w:shd w:fill="FFFFFF" w:val="clear"/>
              </w:rPr>
              <w:t>A</w:t>
            </w:r>
          </w:p>
        </w:tc>
        <w:tc>
          <w:tcPr>
            <w:tcW w:w="300"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771"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pPr>
            <w:r>
              <w:rPr>
                <w:rFonts w:ascii="Times;serif" w:hAnsi="Times;serif"/>
                <w:color w:val="0000FF"/>
                <w:sz w:val="20"/>
                <w:shd w:fill="FFFFFF" w:val="clear"/>
              </w:rPr>
              <w:t>88.136</w:t>
            </w:r>
            <w:r>
              <w:rPr>
                <w:rFonts w:ascii="Times;serif" w:hAnsi="Times;serif"/>
                <w:color w:val="008000"/>
                <w:position w:val="7"/>
                <w:sz w:val="16"/>
                <w:sz w:val="20"/>
                <w:shd w:fill="FFFFFF" w:val="clear"/>
              </w:rPr>
              <w:t>(2)</w:t>
            </w:r>
          </w:p>
        </w:tc>
        <w:tc>
          <w:tcPr>
            <w:tcW w:w="276"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906"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8000"/>
                <w:position w:val="7"/>
                <w:sz w:val="16"/>
                <w:sz w:val="20"/>
                <w:shd w:fill="FFFFFF" w:val="clear"/>
              </w:rPr>
            </w:pPr>
            <w:r>
              <w:rPr>
                <w:rFonts w:ascii="Times;serif" w:hAnsi="Times;serif"/>
                <w:color w:val="008000"/>
                <w:position w:val="7"/>
                <w:sz w:val="16"/>
                <w:sz w:val="20"/>
                <w:shd w:fill="FFFFFF" w:val="clear"/>
              </w:rPr>
              <w:t>(3)</w:t>
            </w:r>
          </w:p>
        </w:tc>
        <w:tc>
          <w:tcPr>
            <w:tcW w:w="801"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8000"/>
                <w:position w:val="7"/>
                <w:sz w:val="16"/>
                <w:sz w:val="20"/>
                <w:shd w:fill="FFFFFF" w:val="clear"/>
              </w:rPr>
            </w:pPr>
            <w:r>
              <w:rPr>
                <w:rFonts w:ascii="Times;serif" w:hAnsi="Times;serif"/>
                <w:color w:val="008000"/>
                <w:position w:val="7"/>
                <w:sz w:val="16"/>
                <w:sz w:val="20"/>
                <w:shd w:fill="FFFFFF" w:val="clear"/>
              </w:rPr>
              <w:t>(3)</w:t>
            </w:r>
          </w:p>
        </w:tc>
        <w:tc>
          <w:tcPr>
            <w:tcW w:w="891"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0"/>
                <w:shd w:fill="FFFFFF" w:val="clear"/>
              </w:rPr>
            </w:pPr>
            <w:r>
              <w:rPr>
                <w:rFonts w:ascii="Times;serif" w:hAnsi="Times;serif"/>
                <w:color w:val="0000FF"/>
                <w:sz w:val="20"/>
                <w:shd w:fill="FFFFFF" w:val="clear"/>
              </w:rPr>
              <w:t>Class A Common Stock</w:t>
            </w:r>
          </w:p>
        </w:tc>
        <w:tc>
          <w:tcPr>
            <w:tcW w:w="1161"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88.136</w:t>
            </w:r>
          </w:p>
        </w:tc>
        <w:tc>
          <w:tcPr>
            <w:tcW w:w="801"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pPr>
            <w:r>
              <w:rPr>
                <w:rFonts w:ascii="arial;helvetica;sans-serif" w:hAnsi="arial;helvetica;sans-serif"/>
                <w:sz w:val="14"/>
              </w:rPr>
              <w:t>$</w:t>
            </w:r>
            <w:r>
              <w:rPr>
                <w:rFonts w:ascii="Times;serif" w:hAnsi="Times;serif"/>
                <w:color w:val="0000FF"/>
                <w:sz w:val="20"/>
                <w:shd w:fill="FFFFFF" w:val="clear"/>
              </w:rPr>
              <w:t>0</w:t>
            </w:r>
          </w:p>
        </w:tc>
        <w:tc>
          <w:tcPr>
            <w:tcW w:w="1071"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0"/>
                <w:shd w:fill="FFFFFF" w:val="clear"/>
              </w:rPr>
            </w:pPr>
            <w:r>
              <w:rPr>
                <w:rFonts w:ascii="Times;serif" w:hAnsi="Times;serif"/>
                <w:color w:val="0000FF"/>
                <w:sz w:val="20"/>
                <w:shd w:fill="FFFFFF" w:val="clear"/>
              </w:rPr>
              <w:t>14,713.982</w:t>
            </w:r>
          </w:p>
        </w:tc>
        <w:tc>
          <w:tcPr>
            <w:tcW w:w="831"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0"/>
                <w:shd w:fill="FFFFFF" w:val="clear"/>
              </w:rPr>
            </w:pPr>
            <w:r>
              <w:rPr>
                <w:rFonts w:ascii="Times;serif" w:hAnsi="Times;serif"/>
                <w:color w:val="0000FF"/>
                <w:sz w:val="20"/>
                <w:shd w:fill="FFFFFF" w:val="clear"/>
              </w:rPr>
              <w:t>D</w:t>
            </w:r>
          </w:p>
        </w:tc>
        <w:tc>
          <w:tcPr>
            <w:tcW w:w="1296"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r>
      <w:tr>
        <w:trPr/>
        <w:tc>
          <w:tcPr>
            <w:tcW w:w="1340" w:type="dxa"/>
            <w:tcBorders>
              <w:left w:val="single" w:sz="6" w:space="0" w:color="808080"/>
              <w:bottom w:val="single" w:sz="2" w:space="0" w:color="808080"/>
              <w:right w:val="single" w:sz="6" w:space="0" w:color="808080"/>
            </w:tcBorders>
            <w:vAlign w:val="center"/>
          </w:tcPr>
          <w:p>
            <w:pPr>
              <w:pStyle w:val="TableContents"/>
              <w:bidi w:val="0"/>
              <w:spacing w:before="0" w:after="283"/>
              <w:jc w:val="left"/>
              <w:rPr>
                <w:rFonts w:ascii="Times;serif" w:hAnsi="Times;serif"/>
                <w:color w:val="0000FF"/>
                <w:sz w:val="20"/>
                <w:shd w:fill="FFFFFF" w:val="clear"/>
              </w:rPr>
            </w:pPr>
            <w:r>
              <w:rPr>
                <w:rFonts w:ascii="Times;serif" w:hAnsi="Times;serif"/>
                <w:color w:val="0000FF"/>
                <w:sz w:val="20"/>
                <w:shd w:fill="FFFFFF" w:val="clear"/>
              </w:rPr>
              <w:t>Class B Common Stock</w:t>
            </w:r>
          </w:p>
        </w:tc>
        <w:tc>
          <w:tcPr>
            <w:tcW w:w="861"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pPr>
            <w:r>
              <w:rPr>
                <w:rFonts w:ascii="arial;helvetica;sans-serif" w:hAnsi="arial;helvetica;sans-serif"/>
                <w:sz w:val="14"/>
              </w:rPr>
              <w:t>$</w:t>
            </w:r>
            <w:r>
              <w:rPr>
                <w:rFonts w:ascii="Times;serif" w:hAnsi="Times;serif"/>
                <w:color w:val="0000FF"/>
                <w:sz w:val="20"/>
                <w:shd w:fill="FFFFFF" w:val="clear"/>
              </w:rPr>
              <w:t>0</w:t>
            </w:r>
          </w:p>
        </w:tc>
        <w:tc>
          <w:tcPr>
            <w:tcW w:w="891"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771"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591"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300"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771"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276"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906"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8000"/>
                <w:position w:val="7"/>
                <w:sz w:val="16"/>
                <w:sz w:val="20"/>
                <w:shd w:fill="FFFFFF" w:val="clear"/>
              </w:rPr>
            </w:pPr>
            <w:r>
              <w:rPr>
                <w:rFonts w:ascii="Times;serif" w:hAnsi="Times;serif"/>
                <w:color w:val="008000"/>
                <w:position w:val="7"/>
                <w:sz w:val="16"/>
                <w:sz w:val="20"/>
                <w:shd w:fill="FFFFFF" w:val="clear"/>
              </w:rPr>
              <w:t>(4)</w:t>
            </w:r>
          </w:p>
        </w:tc>
        <w:tc>
          <w:tcPr>
            <w:tcW w:w="801"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8000"/>
                <w:position w:val="7"/>
                <w:sz w:val="16"/>
                <w:sz w:val="20"/>
                <w:shd w:fill="FFFFFF" w:val="clear"/>
              </w:rPr>
            </w:pPr>
            <w:r>
              <w:rPr>
                <w:rFonts w:ascii="Times;serif" w:hAnsi="Times;serif"/>
                <w:color w:val="008000"/>
                <w:position w:val="7"/>
                <w:sz w:val="16"/>
                <w:sz w:val="20"/>
                <w:shd w:fill="FFFFFF" w:val="clear"/>
              </w:rPr>
              <w:t>(4)</w:t>
            </w:r>
          </w:p>
        </w:tc>
        <w:tc>
          <w:tcPr>
            <w:tcW w:w="891"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0"/>
                <w:shd w:fill="FFFFFF" w:val="clear"/>
              </w:rPr>
            </w:pPr>
            <w:r>
              <w:rPr>
                <w:rFonts w:ascii="Times;serif" w:hAnsi="Times;serif"/>
                <w:color w:val="0000FF"/>
                <w:sz w:val="20"/>
                <w:shd w:fill="FFFFFF" w:val="clear"/>
              </w:rPr>
              <w:t>Class A Common Stock</w:t>
            </w:r>
          </w:p>
        </w:tc>
        <w:tc>
          <w:tcPr>
            <w:tcW w:w="1161"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pPr>
            <w:r>
              <w:rPr>
                <w:rFonts w:ascii="Times;serif" w:hAnsi="Times;serif"/>
                <w:color w:val="0000FF"/>
                <w:sz w:val="24"/>
                <w:shd w:fill="FFFFFF" w:val="clear"/>
              </w:rPr>
              <w:t>2,808</w:t>
            </w:r>
            <w:r>
              <w:rPr>
                <w:rFonts w:ascii="Times;serif" w:hAnsi="Times;serif"/>
                <w:color w:val="008000"/>
                <w:position w:val="7"/>
                <w:sz w:val="16"/>
                <w:sz w:val="20"/>
                <w:shd w:fill="FFFFFF" w:val="clear"/>
              </w:rPr>
              <w:t>(4)</w:t>
            </w:r>
          </w:p>
        </w:tc>
        <w:tc>
          <w:tcPr>
            <w:tcW w:w="801"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1071"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pPr>
            <w:r>
              <w:rPr>
                <w:rFonts w:ascii="Times;serif" w:hAnsi="Times;serif"/>
                <w:color w:val="0000FF"/>
                <w:sz w:val="20"/>
                <w:shd w:fill="FFFFFF" w:val="clear"/>
              </w:rPr>
              <w:t>1,170</w:t>
            </w:r>
            <w:r>
              <w:rPr>
                <w:rFonts w:ascii="Times;serif" w:hAnsi="Times;serif"/>
                <w:color w:val="008000"/>
                <w:position w:val="7"/>
                <w:sz w:val="16"/>
                <w:sz w:val="20"/>
                <w:shd w:fill="FFFFFF" w:val="clear"/>
              </w:rPr>
              <w:t>(4)</w:t>
            </w:r>
          </w:p>
        </w:tc>
        <w:tc>
          <w:tcPr>
            <w:tcW w:w="831"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0"/>
                <w:shd w:fill="FFFFFF" w:val="clear"/>
              </w:rPr>
            </w:pPr>
            <w:r>
              <w:rPr>
                <w:rFonts w:ascii="Times;serif" w:hAnsi="Times;serif"/>
                <w:color w:val="0000FF"/>
                <w:sz w:val="20"/>
                <w:shd w:fill="FFFFFF" w:val="clear"/>
              </w:rPr>
              <w:t>I</w:t>
            </w:r>
          </w:p>
        </w:tc>
        <w:tc>
          <w:tcPr>
            <w:tcW w:w="1296"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rFonts w:ascii="Times;serif" w:hAnsi="Times;serif"/>
                <w:color w:val="0000FF"/>
                <w:sz w:val="20"/>
                <w:shd w:fill="FFFFFF" w:val="clear"/>
              </w:rPr>
            </w:pPr>
            <w:r>
              <w:rPr>
                <w:rFonts w:ascii="Times;serif" w:hAnsi="Times;serif"/>
                <w:color w:val="0000FF"/>
                <w:sz w:val="20"/>
                <w:shd w:fill="FFFFFF" w:val="clear"/>
              </w:rPr>
              <w:t>Contingent Beneficiary &amp; Co-Trustee, Trust</w:t>
            </w:r>
          </w:p>
        </w:tc>
      </w:tr>
      <w:tr>
        <w:trPr/>
        <w:tc>
          <w:tcPr>
            <w:tcW w:w="1340" w:type="dxa"/>
            <w:tcBorders>
              <w:left w:val="single" w:sz="6" w:space="0" w:color="808080"/>
              <w:bottom w:val="single" w:sz="2" w:space="0" w:color="808080"/>
              <w:right w:val="single" w:sz="6" w:space="0" w:color="808080"/>
            </w:tcBorders>
            <w:vAlign w:val="center"/>
          </w:tcPr>
          <w:p>
            <w:pPr>
              <w:pStyle w:val="TableContents"/>
              <w:bidi w:val="0"/>
              <w:spacing w:before="0" w:after="283"/>
              <w:jc w:val="left"/>
              <w:rPr>
                <w:rFonts w:ascii="Times;serif" w:hAnsi="Times;serif"/>
                <w:color w:val="0000FF"/>
                <w:sz w:val="20"/>
                <w:shd w:fill="FFFFFF" w:val="clear"/>
              </w:rPr>
            </w:pPr>
            <w:r>
              <w:rPr>
                <w:rFonts w:ascii="Times;serif" w:hAnsi="Times;serif"/>
                <w:color w:val="0000FF"/>
                <w:sz w:val="20"/>
                <w:shd w:fill="FFFFFF" w:val="clear"/>
              </w:rPr>
              <w:t>Class B Common Stock</w:t>
            </w:r>
          </w:p>
        </w:tc>
        <w:tc>
          <w:tcPr>
            <w:tcW w:w="861"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pPr>
            <w:r>
              <w:rPr>
                <w:rFonts w:ascii="arial;helvetica;sans-serif" w:hAnsi="arial;helvetica;sans-serif"/>
                <w:sz w:val="14"/>
              </w:rPr>
              <w:t>$</w:t>
            </w:r>
            <w:r>
              <w:rPr>
                <w:rFonts w:ascii="Times;serif" w:hAnsi="Times;serif"/>
                <w:color w:val="0000FF"/>
                <w:sz w:val="20"/>
                <w:shd w:fill="FFFFFF" w:val="clear"/>
              </w:rPr>
              <w:t>0</w:t>
            </w:r>
            <w:r>
              <w:rPr>
                <w:rFonts w:ascii="Times;serif" w:hAnsi="Times;serif"/>
                <w:color w:val="008000"/>
                <w:position w:val="7"/>
                <w:sz w:val="16"/>
                <w:sz w:val="20"/>
                <w:shd w:fill="FFFFFF" w:val="clear"/>
              </w:rPr>
              <w:t>(4)</w:t>
            </w:r>
          </w:p>
        </w:tc>
        <w:tc>
          <w:tcPr>
            <w:tcW w:w="891"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771"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591"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300"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771"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276"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906"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8000"/>
                <w:position w:val="7"/>
                <w:sz w:val="16"/>
                <w:sz w:val="20"/>
                <w:shd w:fill="FFFFFF" w:val="clear"/>
              </w:rPr>
            </w:pPr>
            <w:r>
              <w:rPr>
                <w:rFonts w:ascii="Times;serif" w:hAnsi="Times;serif"/>
                <w:color w:val="008000"/>
                <w:position w:val="7"/>
                <w:sz w:val="16"/>
                <w:sz w:val="20"/>
                <w:shd w:fill="FFFFFF" w:val="clear"/>
              </w:rPr>
              <w:t>(4)</w:t>
            </w:r>
          </w:p>
        </w:tc>
        <w:tc>
          <w:tcPr>
            <w:tcW w:w="801"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8000"/>
                <w:position w:val="7"/>
                <w:sz w:val="16"/>
                <w:sz w:val="20"/>
                <w:shd w:fill="FFFFFF" w:val="clear"/>
              </w:rPr>
            </w:pPr>
            <w:r>
              <w:rPr>
                <w:rFonts w:ascii="Times;serif" w:hAnsi="Times;serif"/>
                <w:color w:val="008000"/>
                <w:position w:val="7"/>
                <w:sz w:val="16"/>
                <w:sz w:val="20"/>
                <w:shd w:fill="FFFFFF" w:val="clear"/>
              </w:rPr>
              <w:t>(4)</w:t>
            </w:r>
          </w:p>
        </w:tc>
        <w:tc>
          <w:tcPr>
            <w:tcW w:w="891"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0"/>
                <w:shd w:fill="FFFFFF" w:val="clear"/>
              </w:rPr>
            </w:pPr>
            <w:r>
              <w:rPr>
                <w:rFonts w:ascii="Times;serif" w:hAnsi="Times;serif"/>
                <w:color w:val="0000FF"/>
                <w:sz w:val="20"/>
                <w:shd w:fill="FFFFFF" w:val="clear"/>
              </w:rPr>
              <w:t>Class A Common Stock</w:t>
            </w:r>
          </w:p>
        </w:tc>
        <w:tc>
          <w:tcPr>
            <w:tcW w:w="1161"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pPr>
            <w:r>
              <w:rPr>
                <w:rFonts w:ascii="Times;serif" w:hAnsi="Times;serif"/>
                <w:color w:val="0000FF"/>
                <w:sz w:val="24"/>
                <w:shd w:fill="FFFFFF" w:val="clear"/>
              </w:rPr>
              <w:t>1,404,000</w:t>
            </w:r>
            <w:r>
              <w:rPr>
                <w:rFonts w:ascii="Times;serif" w:hAnsi="Times;serif"/>
                <w:color w:val="008000"/>
                <w:position w:val="7"/>
                <w:sz w:val="16"/>
                <w:sz w:val="20"/>
                <w:shd w:fill="FFFFFF" w:val="clear"/>
              </w:rPr>
              <w:t>(4)</w:t>
            </w:r>
          </w:p>
        </w:tc>
        <w:tc>
          <w:tcPr>
            <w:tcW w:w="801"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1071"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pPr>
            <w:r>
              <w:rPr>
                <w:rFonts w:ascii="Times;serif" w:hAnsi="Times;serif"/>
                <w:color w:val="0000FF"/>
                <w:sz w:val="20"/>
                <w:shd w:fill="FFFFFF" w:val="clear"/>
              </w:rPr>
              <w:t>585</w:t>
            </w:r>
            <w:r>
              <w:rPr>
                <w:rFonts w:ascii="Times;serif" w:hAnsi="Times;serif"/>
                <w:color w:val="008000"/>
                <w:position w:val="7"/>
                <w:sz w:val="16"/>
                <w:sz w:val="20"/>
                <w:shd w:fill="FFFFFF" w:val="clear"/>
              </w:rPr>
              <w:t>(4)</w:t>
            </w:r>
          </w:p>
        </w:tc>
        <w:tc>
          <w:tcPr>
            <w:tcW w:w="831"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0"/>
                <w:shd w:fill="FFFFFF" w:val="clear"/>
              </w:rPr>
            </w:pPr>
            <w:r>
              <w:rPr>
                <w:rFonts w:ascii="Times;serif" w:hAnsi="Times;serif"/>
                <w:color w:val="0000FF"/>
                <w:sz w:val="20"/>
                <w:shd w:fill="FFFFFF" w:val="clear"/>
              </w:rPr>
              <w:t>I</w:t>
            </w:r>
          </w:p>
        </w:tc>
        <w:tc>
          <w:tcPr>
            <w:tcW w:w="1296"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rFonts w:ascii="Times;serif" w:hAnsi="Times;serif"/>
                <w:color w:val="0000FF"/>
                <w:sz w:val="20"/>
                <w:shd w:fill="FFFFFF" w:val="clear"/>
              </w:rPr>
            </w:pPr>
            <w:r>
              <w:rPr>
                <w:rFonts w:ascii="Times;serif" w:hAnsi="Times;serif"/>
                <w:color w:val="0000FF"/>
                <w:sz w:val="20"/>
                <w:shd w:fill="FFFFFF" w:val="clear"/>
              </w:rPr>
              <w:t>Contingent Beneficiary &amp; Co-Trustee, Trust</w:t>
            </w:r>
          </w:p>
        </w:tc>
      </w:tr>
      <w:tr>
        <w:trPr/>
        <w:tc>
          <w:tcPr>
            <w:tcW w:w="1340" w:type="dxa"/>
            <w:tcBorders>
              <w:left w:val="single" w:sz="6" w:space="0" w:color="808080"/>
              <w:bottom w:val="single" w:sz="6" w:space="0" w:color="808080"/>
              <w:right w:val="single" w:sz="6" w:space="0" w:color="808080"/>
            </w:tcBorders>
            <w:vAlign w:val="center"/>
          </w:tcPr>
          <w:p>
            <w:pPr>
              <w:pStyle w:val="TableContents"/>
              <w:bidi w:val="0"/>
              <w:spacing w:before="0" w:after="283"/>
              <w:jc w:val="left"/>
              <w:rPr>
                <w:rFonts w:ascii="Times;serif" w:hAnsi="Times;serif"/>
                <w:color w:val="0000FF"/>
                <w:sz w:val="20"/>
                <w:shd w:fill="FFFFFF" w:val="clear"/>
              </w:rPr>
            </w:pPr>
            <w:r>
              <w:rPr>
                <w:rFonts w:ascii="Times;serif" w:hAnsi="Times;serif"/>
                <w:color w:val="0000FF"/>
                <w:sz w:val="20"/>
                <w:shd w:fill="FFFFFF" w:val="clear"/>
              </w:rPr>
              <w:t>Class B Common Stock</w:t>
            </w:r>
          </w:p>
        </w:tc>
        <w:tc>
          <w:tcPr>
            <w:tcW w:w="861"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pPr>
            <w:r>
              <w:rPr>
                <w:rFonts w:ascii="arial;helvetica;sans-serif" w:hAnsi="arial;helvetica;sans-serif"/>
                <w:sz w:val="14"/>
              </w:rPr>
              <w:t>$</w:t>
            </w:r>
            <w:r>
              <w:rPr>
                <w:rFonts w:ascii="Times;serif" w:hAnsi="Times;serif"/>
                <w:color w:val="0000FF"/>
                <w:sz w:val="20"/>
                <w:shd w:fill="FFFFFF" w:val="clear"/>
              </w:rPr>
              <w:t>0</w:t>
            </w:r>
            <w:r>
              <w:rPr>
                <w:rFonts w:ascii="Times;serif" w:hAnsi="Times;serif"/>
                <w:color w:val="008000"/>
                <w:position w:val="7"/>
                <w:sz w:val="16"/>
                <w:sz w:val="20"/>
                <w:shd w:fill="FFFFFF" w:val="clear"/>
              </w:rPr>
              <w:t>(4)</w:t>
            </w:r>
          </w:p>
        </w:tc>
        <w:tc>
          <w:tcPr>
            <w:tcW w:w="891"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771"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591"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300"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771"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276"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906"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8000"/>
                <w:position w:val="7"/>
                <w:sz w:val="16"/>
                <w:sz w:val="20"/>
                <w:shd w:fill="FFFFFF" w:val="clear"/>
              </w:rPr>
            </w:pPr>
            <w:r>
              <w:rPr>
                <w:rFonts w:ascii="Times;serif" w:hAnsi="Times;serif"/>
                <w:color w:val="008000"/>
                <w:position w:val="7"/>
                <w:sz w:val="16"/>
                <w:sz w:val="20"/>
                <w:shd w:fill="FFFFFF" w:val="clear"/>
              </w:rPr>
              <w:t>(4)</w:t>
            </w:r>
          </w:p>
        </w:tc>
        <w:tc>
          <w:tcPr>
            <w:tcW w:w="801"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8000"/>
                <w:position w:val="7"/>
                <w:sz w:val="16"/>
                <w:sz w:val="20"/>
                <w:shd w:fill="FFFFFF" w:val="clear"/>
              </w:rPr>
            </w:pPr>
            <w:r>
              <w:rPr>
                <w:rFonts w:ascii="Times;serif" w:hAnsi="Times;serif"/>
                <w:color w:val="008000"/>
                <w:position w:val="7"/>
                <w:sz w:val="16"/>
                <w:sz w:val="20"/>
                <w:shd w:fill="FFFFFF" w:val="clear"/>
              </w:rPr>
              <w:t>(4)</w:t>
            </w:r>
          </w:p>
        </w:tc>
        <w:tc>
          <w:tcPr>
            <w:tcW w:w="891"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0"/>
                <w:shd w:fill="FFFFFF" w:val="clear"/>
              </w:rPr>
            </w:pPr>
            <w:r>
              <w:rPr>
                <w:rFonts w:ascii="Times;serif" w:hAnsi="Times;serif"/>
                <w:color w:val="0000FF"/>
                <w:sz w:val="20"/>
                <w:shd w:fill="FFFFFF" w:val="clear"/>
              </w:rPr>
              <w:t>Class A Common Stock</w:t>
            </w:r>
          </w:p>
        </w:tc>
        <w:tc>
          <w:tcPr>
            <w:tcW w:w="1161"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pPr>
            <w:r>
              <w:rPr>
                <w:rFonts w:ascii="Times;serif" w:hAnsi="Times;serif"/>
                <w:color w:val="0000FF"/>
                <w:sz w:val="24"/>
                <w:shd w:fill="FFFFFF" w:val="clear"/>
              </w:rPr>
              <w:t>1,404,000</w:t>
            </w:r>
            <w:r>
              <w:rPr>
                <w:rFonts w:ascii="Times;serif" w:hAnsi="Times;serif"/>
                <w:color w:val="008000"/>
                <w:position w:val="7"/>
                <w:sz w:val="16"/>
                <w:sz w:val="20"/>
                <w:shd w:fill="FFFFFF" w:val="clear"/>
              </w:rPr>
              <w:t>(4)</w:t>
            </w:r>
          </w:p>
        </w:tc>
        <w:tc>
          <w:tcPr>
            <w:tcW w:w="801"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1071"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pPr>
            <w:r>
              <w:rPr>
                <w:rFonts w:ascii="Times;serif" w:hAnsi="Times;serif"/>
                <w:color w:val="0000FF"/>
                <w:sz w:val="20"/>
                <w:shd w:fill="FFFFFF" w:val="clear"/>
              </w:rPr>
              <w:t>585</w:t>
            </w:r>
            <w:r>
              <w:rPr>
                <w:rFonts w:ascii="Times;serif" w:hAnsi="Times;serif"/>
                <w:color w:val="008000"/>
                <w:position w:val="7"/>
                <w:sz w:val="16"/>
                <w:sz w:val="20"/>
                <w:shd w:fill="FFFFFF" w:val="clear"/>
              </w:rPr>
              <w:t>(4)</w:t>
            </w:r>
          </w:p>
        </w:tc>
        <w:tc>
          <w:tcPr>
            <w:tcW w:w="831"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0"/>
                <w:shd w:fill="FFFFFF" w:val="clear"/>
              </w:rPr>
            </w:pPr>
            <w:r>
              <w:rPr>
                <w:rFonts w:ascii="Times;serif" w:hAnsi="Times;serif"/>
                <w:color w:val="0000FF"/>
                <w:sz w:val="20"/>
                <w:shd w:fill="FFFFFF" w:val="clear"/>
              </w:rPr>
              <w:t>I</w:t>
            </w:r>
          </w:p>
        </w:tc>
        <w:tc>
          <w:tcPr>
            <w:tcW w:w="1296"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rFonts w:ascii="Times;serif" w:hAnsi="Times;serif"/>
                <w:color w:val="0000FF"/>
                <w:sz w:val="20"/>
                <w:shd w:fill="FFFFFF" w:val="clear"/>
              </w:rPr>
            </w:pPr>
            <w:r>
              <w:rPr>
                <w:rFonts w:ascii="Times;serif" w:hAnsi="Times;serif"/>
                <w:color w:val="0000FF"/>
                <w:sz w:val="20"/>
                <w:shd w:fill="FFFFFF" w:val="clear"/>
              </w:rPr>
              <w:t>Primary Beneficiary &amp; Co-Trustee, Trust</w:t>
            </w:r>
          </w:p>
        </w:tc>
      </w:tr>
    </w:tbl>
    <w:tbl>
      <w:tblPr>
        <w:tblW w:w="5000" w:type="pct"/>
        <w:jc w:val="left"/>
        <w:tblInd w:w="0" w:type="dxa"/>
        <w:tblLayout w:type="fixed"/>
        <w:tblCellMar>
          <w:top w:w="28" w:type="dxa"/>
          <w:left w:w="28" w:type="dxa"/>
          <w:bottom w:w="28" w:type="dxa"/>
          <w:right w:w="28" w:type="dxa"/>
        </w:tblCellMar>
      </w:tblPr>
      <w:tblGrid>
        <w:gridCol w:w="10205"/>
      </w:tblGrid>
      <w:tr>
        <w:trPr/>
        <w:tc>
          <w:tcPr>
            <w:tcW w:w="10205" w:type="dxa"/>
            <w:tcBorders/>
            <w:vAlign w:val="center"/>
          </w:tcPr>
          <w:p>
            <w:pPr>
              <w:pStyle w:val="TableContents"/>
              <w:bidi w:val="0"/>
              <w:spacing w:before="0" w:after="283"/>
              <w:jc w:val="left"/>
              <w:rPr>
                <w:rFonts w:ascii="arial;helvetica;sans-serif" w:hAnsi="arial;helvetica;sans-serif"/>
                <w:b/>
                <w:sz w:val="20"/>
              </w:rPr>
            </w:pPr>
            <w:r>
              <w:rPr>
                <w:rFonts w:ascii="arial;helvetica;sans-serif" w:hAnsi="arial;helvetica;sans-serif"/>
                <w:b/>
                <w:sz w:val="20"/>
              </w:rPr>
              <w:t>Explanation of Responses:</w:t>
            </w:r>
          </w:p>
        </w:tc>
      </w:tr>
      <w:tr>
        <w:trPr/>
        <w:tc>
          <w:tcPr>
            <w:tcW w:w="10205" w:type="dxa"/>
            <w:tcBorders/>
            <w:shd w:fill="FFFFFF" w:val="clear"/>
            <w:vAlign w:val="center"/>
          </w:tcPr>
          <w:p>
            <w:pPr>
              <w:pStyle w:val="TableContents"/>
              <w:bidi w:val="0"/>
              <w:spacing w:before="0" w:after="283"/>
              <w:jc w:val="left"/>
              <w:rPr>
                <w:rFonts w:ascii="Times;serif" w:hAnsi="Times;serif"/>
                <w:color w:val="008000"/>
                <w:sz w:val="20"/>
              </w:rPr>
            </w:pPr>
            <w:r>
              <w:rPr>
                <w:rFonts w:ascii="Times;serif" w:hAnsi="Times;serif"/>
                <w:color w:val="008000"/>
                <w:sz w:val="20"/>
              </w:rPr>
              <w:t>1. Conversion price is not applicable to shares granted under the Erie Indemnity Company Deferred Compensation Plan for Outside Directors (the "Plan").</w:t>
            </w:r>
          </w:p>
        </w:tc>
      </w:tr>
      <w:tr>
        <w:trPr/>
        <w:tc>
          <w:tcPr>
            <w:tcW w:w="10205" w:type="dxa"/>
            <w:tcBorders/>
            <w:shd w:fill="FFFFFF" w:val="clear"/>
            <w:vAlign w:val="center"/>
          </w:tcPr>
          <w:p>
            <w:pPr>
              <w:pStyle w:val="TableContents"/>
              <w:bidi w:val="0"/>
              <w:spacing w:before="0" w:after="283"/>
              <w:jc w:val="left"/>
              <w:rPr>
                <w:rFonts w:ascii="Times;serif" w:hAnsi="Times;serif"/>
                <w:color w:val="008000"/>
                <w:sz w:val="20"/>
              </w:rPr>
            </w:pPr>
            <w:r>
              <w:rPr>
                <w:rFonts w:ascii="Times;serif" w:hAnsi="Times;serif"/>
                <w:color w:val="008000"/>
                <w:sz w:val="20"/>
              </w:rPr>
              <w:t>2. Acquired pursuant to dividend reinvestment provisions of the Plan. The number of Share Credits credited to the account of the reporting person was determined in accordance with the Plan, based on the closing price of the Class A Common Stock on October 20, 2026.</w:t>
            </w:r>
          </w:p>
        </w:tc>
      </w:tr>
      <w:tr>
        <w:trPr/>
        <w:tc>
          <w:tcPr>
            <w:tcW w:w="10205" w:type="dxa"/>
            <w:tcBorders/>
            <w:shd w:fill="FFFFFF" w:val="clear"/>
            <w:vAlign w:val="center"/>
          </w:tcPr>
          <w:p>
            <w:pPr>
              <w:pStyle w:val="TableContents"/>
              <w:bidi w:val="0"/>
              <w:spacing w:before="0" w:after="283"/>
              <w:jc w:val="left"/>
              <w:rPr>
                <w:rFonts w:ascii="Times;serif" w:hAnsi="Times;serif"/>
                <w:color w:val="008000"/>
                <w:sz w:val="20"/>
              </w:rPr>
            </w:pPr>
            <w:r>
              <w:rPr>
                <w:rFonts w:ascii="Times;serif" w:hAnsi="Times;serif"/>
                <w:color w:val="008000"/>
                <w:sz w:val="20"/>
              </w:rPr>
              <w:t>3. The shares subject to this reporting are Share Credits which are periodically credited to the accounts of certain Directors of Erie Indemnity Company pursuant to its Outside Directors' Stock Plan. These Share Credits represent the right to receive an equivalent number of shares of Erie Indemnity Company Class A common stock when the reporting individual's service as a Director of the Company ends. There are no exercisable or expiration dates for these securities.</w:t>
            </w:r>
          </w:p>
        </w:tc>
      </w:tr>
      <w:tr>
        <w:trPr/>
        <w:tc>
          <w:tcPr>
            <w:tcW w:w="10205" w:type="dxa"/>
            <w:tcBorders/>
            <w:shd w:fill="FFFFFF" w:val="clear"/>
            <w:vAlign w:val="center"/>
          </w:tcPr>
          <w:p>
            <w:pPr>
              <w:pStyle w:val="TableContents"/>
              <w:bidi w:val="0"/>
              <w:spacing w:before="0" w:after="283"/>
              <w:jc w:val="left"/>
              <w:rPr>
                <w:rFonts w:ascii="Times;serif" w:hAnsi="Times;serif"/>
                <w:color w:val="008000"/>
                <w:sz w:val="20"/>
              </w:rPr>
            </w:pPr>
            <w:r>
              <w:rPr>
                <w:rFonts w:ascii="Times;serif" w:hAnsi="Times;serif"/>
                <w:color w:val="008000"/>
                <w:sz w:val="20"/>
              </w:rPr>
              <w:t>4. Pursuant to the Articles of Incorporation of the Company, as amended, shares of Class B Common Stock (voting) of Erie Indemnity Company are convertible at any time to shares of Class A Common Stock (non-voting) at a conversion rate of 2,400 shares of Class A Stock for each share of Class B Stock. There are no exercise or expiration dates associated with this conversion feature and no specific exercise price when a Class B share is converted into Class A shares.</w:t>
            </w:r>
          </w:p>
        </w:tc>
      </w:tr>
      <w:tr>
        <w:trPr/>
        <w:tc>
          <w:tcPr>
            <w:tcW w:w="10205" w:type="dxa"/>
            <w:tcBorders/>
            <w:vAlign w:val="center"/>
          </w:tcPr>
          <w:p>
            <w:pPr>
              <w:pStyle w:val="TableContents"/>
              <w:bidi w:val="0"/>
              <w:spacing w:before="0" w:after="283"/>
              <w:jc w:val="left"/>
              <w:rPr>
                <w:rFonts w:ascii="arial;helvetica;sans-serif" w:hAnsi="arial;helvetica;sans-serif"/>
                <w:b/>
                <w:sz w:val="24"/>
              </w:rPr>
            </w:pPr>
            <w:r>
              <w:rPr>
                <w:rFonts w:ascii="arial;helvetica;sans-serif" w:hAnsi="arial;helvetica;sans-serif"/>
                <w:b/>
                <w:sz w:val="24"/>
              </w:rPr>
              <w:t>Remarks:</w:t>
            </w:r>
          </w:p>
        </w:tc>
      </w:tr>
      <w:tr>
        <w:trPr/>
        <w:tc>
          <w:tcPr>
            <w:tcW w:w="10205" w:type="dxa"/>
            <w:tcBorders/>
            <w:shd w:fill="FFFFFF" w:val="clear"/>
            <w:vAlign w:val="center"/>
          </w:tcPr>
          <w:p>
            <w:pPr>
              <w:pStyle w:val="TableContents"/>
              <w:bidi w:val="0"/>
              <w:spacing w:before="0" w:after="283"/>
              <w:jc w:val="left"/>
              <w:rPr>
                <w:sz w:val="4"/>
                <w:szCs w:val="4"/>
              </w:rPr>
            </w:pPr>
            <w:r>
              <w:rPr>
                <w:sz w:val="4"/>
                <w:szCs w:val="4"/>
              </w:rPr>
            </w:r>
          </w:p>
        </w:tc>
      </w:tr>
    </w:tbl>
    <w:tbl>
      <w:tblPr>
        <w:tblW w:w="5000" w:type="pct"/>
        <w:jc w:val="left"/>
        <w:tblInd w:w="0" w:type="dxa"/>
        <w:tblLayout w:type="fixed"/>
        <w:tblCellMar>
          <w:top w:w="28" w:type="dxa"/>
          <w:left w:w="28" w:type="dxa"/>
          <w:bottom w:w="28" w:type="dxa"/>
          <w:right w:w="28" w:type="dxa"/>
        </w:tblCellMar>
      </w:tblPr>
      <w:tblGrid>
        <w:gridCol w:w="6123"/>
        <w:gridCol w:w="2041"/>
        <w:gridCol w:w="2041"/>
      </w:tblGrid>
      <w:tr>
        <w:trPr/>
        <w:tc>
          <w:tcPr>
            <w:tcW w:w="6123" w:type="dxa"/>
            <w:tcBorders/>
            <w:vAlign w:val="center"/>
          </w:tcPr>
          <w:p>
            <w:pPr>
              <w:pStyle w:val="TableContents"/>
              <w:bidi w:val="0"/>
              <w:spacing w:before="0" w:after="283"/>
              <w:jc w:val="left"/>
              <w:rPr>
                <w:sz w:val="4"/>
                <w:szCs w:val="4"/>
              </w:rPr>
            </w:pPr>
            <w:r>
              <w:rPr>
                <w:sz w:val="4"/>
                <w:szCs w:val="4"/>
              </w:rPr>
            </w:r>
          </w:p>
        </w:tc>
        <w:tc>
          <w:tcPr>
            <w:tcW w:w="2041" w:type="dxa"/>
            <w:tcBorders/>
            <w:vAlign w:val="center"/>
          </w:tcPr>
          <w:p>
            <w:pPr>
              <w:pStyle w:val="TableContents"/>
              <w:bidi w:val="0"/>
              <w:spacing w:before="0" w:after="283"/>
              <w:jc w:val="left"/>
              <w:rPr>
                <w:rFonts w:ascii="Times;serif" w:hAnsi="Times;serif"/>
                <w:color w:val="0000FF"/>
                <w:sz w:val="24"/>
                <w:u w:val="single"/>
                <w:shd w:fill="FFFFFF" w:val="clear"/>
              </w:rPr>
            </w:pPr>
            <w:r>
              <w:rPr>
                <w:rFonts w:ascii="Times;serif" w:hAnsi="Times;serif"/>
                <w:color w:val="0000FF"/>
                <w:sz w:val="24"/>
                <w:u w:val="single"/>
                <w:shd w:fill="FFFFFF" w:val="clear"/>
              </w:rPr>
              <w:t>Rebecca A. Buona, Power of Attorney</w:t>
            </w:r>
          </w:p>
        </w:tc>
        <w:tc>
          <w:tcPr>
            <w:tcW w:w="2041" w:type="dxa"/>
            <w:tcBorders/>
            <w:vAlign w:val="center"/>
          </w:tcPr>
          <w:p>
            <w:pPr>
              <w:pStyle w:val="TableContents"/>
              <w:bidi w:val="0"/>
              <w:spacing w:before="0" w:after="283"/>
              <w:jc w:val="left"/>
              <w:rPr>
                <w:rFonts w:ascii="Times;serif" w:hAnsi="Times;serif"/>
                <w:color w:val="0000FF"/>
                <w:sz w:val="24"/>
                <w:u w:val="single"/>
                <w:shd w:fill="FFFFFF" w:val="clear"/>
              </w:rPr>
            </w:pPr>
            <w:r>
              <w:rPr>
                <w:rFonts w:ascii="Times;serif" w:hAnsi="Times;serif"/>
                <w:color w:val="0000FF"/>
                <w:sz w:val="24"/>
                <w:u w:val="single"/>
                <w:shd w:fill="FFFFFF" w:val="clear"/>
              </w:rPr>
              <w:t>10/21/2026</w:t>
            </w:r>
          </w:p>
        </w:tc>
      </w:tr>
      <w:tr>
        <w:trPr/>
        <w:tc>
          <w:tcPr>
            <w:tcW w:w="6123" w:type="dxa"/>
            <w:tcBorders/>
            <w:vAlign w:val="center"/>
          </w:tcPr>
          <w:p>
            <w:pPr>
              <w:pStyle w:val="TableContents"/>
              <w:bidi w:val="0"/>
              <w:spacing w:before="0" w:after="283"/>
              <w:jc w:val="left"/>
              <w:rPr>
                <w:sz w:val="4"/>
                <w:szCs w:val="4"/>
              </w:rPr>
            </w:pPr>
            <w:r>
              <w:rPr>
                <w:sz w:val="4"/>
                <w:szCs w:val="4"/>
              </w:rPr>
            </w:r>
          </w:p>
        </w:tc>
        <w:tc>
          <w:tcPr>
            <w:tcW w:w="204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 Signature of Reporting Person</w:t>
            </w:r>
          </w:p>
        </w:tc>
        <w:tc>
          <w:tcPr>
            <w:tcW w:w="204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Date</w:t>
            </w:r>
          </w:p>
        </w:tc>
      </w:tr>
      <w:tr>
        <w:trPr/>
        <w:tc>
          <w:tcPr>
            <w:tcW w:w="10205" w:type="dxa"/>
            <w:gridSpan w:val="3"/>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Reminder: Report on a separate line for each class of securities beneficially owned directly or indirectly.</w:t>
            </w:r>
          </w:p>
        </w:tc>
      </w:tr>
      <w:tr>
        <w:trPr/>
        <w:tc>
          <w:tcPr>
            <w:tcW w:w="10205" w:type="dxa"/>
            <w:gridSpan w:val="3"/>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 xml:space="preserve">* If the form is filed by more than one reporting person, </w:t>
            </w:r>
            <w:r>
              <w:rPr>
                <w:rFonts w:ascii="arial;helvetica;sans-serif" w:hAnsi="arial;helvetica;sans-serif"/>
                <w:i/>
                <w:sz w:val="20"/>
              </w:rPr>
              <w:t>see</w:t>
            </w:r>
            <w:r>
              <w:rPr>
                <w:rFonts w:ascii="arial;helvetica;sans-serif" w:hAnsi="arial;helvetica;sans-serif"/>
                <w:sz w:val="20"/>
              </w:rPr>
              <w:t xml:space="preserve"> Instruction 4 (b)(v).</w:t>
            </w:r>
          </w:p>
        </w:tc>
      </w:tr>
      <w:tr>
        <w:trPr/>
        <w:tc>
          <w:tcPr>
            <w:tcW w:w="10205" w:type="dxa"/>
            <w:gridSpan w:val="3"/>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 xml:space="preserve">** Intentional misstatements or omissions of facts constitute Federal Criminal Violations </w:t>
            </w:r>
            <w:r>
              <w:rPr>
                <w:rFonts w:ascii="arial;helvetica;sans-serif" w:hAnsi="arial;helvetica;sans-serif"/>
                <w:i/>
                <w:sz w:val="20"/>
              </w:rPr>
              <w:t>See</w:t>
            </w:r>
            <w:r>
              <w:rPr>
                <w:rFonts w:ascii="arial;helvetica;sans-serif" w:hAnsi="arial;helvetica;sans-serif"/>
                <w:sz w:val="20"/>
              </w:rPr>
              <w:t xml:space="preserve"> 18 U.S.C. 1001 and 15 U.S.C. 78ff(a).</w:t>
            </w:r>
          </w:p>
        </w:tc>
      </w:tr>
      <w:tr>
        <w:trPr/>
        <w:tc>
          <w:tcPr>
            <w:tcW w:w="10205" w:type="dxa"/>
            <w:gridSpan w:val="3"/>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 xml:space="preserve">Note: File three copies of this Form, one of which must be manually signed. If space is insufficient, </w:t>
            </w:r>
            <w:r>
              <w:rPr>
                <w:rFonts w:ascii="arial;helvetica;sans-serif" w:hAnsi="arial;helvetica;sans-serif"/>
                <w:i/>
                <w:sz w:val="20"/>
              </w:rPr>
              <w:t>see</w:t>
            </w:r>
            <w:r>
              <w:rPr>
                <w:rFonts w:ascii="arial;helvetica;sans-serif" w:hAnsi="arial;helvetica;sans-serif"/>
                <w:sz w:val="20"/>
              </w:rPr>
              <w:t xml:space="preserve"> Instruction 6 for procedure.</w:t>
            </w:r>
          </w:p>
        </w:tc>
      </w:tr>
      <w:tr>
        <w:trPr/>
        <w:tc>
          <w:tcPr>
            <w:tcW w:w="10205" w:type="dxa"/>
            <w:gridSpan w:val="3"/>
            <w:tcBorders/>
            <w:vAlign w:val="center"/>
          </w:tcPr>
          <w:p>
            <w:pPr>
              <w:pStyle w:val="TableContents"/>
              <w:bidi w:val="0"/>
              <w:spacing w:before="0" w:after="283"/>
              <w:jc w:val="left"/>
              <w:rPr>
                <w:rFonts w:ascii="arial;helvetica;sans-serif" w:hAnsi="arial;helvetica;sans-serif"/>
                <w:b/>
                <w:sz w:val="20"/>
              </w:rPr>
            </w:pPr>
            <w:r>
              <w:rPr>
                <w:rFonts w:ascii="arial;helvetica;sans-serif" w:hAnsi="arial;helvetica;sans-serif"/>
                <w:b/>
                <w:sz w:val="20"/>
              </w:rPr>
              <w:t>Persons who respond to the collection of information contained in this form are not required to respond unless the form displays a currently valid OMB Number.</w:t>
            </w:r>
          </w:p>
        </w:tc>
      </w:tr>
    </w:tbl>
    <w:p>
      <w:pPr>
        <w:pStyle w:val="TextBody"/>
        <w:bidi w:val="0"/>
        <w:spacing w:before="0" w:after="283"/>
        <w:jc w:val="left"/>
        <w:rPr/>
      </w:pPr>
      <w:r>
        <w:rPr/>
      </w:r>
    </w:p>
    <w:sectPr>
      <w:type w:val="nextPage"/>
      <w:pgSz w:w="11906" w:h="16838"/>
      <w:pgMar w:left="1134" w:right="567" w:gutter="0" w:header="0" w:top="567" w:footer="0" w:bottom="567"/>
      <w:pgNumType w:fmt="decimal"/>
      <w:formProt w:val="false"/>
      <w:textDirection w:val="lrTb"/>
      <w:docGrid w:type="default" w:linePitch="600" w:charSpace="32768"/>
    </w:sectPr>
  </w:body>
</w:document>
</file>

<file path=word/fontTable.xml><?xml version="1.0" encoding="utf-8"?>
<w:fonts xmlns:w="http://schemas.openxmlformats.org/wordprocessingml/2006/main" xmlns:r="http://schemas.openxmlformats.org/officeDocument/2006/relationships">
  <w:font w:name="Times New Roman">
    <w:charset w:val="00"/>
    <w:family w:val="roman"/>
    <w:pitch w:val="variable"/>
  </w:font>
  <w:font w:name="Symbol">
    <w:charset w:val="02"/>
    <w:family w:val="roman"/>
    <w:pitch w:val="variable"/>
  </w:font>
  <w:font w:name="Arial">
    <w:charset w:val="00"/>
    <w:family w:val="swiss"/>
    <w:pitch w:val="variable"/>
  </w:font>
  <w:font w:name="Liberation Serif">
    <w:altName w:val="Times New Roman"/>
    <w:charset w:val="01"/>
    <w:family w:val="roman"/>
    <w:pitch w:val="variable"/>
  </w:font>
  <w:font w:name="Liberation Sans Unicode MS">
    <w:charset w:val="01"/>
    <w:family w:val="auto"/>
    <w:pitch w:val="variable"/>
  </w:font>
  <w:font w:name="Liberation Sans">
    <w:altName w:val="Arial"/>
    <w:charset w:val="01"/>
    <w:family w:val="swiss"/>
    <w:pitch w:val="variable"/>
  </w:font>
  <w:font w:name="arial">
    <w:altName w:val="helvetica"/>
    <w:charset w:val="01"/>
    <w:family w:val="auto"/>
    <w:pitch w:val="default"/>
  </w:font>
  <w:font w:name="Times">
    <w:altName w:val="Times New Roman"/>
    <w:charset w:val="01"/>
    <w:family w:val="auto"/>
    <w:pitch w:val="default"/>
  </w:font>
</w:fonts>
</file>

<file path=word/settings.xml><?xml version="1.0" encoding="utf-8"?>
<w:settings xmlns:w="http://schemas.openxmlformats.org/wordprocessingml/2006/main">
  <w:zoom w:percent="100"/>
  <w:defaultTabStop w:val="1134"/>
  <w:autoHyphenation w:val="true"/>
  <w:compat>
    <w:compatSetting w:name="compatibilityMode" w:uri="http://schemas.microsoft.com/office/word" w:val="15"/>
  </w:compat>
</w:settings>
</file>

<file path=word/styles.xml><?xml version="1.0" encoding="utf-8"?>
<w:styles xmlns:w="http://schemas.openxmlformats.org/wordprocessingml/2006/main" xmlns:w14="http://schemas.microsoft.com/office/word/2010/wordml" xmlns:mc="http://schemas.openxmlformats.org/markup-compatibility/2006" mc:Ignorable="w14">
  <w:docDefaults>
    <w:rPrDefault>
      <w:rPr>
        <w:rFonts w:ascii="Liberation Serif" w:hAnsi="Liberation Serif" w:eastAsia="Tahoma" w:cs="Noto Sans Devanagari"/>
        <w:sz w:val="24"/>
        <w:szCs w:val="24"/>
        <w:lang w:val="en-US" w:eastAsia="zh-CN" w:bidi="hi-IN"/>
      </w:rPr>
    </w:rPrDefault>
    <w:pPrDefault>
      <w:pPr>
        <w:suppressAutoHyphens w:val="true"/>
      </w:pPr>
    </w:pPrDefault>
  </w:docDefaults>
  <w:style w:type="paragraph" w:styleId="Normal">
    <w:name w:val="Normal"/>
    <w:qFormat/>
    <w:pPr>
      <w:widowControl w:val="false"/>
      <w:kinsoku w:val="true"/>
      <w:overflowPunct w:val="true"/>
      <w:autoSpaceDE w:val="true"/>
      <w:bidi w:val="0"/>
    </w:pPr>
    <w:rPr>
      <w:rFonts w:ascii="Liberation Serif" w:hAnsi="Liberation Serif" w:eastAsia="Tahoma" w:cs="Noto Sans Devanagari"/>
      <w:color w:val="auto"/>
      <w:sz w:val="24"/>
      <w:szCs w:val="24"/>
      <w:lang w:val="en-US" w:eastAsia="zh-CN" w:bidi="hi-IN"/>
    </w:rPr>
  </w:style>
  <w:style w:type="paragraph" w:styleId="Heading1">
    <w:name w:val="Heading 1"/>
    <w:basedOn w:val="Heading"/>
    <w:next w:val="TextBody"/>
    <w:qFormat/>
    <w:pPr/>
    <w:rPr>
      <w:rFonts w:ascii="Liberation Sans Unicode MS" w:hAnsi="Liberation Sans Unicode MS"/>
      <w:b/>
      <w:bCs/>
      <w:sz w:val="48"/>
      <w:szCs w:val="44"/>
    </w:rPr>
  </w:style>
  <w:style w:type="character" w:styleId="EndnoteCharacters">
    <w:name w:val="Endnote Characters"/>
    <w:qFormat/>
    <w:rPr/>
  </w:style>
  <w:style w:type="character" w:styleId="FootnoteCharacters">
    <w:name w:val="Footnote Characters"/>
    <w:qFormat/>
    <w:rPr/>
  </w:style>
  <w:style w:type="character" w:styleId="InternetLink">
    <w:name w:val="Hyperlink"/>
    <w:rPr>
      <w:color w:val="000080"/>
      <w:u w:val="single"/>
    </w:rPr>
  </w:style>
  <w:style w:type="paragraph" w:styleId="HorizontalLine">
    <w:name w:val="Horizontal Line"/>
    <w:basedOn w:val="Normal"/>
    <w:next w:val="TextBody"/>
    <w:qFormat/>
    <w:pPr>
      <w:pBdr>
        <w:bottom w:val="double" w:sz="2" w:space="0" w:color="808080"/>
      </w:pBdr>
      <w:spacing w:before="0" w:after="283"/>
    </w:pPr>
    <w:rPr>
      <w:sz w:val="12"/>
    </w:rPr>
  </w:style>
  <w:style w:type="paragraph" w:styleId="TextBody">
    <w:name w:val="Body Text"/>
    <w:basedOn w:val="Normal"/>
    <w:pPr>
      <w:spacing w:before="0" w:after="283"/>
    </w:pPr>
    <w:rPr/>
  </w:style>
  <w:style w:type="paragraph" w:styleId="Sender">
    <w:name w:val="Envelope Return"/>
    <w:basedOn w:val="Normal"/>
    <w:pPr/>
    <w:rPr>
      <w:i/>
    </w:rPr>
  </w:style>
  <w:style w:type="paragraph" w:styleId="TableContents">
    <w:name w:val="Table Contents"/>
    <w:basedOn w:val="TextBody"/>
    <w:qFormat/>
    <w:pPr/>
    <w:rPr/>
  </w:style>
  <w:style w:type="paragraph" w:styleId="HeaderandFooter">
    <w:name w:val="Header and Footer"/>
    <w:basedOn w:val="Normal"/>
    <w:qFormat/>
    <w:pPr>
      <w:suppressLineNumbers/>
      <w:tabs>
        <w:tab w:val="clear" w:pos="1134"/>
        <w:tab w:val="center" w:pos="4819" w:leader="none"/>
        <w:tab w:val="right" w:pos="9638" w:leader="none"/>
      </w:tabs>
    </w:pPr>
    <w:rPr/>
  </w:style>
  <w:style w:type="paragraph" w:styleId="Footer">
    <w:name w:val="Footer"/>
    <w:basedOn w:val="Normal"/>
    <w:pPr>
      <w:suppressLineNumbers/>
      <w:tabs>
        <w:tab w:val="clear" w:pos="1134"/>
        <w:tab w:val="center" w:pos="4818" w:leader="none"/>
        <w:tab w:val="right" w:pos="9637" w:leader="none"/>
      </w:tabs>
    </w:pPr>
    <w:rPr/>
  </w:style>
  <w:style w:type="paragraph" w:styleId="Header">
    <w:name w:val="Header"/>
    <w:basedOn w:val="Normal"/>
    <w:pPr>
      <w:suppressLineNumbers/>
      <w:tabs>
        <w:tab w:val="clear" w:pos="1134"/>
        <w:tab w:val="center" w:pos="4818" w:leader="none"/>
        <w:tab w:val="right" w:pos="9637" w:leader="none"/>
      </w:tabs>
    </w:pPr>
    <w:rPr/>
  </w:style>
  <w:style w:type="paragraph" w:styleId="Heading">
    <w:name w:val="Heading"/>
    <w:basedOn w:val="Normal"/>
    <w:next w:val="TextBody"/>
    <w:qFormat/>
    <w:pPr>
      <w:keepNext w:val="true"/>
      <w:spacing w:before="240" w:after="283"/>
    </w:pPr>
    <w:rPr>
      <w:rFonts w:ascii="Liberation Sans" w:hAnsi="Liberation Sans"/>
      <w:sz w:val="28"/>
      <w:szCs w:val="28"/>
    </w:rPr>
  </w:style>
  <w:style w:type="paragraph" w:styleId="Index">
    <w:name w:val="Index"/>
    <w:basedOn w:val="Normal"/>
    <w:qFormat/>
    <w:pPr>
      <w:suppressLineNumbers/>
    </w:pPr>
    <w:rPr>
      <w:rFonts w:cs="Noto Sans Devanagari"/>
    </w:rPr>
  </w:style>
  <w:style w:type="paragraph" w:styleId="Caption">
    <w:name w:val="Caption"/>
    <w:basedOn w:val="Normal"/>
    <w:qFormat/>
    <w:pPr>
      <w:suppressLineNumbers/>
      <w:spacing w:before="120" w:after="120"/>
    </w:pPr>
    <w:rPr>
      <w:rFonts w:cs="Noto Sans Devanagari"/>
      <w:i/>
      <w:iCs/>
      <w:sz w:val="24"/>
      <w:szCs w:val="24"/>
    </w:rPr>
  </w:style>
  <w:style w:type="paragraph" w:styleId="List">
    <w:name w:val="List"/>
    <w:basedOn w:val="TextBody"/>
    <w:pPr/>
    <w:rPr>
      <w:rFonts w:cs="Noto Sans Devanagari"/>
    </w:rPr>
  </w:style>
  <w:style w:type="paragraph" w:styleId="TableHeading">
    <w:name w:val="Table Heading"/>
    <w:basedOn w:val="TableContents"/>
    <w:qFormat/>
    <w:pPr>
      <w:suppressLineNumbers/>
      <w:jc w:val="center"/>
    </w:pPr>
    <w:rPr>
      <w:b/>
      <w:bCs/>
    </w:rPr>
  </w:style>
</w:styles>
</file>

<file path=word/_rels/document.xml.rels><?xml version="1.0" encoding="UTF-8"?>
<Relationships xmlns="http://schemas.openxmlformats.org/package/2006/relationships"><Relationship Id="rId1" Type="http://schemas.openxmlformats.org/officeDocument/2006/relationships/styles" Target="styles.xml"/><Relationship Id="rId2" Type="http://schemas.openxmlformats.org/officeDocument/2006/relationships/image" Target="https://cdn.kscope.io/box-unchecked.jpg" TargetMode="External"/><Relationship Id="rId3" Type="http://schemas.openxmlformats.org/officeDocument/2006/relationships/image" Target="https://cdn.kscope.io/box-unchecked.jpg" TargetMode="External"/><Relationship Id="rId4" Type="http://schemas.openxmlformats.org/officeDocument/2006/relationships/hyperlink" Target="http://www.sec.gov/cgi-bin/browse-edgar?action=getcompany&amp;CIK=0001396850" TargetMode="External"/><Relationship Id="rId5" Type="http://schemas.openxmlformats.org/officeDocument/2006/relationships/hyperlink" Target="http://www.sec.gov/cgi-bin/browse-edgar?action=getcompany&amp;CIK=0000922621" TargetMode="External"/><Relationship Id="rId6" Type="http://schemas.openxmlformats.org/officeDocument/2006/relationships/image" Target="https://cdn.kscope.io/box-checked.jpg" TargetMode="External"/><Relationship Id="rId7" Type="http://schemas.openxmlformats.org/officeDocument/2006/relationships/image" Target="https://cdn.kscope.io/box-checked.jpg" TargetMode="External"/><Relationship Id="rId8" Type="http://schemas.openxmlformats.org/officeDocument/2006/relationships/image" Target="https://cdn.kscope.io/box-checked.jpg" TargetMode="External"/><Relationship Id="rId9" Type="http://schemas.openxmlformats.org/officeDocument/2006/relationships/fontTable" Target="fontTable.xml"/><Relationship Id="rId10" Type="http://schemas.openxmlformats.org/officeDocument/2006/relationships/settings" Target="settings.xml"/>
</Relationships>
</file>

<file path=docProps/app.xml><?xml version="1.0" encoding="utf-8"?>
<Properties xmlns="http://schemas.openxmlformats.org/officeDocument/2006/extended-properties" xmlns:vt="http://schemas.openxmlformats.org/officeDocument/2006/docPropsVTypes">
  <Template/>
  <TotalTime>0</TotalTime>
  <Application>LibreOffice/7.3.7.2$Linux_X86_64 LibreOffice_project/30$Build-2</Application>
  <AppVersion>15.0000</AppVersion>
  <Pages>1</Pages>
  <Words>911</Words>
  <Characters>4852</Characters>
  <CharactersWithSpaces>5646</CharactersWithSpaces>
  <Paragraphs>146</Paragraph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description/>
  <dc:language>en-US</dc:language>
  <cp:lastModifiedBy/>
  <cp:revision>0</cp:revision>
  <dc:subject/>
  <dc:title/>
</cp:coreProperties>
</file>