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93" w:lineRule="exact"/>
        <w:rPr>
          <w:sz w:val="24"/>
          <w:szCs w:val="24"/>
          <w:color w:val="auto"/>
        </w:rPr>
      </w:pPr>
    </w:p>
    <w:p>
      <w:pPr>
        <w:ind w:left="1020"/>
        <w:spacing w:after="0"/>
        <w:tabs>
          <w:tab w:leader="none" w:pos="786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April 21, 2026</w:t>
      </w:r>
    </w:p>
    <w:p>
      <w:pPr>
        <w:spacing w:after="0" w:line="36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22225</wp:posOffset>
            </wp:positionV>
            <wp:extent cx="3634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7"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74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Pennsylvania</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0-24000</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25-0466020</w:t>
            </w:r>
          </w:p>
        </w:tc>
        <w:tc>
          <w:tcPr>
            <w:tcW w:w="520" w:type="dxa"/>
            <w:vAlign w:val="bottom"/>
          </w:tcPr>
          <w:p>
            <w:pPr>
              <w:spacing w:after="0"/>
              <w:rPr>
                <w:sz w:val="20"/>
                <w:szCs w:val="20"/>
                <w:color w:val="auto"/>
              </w:rPr>
            </w:pPr>
          </w:p>
        </w:tc>
      </w:tr>
      <w:tr>
        <w:trPr>
          <w:trHeight w:val="218"/>
        </w:trPr>
        <w:tc>
          <w:tcPr>
            <w:tcW w:w="540" w:type="dxa"/>
            <w:vAlign w:val="bottom"/>
          </w:tcPr>
          <w:p>
            <w:pPr>
              <w:spacing w:after="0"/>
              <w:rPr>
                <w:sz w:val="18"/>
                <w:szCs w:val="18"/>
                <w:color w:val="auto"/>
              </w:rPr>
            </w:pPr>
          </w:p>
        </w:tc>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(Commission</w:t>
            </w:r>
          </w:p>
        </w:tc>
        <w:tc>
          <w:tcPr>
            <w:tcW w:w="1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5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274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520" w:type="dxa"/>
            <w:vAlign w:val="bottom"/>
          </w:tcPr>
          <w:p>
            <w:pPr>
              <w:spacing w:after="0"/>
              <w:rPr>
                <w:sz w:val="20"/>
                <w:szCs w:val="20"/>
                <w:color w:val="auto"/>
              </w:rPr>
            </w:pPr>
          </w:p>
        </w:tc>
      </w:tr>
      <w:tr>
        <w:trPr>
          <w:trHeight w:val="594"/>
        </w:trPr>
        <w:tc>
          <w:tcPr>
            <w:tcW w:w="24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100 Erie Insurance Place,</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Erie,</w:t>
            </w: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16530</w:t>
            </w:r>
          </w:p>
        </w:tc>
        <w:tc>
          <w:tcPr>
            <w:tcW w:w="520" w:type="dxa"/>
            <w:vAlign w:val="bottom"/>
            <w:tcBorders>
              <w:bottom w:val="single" w:sz="8" w:color="auto"/>
            </w:tcBorders>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40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(Zip Code)</w:t>
            </w:r>
          </w:p>
        </w:tc>
        <w:tc>
          <w:tcPr>
            <w:tcW w:w="520" w:type="dxa"/>
            <w:vAlign w:val="bottom"/>
          </w:tcPr>
          <w:p>
            <w:pPr>
              <w:spacing w:after="0"/>
              <w:rPr>
                <w:sz w:val="19"/>
                <w:szCs w:val="19"/>
                <w:color w:val="auto"/>
              </w:rPr>
            </w:pPr>
          </w:p>
        </w:tc>
      </w:tr>
      <w:tr>
        <w:trPr>
          <w:trHeight w:val="576"/>
        </w:trPr>
        <w:tc>
          <w:tcPr>
            <w:tcW w:w="540" w:type="dxa"/>
            <w:vAlign w:val="bottom"/>
          </w:tcPr>
          <w:p>
            <w:pPr>
              <w:spacing w:after="0"/>
              <w:rPr>
                <w:sz w:val="24"/>
                <w:szCs w:val="24"/>
                <w:color w:val="auto"/>
              </w:rPr>
            </w:pPr>
          </w:p>
        </w:tc>
        <w:tc>
          <w:tcPr>
            <w:tcW w:w="5500" w:type="dxa"/>
            <w:vAlign w:val="bottom"/>
            <w:gridSpan w:val="8"/>
          </w:tcPr>
          <w:p>
            <w:pPr>
              <w:ind w:left="7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86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814 870-2000</w:t>
            </w:r>
          </w:p>
        </w:tc>
        <w:tc>
          <w:tcPr>
            <w:tcW w:w="520" w:type="dxa"/>
            <w:vAlign w:val="bottom"/>
          </w:tcPr>
          <w:p>
            <w:pPr>
              <w:spacing w:after="0"/>
              <w:rPr>
                <w:sz w:val="24"/>
                <w:szCs w:val="24"/>
                <w:color w:val="auto"/>
              </w:rPr>
            </w:pPr>
          </w:p>
        </w:tc>
      </w:tr>
    </w:tbl>
    <w:p>
      <w:pPr>
        <w:spacing w:after="0" w:line="36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1205230</wp:posOffset>
            </wp:positionH>
            <wp:positionV relativeFrom="paragraph">
              <wp:posOffset>17145</wp:posOffset>
            </wp:positionV>
            <wp:extent cx="4826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 common stock, stated value $0.0292 per share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ERIE</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28"/>
        </w:trPr>
        <w:tc>
          <w:tcPr>
            <w:tcW w:w="502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(Title of each class)</w:t>
            </w:r>
          </w:p>
        </w:tc>
        <w:tc>
          <w:tcPr>
            <w:tcW w:w="10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bl>
    <w:p>
      <w:pPr>
        <w:spacing w:after="0" w:line="314"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April 23, 2026, Erie Indemnity Company (the “Company”) issued a press release announcing financial results for the quarter ended March 31, 2026. Copies of the press release and financial information are attached hereto and are incorporated herein by reference as Exhibit 99.1 and Exhibit 99.2, respectively.</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April 24, 2026 at 10:00 a.m. the Company will provide a pre-recorded Webcast that is complementary to the press release announcing financial results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101st Annual Meeting of Shareholders (the “Annual Meeting”) on April 21, 2026. On the record date for the Annual Meeting,</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2,542 shares of Class B common stock outstanding, which had the exclusive right to vote on all matters presented for consideration at the meeting.</w:t>
      </w:r>
    </w:p>
    <w:p>
      <w:pPr>
        <w:spacing w:after="0" w:line="208" w:lineRule="exact"/>
        <w:rPr>
          <w:rFonts w:ascii="Times New Roman" w:cs="Times New Roman" w:eastAsia="Times New Roman" w:hAnsi="Times New Roman"/>
          <w:sz w:val="18"/>
          <w:szCs w:val="18"/>
          <w:color w:val="auto"/>
        </w:rPr>
      </w:pPr>
    </w:p>
    <w:p>
      <w:pPr>
        <w:jc w:val="both"/>
        <w:ind w:right="180"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shareholders of the Company re-elected the 10 incumbent directors and one new director to serve on the Company's Board of Directors for a one-year term. The names of the elected directors and voting results appear below. None of the shareholders who voted for the election of Directors withheld authority or abstained.</w:t>
      </w:r>
    </w:p>
    <w:p>
      <w:pPr>
        <w:spacing w:after="0" w:line="200" w:lineRule="exact"/>
        <w:rPr>
          <w:sz w:val="20"/>
          <w:szCs w:val="20"/>
          <w:color w:val="auto"/>
        </w:rPr>
      </w:pPr>
    </w:p>
    <w:p>
      <w:pPr>
        <w:spacing w:after="0" w:line="286"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 Ralph Borneman, Jr.</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Eugene C. Connell</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Salvatore Correnti</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LuAnn Datesh</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William D. Edwards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Jonathan Hirt Hagen</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Thomas B. Hagen</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 Scott Hartz</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Brian A. Hudson, Sr.</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Thomas W. Palmer</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Elizabeth Hirt Vorsheck</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2,542</w:t>
            </w:r>
          </w:p>
        </w:tc>
      </w:tr>
    </w:tbl>
    <w:p>
      <w:pPr>
        <w:spacing w:after="0" w:line="200" w:lineRule="exact"/>
        <w:rPr>
          <w:sz w:val="20"/>
          <w:szCs w:val="20"/>
          <w:color w:val="auto"/>
        </w:rPr>
      </w:pPr>
    </w:p>
    <w:p>
      <w:pPr>
        <w:spacing w:after="0" w:line="362" w:lineRule="exact"/>
        <w:rPr>
          <w:sz w:val="20"/>
          <w:szCs w:val="20"/>
          <w:color w:val="auto"/>
        </w:rPr>
      </w:pPr>
    </w:p>
    <w:p>
      <w:pPr>
        <w:ind w:firstLine="8"/>
        <w:spacing w:after="0" w:line="266"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provisions of the Dodd-Frank Wall Street Reform and Consumer Protection Act of 2010, shareholders were asked to approve, on an advisory basis, the compensation of the Company's named executive officers as disclosed in the Company's 2026 Information Statement. The compensation of the named executive officers was unanimously approved by the 2,542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200" w:firstLine="8"/>
        <w:spacing w:after="0" w:line="282"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meeting on April 21, 2026, the Company's Board of Directors approved the following quarterly dividend on shares of Erie Indemnity Company Class A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Number: 384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Rate Per Share: $1.4625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Declaration Date: April 21,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Ex-Dividend Date: July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July 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Date: July 21, 2026</w:t>
      </w:r>
    </w:p>
    <w:p>
      <w:pPr>
        <w:spacing w:after="0" w:line="234" w:lineRule="exact"/>
        <w:rPr>
          <w:sz w:val="20"/>
          <w:szCs w:val="20"/>
          <w:color w:val="auto"/>
        </w:rPr>
      </w:pPr>
    </w:p>
    <w:p>
      <w:pPr>
        <w:ind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his re-election to the Board, Jonathan Hirt Hagen was elected Chairman of the Board. Thomas B. Hagen, also re-elected to the Board, will serve as Chairman Emeritus. Thomas B. Hagen previously served as Chairman since 2007.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Press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99.2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1630680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1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36"/>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Press Release</w:t>
            </w:r>
          </w:p>
        </w:tc>
        <w:tc>
          <w:tcPr>
            <w:tcW w:w="8740" w:type="dxa"/>
            <w:vAlign w:val="bottom"/>
            <w:gridSpan w:val="3"/>
          </w:tcPr>
          <w:p>
            <w:pPr>
              <w:spacing w:after="0"/>
              <w:rPr>
                <w:sz w:val="24"/>
                <w:szCs w:val="24"/>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Financial Information</w:t>
            </w:r>
          </w:p>
        </w:tc>
      </w:tr>
      <w:tr>
        <w:trPr>
          <w:trHeight w:val="20"/>
        </w:trPr>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Erie Indemnity Company</w:t>
      </w:r>
    </w:p>
    <w:p>
      <w:pPr>
        <w:spacing w:after="0" w:line="250" w:lineRule="exact"/>
        <w:rPr>
          <w:sz w:val="20"/>
          <w:szCs w:val="20"/>
          <w:color w:val="auto"/>
        </w:rPr>
      </w:pPr>
    </w:p>
    <w:p>
      <w:pPr>
        <w:ind w:left="20"/>
        <w:spacing w:after="0"/>
        <w:tabs>
          <w:tab w:leader="none" w:pos="5780" w:val="left"/>
          <w:tab w:leader="none" w:pos="6620" w:val="left"/>
        </w:tabs>
        <w:rPr>
          <w:sz w:val="20"/>
          <w:szCs w:val="20"/>
          <w:color w:val="auto"/>
        </w:rPr>
      </w:pPr>
      <w:r>
        <w:rPr>
          <w:rFonts w:ascii="Times New Roman" w:cs="Times New Roman" w:eastAsia="Times New Roman" w:hAnsi="Times New Roman"/>
          <w:sz w:val="18"/>
          <w:szCs w:val="18"/>
          <w:i w:val="1"/>
          <w:iCs w:val="1"/>
          <w:color w:val="auto"/>
        </w:rPr>
        <w:t>April 23,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18415</wp:posOffset>
            </wp:positionV>
            <wp:extent cx="2914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Name: Julie M. Pelkowski</w:t>
      </w:r>
    </w:p>
    <w:p>
      <w:pPr>
        <w:spacing w:after="0" w:line="2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Title: Executive Vice President &amp; CFO</w:t>
      </w:r>
    </w:p>
    <w:p>
      <w:pPr>
        <w:sectPr>
          <w:pgSz w:w="11900" w:h="16838" w:orient="portrait"/>
          <w:cols w:equalWidth="0" w:num="1">
            <w:col w:w="11200"/>
          </w:cols>
          <w:pgMar w:left="320" w:top="118" w:right="37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294005</wp:posOffset>
            </wp:positionV>
            <wp:extent cx="5297805" cy="891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780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Erie Indemnity Reports First Quarter 2026 Results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i w:val="1"/>
          <w:iCs w:val="1"/>
          <w:color w:val="auto"/>
        </w:rPr>
        <w:t>Net Income was $150.5 million, Earnings per Diluted Share was $2.88</w:t>
      </w:r>
    </w:p>
    <w:p>
      <w:pPr>
        <w:spacing w:after="0" w:line="365" w:lineRule="exact"/>
        <w:rPr>
          <w:sz w:val="20"/>
          <w:szCs w:val="20"/>
          <w:color w:val="auto"/>
        </w:rPr>
      </w:pPr>
    </w:p>
    <w:p>
      <w:pPr>
        <w:ind w:right="4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Erie, Pa., April 23, 2026 </w:t>
      </w:r>
      <w:r>
        <w:rPr>
          <w:rFonts w:ascii="Times New Roman" w:cs="Times New Roman" w:eastAsia="Times New Roman" w:hAnsi="Times New Roman"/>
          <w:sz w:val="18"/>
          <w:szCs w:val="18"/>
          <w:color w:val="auto"/>
        </w:rPr>
        <w:t>- Erie Indemnity Company (NASDAQ: ERIE) today announced financial results for the quarter ending March 31, 2026.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was $150.5 million, or $2.88 per diluted share, in the first quarter of 2026, compared to $138.4 million, or $2.65 per diluted share,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40575" cy="1329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329055"/>
                    </a:xfrm>
                    <a:prstGeom prst="rect">
                      <a:avLst/>
                    </a:prstGeom>
                    <a:noFill/>
                  </pic:spPr>
                </pic:pic>
              </a:graphicData>
            </a:graphic>
          </wp:anchor>
        </w:drawing>
      </w:r>
    </w:p>
    <w:p>
      <w:pPr>
        <w:spacing w:after="0" w:line="17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1Q 2026</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1Q'26</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1Q'25</w:t>
            </w:r>
          </w:p>
        </w:tc>
      </w:tr>
      <w:tr>
        <w:trPr>
          <w:trHeight w:val="218"/>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166,787</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151,376</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36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19,536</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3,834</w:t>
            </w:r>
          </w:p>
        </w:tc>
      </w:tr>
      <w:tr>
        <w:trPr>
          <w:trHeight w:val="218"/>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190,326</w:t>
            </w:r>
          </w:p>
        </w:tc>
        <w:tc>
          <w:tcPr>
            <w:tcW w:w="36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174,746</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39,852</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36,329</w:t>
            </w:r>
          </w:p>
        </w:tc>
      </w:tr>
      <w:tr>
        <w:trPr>
          <w:trHeight w:val="250"/>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150,474</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405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1Q 2026 Highlights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before taxes increased $15.4 million, or 10.2 percent, in the first quarter of 2026 compared to the first quarter of 2025.</w:t>
      </w:r>
    </w:p>
    <w:p>
      <w:pPr>
        <w:spacing w:after="0" w:line="104" w:lineRule="exact"/>
        <w:rPr>
          <w:sz w:val="20"/>
          <w:szCs w:val="20"/>
          <w:color w:val="auto"/>
        </w:rPr>
      </w:pPr>
    </w:p>
    <w:p>
      <w:pPr>
        <w:ind w:left="660" w:right="240" w:hanging="328"/>
        <w:spacing w:after="0" w:line="3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 revenue - policy issuance and renewal services increased $31.4 million, or 4.2 percent, in the first quarter of 2026 compared to the first quarter of 2025.</w:t>
      </w:r>
    </w:p>
    <w:p>
      <w:pPr>
        <w:ind w:left="660" w:right="80" w:hanging="328"/>
        <w:spacing w:after="0" w:line="3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 revenue - administrative services increased $1.8 million, or 10.4 percent, in the first quarter of 2026 compared to the first quarter of 2025.</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operations - policy issuance and renewal services</w:t>
      </w:r>
    </w:p>
    <w:p>
      <w:pPr>
        <w:spacing w:after="0" w:line="119" w:lineRule="exact"/>
        <w:rPr>
          <w:rFonts w:ascii="Times New Roman" w:cs="Times New Roman" w:eastAsia="Times New Roman" w:hAnsi="Times New Roman"/>
          <w:sz w:val="18"/>
          <w:szCs w:val="18"/>
          <w:color w:val="auto"/>
        </w:rPr>
      </w:pPr>
    </w:p>
    <w:p>
      <w:pPr>
        <w:ind w:left="1300" w:right="40" w:hanging="320"/>
        <w:spacing w:after="0" w:line="354" w:lineRule="auto"/>
        <w:tabs>
          <w:tab w:leader="none" w:pos="1276" w:val="left"/>
        </w:tabs>
        <w:numPr>
          <w:ilvl w:val="1"/>
          <w:numId w:val="6"/>
        </w:numPr>
        <w:rPr>
          <w:rFonts w:ascii="Arial" w:cs="Arial" w:eastAsia="Arial" w:hAnsi="Arial"/>
          <w:sz w:val="20"/>
          <w:szCs w:val="20"/>
          <w:i w:val="1"/>
          <w:iCs w:val="1"/>
          <w:color w:val="auto"/>
        </w:rPr>
      </w:pPr>
      <w:r>
        <w:rPr>
          <w:rFonts w:ascii="Times New Roman" w:cs="Times New Roman" w:eastAsia="Times New Roman" w:hAnsi="Times New Roman"/>
          <w:sz w:val="18"/>
          <w:szCs w:val="18"/>
          <w:color w:val="auto"/>
        </w:rPr>
        <w:t>Commissions increased $28.0 million in the first quarter of 2026, compared to the same period in 2025, primarily driven by an increase in agent incentive compensation and the growth in direct and affiliated assumed written premium.</w:t>
      </w:r>
    </w:p>
    <w:p>
      <w:pPr>
        <w:spacing w:after="0" w:line="16" w:lineRule="exact"/>
        <w:rPr>
          <w:rFonts w:ascii="Arial" w:cs="Arial" w:eastAsia="Arial" w:hAnsi="Arial"/>
          <w:sz w:val="20"/>
          <w:szCs w:val="20"/>
          <w:i w:val="1"/>
          <w:iCs w:val="1"/>
          <w:color w:val="auto"/>
        </w:rPr>
      </w:pPr>
    </w:p>
    <w:p>
      <w:pPr>
        <w:ind w:left="1300" w:right="120" w:hanging="320"/>
        <w:spacing w:after="0" w:line="363" w:lineRule="auto"/>
        <w:tabs>
          <w:tab w:leader="none" w:pos="1276" w:val="left"/>
        </w:tabs>
        <w:numPr>
          <w:ilvl w:val="1"/>
          <w:numId w:val="6"/>
        </w:numPr>
        <w:rPr>
          <w:rFonts w:ascii="Arial" w:cs="Arial" w:eastAsia="Arial" w:hAnsi="Arial"/>
          <w:sz w:val="20"/>
          <w:szCs w:val="20"/>
          <w:i w:val="1"/>
          <w:iCs w:val="1"/>
          <w:color w:val="auto"/>
        </w:rPr>
      </w:pPr>
      <w:r>
        <w:rPr>
          <w:rFonts w:ascii="Times New Roman" w:cs="Times New Roman" w:eastAsia="Times New Roman" w:hAnsi="Times New Roman"/>
          <w:sz w:val="18"/>
          <w:szCs w:val="18"/>
          <w:color w:val="auto"/>
        </w:rPr>
        <w:t>Non-commission expense decreased $10.7 million in the first quarter of 2026 compared to the first quarter of 2025. Personnel costs increased $2.1 million, primarily driven by higher pension costs and increased compensation. Sales and advertising decreased $2.0 million primarily due to a decrease in advertising costs and community development initiative costs. Acquisition and underwriting support costs decreased $1.9 million primarily due to lower underwriting report costs. Professional fees decreased $7.0 million primarily due to reduced use of third-party services related to technology initiatives. Administrative and other costs decreased $1.6 million primarily due to lower charitable contributions related to the transition of charitable giving through the Erie Insurance Foundation, partially offset by an increase in credit card processing fees.</w:t>
      </w:r>
    </w:p>
    <w:p>
      <w:pPr>
        <w:spacing w:after="0" w:line="217" w:lineRule="exact"/>
        <w:rPr>
          <w:sz w:val="20"/>
          <w:szCs w:val="20"/>
          <w:color w:val="auto"/>
        </w:rPr>
      </w:pPr>
    </w:p>
    <w:p>
      <w:pPr>
        <w:ind w:right="180"/>
        <w:spacing w:after="0" w:line="363" w:lineRule="auto"/>
        <w:rPr>
          <w:sz w:val="20"/>
          <w:szCs w:val="20"/>
          <w:color w:val="auto"/>
        </w:rPr>
      </w:pPr>
      <w:r>
        <w:rPr>
          <w:rFonts w:ascii="Times New Roman" w:cs="Times New Roman" w:eastAsia="Times New Roman" w:hAnsi="Times New Roman"/>
          <w:sz w:val="18"/>
          <w:szCs w:val="18"/>
          <w:color w:val="auto"/>
        </w:rPr>
        <w:t>Income from investments before taxes totaled $22.1 million in the first quarter of 2026 compared to $19.5 million in the first quarter of 2025. Net investment income was $23.6 million in the first quarter of 2026 compared to $19.9 million in the first quarter of 2025. Net realized and unrealized losses were $0.8 million in the first quarter of 2026 compared to gains of $0.5 million in the first quarter of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108" w:lineRule="exact"/>
        <w:rPr>
          <w:sz w:val="20"/>
          <w:szCs w:val="20"/>
          <w:color w:val="auto"/>
        </w:rPr>
      </w:pPr>
    </w:p>
    <w:p>
      <w:pPr>
        <w:ind w:right="380"/>
        <w:spacing w:after="0" w:line="391" w:lineRule="auto"/>
        <w:rPr>
          <w:sz w:val="20"/>
          <w:szCs w:val="20"/>
          <w:color w:val="auto"/>
        </w:rPr>
      </w:pPr>
      <w:r>
        <w:rPr>
          <w:rFonts w:ascii="Times New Roman" w:cs="Times New Roman" w:eastAsia="Times New Roman" w:hAnsi="Times New Roman"/>
          <w:sz w:val="18"/>
          <w:szCs w:val="18"/>
          <w:color w:val="auto"/>
        </w:rPr>
        <w:t>Indemnity has scheduled a pre-recorded audio broadcast on the Web for 10:00 AM ET on April 24, 2026. Investors may access the pre-recorded audio broadcast by logging on to www.erieinsurance.com.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Erie Insurance Group</w:t>
      </w:r>
    </w:p>
    <w:p>
      <w:pPr>
        <w:spacing w:after="0" w:line="108" w:lineRule="exact"/>
        <w:rPr>
          <w:sz w:val="20"/>
          <w:szCs w:val="20"/>
          <w:color w:val="auto"/>
        </w:rPr>
      </w:pPr>
    </w:p>
    <w:p>
      <w:pPr>
        <w:ind w:right="20"/>
        <w:spacing w:after="0" w:line="323" w:lineRule="auto"/>
        <w:rPr>
          <w:sz w:val="20"/>
          <w:szCs w:val="20"/>
          <w:color w:val="auto"/>
        </w:rPr>
      </w:pPr>
      <w:r>
        <w:rPr>
          <w:rFonts w:ascii="Times New Roman" w:cs="Times New Roman" w:eastAsia="Times New Roman" w:hAnsi="Times New Roman"/>
          <w:sz w:val="18"/>
          <w:szCs w:val="18"/>
          <w:color w:val="auto"/>
        </w:rPr>
        <w:t>Erie Insurance Group, based in Erie, Pennsylvania, is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largest homeowners insurer,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largest automobile insurer and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largest commercial lines insurer in the United States based on direct premiums written, according to AM Best Company. Founded in 1925, Erie Insurance is a Fortune 500 company and the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largest property/casualty insurer in the United States based on net premiums written. Rated A (Excellent) by AM Best, ERIE has nearly seven million policies in force and operates in 12 states and the District of Columbia.</w:t>
      </w:r>
    </w:p>
    <w:p>
      <w:pPr>
        <w:sectPr>
          <w:pgSz w:w="11900" w:h="16838" w:orient="portrait"/>
          <w:cols w:equalWidth="0" w:num="1">
            <w:col w:w="11260"/>
          </w:cols>
          <w:pgMar w:left="320" w:top="117" w:right="31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News releases and more information are available on ERIE's website at www.erieinsurance.com.</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 Harbor" Statement under the Private Securities Litigation Reform Act of 1995:</w:t>
      </w:r>
    </w:p>
    <w:p>
      <w:pPr>
        <w:spacing w:after="0" w:line="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 w:lineRule="exact"/>
        <w:rPr>
          <w:sz w:val="20"/>
          <w:szCs w:val="20"/>
          <w:color w:val="auto"/>
        </w:rPr>
      </w:pPr>
    </w:p>
    <w:p>
      <w:pPr>
        <w:ind w:left="660" w:right="540" w:hanging="328"/>
        <w:spacing w:after="0" w:line="248"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upon our relationship with the Erie Insurance Exchange ("Exchange") and the management fee under the agreement with the subscribers at the Exchange;</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upon our relationship with the Exchange and the growth of the Exchange, including:</w:t>
      </w:r>
    </w:p>
    <w:p>
      <w:pPr>
        <w:spacing w:after="0" w:line="15"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business and economic conditions;</w:t>
      </w:r>
    </w:p>
    <w:p>
      <w:pPr>
        <w:spacing w:after="0" w:line="8"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impacting the timing of premium rates charged for policies;</w:t>
      </w:r>
    </w:p>
    <w:p>
      <w:pPr>
        <w:spacing w:after="0" w:line="15"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affecting insurance industry competition, including technological innovations;</w:t>
      </w:r>
    </w:p>
    <w:p>
      <w:pPr>
        <w:spacing w:after="0" w:line="5"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upon the independent agency system; and</w:t>
      </w:r>
    </w:p>
    <w:p>
      <w:pPr>
        <w:spacing w:after="0" w:line="8"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maintain our brand, including our reputation for customer service;</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upon our relationship with the Exchange and the financial condition of the Exchange, including:</w:t>
      </w:r>
    </w:p>
    <w:p>
      <w:pPr>
        <w:spacing w:after="0" w:line="8"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Exchange's ability to maintain acceptable financial strength ratings;</w:t>
      </w:r>
    </w:p>
    <w:p>
      <w:pPr>
        <w:spacing w:after="0" w:line="15"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affecting the quality and liquidity of the Exchange's investment portfolio;</w:t>
      </w:r>
    </w:p>
    <w:p>
      <w:pPr>
        <w:spacing w:after="0" w:line="5"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 regulation of the insurance industry;</w:t>
      </w:r>
    </w:p>
    <w:p>
      <w:pPr>
        <w:spacing w:after="0" w:line="8"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and regulatory actions;</w:t>
      </w:r>
    </w:p>
    <w:p>
      <w:pPr>
        <w:spacing w:after="0" w:line="15"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emergence of significant unexpected events, including pandemics, economic or social inflation, and changes in tariff policies;</w:t>
      </w:r>
    </w:p>
    <w:p>
      <w:pPr>
        <w:spacing w:after="0" w:line="8"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claims and coverage issues in the industry; and</w:t>
      </w:r>
    </w:p>
    <w:p>
      <w:pPr>
        <w:spacing w:after="0" w:line="15" w:lineRule="exact"/>
        <w:rPr>
          <w:rFonts w:ascii="Times New Roman" w:cs="Times New Roman" w:eastAsia="Times New Roman" w:hAnsi="Times New Roman"/>
          <w:sz w:val="16"/>
          <w:szCs w:val="16"/>
          <w:color w:val="auto"/>
        </w:rPr>
      </w:pPr>
    </w:p>
    <w:p>
      <w:pPr>
        <w:ind w:left="1300" w:hanging="320"/>
        <w:spacing w:after="0"/>
        <w:tabs>
          <w:tab w:leader="none" w:pos="13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severe weather conditions or other catastrophic losses, including terrorism;</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providing policy issuance and renewal services to the subscribers at the Exchange under the subscriber's agreement;</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attract, develop, retain, and protect talented management and employees;</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418" w:right="339" w:bottom="1440" w:gutter="0" w:footer="0" w:header="0"/>
        </w:sectPr>
      </w:pPr>
    </w:p>
    <w:bookmarkStart w:id="7" w:name="page8"/>
    <w:bookmarkEnd w:id="7"/>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ensure system availability and effectively manage technology initiatives;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with technology, data or network security breaches, including cyber attacks;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maintain uninterrupted business operations;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complex and evolving laws and regulations and outcome of pending and potential litigation;</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affecting the quality and liquidity of our investment portfolio; 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meet liquidity needs and access capital.</w:t>
      </w:r>
    </w:p>
    <w:p>
      <w:pPr>
        <w:spacing w:after="0" w:line="230"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774" w:right="339" w:bottom="1440" w:gutter="0" w:footer="0" w:header="0"/>
        </w:sectPr>
      </w:pPr>
    </w:p>
    <w:bookmarkStart w:id="8" w:name="page9"/>
    <w:bookmarkEnd w:id="8"/>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Service agreement revenue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operating revenue</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Cost of operations - administrative services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impairment losses recognized in earnings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Total investment income</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A common stock – basic</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Class A common stock – diluted</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B common stock – basic and diluted</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B common stock</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B common stock</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Class B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r>
      <w:tr>
        <w:trPr>
          <w:trHeight w:val="228"/>
        </w:trPr>
        <w:tc>
          <w:tcPr>
            <w:tcW w:w="28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19"/>
                <w:szCs w:val="19"/>
                <w:color w:val="auto"/>
              </w:rPr>
            </w:pPr>
          </w:p>
        </w:tc>
      </w:tr>
      <w:tr>
        <w:trPr>
          <w:trHeight w:val="449"/>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786,399</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755,049</w:t>
            </w:r>
          </w:p>
        </w:tc>
      </w:tr>
      <w:tr>
        <w:trPr>
          <w:trHeight w:val="229"/>
        </w:trPr>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29"/>
        </w:trPr>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200,096</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210,273</w:t>
            </w:r>
          </w:p>
        </w:tc>
      </w:tr>
      <w:tr>
        <w:trPr>
          <w:trHeight w:val="234"/>
        </w:trPr>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r>
      <w:tr>
        <w:trPr>
          <w:trHeight w:val="223"/>
        </w:trPr>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1,011,911</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989,399</w:t>
            </w:r>
          </w:p>
        </w:tc>
      </w:tr>
      <w:tr>
        <w:trPr>
          <w:trHeight w:val="488"/>
        </w:trPr>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645,028</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627,750</w:t>
            </w:r>
          </w:p>
        </w:tc>
      </w:tr>
      <w:tr>
        <w:trPr>
          <w:trHeight w:val="234"/>
        </w:trPr>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200,096</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210,273</w:t>
            </w:r>
          </w:p>
        </w:tc>
      </w:tr>
      <w:tr>
        <w:trPr>
          <w:trHeight w:val="223"/>
        </w:trPr>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845,124</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838,023</w:t>
            </w:r>
          </w:p>
        </w:tc>
      </w:tr>
      <w:tr>
        <w:trPr>
          <w:trHeight w:val="228"/>
        </w:trPr>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166,787</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151,376</w:t>
            </w:r>
          </w:p>
        </w:tc>
      </w:tr>
    </w:tbl>
    <w:p>
      <w:pPr>
        <w:spacing w:after="0" w:line="274" w:lineRule="exact"/>
        <w:rPr>
          <w:sz w:val="20"/>
          <w:szCs w:val="20"/>
          <w:color w:val="auto"/>
        </w:rPr>
      </w:pPr>
    </w:p>
    <w:p>
      <w:pPr>
        <w:ind w:left="720"/>
        <w:spacing w:after="0"/>
        <w:tabs>
          <w:tab w:leader="none" w:pos="2080" w:val="left"/>
        </w:tabs>
        <w:rPr>
          <w:sz w:val="20"/>
          <w:szCs w:val="20"/>
          <w:color w:val="auto"/>
        </w:rPr>
      </w:pPr>
      <w:r>
        <w:rPr>
          <w:rFonts w:ascii="Times New Roman" w:cs="Times New Roman" w:eastAsia="Times New Roman" w:hAnsi="Times New Roman"/>
          <w:sz w:val="18"/>
          <w:szCs w:val="18"/>
          <w:color w:val="auto"/>
        </w:rPr>
        <w:t>23,560</w:t>
      </w:r>
      <w:r>
        <w:rPr>
          <w:sz w:val="20"/>
          <w:szCs w:val="20"/>
          <w:color w:val="auto"/>
        </w:rPr>
        <w:tab/>
      </w:r>
      <w:r>
        <w:rPr>
          <w:rFonts w:ascii="Times New Roman" w:cs="Times New Roman" w:eastAsia="Times New Roman" w:hAnsi="Times New Roman"/>
          <w:sz w:val="18"/>
          <w:szCs w:val="18"/>
          <w:color w:val="auto"/>
        </w:rPr>
        <w:t>19,948</w:t>
      </w:r>
    </w:p>
    <w:p>
      <w:pPr>
        <w:spacing w:after="0" w:line="27" w:lineRule="exact"/>
        <w:rPr>
          <w:sz w:val="20"/>
          <w:szCs w:val="20"/>
          <w:color w:val="auto"/>
        </w:rPr>
      </w:pPr>
    </w:p>
    <w:p>
      <w:pPr>
        <w:ind w:left="2320" w:hanging="1454"/>
        <w:spacing w:after="0"/>
        <w:tabs>
          <w:tab w:leader="none" w:pos="2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w:t>
      </w:r>
    </w:p>
    <w:p>
      <w:pPr>
        <w:spacing w:after="0" w:line="23" w:lineRule="exact"/>
        <w:rPr>
          <w:sz w:val="20"/>
          <w:szCs w:val="20"/>
          <w:color w:val="auto"/>
        </w:rPr>
      </w:pPr>
    </w:p>
    <w:p>
      <w:pPr>
        <w:ind w:left="2240" w:hanging="1374"/>
        <w:spacing w:after="0"/>
        <w:tabs>
          <w:tab w:leader="none" w:pos="2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w:t>
      </w:r>
    </w:p>
    <w:p>
      <w:pPr>
        <w:spacing w:after="0" w:line="3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22,119</w:t>
      </w:r>
      <w:r>
        <w:rPr>
          <w:rFonts w:ascii="Times New Roman" w:cs="Times New Roman" w:eastAsia="Times New Roman" w:hAnsi="Times New Roman"/>
          <w:sz w:val="17"/>
          <w:szCs w:val="17"/>
          <w:color w:val="auto"/>
        </w:rPr>
        <w:t>19,536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688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1688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18"/>
        </w:trPr>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190,326</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174,746</w:t>
            </w:r>
          </w:p>
        </w:tc>
      </w:tr>
      <w:tr>
        <w:trPr>
          <w:trHeight w:val="234"/>
        </w:trPr>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39,852</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36,329</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150,474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138,417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0"/>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485</w:t>
            </w:r>
          </w:p>
        </w:tc>
        <w:tc>
          <w:tcPr>
            <w:tcW w:w="34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3"/>
        </w:trPr>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46,188,850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46,188,903</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0"/>
        </w:trPr>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52,300,180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52,304,384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0"/>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219.375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204.75</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860" w:space="720"/>
            <w:col w:w="266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31,</w:t>
            </w:r>
          </w:p>
        </w:tc>
        <w:tc>
          <w:tcPr>
            <w:tcW w:w="20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9"/>
        </w:trPr>
        <w:tc>
          <w:tcPr>
            <w:tcW w:w="8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2"/>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(includes restricted cash of $39,549 and $30,189,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345,874</w:t>
            </w:r>
          </w:p>
        </w:tc>
        <w:tc>
          <w:tcPr>
            <w:tcW w:w="0" w:type="dxa"/>
            <w:vAlign w:val="bottom"/>
          </w:tcPr>
          <w:p>
            <w:pPr>
              <w:spacing w:after="0"/>
              <w:rPr>
                <w:sz w:val="1"/>
                <w:szCs w:val="1"/>
                <w:color w:val="auto"/>
              </w:rPr>
            </w:pPr>
          </w:p>
        </w:tc>
      </w:tr>
      <w:tr>
        <w:trPr>
          <w:trHeight w:val="229"/>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0" w:type="dxa"/>
            <w:vAlign w:val="bottom"/>
          </w:tcPr>
          <w:p>
            <w:pPr>
              <w:spacing w:after="0"/>
              <w:rPr>
                <w:sz w:val="1"/>
                <w:szCs w:val="1"/>
                <w:color w:val="auto"/>
              </w:rPr>
            </w:pPr>
          </w:p>
        </w:tc>
      </w:tr>
      <w:tr>
        <w:trPr>
          <w:trHeight w:val="230"/>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lent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29"/>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from Erie Insurance Exchange and affiliates,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743,236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735,589</w:t>
            </w:r>
          </w:p>
        </w:tc>
        <w:tc>
          <w:tcPr>
            <w:tcW w:w="0" w:type="dxa"/>
            <w:vAlign w:val="bottom"/>
          </w:tcPr>
          <w:p>
            <w:pPr>
              <w:spacing w:after="0"/>
              <w:rPr>
                <w:sz w:val="1"/>
                <w:szCs w:val="1"/>
                <w:color w:val="auto"/>
              </w:rPr>
            </w:pPr>
          </w:p>
        </w:tc>
      </w:tr>
      <w:tr>
        <w:trPr>
          <w:trHeight w:val="230"/>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66,061</w:t>
            </w:r>
          </w:p>
        </w:tc>
        <w:tc>
          <w:tcPr>
            <w:tcW w:w="0" w:type="dxa"/>
            <w:vAlign w:val="bottom"/>
          </w:tcPr>
          <w:p>
            <w:pPr>
              <w:spacing w:after="0"/>
              <w:rPr>
                <w:sz w:val="1"/>
                <w:szCs w:val="1"/>
                <w:color w:val="auto"/>
              </w:rPr>
            </w:pPr>
          </w:p>
        </w:tc>
      </w:tr>
      <w:tr>
        <w:trPr>
          <w:trHeight w:val="234"/>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0" w:type="dxa"/>
            <w:vAlign w:val="bottom"/>
          </w:tcPr>
          <w:p>
            <w:pPr>
              <w:spacing w:after="0"/>
              <w:rPr>
                <w:sz w:val="1"/>
                <w:szCs w:val="1"/>
                <w:color w:val="auto"/>
              </w:rPr>
            </w:pPr>
          </w:p>
        </w:tc>
      </w:tr>
      <w:tr>
        <w:trPr>
          <w:trHeight w:val="228"/>
        </w:trPr>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1,160,899</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1,199,173</w:t>
            </w:r>
          </w:p>
        </w:tc>
        <w:tc>
          <w:tcPr>
            <w:tcW w:w="0" w:type="dxa"/>
            <w:vAlign w:val="bottom"/>
          </w:tcPr>
          <w:p>
            <w:pPr>
              <w:spacing w:after="0"/>
              <w:rPr>
                <w:sz w:val="1"/>
                <w:szCs w:val="1"/>
                <w:color w:val="auto"/>
              </w:rPr>
            </w:pPr>
          </w:p>
        </w:tc>
      </w:tr>
      <w:tr>
        <w:trPr>
          <w:trHeight w:val="43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1,296,154</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1,286,566</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67,889</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70,624</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and equity securities lent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61,063</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579,649</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571,476</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Agent loans,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93,953</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48,617</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0" w:type="dxa"/>
            <w:vAlign w:val="bottom"/>
          </w:tcPr>
          <w:p>
            <w:pPr>
              <w:spacing w:after="0"/>
              <w:rPr>
                <w:sz w:val="1"/>
                <w:szCs w:val="1"/>
                <w:color w:val="auto"/>
              </w:rPr>
            </w:pPr>
          </w:p>
        </w:tc>
      </w:tr>
      <w:tr>
        <w:trPr>
          <w:trHeight w:val="223"/>
        </w:trPr>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3,376,678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3,355,481</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8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425,320</w:t>
            </w:r>
          </w:p>
        </w:tc>
        <w:tc>
          <w:tcPr>
            <w:tcW w:w="0" w:type="dxa"/>
            <w:vAlign w:val="bottom"/>
          </w:tcPr>
          <w:p>
            <w:pPr>
              <w:spacing w:after="0"/>
              <w:rPr>
                <w:sz w:val="1"/>
                <w:szCs w:val="1"/>
                <w:color w:val="auto"/>
              </w:rPr>
            </w:pPr>
          </w:p>
        </w:tc>
      </w:tr>
      <w:tr>
        <w:trPr>
          <w:trHeight w:val="230"/>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 incentive compensation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132,560</w:t>
            </w:r>
          </w:p>
        </w:tc>
        <w:tc>
          <w:tcPr>
            <w:tcW w:w="0" w:type="dxa"/>
            <w:vAlign w:val="bottom"/>
          </w:tcPr>
          <w:p>
            <w:pPr>
              <w:spacing w:after="0"/>
              <w:rPr>
                <w:sz w:val="1"/>
                <w:szCs w:val="1"/>
                <w:color w:val="auto"/>
              </w:rPr>
            </w:pPr>
          </w:p>
        </w:tc>
      </w:tr>
      <w:tr>
        <w:trPr>
          <w:trHeight w:val="229"/>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200,701</w:t>
            </w:r>
          </w:p>
        </w:tc>
        <w:tc>
          <w:tcPr>
            <w:tcW w:w="0" w:type="dxa"/>
            <w:vAlign w:val="bottom"/>
          </w:tcPr>
          <w:p>
            <w:pPr>
              <w:spacing w:after="0"/>
              <w:rPr>
                <w:sz w:val="1"/>
                <w:szCs w:val="1"/>
                <w:color w:val="auto"/>
              </w:rPr>
            </w:pPr>
          </w:p>
        </w:tc>
      </w:tr>
      <w:tr>
        <w:trPr>
          <w:trHeight w:val="230"/>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68,109</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68,109</w:t>
            </w:r>
          </w:p>
        </w:tc>
        <w:tc>
          <w:tcPr>
            <w:tcW w:w="0" w:type="dxa"/>
            <w:vAlign w:val="bottom"/>
          </w:tcPr>
          <w:p>
            <w:pPr>
              <w:spacing w:after="0"/>
              <w:rPr>
                <w:sz w:val="1"/>
                <w:szCs w:val="1"/>
                <w:color w:val="auto"/>
              </w:rPr>
            </w:pPr>
          </w:p>
        </w:tc>
      </w:tr>
      <w:tr>
        <w:trPr>
          <w:trHeight w:val="230"/>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47,561</w:t>
            </w:r>
          </w:p>
        </w:tc>
        <w:tc>
          <w:tcPr>
            <w:tcW w:w="0" w:type="dxa"/>
            <w:vAlign w:val="bottom"/>
          </w:tcPr>
          <w:p>
            <w:pPr>
              <w:spacing w:after="0"/>
              <w:rPr>
                <w:sz w:val="1"/>
                <w:szCs w:val="1"/>
                <w:color w:val="auto"/>
              </w:rPr>
            </w:pPr>
          </w:p>
        </w:tc>
      </w:tr>
      <w:tr>
        <w:trPr>
          <w:trHeight w:val="230"/>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34"/>
        </w:trPr>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lending payable</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49,621</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61,936</w:t>
            </w:r>
          </w:p>
        </w:tc>
        <w:tc>
          <w:tcPr>
            <w:tcW w:w="0" w:type="dxa"/>
            <w:vAlign w:val="bottom"/>
          </w:tcPr>
          <w:p>
            <w:pPr>
              <w:spacing w:after="0"/>
              <w:rPr>
                <w:sz w:val="1"/>
                <w:szCs w:val="1"/>
                <w:color w:val="auto"/>
              </w:rPr>
            </w:pPr>
          </w:p>
        </w:tc>
      </w:tr>
      <w:tr>
        <w:trPr>
          <w:trHeight w:val="228"/>
        </w:trPr>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899,907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945,587</w:t>
            </w:r>
          </w:p>
        </w:tc>
        <w:tc>
          <w:tcPr>
            <w:tcW w:w="0" w:type="dxa"/>
            <w:vAlign w:val="bottom"/>
          </w:tcPr>
          <w:p>
            <w:pPr>
              <w:spacing w:after="0"/>
              <w:rPr>
                <w:sz w:val="1"/>
                <w:szCs w:val="1"/>
                <w:color w:val="auto"/>
              </w:rPr>
            </w:pPr>
          </w:p>
        </w:tc>
      </w:tr>
      <w:tr>
        <w:trPr>
          <w:trHeight w:val="422"/>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0" w:type="dxa"/>
            <w:vAlign w:val="bottom"/>
          </w:tcPr>
          <w:p>
            <w:pPr>
              <w:spacing w:after="0"/>
              <w:rPr>
                <w:sz w:val="1"/>
                <w:szCs w:val="1"/>
                <w:color w:val="auto"/>
              </w:rPr>
            </w:pPr>
          </w:p>
        </w:tc>
      </w:tr>
      <w:tr>
        <w:trPr>
          <w:trHeight w:val="223"/>
        </w:trPr>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1,023,157</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1,072,107</w:t>
            </w:r>
          </w:p>
        </w:tc>
        <w:tc>
          <w:tcPr>
            <w:tcW w:w="0" w:type="dxa"/>
            <w:vAlign w:val="bottom"/>
          </w:tcPr>
          <w:p>
            <w:pPr>
              <w:spacing w:after="0"/>
              <w:rPr>
                <w:sz w:val="1"/>
                <w:szCs w:val="1"/>
                <w:color w:val="auto"/>
              </w:rPr>
            </w:pPr>
          </w:p>
        </w:tc>
      </w:tr>
      <w:tr>
        <w:trPr>
          <w:trHeight w:val="412"/>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2,353,521</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2,283,374</w:t>
            </w:r>
          </w:p>
        </w:tc>
        <w:tc>
          <w:tcPr>
            <w:tcW w:w="0" w:type="dxa"/>
            <w:vAlign w:val="bottom"/>
          </w:tcPr>
          <w:p>
            <w:pPr>
              <w:spacing w:after="0"/>
              <w:rPr>
                <w:sz w:val="1"/>
                <w:szCs w:val="1"/>
                <w:color w:val="auto"/>
              </w:rPr>
            </w:pPr>
          </w:p>
        </w:tc>
      </w:tr>
      <w:tr>
        <w:trPr>
          <w:trHeight w:val="223"/>
        </w:trPr>
        <w:tc>
          <w:tcPr>
            <w:tcW w:w="85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3,376,678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3,355,481</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8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765"/>
    </w:lvl>
  </w:abstractNum>
  <w:abstractNum w:abstractNumId="9">
    <w:nsid w:val="4DB127F8"/>
    <w:multiLevelType w:val="hybridMultilevel"/>
    <w:lvl w:ilvl="0">
      <w:lvlJc w:val="left"/>
      <w:lvlText w:val="(%1)"/>
      <w:numFmt w:val="decimal"/>
      <w:start w:val="67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2026-04-23T16:13:48Z</dcterms:created>
  <dcterms:modified xsi:type="dcterms:W3CDTF">2026-04-23T16:13:48Z</dcterms:modified>
</cp:coreProperties>
</file>