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PERSUANT TO SECTION 13 OR 15(d) OF</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2011</w:t>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0-24000</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-130810</wp:posOffset>
            </wp:positionV>
            <wp:extent cx="33788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204" w:lineRule="exact"/>
        <w:rPr>
          <w:sz w:val="24"/>
          <w:szCs w:val="24"/>
          <w:color w:val="auto"/>
        </w:rPr>
      </w:pPr>
    </w:p>
    <w:tbl>
      <w:tblPr>
        <w:tblLayout w:type="fixed"/>
        <w:tblInd w:w="780" w:type="dxa"/>
        <w:tblCellMar>
          <w:top w:w="0" w:type="dxa"/>
          <w:left w:w="0" w:type="dxa"/>
          <w:bottom w:w="0" w:type="dxa"/>
          <w:right w:w="0" w:type="dxa"/>
        </w:tblCellMar>
      </w:tblPr>
      <w:tr>
        <w:trPr>
          <w:trHeight w:val="230"/>
        </w:trPr>
        <w:tc>
          <w:tcPr>
            <w:tcW w:w="7140" w:type="dxa"/>
            <w:vAlign w:val="bottom"/>
            <w:gridSpan w:val="4"/>
          </w:tcPr>
          <w:p>
            <w:pPr>
              <w:jc w:val="center"/>
              <w:ind w:right="1560"/>
              <w:spacing w:after="0"/>
              <w:rPr>
                <w:sz w:val="20"/>
                <w:szCs w:val="20"/>
                <w:color w:val="auto"/>
              </w:rPr>
            </w:pPr>
            <w:r>
              <w:rPr>
                <w:rFonts w:ascii="Arial" w:cs="Arial" w:eastAsia="Arial" w:hAnsi="Arial"/>
                <w:sz w:val="18"/>
                <w:szCs w:val="18"/>
                <w:color w:val="auto"/>
                <w:w w:val="97"/>
              </w:rPr>
              <w:t>PENNSYLVANIA</w:t>
            </w:r>
          </w:p>
        </w:tc>
        <w:tc>
          <w:tcPr>
            <w:tcW w:w="2740" w:type="dxa"/>
            <w:vAlign w:val="bottom"/>
            <w:gridSpan w:val="2"/>
          </w:tcPr>
          <w:p>
            <w:pPr>
              <w:jc w:val="right"/>
              <w:ind w:right="1250"/>
              <w:spacing w:after="0"/>
              <w:rPr>
                <w:sz w:val="20"/>
                <w:szCs w:val="20"/>
                <w:color w:val="auto"/>
              </w:rPr>
            </w:pPr>
            <w:r>
              <w:rPr>
                <w:rFonts w:ascii="Arial" w:cs="Arial" w:eastAsia="Arial" w:hAnsi="Arial"/>
                <w:sz w:val="18"/>
                <w:szCs w:val="18"/>
                <w:color w:val="auto"/>
              </w:rPr>
              <w:t>25-0466020</w:t>
            </w:r>
          </w:p>
        </w:tc>
      </w:tr>
      <w:tr>
        <w:trPr>
          <w:trHeight w:val="195"/>
        </w:trPr>
        <w:tc>
          <w:tcPr>
            <w:tcW w:w="558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3"/>
              </w:rPr>
              <w:t>(State or other jurisdiction of</w:t>
            </w:r>
          </w:p>
        </w:tc>
        <w:tc>
          <w:tcPr>
            <w:tcW w:w="76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740" w:type="dxa"/>
            <w:vAlign w:val="bottom"/>
            <w:tcBorders>
              <w:top w:val="single" w:sz="8" w:color="auto"/>
            </w:tcBorders>
            <w:gridSpan w:val="2"/>
          </w:tcPr>
          <w:p>
            <w:pPr>
              <w:jc w:val="center"/>
              <w:ind w:right="710"/>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7140" w:type="dxa"/>
            <w:vAlign w:val="bottom"/>
            <w:gridSpan w:val="4"/>
          </w:tcPr>
          <w:p>
            <w:pPr>
              <w:jc w:val="center"/>
              <w:ind w:right="1540"/>
              <w:spacing w:after="0"/>
              <w:rPr>
                <w:sz w:val="20"/>
                <w:szCs w:val="20"/>
                <w:color w:val="auto"/>
              </w:rPr>
            </w:pPr>
            <w:r>
              <w:rPr>
                <w:rFonts w:ascii="Arial" w:cs="Arial" w:eastAsia="Arial" w:hAnsi="Arial"/>
                <w:sz w:val="18"/>
                <w:szCs w:val="18"/>
                <w:color w:val="auto"/>
                <w:w w:val="92"/>
              </w:rPr>
              <w:t>incorporation or organization)</w:t>
            </w:r>
          </w:p>
        </w:tc>
        <w:tc>
          <w:tcPr>
            <w:tcW w:w="2740" w:type="dxa"/>
            <w:vAlign w:val="bottom"/>
            <w:gridSpan w:val="2"/>
          </w:tcPr>
          <w:p>
            <w:pPr>
              <w:jc w:val="center"/>
              <w:ind w:right="710"/>
              <w:spacing w:after="0"/>
              <w:rPr>
                <w:sz w:val="20"/>
                <w:szCs w:val="20"/>
                <w:color w:val="auto"/>
              </w:rPr>
            </w:pPr>
            <w:r>
              <w:rPr>
                <w:rFonts w:ascii="Arial" w:cs="Arial" w:eastAsia="Arial" w:hAnsi="Arial"/>
                <w:sz w:val="18"/>
                <w:szCs w:val="18"/>
                <w:color w:val="auto"/>
                <w:w w:val="95"/>
              </w:rPr>
              <w:t>Identification No.)</w:t>
            </w:r>
          </w:p>
        </w:tc>
      </w:tr>
      <w:tr>
        <w:trPr>
          <w:trHeight w:val="432"/>
        </w:trPr>
        <w:tc>
          <w:tcPr>
            <w:tcW w:w="7140" w:type="dxa"/>
            <w:vAlign w:val="bottom"/>
            <w:gridSpan w:val="4"/>
          </w:tcPr>
          <w:p>
            <w:pPr>
              <w:jc w:val="center"/>
              <w:ind w:right="1540"/>
              <w:spacing w:after="0"/>
              <w:rPr>
                <w:sz w:val="20"/>
                <w:szCs w:val="20"/>
                <w:color w:val="auto"/>
              </w:rPr>
            </w:pPr>
            <w:r>
              <w:rPr>
                <w:rFonts w:ascii="Arial" w:cs="Arial" w:eastAsia="Arial" w:hAnsi="Arial"/>
                <w:sz w:val="18"/>
                <w:szCs w:val="18"/>
                <w:color w:val="auto"/>
                <w:w w:val="89"/>
              </w:rPr>
              <w:t>100 Erie Insurance Place, Erie, Pennsylvania</w:t>
            </w:r>
          </w:p>
        </w:tc>
        <w:tc>
          <w:tcPr>
            <w:tcW w:w="2740" w:type="dxa"/>
            <w:vAlign w:val="bottom"/>
            <w:gridSpan w:val="2"/>
          </w:tcPr>
          <w:p>
            <w:pPr>
              <w:jc w:val="right"/>
              <w:ind w:right="1450"/>
              <w:spacing w:after="0"/>
              <w:rPr>
                <w:sz w:val="20"/>
                <w:szCs w:val="20"/>
                <w:color w:val="auto"/>
              </w:rPr>
            </w:pPr>
            <w:r>
              <w:rPr>
                <w:rFonts w:ascii="Arial" w:cs="Arial" w:eastAsia="Arial" w:hAnsi="Arial"/>
                <w:sz w:val="18"/>
                <w:szCs w:val="18"/>
                <w:color w:val="auto"/>
              </w:rPr>
              <w:t>16530</w:t>
            </w:r>
          </w:p>
        </w:tc>
      </w:tr>
      <w:tr>
        <w:trPr>
          <w:trHeight w:val="224"/>
        </w:trPr>
        <w:tc>
          <w:tcPr>
            <w:tcW w:w="55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7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280" w:type="dxa"/>
            <w:vAlign w:val="bottom"/>
            <w:tcBorders>
              <w:top w:val="single" w:sz="8" w:color="auto"/>
            </w:tcBorders>
          </w:tcPr>
          <w:p>
            <w:pPr>
              <w:jc w:val="center"/>
              <w:ind w:right="1150"/>
              <w:spacing w:after="0"/>
              <w:rPr>
                <w:sz w:val="20"/>
                <w:szCs w:val="20"/>
                <w:color w:val="auto"/>
              </w:rPr>
            </w:pPr>
            <w:r>
              <w:rPr>
                <w:rFonts w:ascii="Arial" w:cs="Arial" w:eastAsia="Arial" w:hAnsi="Arial"/>
                <w:sz w:val="18"/>
                <w:szCs w:val="18"/>
                <w:color w:val="auto"/>
                <w:w w:val="94"/>
              </w:rPr>
              <w:t>(Zip Code)</w:t>
            </w:r>
          </w:p>
        </w:tc>
      </w:tr>
      <w:tr>
        <w:trPr>
          <w:trHeight w:val="418"/>
        </w:trPr>
        <w:tc>
          <w:tcPr>
            <w:tcW w:w="5580" w:type="dxa"/>
            <w:vAlign w:val="bottom"/>
            <w:gridSpan w:val="2"/>
          </w:tcPr>
          <w:p>
            <w:pPr>
              <w:jc w:val="right"/>
              <w:spacing w:after="0"/>
              <w:rPr>
                <w:sz w:val="20"/>
                <w:szCs w:val="20"/>
                <w:color w:val="auto"/>
              </w:rPr>
            </w:pPr>
            <w:r>
              <w:rPr>
                <w:rFonts w:ascii="Arial" w:cs="Arial" w:eastAsia="Arial" w:hAnsi="Arial"/>
                <w:sz w:val="18"/>
                <w:szCs w:val="18"/>
                <w:color w:val="auto"/>
              </w:rPr>
              <w:t>(814) 870-2000</w:t>
            </w: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4"/>
        </w:trPr>
        <w:tc>
          <w:tcPr>
            <w:tcW w:w="2280" w:type="dxa"/>
            <w:vAlign w:val="bottom"/>
          </w:tcPr>
          <w:p>
            <w:pPr>
              <w:spacing w:after="0"/>
              <w:rPr>
                <w:sz w:val="19"/>
                <w:szCs w:val="19"/>
                <w:color w:val="auto"/>
              </w:rPr>
            </w:pPr>
          </w:p>
        </w:tc>
        <w:tc>
          <w:tcPr>
            <w:tcW w:w="4860" w:type="dxa"/>
            <w:vAlign w:val="bottom"/>
            <w:tcBorders>
              <w:top w:val="single" w:sz="8" w:color="auto"/>
            </w:tcBorders>
            <w:gridSpan w:val="3"/>
          </w:tcPr>
          <w:p>
            <w:pPr>
              <w:jc w:val="center"/>
              <w:ind w:left="370"/>
              <w:spacing w:after="0"/>
              <w:rPr>
                <w:sz w:val="20"/>
                <w:szCs w:val="20"/>
                <w:color w:val="auto"/>
              </w:rPr>
            </w:pPr>
            <w:r>
              <w:rPr>
                <w:rFonts w:ascii="Arial" w:cs="Arial" w:eastAsia="Arial" w:hAnsi="Arial"/>
                <w:sz w:val="18"/>
                <w:szCs w:val="18"/>
                <w:color w:val="auto"/>
                <w:w w:val="89"/>
              </w:rPr>
              <w:t>(Registrant’s telephone number, including area code)</w:t>
            </w:r>
          </w:p>
        </w:tc>
        <w:tc>
          <w:tcPr>
            <w:tcW w:w="460" w:type="dxa"/>
            <w:vAlign w:val="bottom"/>
            <w:tcBorders>
              <w:top w:val="single" w:sz="8" w:color="auto"/>
            </w:tcBorders>
          </w:tcPr>
          <w:p>
            <w:pPr>
              <w:spacing w:after="0"/>
              <w:rPr>
                <w:sz w:val="19"/>
                <w:szCs w:val="19"/>
                <w:color w:val="auto"/>
              </w:rPr>
            </w:pPr>
          </w:p>
        </w:tc>
        <w:tc>
          <w:tcPr>
            <w:tcW w:w="2280" w:type="dxa"/>
            <w:vAlign w:val="bottom"/>
          </w:tcPr>
          <w:p>
            <w:pPr>
              <w:spacing w:after="0"/>
              <w:rPr>
                <w:sz w:val="19"/>
                <w:szCs w:val="19"/>
                <w:color w:val="auto"/>
              </w:rPr>
            </w:pPr>
          </w:p>
        </w:tc>
      </w:tr>
    </w:tbl>
    <w:p>
      <w:pPr>
        <w:spacing w:after="0" w:line="18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Not applicable</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974090</wp:posOffset>
            </wp:positionH>
            <wp:positionV relativeFrom="paragraph">
              <wp:posOffset>-130810</wp:posOffset>
            </wp:positionV>
            <wp:extent cx="53168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16855"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rFonts w:ascii="Arial" w:cs="Arial" w:eastAsia="Arial" w:hAnsi="Arial"/>
          <w:sz w:val="18"/>
          <w:szCs w:val="18"/>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565150</wp:posOffset>
            </wp:positionH>
            <wp:positionV relativeFrom="paragraph">
              <wp:posOffset>-19050</wp:posOffset>
            </wp:positionV>
            <wp:extent cx="2286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during the preceding 12 months (or for such shorter period that the registrant was required to file such reports), and (2) has been subject to such filing</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requirements for 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rFonts w:ascii="Arial" w:cs="Arial" w:eastAsia="Arial" w:hAnsi="Arial"/>
          <w:sz w:val="18"/>
          <w:szCs w:val="18"/>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565150</wp:posOffset>
            </wp:positionH>
            <wp:positionV relativeFrom="paragraph">
              <wp:posOffset>-19050</wp:posOffset>
            </wp:positionV>
            <wp:extent cx="2286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be submitted and posted pursuant to Rule 405 of Regulation S-T (§232.405 of this chapter) during the preceding 12 months (or for such shorter period that the</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registrant was required to submit and post such files).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rFonts w:ascii="Arial" w:cs="Arial" w:eastAsia="Arial" w:hAnsi="Arial"/>
          <w:sz w:val="18"/>
          <w:szCs w:val="18"/>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565150</wp:posOffset>
            </wp:positionH>
            <wp:positionV relativeFrom="paragraph">
              <wp:posOffset>-19050</wp:posOffset>
            </wp:positionV>
            <wp:extent cx="2286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91"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160" w:type="dxa"/>
            <w:vAlign w:val="bottom"/>
            <w:gridSpan w:val="6"/>
          </w:tcPr>
          <w:p>
            <w:pPr>
              <w:spacing w:after="0"/>
              <w:rPr>
                <w:sz w:val="20"/>
                <w:szCs w:val="20"/>
                <w:color w:val="auto"/>
              </w:rPr>
            </w:pPr>
            <w:r>
              <w:rPr>
                <w:rFonts w:ascii="Arial" w:cs="Arial" w:eastAsia="Arial" w:hAnsi="Arial"/>
                <w:sz w:val="18"/>
                <w:szCs w:val="18"/>
                <w:color w:val="auto"/>
              </w:rPr>
              <w:t>Large Accelerated Filer  X</w:t>
            </w:r>
          </w:p>
        </w:tc>
        <w:tc>
          <w:tcPr>
            <w:tcW w:w="1940" w:type="dxa"/>
            <w:vAlign w:val="bottom"/>
          </w:tcPr>
          <w:p>
            <w:pPr>
              <w:ind w:left="640"/>
              <w:spacing w:after="0"/>
              <w:rPr>
                <w:sz w:val="20"/>
                <w:szCs w:val="20"/>
                <w:color w:val="auto"/>
              </w:rPr>
            </w:pPr>
            <w:r>
              <w:rPr>
                <w:rFonts w:ascii="Arial" w:cs="Arial" w:eastAsia="Arial" w:hAnsi="Arial"/>
                <w:sz w:val="18"/>
                <w:szCs w:val="18"/>
                <w:color w:val="auto"/>
                <w:w w:val="94"/>
              </w:rPr>
              <w:t>Accelerated Filer</w:t>
            </w:r>
          </w:p>
        </w:tc>
        <w:tc>
          <w:tcPr>
            <w:tcW w:w="360" w:type="dxa"/>
            <w:vAlign w:val="bottom"/>
          </w:tcPr>
          <w:p>
            <w:pPr>
              <w:spacing w:after="0"/>
              <w:rPr>
                <w:sz w:val="18"/>
                <w:szCs w:val="18"/>
                <w:color w:val="auto"/>
              </w:rPr>
            </w:pPr>
          </w:p>
        </w:tc>
        <w:tc>
          <w:tcPr>
            <w:tcW w:w="2580" w:type="dxa"/>
            <w:vAlign w:val="bottom"/>
          </w:tcPr>
          <w:p>
            <w:pPr>
              <w:ind w:left="920"/>
              <w:spacing w:after="0"/>
              <w:rPr>
                <w:sz w:val="20"/>
                <w:szCs w:val="20"/>
                <w:color w:val="auto"/>
              </w:rPr>
            </w:pPr>
            <w:r>
              <w:rPr>
                <w:rFonts w:ascii="Arial" w:cs="Arial" w:eastAsia="Arial" w:hAnsi="Arial"/>
                <w:sz w:val="18"/>
                <w:szCs w:val="18"/>
                <w:color w:val="auto"/>
                <w:w w:val="94"/>
              </w:rPr>
              <w:t>Non-Accelerated Filer</w:t>
            </w:r>
          </w:p>
        </w:tc>
        <w:tc>
          <w:tcPr>
            <w:tcW w:w="360" w:type="dxa"/>
            <w:vAlign w:val="bottom"/>
          </w:tcPr>
          <w:p>
            <w:pPr>
              <w:spacing w:after="0"/>
              <w:rPr>
                <w:sz w:val="18"/>
                <w:szCs w:val="18"/>
                <w:color w:val="auto"/>
              </w:rPr>
            </w:pPr>
          </w:p>
        </w:tc>
        <w:tc>
          <w:tcPr>
            <w:tcW w:w="2480" w:type="dxa"/>
            <w:vAlign w:val="bottom"/>
          </w:tcPr>
          <w:p>
            <w:pPr>
              <w:ind w:left="400"/>
              <w:spacing w:after="0"/>
              <w:rPr>
                <w:sz w:val="20"/>
                <w:szCs w:val="20"/>
                <w:color w:val="auto"/>
              </w:rPr>
            </w:pPr>
            <w:r>
              <w:rPr>
                <w:rFonts w:ascii="Arial" w:cs="Arial" w:eastAsia="Arial" w:hAnsi="Arial"/>
                <w:sz w:val="18"/>
                <w:szCs w:val="18"/>
                <w:color w:val="auto"/>
                <w:w w:val="91"/>
              </w:rPr>
              <w:t>Smaller Reporting Company</w:t>
            </w:r>
          </w:p>
        </w:tc>
      </w:tr>
      <w:tr>
        <w:trPr>
          <w:trHeight w:val="150"/>
        </w:trPr>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9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580" w:type="dxa"/>
            <w:vAlign w:val="bottom"/>
          </w:tcPr>
          <w:p>
            <w:pPr>
              <w:jc w:val="center"/>
              <w:ind w:left="762"/>
              <w:spacing w:after="0" w:line="151" w:lineRule="exact"/>
              <w:rPr>
                <w:sz w:val="20"/>
                <w:szCs w:val="20"/>
                <w:color w:val="auto"/>
              </w:rPr>
            </w:pPr>
            <w:r>
              <w:rPr>
                <w:rFonts w:ascii="Arial" w:cs="Arial" w:eastAsia="Arial" w:hAnsi="Arial"/>
                <w:sz w:val="14"/>
                <w:szCs w:val="14"/>
                <w:color w:val="auto"/>
                <w:w w:val="94"/>
              </w:rPr>
              <w:t>(Do not check if a smaller</w:t>
            </w:r>
          </w:p>
        </w:tc>
        <w:tc>
          <w:tcPr>
            <w:tcW w:w="360" w:type="dxa"/>
            <w:vAlign w:val="bottom"/>
            <w:tcBorders>
              <w:top w:val="single" w:sz="8" w:color="auto"/>
            </w:tcBorders>
          </w:tcPr>
          <w:p>
            <w:pPr>
              <w:spacing w:after="0"/>
              <w:rPr>
                <w:sz w:val="13"/>
                <w:szCs w:val="13"/>
                <w:color w:val="auto"/>
              </w:rPr>
            </w:pPr>
          </w:p>
        </w:tc>
        <w:tc>
          <w:tcPr>
            <w:tcW w:w="2480" w:type="dxa"/>
            <w:vAlign w:val="bottom"/>
          </w:tcPr>
          <w:p>
            <w:pPr>
              <w:spacing w:after="0"/>
              <w:rPr>
                <w:sz w:val="13"/>
                <w:szCs w:val="13"/>
                <w:color w:val="auto"/>
              </w:rPr>
            </w:pPr>
          </w:p>
        </w:tc>
      </w:tr>
      <w:tr>
        <w:trPr>
          <w:trHeight w:val="182"/>
        </w:trPr>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80" w:type="dxa"/>
            <w:vAlign w:val="bottom"/>
          </w:tcPr>
          <w:p>
            <w:pPr>
              <w:jc w:val="center"/>
              <w:ind w:left="762"/>
              <w:spacing w:after="0"/>
              <w:rPr>
                <w:sz w:val="20"/>
                <w:szCs w:val="20"/>
                <w:color w:val="auto"/>
              </w:rPr>
            </w:pPr>
            <w:r>
              <w:rPr>
                <w:rFonts w:ascii="Arial" w:cs="Arial" w:eastAsia="Arial" w:hAnsi="Arial"/>
                <w:sz w:val="14"/>
                <w:szCs w:val="14"/>
                <w:color w:val="auto"/>
                <w:w w:val="94"/>
              </w:rPr>
              <w:t>reporting company)</w:t>
            </w:r>
          </w:p>
        </w:tc>
        <w:tc>
          <w:tcPr>
            <w:tcW w:w="360" w:type="dxa"/>
            <w:vAlign w:val="bottom"/>
          </w:tcPr>
          <w:p>
            <w:pPr>
              <w:spacing w:after="0"/>
              <w:rPr>
                <w:sz w:val="15"/>
                <w:szCs w:val="15"/>
                <w:color w:val="auto"/>
              </w:rPr>
            </w:pPr>
          </w:p>
        </w:tc>
        <w:tc>
          <w:tcPr>
            <w:tcW w:w="2480" w:type="dxa"/>
            <w:vAlign w:val="bottom"/>
          </w:tcPr>
          <w:p>
            <w:pPr>
              <w:spacing w:after="0"/>
              <w:rPr>
                <w:sz w:val="15"/>
                <w:szCs w:val="15"/>
                <w:color w:val="auto"/>
              </w:rPr>
            </w:pPr>
          </w:p>
        </w:tc>
      </w:tr>
      <w:tr>
        <w:trPr>
          <w:trHeight w:val="403"/>
        </w:trPr>
        <w:tc>
          <w:tcPr>
            <w:tcW w:w="9880" w:type="dxa"/>
            <w:vAlign w:val="bottom"/>
            <w:gridSpan w:val="11"/>
          </w:tcPr>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tc>
      </w:tr>
      <w:tr>
        <w:trPr>
          <w:trHeight w:val="190"/>
        </w:trPr>
        <w:tc>
          <w:tcPr>
            <w:tcW w:w="320" w:type="dxa"/>
            <w:vAlign w:val="bottom"/>
          </w:tcPr>
          <w:p>
            <w:pPr>
              <w:spacing w:after="0" w:line="190" w:lineRule="exact"/>
              <w:rPr>
                <w:sz w:val="20"/>
                <w:szCs w:val="20"/>
                <w:color w:val="auto"/>
              </w:rPr>
            </w:pPr>
            <w:r>
              <w:rPr>
                <w:rFonts w:ascii="Arial" w:cs="Arial" w:eastAsia="Arial" w:hAnsi="Arial"/>
                <w:sz w:val="18"/>
                <w:szCs w:val="18"/>
                <w:color w:val="auto"/>
                <w:w w:val="96"/>
              </w:rPr>
              <w:t>Yes</w:t>
            </w:r>
          </w:p>
        </w:tc>
        <w:tc>
          <w:tcPr>
            <w:tcW w:w="360" w:type="dxa"/>
            <w:vAlign w:val="bottom"/>
          </w:tcPr>
          <w:p>
            <w:pPr>
              <w:spacing w:after="0"/>
              <w:rPr>
                <w:sz w:val="16"/>
                <w:szCs w:val="16"/>
                <w:color w:val="auto"/>
              </w:rPr>
            </w:pPr>
          </w:p>
        </w:tc>
        <w:tc>
          <w:tcPr>
            <w:tcW w:w="1480" w:type="dxa"/>
            <w:vAlign w:val="bottom"/>
            <w:gridSpan w:val="4"/>
          </w:tcPr>
          <w:p>
            <w:pPr>
              <w:ind w:left="80"/>
              <w:spacing w:after="0" w:line="190" w:lineRule="exact"/>
              <w:rPr>
                <w:sz w:val="20"/>
                <w:szCs w:val="20"/>
                <w:color w:val="auto"/>
              </w:rPr>
            </w:pPr>
            <w:r>
              <w:rPr>
                <w:rFonts w:ascii="Arial" w:cs="Arial" w:eastAsia="Arial" w:hAnsi="Arial"/>
                <w:sz w:val="18"/>
                <w:szCs w:val="18"/>
                <w:color w:val="auto"/>
              </w:rPr>
              <w:t>No  X</w:t>
            </w:r>
          </w:p>
        </w:tc>
        <w:tc>
          <w:tcPr>
            <w:tcW w:w="1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80" w:type="dxa"/>
            <w:vAlign w:val="bottom"/>
          </w:tcPr>
          <w:p>
            <w:pPr>
              <w:spacing w:after="0"/>
              <w:rPr>
                <w:sz w:val="16"/>
                <w:szCs w:val="16"/>
                <w:color w:val="auto"/>
              </w:rPr>
            </w:pPr>
          </w:p>
        </w:tc>
      </w:tr>
      <w:tr>
        <w:trPr>
          <w:trHeight w:val="20"/>
        </w:trPr>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6296025</wp:posOffset>
            </wp:positionH>
            <wp:positionV relativeFrom="paragraph">
              <wp:posOffset>-608330</wp:posOffset>
            </wp:positionV>
            <wp:extent cx="2286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0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The number of shares outstanding of the registrant’s Class A Common Stock as of the latest practicable date, with no par value and a stated value of $0.0292 per share, was 49,395,315 at April 29, 2011.</w:t>
      </w:r>
    </w:p>
    <w:p>
      <w:pPr>
        <w:spacing w:after="0" w:line="170"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The number of shares outstanding of the registrant’s Class B Common Stock as of the latest practicable date, with no par value and a stated value of $70 per share, was 2,546 at April 29,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spacing w:after="0"/>
        <w:tabs>
          <w:tab w:leader="none" w:pos="1140" w:val="left"/>
        </w:tabs>
        <w:rPr>
          <w:rFonts w:ascii="Arial" w:cs="Arial" w:eastAsia="Arial" w:hAnsi="Arial"/>
          <w:sz w:val="17"/>
          <w:szCs w:val="17"/>
          <w:u w:val="single" w:color="auto"/>
          <w:color w:val="0000EE"/>
        </w:rPr>
      </w:pPr>
      <w:hyperlink w:anchor="page2">
        <w:r>
          <w:rPr>
            <w:rFonts w:ascii="Arial" w:cs="Arial" w:eastAsia="Arial" w:hAnsi="Arial"/>
            <w:sz w:val="18"/>
            <w:szCs w:val="18"/>
            <w:u w:val="single" w:color="auto"/>
            <w:color w:val="0000EE"/>
          </w:rPr>
          <w:t>PART I.</w:t>
        </w:r>
      </w:hyperlink>
      <w:r>
        <w:rPr>
          <w:rFonts w:ascii="Arial" w:cs="Arial" w:eastAsia="Arial" w:hAnsi="Arial"/>
          <w:sz w:val="18"/>
          <w:szCs w:val="18"/>
          <w:u w:val="single" w:color="auto"/>
          <w:color w:val="0000EE"/>
        </w:rPr>
        <w:tab/>
      </w:r>
      <w:hyperlink w:anchor="page2">
        <w:r>
          <w:rPr>
            <w:rFonts w:ascii="Arial" w:cs="Arial" w:eastAsia="Arial" w:hAnsi="Arial"/>
            <w:sz w:val="17"/>
            <w:szCs w:val="17"/>
            <w:u w:val="single" w:color="auto"/>
            <w:color w:val="0000EE"/>
          </w:rPr>
          <w:t>FINANCIAL INFORMATION</w:t>
        </w:r>
      </w:hyperlink>
    </w:p>
    <w:p>
      <w:pPr>
        <w:spacing w:after="0" w:line="225" w:lineRule="exact"/>
        <w:rPr>
          <w:sz w:val="20"/>
          <w:szCs w:val="20"/>
          <w:color w:val="auto"/>
        </w:rPr>
      </w:pPr>
    </w:p>
    <w:p>
      <w:pPr>
        <w:spacing w:after="0"/>
        <w:tabs>
          <w:tab w:leader="none" w:pos="1140" w:val="left"/>
        </w:tabs>
        <w:rPr>
          <w:rFonts w:ascii="Arial" w:cs="Arial" w:eastAsia="Arial" w:hAnsi="Arial"/>
          <w:sz w:val="16"/>
          <w:szCs w:val="16"/>
          <w:u w:val="single" w:color="auto"/>
          <w:color w:val="0000EE"/>
        </w:rPr>
      </w:pPr>
      <w:hyperlink w:anchor="page2">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2">
        <w:r>
          <w:rPr>
            <w:rFonts w:ascii="Arial" w:cs="Arial" w:eastAsia="Arial" w:hAnsi="Arial"/>
            <w:sz w:val="16"/>
            <w:szCs w:val="16"/>
            <w:u w:val="single" w:color="auto"/>
            <w:color w:val="0000EE"/>
          </w:rPr>
          <w:t>Financial Statements (Unaudited)</w:t>
        </w:r>
      </w:hyperlink>
    </w:p>
    <w:p>
      <w:pPr>
        <w:spacing w:after="0" w:line="225" w:lineRule="exact"/>
        <w:rPr>
          <w:sz w:val="20"/>
          <w:szCs w:val="20"/>
          <w:color w:val="auto"/>
        </w:rPr>
      </w:pPr>
    </w:p>
    <w:p>
      <w:pPr>
        <w:ind w:left="11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Consolidated Statements of Operations—Three months ended March 31, 2011 and 2010</w:t>
        </w:r>
      </w:hyperlink>
    </w:p>
    <w:p>
      <w:pPr>
        <w:spacing w:after="0" w:line="225" w:lineRule="exact"/>
        <w:rPr>
          <w:sz w:val="20"/>
          <w:szCs w:val="20"/>
          <w:color w:val="auto"/>
        </w:rPr>
      </w:pPr>
    </w:p>
    <w:p>
      <w:pPr>
        <w:ind w:left="11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Financial Position—March 31, 2011 and December 31, 2010</w:t>
        </w:r>
      </w:hyperlink>
    </w:p>
    <w:p>
      <w:pPr>
        <w:spacing w:after="0" w:line="225" w:lineRule="exact"/>
        <w:rPr>
          <w:sz w:val="20"/>
          <w:szCs w:val="20"/>
          <w:color w:val="auto"/>
        </w:rPr>
      </w:pPr>
    </w:p>
    <w:p>
      <w:pPr>
        <w:ind w:left="11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Comprehensive Income—Three months ended March 31, 2011 and 2010</w:t>
        </w:r>
      </w:hyperlink>
    </w:p>
    <w:p>
      <w:pPr>
        <w:spacing w:after="0" w:line="225" w:lineRule="exact"/>
        <w:rPr>
          <w:sz w:val="20"/>
          <w:szCs w:val="20"/>
          <w:color w:val="auto"/>
        </w:rPr>
      </w:pPr>
    </w:p>
    <w:p>
      <w:pPr>
        <w:ind w:left="11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Cash Flows—Three months ended March 31, 2011 and 2010</w:t>
        </w:r>
      </w:hyperlink>
    </w:p>
    <w:p>
      <w:pPr>
        <w:sectPr>
          <w:pgSz w:w="11900" w:h="16838" w:orient="portrait"/>
          <w:cols w:equalWidth="0" w:num="1">
            <w:col w:w="11420"/>
          </w:cols>
          <w:pgMar w:left="240" w:top="449" w:right="239"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8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Notes to Consolidated Financial Statements—March 31, 2011</w:t>
              </w:r>
            </w:hyperlink>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2.</w:t>
              </w:r>
            </w:hyperlink>
          </w:p>
        </w:tc>
        <w:tc>
          <w:tcPr>
            <w:tcW w:w="640" w:type="dxa"/>
            <w:vAlign w:val="bottom"/>
            <w:gridSpan w:val="2"/>
          </w:tcPr>
          <w:p>
            <w:pPr>
              <w:spacing w:after="0"/>
              <w:rPr>
                <w:sz w:val="24"/>
                <w:szCs w:val="24"/>
                <w:color w:val="auto"/>
              </w:rPr>
            </w:pPr>
          </w:p>
        </w:tc>
        <w:tc>
          <w:tcPr>
            <w:tcW w:w="64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Management’s Discussion and Analysis of Financial Condition and Results of Operations</w:t>
              </w:r>
            </w:hyperlink>
          </w:p>
        </w:tc>
        <w:tc>
          <w:tcPr>
            <w:tcW w:w="102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Item 3.</w:t>
              </w:r>
            </w:hyperlink>
          </w:p>
        </w:tc>
        <w:tc>
          <w:tcPr>
            <w:tcW w:w="640" w:type="dxa"/>
            <w:vAlign w:val="bottom"/>
            <w:gridSpan w:val="2"/>
          </w:tcPr>
          <w:p>
            <w:pPr>
              <w:spacing w:after="0"/>
              <w:rPr>
                <w:sz w:val="24"/>
                <w:szCs w:val="24"/>
                <w:color w:val="auto"/>
              </w:rPr>
            </w:pPr>
          </w:p>
        </w:tc>
        <w:tc>
          <w:tcPr>
            <w:tcW w:w="436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Quantitative and Qualitative Disclosures About Market Risk</w:t>
              </w:r>
            </w:hyperlink>
          </w:p>
        </w:tc>
        <w:tc>
          <w:tcPr>
            <w:tcW w:w="3120" w:type="dxa"/>
            <w:vAlign w:val="bottom"/>
            <w:gridSpan w:val="4"/>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Item 4.</w:t>
              </w:r>
            </w:hyperlink>
          </w:p>
        </w:tc>
        <w:tc>
          <w:tcPr>
            <w:tcW w:w="640" w:type="dxa"/>
            <w:vAlign w:val="bottom"/>
            <w:gridSpan w:val="2"/>
          </w:tcPr>
          <w:p>
            <w:pPr>
              <w:spacing w:after="0"/>
              <w:rPr>
                <w:sz w:val="24"/>
                <w:szCs w:val="24"/>
                <w:color w:val="auto"/>
              </w:rPr>
            </w:pPr>
          </w:p>
        </w:tc>
        <w:tc>
          <w:tcPr>
            <w:tcW w:w="7480" w:type="dxa"/>
            <w:vAlign w:val="bottom"/>
            <w:gridSpan w:val="1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Controls and Procedures</w:t>
              </w:r>
            </w:hyperlink>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60" w:type="dxa"/>
            <w:vAlign w:val="bottom"/>
            <w:gridSpan w:val="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PART II.</w:t>
              </w:r>
            </w:hyperlink>
          </w:p>
        </w:tc>
        <w:tc>
          <w:tcPr>
            <w:tcW w:w="7480" w:type="dxa"/>
            <w:vAlign w:val="bottom"/>
            <w:gridSpan w:val="1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OTHER INFORMATION</w:t>
              </w:r>
            </w:hyperlink>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60" w:type="dxa"/>
            <w:vAlign w:val="bottom"/>
            <w:gridSpan w:val="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1A.</w:t>
              </w:r>
            </w:hyperlink>
          </w:p>
        </w:tc>
        <w:tc>
          <w:tcPr>
            <w:tcW w:w="7480" w:type="dxa"/>
            <w:vAlign w:val="bottom"/>
            <w:gridSpan w:val="1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80" w:type="dxa"/>
            <w:vAlign w:val="bottom"/>
            <w:gridSpan w:val="1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Unregistered Sales of Equity Securities and Use of Proceeds</w:t>
              </w:r>
            </w:hyperlink>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Item 5.</w:t>
              </w:r>
            </w:hyperlink>
          </w:p>
        </w:tc>
        <w:tc>
          <w:tcPr>
            <w:tcW w:w="640" w:type="dxa"/>
            <w:vAlign w:val="bottom"/>
            <w:gridSpan w:val="2"/>
          </w:tcPr>
          <w:p>
            <w:pPr>
              <w:spacing w:after="0"/>
              <w:rPr>
                <w:sz w:val="24"/>
                <w:szCs w:val="24"/>
                <w:color w:val="auto"/>
              </w:rPr>
            </w:pP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40">
              <w:r>
                <w:rPr>
                  <w:rFonts w:ascii="Arial" w:cs="Arial" w:eastAsia="Arial" w:hAnsi="Arial"/>
                  <w:sz w:val="18"/>
                  <w:szCs w:val="18"/>
                  <w:color w:val="0000EE"/>
                  <w:w w:val="92"/>
                </w:rPr>
                <w:t>Other Information</w:t>
              </w:r>
            </w:hyperlink>
          </w:p>
        </w:tc>
        <w:tc>
          <w:tcPr>
            <w:tcW w:w="3020" w:type="dxa"/>
            <w:vAlign w:val="bottom"/>
            <w:tcBorders>
              <w:top w:val="single" w:sz="8" w:color="0000EE"/>
            </w:tcBorders>
            <w:gridSpan w:val="4"/>
          </w:tcPr>
          <w:p>
            <w:pPr>
              <w:spacing w:after="0"/>
              <w:rPr>
                <w:sz w:val="24"/>
                <w:szCs w:val="24"/>
                <w:color w:val="auto"/>
              </w:rPr>
            </w:pPr>
          </w:p>
        </w:tc>
        <w:tc>
          <w:tcPr>
            <w:tcW w:w="3140" w:type="dxa"/>
            <w:vAlign w:val="bottom"/>
            <w:gridSpan w:val="5"/>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gridSpan w:val="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6.</w:t>
              </w:r>
            </w:hyperlink>
          </w:p>
        </w:tc>
        <w:tc>
          <w:tcPr>
            <w:tcW w:w="7480" w:type="dxa"/>
            <w:vAlign w:val="bottom"/>
            <w:gridSpan w:val="1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2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SIGNATURES</w:t>
              </w:r>
            </w:hyperlink>
          </w:p>
        </w:tc>
        <w:tc>
          <w:tcPr>
            <w:tcW w:w="6380" w:type="dxa"/>
            <w:vAlign w:val="bottom"/>
            <w:gridSpan w:val="10"/>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1"/>
          </w:tcPr>
          <w:p>
            <w:pPr>
              <w:jc w:val="center"/>
              <w:ind w:left="2550"/>
              <w:spacing w:after="0"/>
              <w:rPr>
                <w:sz w:val="20"/>
                <w:szCs w:val="20"/>
                <w:color w:val="auto"/>
              </w:rPr>
            </w:pPr>
            <w:r>
              <w:rPr>
                <w:rFonts w:ascii="Arial" w:cs="Arial" w:eastAsia="Arial" w:hAnsi="Arial"/>
                <w:sz w:val="18"/>
                <w:szCs w:val="18"/>
                <w:color w:val="auto"/>
                <w:w w:val="99"/>
              </w:rPr>
              <w:t>2</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gridSpan w:val="2"/>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3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0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40"/>
        </w:trPr>
        <w:tc>
          <w:tcPr>
            <w:tcW w:w="3120" w:type="dxa"/>
            <w:vAlign w:val="bottom"/>
            <w:tcBorders>
              <w:bottom w:val="single" w:sz="8" w:color="auto"/>
            </w:tcBorders>
            <w:gridSpan w:val="11"/>
          </w:tcPr>
          <w:p>
            <w:pPr>
              <w:spacing w:after="0"/>
              <w:rPr>
                <w:sz w:val="20"/>
                <w:szCs w:val="20"/>
                <w:color w:val="auto"/>
              </w:rPr>
            </w:pPr>
            <w:r>
              <w:rPr>
                <w:rFonts w:ascii="Arial" w:cs="Arial" w:eastAsia="Arial" w:hAnsi="Arial"/>
                <w:sz w:val="18"/>
                <w:szCs w:val="18"/>
                <w:b w:val="1"/>
                <w:bCs w:val="1"/>
                <w:color w:val="auto"/>
              </w:rPr>
              <w:t>PART I. FINANCIAL INFORMATION</w:t>
            </w:r>
          </w:p>
        </w:tc>
        <w:tc>
          <w:tcPr>
            <w:tcW w:w="5520" w:type="dxa"/>
            <w:vAlign w:val="bottom"/>
            <w:gridSpan w:val="6"/>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640" w:type="dxa"/>
            <w:vAlign w:val="bottom"/>
            <w:gridSpan w:val="17"/>
          </w:tcPr>
          <w:p>
            <w:pPr>
              <w:spacing w:after="0"/>
              <w:rPr>
                <w:sz w:val="20"/>
                <w:szCs w:val="20"/>
                <w:color w:val="auto"/>
              </w:rPr>
            </w:pPr>
            <w:r>
              <w:rPr>
                <w:rFonts w:ascii="Arial" w:cs="Arial" w:eastAsia="Arial" w:hAnsi="Arial"/>
                <w:sz w:val="18"/>
                <w:szCs w:val="18"/>
                <w:b w:val="1"/>
                <w:bCs w:val="1"/>
                <w:color w:val="auto"/>
              </w:rPr>
              <w:t>ITEM 1. FINANCIAL STATEMENTS</w:t>
            </w: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52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rPr>
              <w:t>ERIE INDEMNITY COMPANY</w:t>
            </w: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20" w:type="dxa"/>
            <w:vAlign w:val="bottom"/>
            <w:gridSpan w:val="8"/>
          </w:tcPr>
          <w:p>
            <w:pPr>
              <w:jc w:val="center"/>
              <w:ind w:right="140"/>
              <w:spacing w:after="0"/>
              <w:rPr>
                <w:sz w:val="20"/>
                <w:szCs w:val="20"/>
                <w:color w:val="auto"/>
              </w:rPr>
            </w:pPr>
            <w:r>
              <w:rPr>
                <w:rFonts w:ascii="Arial" w:cs="Arial" w:eastAsia="Arial" w:hAnsi="Arial"/>
                <w:sz w:val="18"/>
                <w:szCs w:val="18"/>
                <w:b w:val="1"/>
                <w:bCs w:val="1"/>
                <w:color w:val="auto"/>
                <w:w w:val="99"/>
              </w:rPr>
              <w:t>CONSOLIDATED STATEMENTS OF OPERATIONS (UNAUDITED)</w:t>
            </w: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6"/>
          </w:tcPr>
          <w:p>
            <w:pPr>
              <w:jc w:val="center"/>
              <w:ind w:right="320"/>
              <w:spacing w:after="0"/>
              <w:rPr>
                <w:sz w:val="20"/>
                <w:szCs w:val="20"/>
                <w:color w:val="auto"/>
              </w:rPr>
            </w:pPr>
            <w:r>
              <w:rPr>
                <w:rFonts w:ascii="Arial" w:cs="Arial" w:eastAsia="Arial" w:hAnsi="Arial"/>
                <w:sz w:val="18"/>
                <w:szCs w:val="18"/>
                <w:i w:val="1"/>
                <w:iCs w:val="1"/>
                <w:color w:val="auto"/>
                <w:w w:val="92"/>
              </w:rPr>
              <w:t>(dollars in millions, except per share data)</w:t>
            </w: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3"/>
          </w:tcPr>
          <w:p>
            <w:pPr>
              <w:ind w:left="400"/>
              <w:spacing w:after="0"/>
              <w:rPr>
                <w:sz w:val="20"/>
                <w:szCs w:val="20"/>
                <w:color w:val="auto"/>
              </w:rPr>
            </w:pPr>
            <w:r>
              <w:rPr>
                <w:rFonts w:ascii="Arial" w:cs="Arial" w:eastAsia="Arial" w:hAnsi="Arial"/>
                <w:sz w:val="18"/>
                <w:szCs w:val="18"/>
                <w:color w:val="auto"/>
              </w:rPr>
              <w:t>Three months ended</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vMerge w:val="restart"/>
          </w:tcPr>
          <w:p>
            <w:pPr>
              <w:ind w:left="200"/>
              <w:spacing w:after="0"/>
              <w:rPr>
                <w:sz w:val="20"/>
                <w:szCs w:val="20"/>
                <w:color w:val="auto"/>
              </w:rPr>
            </w:pPr>
            <w:r>
              <w:rPr>
                <w:rFonts w:ascii="Arial" w:cs="Arial" w:eastAsia="Arial" w:hAnsi="Arial"/>
                <w:sz w:val="18"/>
                <w:szCs w:val="18"/>
                <w:color w:val="auto"/>
                <w:w w:val="89"/>
              </w:rPr>
              <w:t>2011</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March 31,</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2010</w:t>
            </w: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3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16"/>
          </w:tcPr>
          <w:p>
            <w:pPr>
              <w:ind w:left="120"/>
              <w:spacing w:after="0"/>
              <w:rPr>
                <w:sz w:val="20"/>
                <w:szCs w:val="20"/>
                <w:color w:val="auto"/>
              </w:rPr>
            </w:pPr>
            <w:r>
              <w:rPr>
                <w:rFonts w:ascii="Arial" w:cs="Arial" w:eastAsia="Arial" w:hAnsi="Arial"/>
                <w:sz w:val="18"/>
                <w:szCs w:val="18"/>
                <w:color w:val="auto"/>
              </w:rPr>
              <w:t>Premiums earned</w:t>
            </w:r>
          </w:p>
        </w:tc>
        <w:tc>
          <w:tcPr>
            <w:tcW w:w="1600" w:type="dxa"/>
            <w:vAlign w:val="bottom"/>
            <w:gridSpan w:val="2"/>
          </w:tcPr>
          <w:p>
            <w:pPr>
              <w:jc w:val="right"/>
              <w:ind w:right="510"/>
              <w:spacing w:after="0"/>
              <w:rPr>
                <w:sz w:val="20"/>
                <w:szCs w:val="20"/>
                <w:color w:val="auto"/>
              </w:rPr>
            </w:pPr>
            <w:r>
              <w:rPr>
                <w:rFonts w:ascii="Arial" w:cs="Arial" w:eastAsia="Arial" w:hAnsi="Arial"/>
                <w:sz w:val="18"/>
                <w:szCs w:val="18"/>
                <w:color w:val="auto"/>
              </w:rPr>
              <w:t>$ 1,030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978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16"/>
            <w:shd w:val="clear" w:color="auto" w:fill="CCEEFF"/>
          </w:tcPr>
          <w:p>
            <w:pPr>
              <w:ind w:left="120"/>
              <w:spacing w:after="0"/>
              <w:rPr>
                <w:sz w:val="20"/>
                <w:szCs w:val="20"/>
                <w:color w:val="auto"/>
              </w:rPr>
            </w:pPr>
            <w:r>
              <w:rPr>
                <w:rFonts w:ascii="Arial" w:cs="Arial" w:eastAsia="Arial" w:hAnsi="Arial"/>
                <w:sz w:val="18"/>
                <w:szCs w:val="18"/>
                <w:color w:val="auto"/>
              </w:rPr>
              <w:t>Net investment income</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105</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16"/>
          </w:tcPr>
          <w:p>
            <w:pPr>
              <w:ind w:left="120"/>
              <w:spacing w:after="0"/>
              <w:rPr>
                <w:sz w:val="20"/>
                <w:szCs w:val="20"/>
                <w:color w:val="auto"/>
              </w:rPr>
            </w:pPr>
            <w:r>
              <w:rPr>
                <w:rFonts w:ascii="Arial" w:cs="Arial" w:eastAsia="Arial" w:hAnsi="Arial"/>
                <w:sz w:val="18"/>
                <w:szCs w:val="18"/>
                <w:color w:val="auto"/>
              </w:rPr>
              <w:t>Net realized investment gains</w:t>
            </w:r>
          </w:p>
        </w:tc>
        <w:tc>
          <w:tcPr>
            <w:tcW w:w="580" w:type="dxa"/>
            <w:vAlign w:val="bottom"/>
          </w:tcPr>
          <w:p>
            <w:pPr>
              <w:spacing w:after="0"/>
              <w:rPr>
                <w:sz w:val="18"/>
                <w:szCs w:val="18"/>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color w:val="auto"/>
              </w:rPr>
              <w:t>149</w:t>
            </w:r>
          </w:p>
        </w:tc>
        <w:tc>
          <w:tcPr>
            <w:tcW w:w="500" w:type="dxa"/>
            <w:vAlign w:val="bottom"/>
          </w:tcPr>
          <w:p>
            <w:pPr>
              <w:spacing w:after="0"/>
              <w:rPr>
                <w:sz w:val="18"/>
                <w:szCs w:val="18"/>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16"/>
            <w:shd w:val="clear" w:color="auto" w:fill="CCEEFF"/>
          </w:tcPr>
          <w:p>
            <w:pPr>
              <w:ind w:left="120"/>
              <w:spacing w:after="0"/>
              <w:rPr>
                <w:sz w:val="20"/>
                <w:szCs w:val="20"/>
                <w:color w:val="auto"/>
              </w:rPr>
            </w:pPr>
            <w:r>
              <w:rPr>
                <w:rFonts w:ascii="Arial" w:cs="Arial" w:eastAsia="Arial" w:hAnsi="Arial"/>
                <w:sz w:val="18"/>
                <w:szCs w:val="18"/>
                <w:color w:val="auto"/>
              </w:rPr>
              <w:t>Net impairment losses recognized in earnings</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16"/>
          </w:tcPr>
          <w:p>
            <w:pPr>
              <w:ind w:left="120"/>
              <w:spacing w:after="0"/>
              <w:rPr>
                <w:sz w:val="20"/>
                <w:szCs w:val="20"/>
                <w:color w:val="auto"/>
              </w:rPr>
            </w:pPr>
            <w:r>
              <w:rPr>
                <w:rFonts w:ascii="Arial" w:cs="Arial" w:eastAsia="Arial" w:hAnsi="Arial"/>
                <w:sz w:val="18"/>
                <w:szCs w:val="18"/>
                <w:color w:val="auto"/>
              </w:rPr>
              <w:t>Equity in earnings of limited partnerships</w:t>
            </w:r>
          </w:p>
        </w:tc>
        <w:tc>
          <w:tcPr>
            <w:tcW w:w="580" w:type="dxa"/>
            <w:vAlign w:val="bottom"/>
          </w:tcPr>
          <w:p>
            <w:pPr>
              <w:spacing w:after="0"/>
              <w:rPr>
                <w:sz w:val="18"/>
                <w:szCs w:val="18"/>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color w:val="auto"/>
              </w:rPr>
              <w:t>72</w:t>
            </w:r>
          </w:p>
        </w:tc>
        <w:tc>
          <w:tcPr>
            <w:tcW w:w="500" w:type="dxa"/>
            <w:vAlign w:val="bottom"/>
          </w:tcPr>
          <w:p>
            <w:pPr>
              <w:spacing w:after="0"/>
              <w:rPr>
                <w:sz w:val="18"/>
                <w:szCs w:val="18"/>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2"/>
              </w:rPr>
              <w:t>Other income</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9</w:t>
            </w:r>
          </w:p>
        </w:tc>
        <w:tc>
          <w:tcPr>
            <w:tcW w:w="5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Borders>
              <w:bottom w:val="single" w:sz="8" w:color="CCEEFF"/>
            </w:tcBorders>
            <w:gridSpan w:val="15"/>
          </w:tcPr>
          <w:p>
            <w:pPr>
              <w:ind w:left="2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88"/>
              </w:rPr>
              <w:t>1,365</w:t>
            </w:r>
          </w:p>
        </w:tc>
        <w:tc>
          <w:tcPr>
            <w:tcW w:w="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8"/>
              </w:rPr>
              <w:t>1,216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80" w:type="dxa"/>
            <w:vAlign w:val="bottom"/>
            <w:gridSpan w:val="15"/>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Benefits and expenses</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16"/>
          </w:tcPr>
          <w:p>
            <w:pPr>
              <w:ind w:left="120"/>
              <w:spacing w:after="0"/>
              <w:rPr>
                <w:sz w:val="20"/>
                <w:szCs w:val="20"/>
                <w:color w:val="auto"/>
              </w:rPr>
            </w:pPr>
            <w:r>
              <w:rPr>
                <w:rFonts w:ascii="Arial" w:cs="Arial" w:eastAsia="Arial" w:hAnsi="Arial"/>
                <w:sz w:val="18"/>
                <w:szCs w:val="18"/>
                <w:color w:val="auto"/>
              </w:rPr>
              <w:t>Insurance losses and loss expenses</w:t>
            </w:r>
          </w:p>
        </w:tc>
        <w:tc>
          <w:tcPr>
            <w:tcW w:w="580" w:type="dxa"/>
            <w:vAlign w:val="bottom"/>
          </w:tcPr>
          <w:p>
            <w:pPr>
              <w:spacing w:after="0"/>
              <w:rPr>
                <w:sz w:val="18"/>
                <w:szCs w:val="18"/>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color w:val="auto"/>
              </w:rPr>
              <w:t>706</w:t>
            </w:r>
          </w:p>
        </w:tc>
        <w:tc>
          <w:tcPr>
            <w:tcW w:w="500" w:type="dxa"/>
            <w:vAlign w:val="bottom"/>
          </w:tcPr>
          <w:p>
            <w:pPr>
              <w:spacing w:after="0"/>
              <w:rPr>
                <w:sz w:val="18"/>
                <w:szCs w:val="18"/>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761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16"/>
            <w:shd w:val="clear" w:color="auto" w:fill="CCEEFF"/>
          </w:tcPr>
          <w:p>
            <w:pPr>
              <w:ind w:left="120"/>
              <w:spacing w:after="0"/>
              <w:rPr>
                <w:sz w:val="20"/>
                <w:szCs w:val="20"/>
                <w:color w:val="auto"/>
              </w:rPr>
            </w:pPr>
            <w:r>
              <w:rPr>
                <w:rFonts w:ascii="Arial" w:cs="Arial" w:eastAsia="Arial" w:hAnsi="Arial"/>
                <w:sz w:val="18"/>
                <w:szCs w:val="18"/>
                <w:color w:val="auto"/>
              </w:rPr>
              <w:t>Policy acquisition and underwriting expenses</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247</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Borders>
              <w:bottom w:val="single" w:sz="8" w:color="CCEEFF"/>
            </w:tcBorders>
            <w:gridSpan w:val="15"/>
          </w:tcPr>
          <w:p>
            <w:pPr>
              <w:ind w:left="240"/>
              <w:spacing w:after="0"/>
              <w:rPr>
                <w:sz w:val="20"/>
                <w:szCs w:val="20"/>
                <w:color w:val="auto"/>
              </w:rPr>
            </w:pPr>
            <w:r>
              <w:rPr>
                <w:rFonts w:ascii="Arial" w:cs="Arial" w:eastAsia="Arial" w:hAnsi="Arial"/>
                <w:sz w:val="18"/>
                <w:szCs w:val="18"/>
                <w:color w:val="auto"/>
              </w:rPr>
              <w:t>Total benefits and expenses</w:t>
            </w:r>
          </w:p>
        </w:tc>
        <w:tc>
          <w:tcPr>
            <w:tcW w:w="2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953</w:t>
            </w:r>
          </w:p>
        </w:tc>
        <w:tc>
          <w:tcPr>
            <w:tcW w:w="5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988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gridSpan w:val="15"/>
            <w:shd w:val="clear" w:color="auto" w:fill="CCEEFF"/>
          </w:tcPr>
          <w:p>
            <w:pPr>
              <w:spacing w:after="0"/>
              <w:rPr>
                <w:sz w:val="20"/>
                <w:szCs w:val="20"/>
                <w:color w:val="auto"/>
              </w:rPr>
            </w:pPr>
            <w:r>
              <w:rPr>
                <w:rFonts w:ascii="Arial" w:cs="Arial" w:eastAsia="Arial" w:hAnsi="Arial"/>
                <w:sz w:val="18"/>
                <w:szCs w:val="18"/>
                <w:b w:val="1"/>
                <w:bCs w:val="1"/>
                <w:color w:val="auto"/>
              </w:rPr>
              <w:t>Income from operations before income taxes and noncontrolling interest</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412</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16"/>
          </w:tcPr>
          <w:p>
            <w:pPr>
              <w:ind w:left="120"/>
              <w:spacing w:after="0"/>
              <w:rPr>
                <w:sz w:val="20"/>
                <w:szCs w:val="20"/>
                <w:color w:val="auto"/>
              </w:rPr>
            </w:pPr>
            <w:r>
              <w:rPr>
                <w:rFonts w:ascii="Arial" w:cs="Arial" w:eastAsia="Arial" w:hAnsi="Arial"/>
                <w:sz w:val="18"/>
                <w:szCs w:val="18"/>
                <w:color w:val="auto"/>
              </w:rPr>
              <w:t>Provision for income taxes</w:t>
            </w:r>
          </w:p>
        </w:tc>
        <w:tc>
          <w:tcPr>
            <w:tcW w:w="580" w:type="dxa"/>
            <w:vAlign w:val="bottom"/>
          </w:tcPr>
          <w:p>
            <w:pPr>
              <w:spacing w:after="0"/>
              <w:rPr>
                <w:sz w:val="18"/>
                <w:szCs w:val="18"/>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color w:val="auto"/>
              </w:rPr>
              <w:t>138</w:t>
            </w:r>
          </w:p>
        </w:tc>
        <w:tc>
          <w:tcPr>
            <w:tcW w:w="500" w:type="dxa"/>
            <w:vAlign w:val="bottom"/>
          </w:tcPr>
          <w:p>
            <w:pPr>
              <w:spacing w:after="0"/>
              <w:rPr>
                <w:sz w:val="18"/>
                <w:szCs w:val="18"/>
                <w:color w:val="auto"/>
              </w:rPr>
            </w:pPr>
          </w:p>
        </w:tc>
        <w:tc>
          <w:tcPr>
            <w:tcW w:w="680" w:type="dxa"/>
            <w:vAlign w:val="bottom"/>
          </w:tcPr>
          <w:p>
            <w:pPr>
              <w:jc w:val="right"/>
              <w:ind w:right="190"/>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6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274</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16"/>
            <w:shd w:val="clear" w:color="auto" w:fill="CCEEFF"/>
          </w:tcPr>
          <w:p>
            <w:pPr>
              <w:spacing w:after="0"/>
              <w:rPr>
                <w:sz w:val="20"/>
                <w:szCs w:val="20"/>
                <w:color w:val="auto"/>
              </w:rPr>
            </w:pPr>
            <w:r>
              <w:rPr>
                <w:rFonts w:ascii="Arial" w:cs="Arial" w:eastAsia="Arial" w:hAnsi="Arial"/>
                <w:sz w:val="18"/>
                <w:szCs w:val="18"/>
                <w:b w:val="1"/>
                <w:bCs w:val="1"/>
                <w:color w:val="auto"/>
              </w:rPr>
              <w:t>Less: Net income attributable to noncontrolling interest in consolidated entity - Exchange</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230</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16"/>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Indemnity</w:t>
            </w:r>
          </w:p>
        </w:tc>
        <w:tc>
          <w:tcPr>
            <w:tcW w:w="5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44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16"/>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16"/>
          </w:tcPr>
          <w:p>
            <w:pPr>
              <w:spacing w:after="0"/>
              <w:rPr>
                <w:sz w:val="20"/>
                <w:szCs w:val="20"/>
                <w:color w:val="auto"/>
              </w:rPr>
            </w:pPr>
            <w:r>
              <w:rPr>
                <w:rFonts w:ascii="Arial" w:cs="Arial" w:eastAsia="Arial" w:hAnsi="Arial"/>
                <w:sz w:val="18"/>
                <w:szCs w:val="18"/>
                <w:b w:val="1"/>
                <w:bCs w:val="1"/>
                <w:color w:val="auto"/>
              </w:rPr>
              <w:t>Net income attributable to Indemnity per share</w:t>
            </w: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Borders>
              <w:bottom w:val="single" w:sz="8" w:color="CCEEFF"/>
            </w:tcBorders>
            <w:gridSpan w:val="15"/>
            <w:shd w:val="clear" w:color="auto" w:fill="CCEEFF"/>
          </w:tcPr>
          <w:p>
            <w:pPr>
              <w:ind w:left="380"/>
              <w:spacing w:after="0"/>
              <w:rPr>
                <w:sz w:val="20"/>
                <w:szCs w:val="20"/>
                <w:color w:val="auto"/>
              </w:rPr>
            </w:pPr>
            <w:r>
              <w:rPr>
                <w:rFonts w:ascii="Arial" w:cs="Arial" w:eastAsia="Arial" w:hAnsi="Arial"/>
                <w:sz w:val="18"/>
                <w:szCs w:val="18"/>
                <w:color w:val="auto"/>
              </w:rPr>
              <w:t>Class A common stock – basic</w:t>
            </w: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0.88</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0.92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380" w:type="dxa"/>
            <w:vAlign w:val="bottom"/>
            <w:tcBorders>
              <w:bottom w:val="single" w:sz="8" w:color="CCEEFF"/>
            </w:tcBorders>
            <w:gridSpan w:val="15"/>
          </w:tcPr>
          <w:p>
            <w:pPr>
              <w:ind w:left="380"/>
              <w:spacing w:after="0" w:line="196" w:lineRule="exact"/>
              <w:rPr>
                <w:sz w:val="20"/>
                <w:szCs w:val="20"/>
                <w:color w:val="auto"/>
              </w:rPr>
            </w:pPr>
            <w:r>
              <w:rPr>
                <w:rFonts w:ascii="Arial" w:cs="Arial" w:eastAsia="Arial" w:hAnsi="Arial"/>
                <w:sz w:val="18"/>
                <w:szCs w:val="18"/>
                <w:b w:val="1"/>
                <w:bCs w:val="1"/>
                <w:color w:val="auto"/>
              </w:rPr>
              <w:t>Class A common stock – diluted</w:t>
            </w:r>
          </w:p>
        </w:tc>
        <w:tc>
          <w:tcPr>
            <w:tcW w:w="2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360"/>
              <w:spacing w:after="0" w:line="196" w:lineRule="exact"/>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0.78</w:t>
            </w:r>
          </w:p>
        </w:tc>
        <w:tc>
          <w:tcPr>
            <w:tcW w:w="5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0.82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80" w:type="dxa"/>
            <w:vAlign w:val="bottom"/>
            <w:tcBorders>
              <w:bottom w:val="single" w:sz="8" w:color="CCEEFF"/>
            </w:tcBorders>
            <w:gridSpan w:val="15"/>
            <w:shd w:val="clear" w:color="auto" w:fill="CCEEFF"/>
          </w:tcPr>
          <w:p>
            <w:pPr>
              <w:ind w:left="380"/>
              <w:spacing w:after="0" w:line="196" w:lineRule="exact"/>
              <w:rPr>
                <w:sz w:val="20"/>
                <w:szCs w:val="20"/>
                <w:color w:val="auto"/>
              </w:rPr>
            </w:pPr>
            <w:r>
              <w:rPr>
                <w:rFonts w:ascii="Arial" w:cs="Arial" w:eastAsia="Arial" w:hAnsi="Arial"/>
                <w:sz w:val="18"/>
                <w:szCs w:val="18"/>
                <w:color w:val="auto"/>
              </w:rPr>
              <w:t>Class B common stock – basic and diluted</w:t>
            </w:r>
          </w:p>
        </w:tc>
        <w:tc>
          <w:tcPr>
            <w:tcW w:w="24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gridSpan w:val="2"/>
            <w:shd w:val="clear" w:color="auto" w:fill="CCEEFF"/>
          </w:tcPr>
          <w:p>
            <w:pPr>
              <w:jc w:val="right"/>
              <w:ind w:right="510"/>
              <w:spacing w:after="0" w:line="196" w:lineRule="exact"/>
              <w:rPr>
                <w:sz w:val="20"/>
                <w:szCs w:val="20"/>
                <w:color w:val="auto"/>
              </w:rPr>
            </w:pPr>
            <w:r>
              <w:rPr>
                <w:rFonts w:ascii="Arial" w:cs="Arial" w:eastAsia="Arial" w:hAnsi="Arial"/>
                <w:sz w:val="18"/>
                <w:szCs w:val="18"/>
                <w:color w:val="auto"/>
              </w:rPr>
              <w:t>$ 126.48</w:t>
            </w:r>
          </w:p>
        </w:tc>
        <w:tc>
          <w:tcPr>
            <w:tcW w:w="1180" w:type="dxa"/>
            <w:vAlign w:val="bottom"/>
            <w:tcBorders>
              <w:bottom w:val="single" w:sz="8" w:color="auto"/>
            </w:tcBorders>
            <w:gridSpan w:val="2"/>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$132.83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16"/>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attributable to Indemnity – Basic</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380" w:type="dxa"/>
            <w:vAlign w:val="bottom"/>
            <w:tcBorders>
              <w:bottom w:val="single" w:sz="8" w:color="CCEEFF"/>
            </w:tcBorders>
            <w:gridSpan w:val="15"/>
          </w:tcPr>
          <w:p>
            <w:pPr>
              <w:ind w:left="380"/>
              <w:spacing w:after="0"/>
              <w:rPr>
                <w:sz w:val="20"/>
                <w:szCs w:val="20"/>
                <w:color w:val="auto"/>
              </w:rPr>
            </w:pPr>
            <w:r>
              <w:rPr>
                <w:rFonts w:ascii="Arial" w:cs="Arial" w:eastAsia="Arial" w:hAnsi="Arial"/>
                <w:sz w:val="18"/>
                <w:szCs w:val="18"/>
                <w:color w:val="auto"/>
              </w:rPr>
              <w:t>Class A common stock</w:t>
            </w: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8"/>
                <w:szCs w:val="18"/>
                <w:color w:val="auto"/>
              </w:rPr>
              <w:t>49,789,056</w:t>
            </w:r>
          </w:p>
        </w:tc>
        <w:tc>
          <w:tcPr>
            <w:tcW w:w="11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51,185,736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80" w:type="dxa"/>
            <w:vAlign w:val="bottom"/>
            <w:tcBorders>
              <w:bottom w:val="single" w:sz="8" w:color="CCEEFF"/>
            </w:tcBorders>
            <w:gridSpan w:val="15"/>
            <w:shd w:val="clear" w:color="auto" w:fill="CCEEFF"/>
          </w:tcPr>
          <w:p>
            <w:pPr>
              <w:ind w:left="380"/>
              <w:spacing w:after="0" w:line="196" w:lineRule="exact"/>
              <w:rPr>
                <w:sz w:val="20"/>
                <w:szCs w:val="20"/>
                <w:color w:val="auto"/>
              </w:rPr>
            </w:pPr>
            <w:r>
              <w:rPr>
                <w:rFonts w:ascii="Arial" w:cs="Arial" w:eastAsia="Arial" w:hAnsi="Arial"/>
                <w:sz w:val="18"/>
                <w:szCs w:val="18"/>
                <w:color w:val="auto"/>
              </w:rPr>
              <w:t>Class B common stock</w:t>
            </w:r>
          </w:p>
        </w:tc>
        <w:tc>
          <w:tcPr>
            <w:tcW w:w="2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510"/>
              <w:spacing w:after="0" w:line="196" w:lineRule="exact"/>
              <w:rPr>
                <w:sz w:val="20"/>
                <w:szCs w:val="20"/>
                <w:color w:val="auto"/>
              </w:rPr>
            </w:pPr>
            <w:r>
              <w:rPr>
                <w:rFonts w:ascii="Arial" w:cs="Arial" w:eastAsia="Arial" w:hAnsi="Arial"/>
                <w:sz w:val="18"/>
                <w:szCs w:val="18"/>
                <w:color w:val="auto"/>
                <w:w w:val="88"/>
              </w:rPr>
              <w:t>2,546</w:t>
            </w:r>
          </w:p>
        </w:tc>
        <w:tc>
          <w:tcPr>
            <w:tcW w:w="5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88"/>
              </w:rPr>
              <w:t>2,546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16"/>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attributable to Indemnity– Diluted</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380" w:type="dxa"/>
            <w:vAlign w:val="bottom"/>
            <w:tcBorders>
              <w:bottom w:val="single" w:sz="8" w:color="CCEEFF"/>
            </w:tcBorders>
            <w:gridSpan w:val="15"/>
          </w:tcPr>
          <w:p>
            <w:pPr>
              <w:ind w:left="380"/>
              <w:spacing w:after="0"/>
              <w:rPr>
                <w:sz w:val="20"/>
                <w:szCs w:val="20"/>
                <w:color w:val="auto"/>
              </w:rPr>
            </w:pPr>
            <w:r>
              <w:rPr>
                <w:rFonts w:ascii="Arial" w:cs="Arial" w:eastAsia="Arial" w:hAnsi="Arial"/>
                <w:sz w:val="18"/>
                <w:szCs w:val="18"/>
                <w:color w:val="auto"/>
              </w:rPr>
              <w:t>Class A common stock</w:t>
            </w: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8"/>
                <w:szCs w:val="18"/>
                <w:color w:val="auto"/>
              </w:rPr>
              <w:t>55,968,838</w:t>
            </w:r>
          </w:p>
        </w:tc>
        <w:tc>
          <w:tcPr>
            <w:tcW w:w="11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57,357,543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80" w:type="dxa"/>
            <w:vAlign w:val="bottom"/>
            <w:tcBorders>
              <w:bottom w:val="single" w:sz="8" w:color="CCEEFF"/>
            </w:tcBorders>
            <w:gridSpan w:val="15"/>
            <w:shd w:val="clear" w:color="auto" w:fill="CCEEFF"/>
          </w:tcPr>
          <w:p>
            <w:pPr>
              <w:ind w:left="380"/>
              <w:spacing w:after="0" w:line="196" w:lineRule="exact"/>
              <w:rPr>
                <w:sz w:val="20"/>
                <w:szCs w:val="20"/>
                <w:color w:val="auto"/>
              </w:rPr>
            </w:pPr>
            <w:r>
              <w:rPr>
                <w:rFonts w:ascii="Arial" w:cs="Arial" w:eastAsia="Arial" w:hAnsi="Arial"/>
                <w:sz w:val="18"/>
                <w:szCs w:val="18"/>
                <w:color w:val="auto"/>
              </w:rPr>
              <w:t>Class B common stock</w:t>
            </w:r>
          </w:p>
        </w:tc>
        <w:tc>
          <w:tcPr>
            <w:tcW w:w="2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510"/>
              <w:spacing w:after="0" w:line="196" w:lineRule="exact"/>
              <w:rPr>
                <w:sz w:val="20"/>
                <w:szCs w:val="20"/>
                <w:color w:val="auto"/>
              </w:rPr>
            </w:pPr>
            <w:r>
              <w:rPr>
                <w:rFonts w:ascii="Arial" w:cs="Arial" w:eastAsia="Arial" w:hAnsi="Arial"/>
                <w:sz w:val="18"/>
                <w:szCs w:val="18"/>
                <w:color w:val="auto"/>
                <w:w w:val="88"/>
              </w:rPr>
              <w:t>2,546</w:t>
            </w:r>
          </w:p>
        </w:tc>
        <w:tc>
          <w:tcPr>
            <w:tcW w:w="5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88"/>
              </w:rPr>
              <w:t>2,546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16"/>
            <w:shd w:val="clear" w:color="auto" w:fill="CCEEFF"/>
          </w:tcPr>
          <w:p>
            <w:pPr>
              <w:spacing w:after="0"/>
              <w:rPr>
                <w:sz w:val="20"/>
                <w:szCs w:val="20"/>
                <w:color w:val="auto"/>
              </w:rPr>
            </w:pPr>
            <w:r>
              <w:rPr>
                <w:rFonts w:ascii="Arial" w:cs="Arial" w:eastAsia="Arial" w:hAnsi="Arial"/>
                <w:sz w:val="18"/>
                <w:szCs w:val="18"/>
                <w:b w:val="1"/>
                <w:bCs w:val="1"/>
                <w:color w:val="auto"/>
              </w:rPr>
              <w:t>Dividends declared per share</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8380" w:type="dxa"/>
            <w:vAlign w:val="bottom"/>
            <w:tcBorders>
              <w:bottom w:val="single" w:sz="8" w:color="CCEEFF"/>
            </w:tcBorders>
            <w:gridSpan w:val="15"/>
          </w:tcPr>
          <w:p>
            <w:pPr>
              <w:ind w:left="380"/>
              <w:spacing w:after="0"/>
              <w:rPr>
                <w:sz w:val="20"/>
                <w:szCs w:val="20"/>
                <w:color w:val="auto"/>
              </w:rPr>
            </w:pPr>
            <w:r>
              <w:rPr>
                <w:rFonts w:ascii="Arial" w:cs="Arial" w:eastAsia="Arial" w:hAnsi="Arial"/>
                <w:sz w:val="18"/>
                <w:szCs w:val="18"/>
                <w:color w:val="auto"/>
              </w:rPr>
              <w:t>Class A common stock</w:t>
            </w: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88"/>
              </w:rPr>
              <w:t>0.515</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0.48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-7155180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-7155180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08"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84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Class B common stock</w:t>
            </w:r>
          </w:p>
        </w:tc>
        <w:tc>
          <w:tcPr>
            <w:tcW w:w="17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  77.25</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$ 72.00</w:t>
            </w:r>
          </w:p>
        </w:tc>
      </w:tr>
      <w:tr>
        <w:trPr>
          <w:trHeight w:val="20"/>
        </w:trPr>
        <w:tc>
          <w:tcPr>
            <w:tcW w:w="84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3220"/>
        <w:spacing w:after="0"/>
        <w:rPr>
          <w:sz w:val="20"/>
          <w:szCs w:val="20"/>
          <w:color w:val="auto"/>
        </w:rPr>
      </w:pPr>
      <w:r>
        <w:rPr>
          <w:rFonts w:ascii="Arial" w:cs="Arial" w:eastAsia="Arial" w:hAnsi="Arial"/>
          <w:sz w:val="14"/>
          <w:szCs w:val="14"/>
          <w:b w:val="1"/>
          <w:bCs w:val="1"/>
          <w:color w:val="auto"/>
        </w:rPr>
        <w:t>ERIE INDEMNITY COMPANY</w:t>
      </w:r>
    </w:p>
    <w:p>
      <w:pPr>
        <w:jc w:val="center"/>
        <w:ind w:left="3220"/>
        <w:spacing w:after="0" w:line="226" w:lineRule="auto"/>
        <w:rPr>
          <w:sz w:val="20"/>
          <w:szCs w:val="20"/>
          <w:color w:val="auto"/>
        </w:rPr>
      </w:pPr>
      <w:r>
        <w:rPr>
          <w:rFonts w:ascii="Arial" w:cs="Arial" w:eastAsia="Arial" w:hAnsi="Arial"/>
          <w:sz w:val="14"/>
          <w:szCs w:val="14"/>
          <w:b w:val="1"/>
          <w:bCs w:val="1"/>
          <w:color w:val="auto"/>
        </w:rPr>
        <w:t>CONSOLIDATED STATEMENTS OF FINANCIAL POSITION</w:t>
      </w:r>
    </w:p>
    <w:p>
      <w:pPr>
        <w:spacing w:after="0" w:line="1" w:lineRule="exact"/>
        <w:rPr>
          <w:sz w:val="20"/>
          <w:szCs w:val="20"/>
          <w:color w:val="auto"/>
        </w:rPr>
      </w:pPr>
    </w:p>
    <w:p>
      <w:pPr>
        <w:jc w:val="center"/>
        <w:ind w:left="3220"/>
        <w:spacing w:after="0"/>
        <w:rPr>
          <w:sz w:val="20"/>
          <w:szCs w:val="20"/>
          <w:color w:val="auto"/>
        </w:rPr>
      </w:pPr>
      <w:r>
        <w:rPr>
          <w:rFonts w:ascii="Arial" w:cs="Arial" w:eastAsia="Arial" w:hAnsi="Arial"/>
          <w:sz w:val="14"/>
          <w:szCs w:val="14"/>
          <w:i w:val="1"/>
          <w:i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946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ind w:left="140"/>
        <w:spacing w:after="0" w:line="226" w:lineRule="auto"/>
        <w:rPr>
          <w:sz w:val="20"/>
          <w:szCs w:val="20"/>
          <w:color w:val="auto"/>
        </w:rPr>
      </w:pPr>
      <w:r>
        <w:rPr>
          <w:rFonts w:ascii="Arial" w:cs="Arial" w:eastAsia="Arial" w:hAnsi="Arial"/>
          <w:sz w:val="14"/>
          <w:szCs w:val="14"/>
          <w:b w:val="1"/>
          <w:bCs w:val="1"/>
          <w:color w:val="auto"/>
        </w:rPr>
        <w:t>Investments – Indemnity</w:t>
      </w:r>
    </w:p>
    <w:p>
      <w:pPr>
        <w:ind w:left="260"/>
        <w:spacing w:after="0" w:line="222" w:lineRule="auto"/>
        <w:rPr>
          <w:sz w:val="20"/>
          <w:szCs w:val="20"/>
          <w:color w:val="auto"/>
        </w:rPr>
      </w:pPr>
      <w:r>
        <w:rPr>
          <w:rFonts w:ascii="Arial" w:cs="Arial" w:eastAsia="Arial" w:hAnsi="Arial"/>
          <w:sz w:val="14"/>
          <w:szCs w:val="14"/>
          <w:color w:val="auto"/>
        </w:rPr>
        <w:t>Available-for-sale securities,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946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ind w:left="400"/>
        <w:spacing w:after="0" w:line="221" w:lineRule="auto"/>
        <w:rPr>
          <w:sz w:val="20"/>
          <w:szCs w:val="20"/>
          <w:color w:val="auto"/>
        </w:rPr>
      </w:pPr>
      <w:r>
        <w:rPr>
          <w:rFonts w:ascii="Arial" w:cs="Arial" w:eastAsia="Arial" w:hAnsi="Arial"/>
          <w:sz w:val="14"/>
          <w:szCs w:val="14"/>
          <w:color w:val="auto"/>
        </w:rPr>
        <w:t>Fixed maturities (amortized cost of $506 and $257, respectively)</w:t>
      </w:r>
    </w:p>
    <w:p>
      <w:pPr>
        <w:ind w:left="400"/>
        <w:spacing w:after="0" w:line="222" w:lineRule="auto"/>
        <w:rPr>
          <w:sz w:val="20"/>
          <w:szCs w:val="20"/>
          <w:color w:val="auto"/>
        </w:rPr>
      </w:pPr>
      <w:r>
        <w:rPr>
          <w:rFonts w:ascii="Arial" w:cs="Arial" w:eastAsia="Arial" w:hAnsi="Arial"/>
          <w:sz w:val="14"/>
          <w:szCs w:val="14"/>
          <w:color w:val="auto"/>
        </w:rPr>
        <w:t>Equity securities (cost of $18 and $20,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946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ind w:left="260"/>
        <w:spacing w:after="0" w:line="221" w:lineRule="auto"/>
        <w:rPr>
          <w:sz w:val="20"/>
          <w:szCs w:val="20"/>
          <w:color w:val="auto"/>
        </w:rPr>
      </w:pPr>
      <w:r>
        <w:rPr>
          <w:rFonts w:ascii="Arial" w:cs="Arial" w:eastAsia="Arial" w:hAnsi="Arial"/>
          <w:sz w:val="14"/>
          <w:szCs w:val="14"/>
          <w:color w:val="auto"/>
        </w:rPr>
        <w:t>Trading securities, at fair value (cost of $23 and $21, respectively)</w:t>
      </w:r>
    </w:p>
    <w:p>
      <w:pPr>
        <w:ind w:left="260"/>
        <w:spacing w:after="0" w:line="222" w:lineRule="auto"/>
        <w:rPr>
          <w:sz w:val="20"/>
          <w:szCs w:val="20"/>
          <w:color w:val="auto"/>
        </w:rPr>
      </w:pPr>
      <w:r>
        <w:rPr>
          <w:rFonts w:ascii="Arial" w:cs="Arial" w:eastAsia="Arial" w:hAnsi="Arial"/>
          <w:sz w:val="14"/>
          <w:szCs w:val="14"/>
          <w:color w:val="auto"/>
        </w:rPr>
        <w:t>Limited partnerships (cost of $200 and $202,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946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ind w:left="260"/>
        <w:spacing w:after="0" w:line="221" w:lineRule="auto"/>
        <w:rPr>
          <w:sz w:val="20"/>
          <w:szCs w:val="20"/>
          <w:color w:val="auto"/>
        </w:rPr>
      </w:pPr>
      <w:r>
        <w:rPr>
          <w:rFonts w:ascii="Arial" w:cs="Arial" w:eastAsia="Arial" w:hAnsi="Arial"/>
          <w:sz w:val="14"/>
          <w:szCs w:val="14"/>
          <w:color w:val="auto"/>
        </w:rPr>
        <w:t>Other invested assets</w:t>
      </w:r>
    </w:p>
    <w:p>
      <w:pPr>
        <w:ind w:left="140"/>
        <w:spacing w:after="0" w:line="221" w:lineRule="auto"/>
        <w:rPr>
          <w:sz w:val="20"/>
          <w:szCs w:val="20"/>
          <w:color w:val="auto"/>
        </w:rPr>
      </w:pPr>
      <w:r>
        <w:rPr>
          <w:rFonts w:ascii="Arial" w:cs="Arial" w:eastAsia="Arial" w:hAnsi="Arial"/>
          <w:sz w:val="14"/>
          <w:szCs w:val="14"/>
          <w:b w:val="1"/>
          <w:bCs w:val="1"/>
          <w:color w:val="auto"/>
        </w:rPr>
        <w:t>Investments –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946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ind w:left="260"/>
        <w:spacing w:after="0" w:line="222" w:lineRule="auto"/>
        <w:rPr>
          <w:sz w:val="20"/>
          <w:szCs w:val="20"/>
          <w:color w:val="auto"/>
        </w:rPr>
      </w:pPr>
      <w:r>
        <w:rPr>
          <w:rFonts w:ascii="Arial" w:cs="Arial" w:eastAsia="Arial" w:hAnsi="Arial"/>
          <w:sz w:val="14"/>
          <w:szCs w:val="14"/>
          <w:color w:val="auto"/>
        </w:rPr>
        <w:t>Available-for-sale securities, at fair value:</w:t>
      </w:r>
    </w:p>
    <w:p>
      <w:pPr>
        <w:ind w:left="400"/>
        <w:spacing w:after="0" w:line="221" w:lineRule="auto"/>
        <w:rPr>
          <w:sz w:val="20"/>
          <w:szCs w:val="20"/>
          <w:color w:val="auto"/>
        </w:rPr>
      </w:pPr>
      <w:r>
        <w:rPr>
          <w:rFonts w:ascii="Arial" w:cs="Arial" w:eastAsia="Arial" w:hAnsi="Arial"/>
          <w:sz w:val="14"/>
          <w:szCs w:val="14"/>
          <w:color w:val="auto"/>
        </w:rPr>
        <w:t>Fixed maturities (amortized cost of $6,857 and $6,863,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946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ind w:left="400"/>
        <w:spacing w:after="0" w:line="222" w:lineRule="auto"/>
        <w:rPr>
          <w:sz w:val="20"/>
          <w:szCs w:val="20"/>
          <w:color w:val="auto"/>
        </w:rPr>
      </w:pPr>
      <w:r>
        <w:rPr>
          <w:rFonts w:ascii="Arial" w:cs="Arial" w:eastAsia="Arial" w:hAnsi="Arial"/>
          <w:sz w:val="14"/>
          <w:szCs w:val="14"/>
          <w:color w:val="auto"/>
        </w:rPr>
        <w:t>Equity securities (cost of $519 and $503, respectively)</w:t>
      </w:r>
    </w:p>
    <w:p>
      <w:pPr>
        <w:ind w:left="260"/>
        <w:spacing w:after="0" w:line="221" w:lineRule="auto"/>
        <w:rPr>
          <w:sz w:val="20"/>
          <w:szCs w:val="20"/>
          <w:color w:val="auto"/>
        </w:rPr>
      </w:pPr>
      <w:r>
        <w:rPr>
          <w:rFonts w:ascii="Arial" w:cs="Arial" w:eastAsia="Arial" w:hAnsi="Arial"/>
          <w:sz w:val="14"/>
          <w:szCs w:val="14"/>
          <w:color w:val="auto"/>
        </w:rPr>
        <w:t>Trading securities, at fair value (cost of $1,847 and $1,773,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946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ind w:left="260"/>
        <w:spacing w:after="0" w:line="222" w:lineRule="auto"/>
        <w:rPr>
          <w:sz w:val="20"/>
          <w:szCs w:val="20"/>
          <w:color w:val="auto"/>
        </w:rPr>
      </w:pPr>
      <w:r>
        <w:rPr>
          <w:rFonts w:ascii="Arial" w:cs="Arial" w:eastAsia="Arial" w:hAnsi="Arial"/>
          <w:sz w:val="14"/>
          <w:szCs w:val="14"/>
          <w:color w:val="auto"/>
        </w:rPr>
        <w:t>Limited partnerships (cost of $1,097 and $1,083, respectively)</w:t>
      </w:r>
    </w:p>
    <w:p>
      <w:pPr>
        <w:ind w:left="260"/>
        <w:spacing w:after="0"/>
        <w:rPr>
          <w:sz w:val="20"/>
          <w:szCs w:val="20"/>
          <w:color w:val="auto"/>
        </w:rPr>
      </w:pPr>
      <w:r>
        <w:rPr>
          <w:rFonts w:ascii="Arial" w:cs="Arial" w:eastAsia="Arial" w:hAnsi="Arial"/>
          <w:sz w:val="14"/>
          <w:szCs w:val="14"/>
          <w:color w:val="auto"/>
        </w:rPr>
        <w:t>Other invested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946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ind w:left="520"/>
        <w:spacing w:after="0"/>
        <w:rPr>
          <w:sz w:val="20"/>
          <w:szCs w:val="20"/>
          <w:color w:val="auto"/>
        </w:rPr>
      </w:pPr>
      <w:r>
        <w:rPr>
          <w:rFonts w:ascii="Arial" w:cs="Arial" w:eastAsia="Arial" w:hAnsi="Arial"/>
          <w:sz w:val="14"/>
          <w:szCs w:val="14"/>
          <w:b w:val="1"/>
          <w:bCs w:val="1"/>
          <w:color w:val="auto"/>
        </w:rPr>
        <w:t>Total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946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0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Cash and cash equivalents (Exchange portion of $125 and $120, respectively)</w:t>
      </w:r>
    </w:p>
    <w:p>
      <w:pPr>
        <w:ind w:left="180"/>
        <w:spacing w:after="0" w:line="221" w:lineRule="auto"/>
        <w:rPr>
          <w:sz w:val="20"/>
          <w:szCs w:val="20"/>
          <w:color w:val="auto"/>
        </w:rPr>
      </w:pPr>
      <w:r>
        <w:rPr>
          <w:rFonts w:ascii="Arial" w:cs="Arial" w:eastAsia="Arial" w:hAnsi="Arial"/>
          <w:sz w:val="14"/>
          <w:szCs w:val="14"/>
          <w:color w:val="auto"/>
        </w:rPr>
        <w:t>Premiums receivable from policyholders (Exchange portion of $959 and $942,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946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ind w:left="180"/>
        <w:spacing w:after="0" w:line="221" w:lineRule="auto"/>
        <w:rPr>
          <w:sz w:val="20"/>
          <w:szCs w:val="20"/>
          <w:color w:val="auto"/>
        </w:rPr>
      </w:pPr>
      <w:r>
        <w:rPr>
          <w:rFonts w:ascii="Arial" w:cs="Arial" w:eastAsia="Arial" w:hAnsi="Arial"/>
          <w:sz w:val="14"/>
          <w:szCs w:val="14"/>
          <w:color w:val="auto"/>
        </w:rPr>
        <w:t>Reinsurance recoverable (Exchange portion of $199 and $201, respectively)</w:t>
      </w:r>
    </w:p>
    <w:p>
      <w:pPr>
        <w:ind w:left="180"/>
        <w:spacing w:after="0" w:line="222" w:lineRule="auto"/>
        <w:rPr>
          <w:sz w:val="20"/>
          <w:szCs w:val="20"/>
          <w:color w:val="auto"/>
        </w:rPr>
      </w:pPr>
      <w:r>
        <w:rPr>
          <w:rFonts w:ascii="Arial" w:cs="Arial" w:eastAsia="Arial" w:hAnsi="Arial"/>
          <w:sz w:val="14"/>
          <w:szCs w:val="14"/>
          <w:color w:val="auto"/>
        </w:rPr>
        <w:t>Deferred acquisition costs (Exchange portion of $469 and $467,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946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color w:val="auto"/>
        </w:rPr>
        <w:t>Other assets (Exchange portion of $332 and $357,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117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4"/>
          <w:szCs w:val="14"/>
          <w:b w:val="1"/>
          <w:bCs w:val="1"/>
          <w:color w:val="auto"/>
        </w:rPr>
        <w:t>Total assets</w:t>
      </w:r>
    </w:p>
    <w:p>
      <w:pPr>
        <w:spacing w:after="0" w:line="221" w:lineRule="auto"/>
        <w:rPr>
          <w:sz w:val="20"/>
          <w:szCs w:val="20"/>
          <w:color w:val="auto"/>
        </w:rPr>
      </w:pPr>
      <w:r>
        <w:rPr>
          <w:rFonts w:ascii="Arial" w:cs="Arial" w:eastAsia="Arial" w:hAnsi="Arial"/>
          <w:sz w:val="14"/>
          <w:szCs w:val="14"/>
          <w:b w:val="1"/>
          <w:bCs w:val="1"/>
          <w:color w:val="auto"/>
        </w:rPr>
        <w:t>Liabilities and shareholders’ equity</w:t>
      </w:r>
    </w:p>
    <w:p>
      <w:pPr>
        <w:spacing w:after="0" w:line="221" w:lineRule="auto"/>
        <w:rPr>
          <w:sz w:val="20"/>
          <w:szCs w:val="20"/>
          <w:color w:val="auto"/>
        </w:rPr>
      </w:pPr>
      <w:r>
        <w:rPr>
          <w:rFonts w:ascii="Arial" w:cs="Arial" w:eastAsia="Arial" w:hAnsi="Arial"/>
          <w:sz w:val="14"/>
          <w:szCs w:val="14"/>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946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ind w:left="140"/>
        <w:spacing w:after="0" w:line="222" w:lineRule="auto"/>
        <w:rPr>
          <w:sz w:val="20"/>
          <w:szCs w:val="20"/>
          <w:color w:val="auto"/>
        </w:rPr>
      </w:pPr>
      <w:r>
        <w:rPr>
          <w:rFonts w:ascii="Arial" w:cs="Arial" w:eastAsia="Arial" w:hAnsi="Arial"/>
          <w:sz w:val="14"/>
          <w:szCs w:val="14"/>
          <w:b w:val="1"/>
          <w:bCs w:val="1"/>
          <w:color w:val="auto"/>
        </w:rPr>
        <w:t>Indemnity liabilities</w:t>
      </w:r>
    </w:p>
    <w:p>
      <w:pPr>
        <w:ind w:left="260"/>
        <w:spacing w:after="0" w:line="221" w:lineRule="auto"/>
        <w:rPr>
          <w:sz w:val="20"/>
          <w:szCs w:val="20"/>
          <w:color w:val="auto"/>
        </w:rPr>
      </w:pPr>
      <w:r>
        <w:rPr>
          <w:rFonts w:ascii="Arial" w:cs="Arial" w:eastAsia="Arial" w:hAnsi="Arial"/>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946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ind w:left="260"/>
        <w:spacing w:after="0" w:line="222" w:lineRule="auto"/>
        <w:rPr>
          <w:sz w:val="20"/>
          <w:szCs w:val="20"/>
          <w:color w:val="auto"/>
        </w:rPr>
      </w:pPr>
      <w:r>
        <w:rPr>
          <w:rFonts w:ascii="Arial" w:cs="Arial" w:eastAsia="Arial" w:hAnsi="Arial"/>
          <w:sz w:val="14"/>
          <w:szCs w:val="14"/>
          <w:color w:val="auto"/>
        </w:rPr>
        <w:t>Other liabilities</w:t>
      </w:r>
    </w:p>
    <w:p>
      <w:pPr>
        <w:ind w:left="140"/>
        <w:spacing w:after="0" w:line="221" w:lineRule="auto"/>
        <w:rPr>
          <w:sz w:val="20"/>
          <w:szCs w:val="20"/>
          <w:color w:val="auto"/>
        </w:rPr>
      </w:pPr>
      <w:r>
        <w:rPr>
          <w:rFonts w:ascii="Arial" w:cs="Arial" w:eastAsia="Arial" w:hAnsi="Arial"/>
          <w:sz w:val="14"/>
          <w:szCs w:val="14"/>
          <w:b w:val="1"/>
          <w:bCs w:val="1"/>
          <w:color w:val="auto"/>
        </w:rPr>
        <w:t>Exchange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946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ind w:left="260"/>
        <w:spacing w:after="0" w:line="222" w:lineRule="auto"/>
        <w:rPr>
          <w:sz w:val="20"/>
          <w:szCs w:val="20"/>
          <w:color w:val="auto"/>
        </w:rPr>
      </w:pPr>
      <w:r>
        <w:rPr>
          <w:rFonts w:ascii="Arial" w:cs="Arial" w:eastAsia="Arial" w:hAnsi="Arial"/>
          <w:sz w:val="14"/>
          <w:szCs w:val="14"/>
          <w:color w:val="auto"/>
        </w:rPr>
        <w:t>Losses and loss expense reserves</w:t>
      </w:r>
    </w:p>
    <w:p>
      <w:pPr>
        <w:ind w:left="260"/>
        <w:spacing w:after="0" w:line="221" w:lineRule="auto"/>
        <w:rPr>
          <w:sz w:val="20"/>
          <w:szCs w:val="20"/>
          <w:color w:val="auto"/>
        </w:rPr>
      </w:pPr>
      <w:r>
        <w:rPr>
          <w:rFonts w:ascii="Arial" w:cs="Arial" w:eastAsia="Arial" w:hAnsi="Arial"/>
          <w:sz w:val="14"/>
          <w:szCs w:val="14"/>
          <w:color w:val="auto"/>
        </w:rPr>
        <w:t>Life policy and deposit contract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946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ind w:left="260"/>
        <w:spacing w:after="0" w:line="222" w:lineRule="auto"/>
        <w:rPr>
          <w:sz w:val="20"/>
          <w:szCs w:val="20"/>
          <w:color w:val="auto"/>
        </w:rPr>
      </w:pPr>
      <w:r>
        <w:rPr>
          <w:rFonts w:ascii="Arial" w:cs="Arial" w:eastAsia="Arial" w:hAnsi="Arial"/>
          <w:sz w:val="14"/>
          <w:szCs w:val="14"/>
          <w:color w:val="auto"/>
        </w:rPr>
        <w:t>Unearned premiums</w:t>
      </w:r>
    </w:p>
    <w:p>
      <w:pPr>
        <w:ind w:left="260"/>
        <w:spacing w:after="0" w:line="221" w:lineRule="auto"/>
        <w:rPr>
          <w:sz w:val="20"/>
          <w:szCs w:val="20"/>
          <w:color w:val="auto"/>
        </w:rPr>
      </w:pPr>
      <w:r>
        <w:rPr>
          <w:rFonts w:ascii="Arial" w:cs="Arial" w:eastAsia="Arial" w:hAnsi="Arial"/>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946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4"/>
          <w:szCs w:val="14"/>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028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4"/>
          <w:szCs w:val="14"/>
          <w:b w:val="1"/>
          <w:bCs w:val="1"/>
          <w:color w:val="auto"/>
        </w:rPr>
        <w:t>Total liabilities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Indemnity’s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946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ind w:left="320" w:hanging="181"/>
        <w:spacing w:after="0" w:line="221" w:lineRule="auto"/>
        <w:rPr>
          <w:sz w:val="20"/>
          <w:szCs w:val="20"/>
          <w:color w:val="auto"/>
        </w:rPr>
      </w:pPr>
      <w:r>
        <w:rPr>
          <w:rFonts w:ascii="Arial" w:cs="Arial" w:eastAsia="Arial" w:hAnsi="Arial"/>
          <w:sz w:val="14"/>
          <w:szCs w:val="14"/>
          <w:color w:val="auto"/>
        </w:rPr>
        <w:t>Class A common stock, stated value $0.0292 per share; authorized 74,996,930 shares; 68,289,600 shares issued; 49,525,482 and 50,054,506 shares outstanding, respectively</w:t>
      </w:r>
    </w:p>
    <w:p>
      <w:pPr>
        <w:spacing w:after="0" w:line="1" w:lineRule="exact"/>
        <w:rPr>
          <w:sz w:val="20"/>
          <w:szCs w:val="20"/>
          <w:color w:val="auto"/>
        </w:rPr>
      </w:pPr>
    </w:p>
    <w:p>
      <w:pPr>
        <w:ind w:left="320" w:right="500" w:hanging="181"/>
        <w:spacing w:after="0" w:line="221" w:lineRule="auto"/>
        <w:rPr>
          <w:sz w:val="20"/>
          <w:szCs w:val="20"/>
          <w:color w:val="auto"/>
        </w:rPr>
      </w:pPr>
      <w:r>
        <w:rPr>
          <w:rFonts w:ascii="Arial" w:cs="Arial" w:eastAsia="Arial" w:hAnsi="Arial"/>
          <w:sz w:val="14"/>
          <w:szCs w:val="14"/>
          <w:color w:val="auto"/>
        </w:rPr>
        <w:t>Class B common stock, convertible at a rate of 2,400 Class A shares for one Class B share, stated value $70 per share; 2,546 shares authorized, issued and outstanding,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ind w:left="180"/>
        <w:spacing w:after="0" w:line="222" w:lineRule="auto"/>
        <w:rPr>
          <w:sz w:val="20"/>
          <w:szCs w:val="20"/>
          <w:color w:val="auto"/>
        </w:rPr>
      </w:pPr>
      <w:r>
        <w:rPr>
          <w:rFonts w:ascii="Arial" w:cs="Arial" w:eastAsia="Arial" w:hAnsi="Arial"/>
          <w:sz w:val="14"/>
          <w:szCs w:val="14"/>
          <w:color w:val="auto"/>
        </w:rPr>
        <w:t>Additional paid-in-capital</w:t>
      </w:r>
    </w:p>
    <w:p>
      <w:pPr>
        <w:ind w:left="180"/>
        <w:spacing w:after="0" w:line="221" w:lineRule="auto"/>
        <w:rPr>
          <w:sz w:val="20"/>
          <w:szCs w:val="20"/>
          <w:color w:val="auto"/>
        </w:rPr>
      </w:pPr>
      <w:r>
        <w:rPr>
          <w:rFonts w:ascii="Arial" w:cs="Arial" w:eastAsia="Arial" w:hAnsi="Arial"/>
          <w:sz w:val="14"/>
          <w:szCs w:val="14"/>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946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ind w:left="180"/>
        <w:spacing w:after="0" w:line="229" w:lineRule="auto"/>
        <w:rPr>
          <w:sz w:val="20"/>
          <w:szCs w:val="20"/>
          <w:color w:val="auto"/>
        </w:rPr>
      </w:pPr>
      <w:r>
        <w:rPr>
          <w:rFonts w:ascii="Arial" w:cs="Arial" w:eastAsia="Arial" w:hAnsi="Arial"/>
          <w:sz w:val="14"/>
          <w:szCs w:val="14"/>
          <w:color w:val="auto"/>
        </w:rPr>
        <w:t>Retained earnings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0" w:type="dxa"/>
            <w:vAlign w:val="bottom"/>
            <w:gridSpan w:val="2"/>
          </w:tcPr>
          <w:p>
            <w:pPr>
              <w:jc w:val="center"/>
              <w:ind w:right="168"/>
              <w:spacing w:after="0"/>
              <w:rPr>
                <w:sz w:val="20"/>
                <w:szCs w:val="20"/>
                <w:color w:val="auto"/>
              </w:rPr>
            </w:pPr>
            <w:r>
              <w:rPr>
                <w:rFonts w:ascii="Arial" w:cs="Arial" w:eastAsia="Arial" w:hAnsi="Arial"/>
                <w:sz w:val="14"/>
                <w:szCs w:val="14"/>
                <w:color w:val="auto"/>
                <w:w w:val="96"/>
              </w:rPr>
              <w:t>March 31,</w:t>
            </w:r>
          </w:p>
        </w:tc>
        <w:tc>
          <w:tcPr>
            <w:tcW w:w="1440" w:type="dxa"/>
            <w:vAlign w:val="bottom"/>
            <w:gridSpan w:val="2"/>
          </w:tcPr>
          <w:p>
            <w:pPr>
              <w:jc w:val="right"/>
              <w:ind w:right="368"/>
              <w:spacing w:after="0"/>
              <w:rPr>
                <w:sz w:val="20"/>
                <w:szCs w:val="20"/>
                <w:color w:val="auto"/>
              </w:rPr>
            </w:pPr>
            <w:r>
              <w:rPr>
                <w:rFonts w:ascii="Arial" w:cs="Arial" w:eastAsia="Arial" w:hAnsi="Arial"/>
                <w:sz w:val="14"/>
                <w:szCs w:val="14"/>
                <w:color w:val="auto"/>
              </w:rPr>
              <w:t>December 31,</w:t>
            </w:r>
          </w:p>
        </w:tc>
      </w:tr>
      <w:tr>
        <w:trPr>
          <w:trHeight w:val="167"/>
        </w:trPr>
        <w:tc>
          <w:tcPr>
            <w:tcW w:w="74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color w:val="auto"/>
                <w:w w:val="89"/>
              </w:rPr>
              <w:t>2011</w:t>
            </w:r>
          </w:p>
        </w:tc>
        <w:tc>
          <w:tcPr>
            <w:tcW w:w="6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680" w:type="dxa"/>
            <w:vAlign w:val="bottom"/>
            <w:tcBorders>
              <w:bottom w:val="single" w:sz="8" w:color="auto"/>
            </w:tcBorders>
          </w:tcPr>
          <w:p>
            <w:pPr>
              <w:spacing w:after="0"/>
              <w:rPr>
                <w:sz w:val="14"/>
                <w:szCs w:val="14"/>
                <w:color w:val="auto"/>
              </w:rPr>
            </w:pPr>
          </w:p>
        </w:tc>
      </w:tr>
      <w:tr>
        <w:trPr>
          <w:trHeight w:val="176"/>
        </w:trPr>
        <w:tc>
          <w:tcPr>
            <w:tcW w:w="1400" w:type="dxa"/>
            <w:vAlign w:val="bottom"/>
            <w:gridSpan w:val="2"/>
          </w:tcPr>
          <w:p>
            <w:pPr>
              <w:jc w:val="center"/>
              <w:ind w:right="168"/>
              <w:spacing w:after="0"/>
              <w:rPr>
                <w:sz w:val="20"/>
                <w:szCs w:val="20"/>
                <w:color w:val="auto"/>
              </w:rPr>
            </w:pPr>
            <w:r>
              <w:rPr>
                <w:rFonts w:ascii="Arial" w:cs="Arial" w:eastAsia="Arial" w:hAnsi="Arial"/>
                <w:sz w:val="14"/>
                <w:szCs w:val="14"/>
                <w:color w:val="auto"/>
                <w:w w:val="92"/>
              </w:rPr>
              <w:t>(Unaudited)</w:t>
            </w: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542"/>
        </w:trPr>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513</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08"/>
              <w:spacing w:after="0"/>
              <w:rPr>
                <w:sz w:val="20"/>
                <w:szCs w:val="20"/>
                <w:color w:val="auto"/>
              </w:rPr>
            </w:pPr>
            <w:r>
              <w:rPr>
                <w:rFonts w:ascii="Arial" w:cs="Arial" w:eastAsia="Arial" w:hAnsi="Arial"/>
                <w:sz w:val="14"/>
                <w:szCs w:val="14"/>
                <w:color w:val="auto"/>
              </w:rPr>
              <w:t>264</w:t>
            </w:r>
          </w:p>
        </w:tc>
      </w:tr>
      <w:tr>
        <w:trPr>
          <w:trHeight w:val="149"/>
        </w:trPr>
        <w:tc>
          <w:tcPr>
            <w:tcW w:w="740" w:type="dxa"/>
            <w:vAlign w:val="bottom"/>
          </w:tcPr>
          <w:p>
            <w:pPr>
              <w:spacing w:after="0"/>
              <w:rPr>
                <w:sz w:val="12"/>
                <w:szCs w:val="12"/>
                <w:color w:val="auto"/>
              </w:rPr>
            </w:pPr>
          </w:p>
        </w:tc>
        <w:tc>
          <w:tcPr>
            <w:tcW w:w="66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22</w:t>
            </w:r>
          </w:p>
        </w:tc>
        <w:tc>
          <w:tcPr>
            <w:tcW w:w="760" w:type="dxa"/>
            <w:vAlign w:val="bottom"/>
          </w:tcPr>
          <w:p>
            <w:pPr>
              <w:spacing w:after="0"/>
              <w:rPr>
                <w:sz w:val="12"/>
                <w:szCs w:val="12"/>
                <w:color w:val="auto"/>
              </w:rPr>
            </w:pPr>
          </w:p>
        </w:tc>
        <w:tc>
          <w:tcPr>
            <w:tcW w:w="68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24</w:t>
            </w:r>
          </w:p>
        </w:tc>
      </w:tr>
      <w:tr>
        <w:trPr>
          <w:trHeight w:val="149"/>
        </w:trPr>
        <w:tc>
          <w:tcPr>
            <w:tcW w:w="740" w:type="dxa"/>
            <w:vAlign w:val="bottom"/>
          </w:tcPr>
          <w:p>
            <w:pPr>
              <w:spacing w:after="0"/>
              <w:rPr>
                <w:sz w:val="12"/>
                <w:szCs w:val="12"/>
                <w:color w:val="auto"/>
              </w:rPr>
            </w:pPr>
          </w:p>
        </w:tc>
        <w:tc>
          <w:tcPr>
            <w:tcW w:w="66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29</w:t>
            </w:r>
          </w:p>
        </w:tc>
        <w:tc>
          <w:tcPr>
            <w:tcW w:w="760" w:type="dxa"/>
            <w:vAlign w:val="bottom"/>
          </w:tcPr>
          <w:p>
            <w:pPr>
              <w:spacing w:after="0"/>
              <w:rPr>
                <w:sz w:val="12"/>
                <w:szCs w:val="12"/>
                <w:color w:val="auto"/>
              </w:rPr>
            </w:pPr>
          </w:p>
        </w:tc>
        <w:tc>
          <w:tcPr>
            <w:tcW w:w="68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28</w:t>
            </w:r>
          </w:p>
        </w:tc>
      </w:tr>
      <w:tr>
        <w:trPr>
          <w:trHeight w:val="149"/>
        </w:trPr>
        <w:tc>
          <w:tcPr>
            <w:tcW w:w="740" w:type="dxa"/>
            <w:vAlign w:val="bottom"/>
          </w:tcPr>
          <w:p>
            <w:pPr>
              <w:spacing w:after="0"/>
              <w:rPr>
                <w:sz w:val="12"/>
                <w:szCs w:val="12"/>
                <w:color w:val="auto"/>
              </w:rPr>
            </w:pPr>
          </w:p>
        </w:tc>
        <w:tc>
          <w:tcPr>
            <w:tcW w:w="66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222</w:t>
            </w:r>
          </w:p>
        </w:tc>
        <w:tc>
          <w:tcPr>
            <w:tcW w:w="760" w:type="dxa"/>
            <w:vAlign w:val="bottom"/>
          </w:tcPr>
          <w:p>
            <w:pPr>
              <w:spacing w:after="0"/>
              <w:rPr>
                <w:sz w:val="12"/>
                <w:szCs w:val="12"/>
                <w:color w:val="auto"/>
              </w:rPr>
            </w:pPr>
          </w:p>
        </w:tc>
        <w:tc>
          <w:tcPr>
            <w:tcW w:w="68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216</w:t>
            </w:r>
          </w:p>
        </w:tc>
      </w:tr>
      <w:tr>
        <w:trPr>
          <w:trHeight w:val="182"/>
        </w:trPr>
        <w:tc>
          <w:tcPr>
            <w:tcW w:w="740" w:type="dxa"/>
            <w:vAlign w:val="bottom"/>
          </w:tcPr>
          <w:p>
            <w:pPr>
              <w:spacing w:after="0"/>
              <w:rPr>
                <w:sz w:val="15"/>
                <w:szCs w:val="15"/>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1</w:t>
            </w:r>
          </w:p>
        </w:tc>
        <w:tc>
          <w:tcPr>
            <w:tcW w:w="760" w:type="dxa"/>
            <w:vAlign w:val="bottom"/>
          </w:tcPr>
          <w:p>
            <w:pPr>
              <w:spacing w:after="0"/>
              <w:rPr>
                <w:sz w:val="15"/>
                <w:szCs w:val="15"/>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color w:val="auto"/>
              </w:rPr>
              <w:t>1</w:t>
            </w:r>
          </w:p>
        </w:tc>
      </w:tr>
      <w:tr>
        <w:trPr>
          <w:trHeight w:val="412"/>
        </w:trPr>
        <w:tc>
          <w:tcPr>
            <w:tcW w:w="740" w:type="dxa"/>
            <w:vAlign w:val="bottom"/>
          </w:tcPr>
          <w:p>
            <w:pPr>
              <w:spacing w:after="0"/>
              <w:rPr>
                <w:sz w:val="24"/>
                <w:szCs w:val="24"/>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7,254</w:t>
            </w:r>
          </w:p>
        </w:tc>
        <w:tc>
          <w:tcPr>
            <w:tcW w:w="760" w:type="dxa"/>
            <w:vAlign w:val="bottom"/>
          </w:tcPr>
          <w:p>
            <w:pPr>
              <w:spacing w:after="0"/>
              <w:rPr>
                <w:sz w:val="24"/>
                <w:szCs w:val="24"/>
                <w:color w:val="auto"/>
              </w:rPr>
            </w:pPr>
          </w:p>
        </w:tc>
        <w:tc>
          <w:tcPr>
            <w:tcW w:w="680" w:type="dxa"/>
            <w:vAlign w:val="bottom"/>
          </w:tcPr>
          <w:p>
            <w:pPr>
              <w:jc w:val="right"/>
              <w:ind w:right="188"/>
              <w:spacing w:after="0"/>
              <w:rPr>
                <w:sz w:val="20"/>
                <w:szCs w:val="20"/>
                <w:color w:val="auto"/>
              </w:rPr>
            </w:pPr>
            <w:r>
              <w:rPr>
                <w:rFonts w:ascii="Arial" w:cs="Arial" w:eastAsia="Arial" w:hAnsi="Arial"/>
                <w:sz w:val="14"/>
                <w:szCs w:val="14"/>
                <w:color w:val="auto"/>
              </w:rPr>
              <w:t>7,279</w:t>
            </w:r>
          </w:p>
        </w:tc>
      </w:tr>
      <w:tr>
        <w:trPr>
          <w:trHeight w:val="149"/>
        </w:trPr>
        <w:tc>
          <w:tcPr>
            <w:tcW w:w="740" w:type="dxa"/>
            <w:vAlign w:val="bottom"/>
          </w:tcPr>
          <w:p>
            <w:pPr>
              <w:spacing w:after="0"/>
              <w:rPr>
                <w:sz w:val="12"/>
                <w:szCs w:val="12"/>
                <w:color w:val="auto"/>
              </w:rPr>
            </w:pPr>
          </w:p>
        </w:tc>
        <w:tc>
          <w:tcPr>
            <w:tcW w:w="66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603</w:t>
            </w:r>
          </w:p>
        </w:tc>
        <w:tc>
          <w:tcPr>
            <w:tcW w:w="760" w:type="dxa"/>
            <w:vAlign w:val="bottom"/>
          </w:tcPr>
          <w:p>
            <w:pPr>
              <w:spacing w:after="0"/>
              <w:rPr>
                <w:sz w:val="12"/>
                <w:szCs w:val="12"/>
                <w:color w:val="auto"/>
              </w:rPr>
            </w:pPr>
          </w:p>
        </w:tc>
        <w:tc>
          <w:tcPr>
            <w:tcW w:w="68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570</w:t>
            </w:r>
          </w:p>
        </w:tc>
      </w:tr>
      <w:tr>
        <w:trPr>
          <w:trHeight w:val="149"/>
        </w:trPr>
        <w:tc>
          <w:tcPr>
            <w:tcW w:w="740" w:type="dxa"/>
            <w:vAlign w:val="bottom"/>
          </w:tcPr>
          <w:p>
            <w:pPr>
              <w:spacing w:after="0"/>
              <w:rPr>
                <w:sz w:val="12"/>
                <w:szCs w:val="12"/>
                <w:color w:val="auto"/>
              </w:rPr>
            </w:pPr>
          </w:p>
        </w:tc>
        <w:tc>
          <w:tcPr>
            <w:tcW w:w="66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2,462</w:t>
            </w:r>
          </w:p>
        </w:tc>
        <w:tc>
          <w:tcPr>
            <w:tcW w:w="760" w:type="dxa"/>
            <w:vAlign w:val="bottom"/>
          </w:tcPr>
          <w:p>
            <w:pPr>
              <w:spacing w:after="0"/>
              <w:rPr>
                <w:sz w:val="12"/>
                <w:szCs w:val="12"/>
                <w:color w:val="auto"/>
              </w:rPr>
            </w:pPr>
          </w:p>
        </w:tc>
        <w:tc>
          <w:tcPr>
            <w:tcW w:w="68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2,306</w:t>
            </w:r>
          </w:p>
        </w:tc>
      </w:tr>
      <w:tr>
        <w:trPr>
          <w:trHeight w:val="149"/>
        </w:trPr>
        <w:tc>
          <w:tcPr>
            <w:tcW w:w="740" w:type="dxa"/>
            <w:vAlign w:val="bottom"/>
          </w:tcPr>
          <w:p>
            <w:pPr>
              <w:spacing w:after="0"/>
              <w:rPr>
                <w:sz w:val="12"/>
                <w:szCs w:val="12"/>
                <w:color w:val="auto"/>
              </w:rPr>
            </w:pPr>
          </w:p>
        </w:tc>
        <w:tc>
          <w:tcPr>
            <w:tcW w:w="66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1,153</w:t>
            </w:r>
          </w:p>
        </w:tc>
        <w:tc>
          <w:tcPr>
            <w:tcW w:w="760" w:type="dxa"/>
            <w:vAlign w:val="bottom"/>
          </w:tcPr>
          <w:p>
            <w:pPr>
              <w:spacing w:after="0"/>
              <w:rPr>
                <w:sz w:val="12"/>
                <w:szCs w:val="12"/>
                <w:color w:val="auto"/>
              </w:rPr>
            </w:pPr>
          </w:p>
        </w:tc>
        <w:tc>
          <w:tcPr>
            <w:tcW w:w="68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1,108</w:t>
            </w:r>
          </w:p>
        </w:tc>
      </w:tr>
      <w:tr>
        <w:trPr>
          <w:trHeight w:val="167"/>
        </w:trPr>
        <w:tc>
          <w:tcPr>
            <w:tcW w:w="7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18</w:t>
            </w:r>
          </w:p>
        </w:tc>
        <w:tc>
          <w:tcPr>
            <w:tcW w:w="7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19</w:t>
            </w:r>
          </w:p>
        </w:tc>
      </w:tr>
      <w:tr>
        <w:trPr>
          <w:trHeight w:val="180"/>
        </w:trPr>
        <w:tc>
          <w:tcPr>
            <w:tcW w:w="740" w:type="dxa"/>
            <w:vAlign w:val="bottom"/>
          </w:tcPr>
          <w:p>
            <w:pPr>
              <w:spacing w:after="0"/>
              <w:rPr>
                <w:sz w:val="15"/>
                <w:szCs w:val="15"/>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b w:val="1"/>
                <w:bCs w:val="1"/>
                <w:color w:val="auto"/>
                <w:w w:val="93"/>
              </w:rPr>
              <w:t>12,277</w:t>
            </w:r>
          </w:p>
        </w:tc>
        <w:tc>
          <w:tcPr>
            <w:tcW w:w="760" w:type="dxa"/>
            <w:vAlign w:val="bottom"/>
          </w:tcPr>
          <w:p>
            <w:pPr>
              <w:spacing w:after="0"/>
              <w:rPr>
                <w:sz w:val="15"/>
                <w:szCs w:val="15"/>
                <w:color w:val="auto"/>
              </w:rPr>
            </w:pPr>
          </w:p>
        </w:tc>
        <w:tc>
          <w:tcPr>
            <w:tcW w:w="680" w:type="dxa"/>
            <w:vAlign w:val="bottom"/>
          </w:tcPr>
          <w:p>
            <w:pPr>
              <w:jc w:val="right"/>
              <w:ind w:right="188"/>
              <w:spacing w:after="0"/>
              <w:rPr>
                <w:sz w:val="20"/>
                <w:szCs w:val="20"/>
                <w:color w:val="auto"/>
              </w:rPr>
            </w:pPr>
            <w:r>
              <w:rPr>
                <w:rFonts w:ascii="Arial" w:cs="Arial" w:eastAsia="Arial" w:hAnsi="Arial"/>
                <w:sz w:val="14"/>
                <w:szCs w:val="14"/>
                <w:b w:val="1"/>
                <w:bCs w:val="1"/>
                <w:color w:val="auto"/>
                <w:w w:val="93"/>
              </w:rPr>
              <w:t>11,815</w:t>
            </w:r>
          </w:p>
        </w:tc>
      </w:tr>
      <w:tr>
        <w:trPr>
          <w:trHeight w:val="241"/>
        </w:trPr>
        <w:tc>
          <w:tcPr>
            <w:tcW w:w="740" w:type="dxa"/>
            <w:vAlign w:val="bottom"/>
          </w:tcPr>
          <w:p>
            <w:pPr>
              <w:spacing w:after="0"/>
              <w:rPr>
                <w:sz w:val="20"/>
                <w:szCs w:val="20"/>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211</w:t>
            </w:r>
          </w:p>
        </w:tc>
        <w:tc>
          <w:tcPr>
            <w:tcW w:w="760" w:type="dxa"/>
            <w:vAlign w:val="bottom"/>
          </w:tcPr>
          <w:p>
            <w:pPr>
              <w:spacing w:after="0"/>
              <w:rPr>
                <w:sz w:val="20"/>
                <w:szCs w:val="20"/>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color w:val="auto"/>
              </w:rPr>
              <w:t>430</w:t>
            </w:r>
          </w:p>
        </w:tc>
      </w:tr>
      <w:tr>
        <w:trPr>
          <w:trHeight w:val="149"/>
        </w:trPr>
        <w:tc>
          <w:tcPr>
            <w:tcW w:w="740" w:type="dxa"/>
            <w:vAlign w:val="bottom"/>
          </w:tcPr>
          <w:p>
            <w:pPr>
              <w:spacing w:after="0"/>
              <w:rPr>
                <w:sz w:val="12"/>
                <w:szCs w:val="12"/>
                <w:color w:val="auto"/>
              </w:rPr>
            </w:pPr>
          </w:p>
        </w:tc>
        <w:tc>
          <w:tcPr>
            <w:tcW w:w="66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959</w:t>
            </w:r>
          </w:p>
        </w:tc>
        <w:tc>
          <w:tcPr>
            <w:tcW w:w="760" w:type="dxa"/>
            <w:vAlign w:val="bottom"/>
          </w:tcPr>
          <w:p>
            <w:pPr>
              <w:spacing w:after="0"/>
              <w:rPr>
                <w:sz w:val="12"/>
                <w:szCs w:val="12"/>
                <w:color w:val="auto"/>
              </w:rPr>
            </w:pPr>
          </w:p>
        </w:tc>
        <w:tc>
          <w:tcPr>
            <w:tcW w:w="68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942</w:t>
            </w:r>
          </w:p>
        </w:tc>
      </w:tr>
      <w:tr>
        <w:trPr>
          <w:trHeight w:val="149"/>
        </w:trPr>
        <w:tc>
          <w:tcPr>
            <w:tcW w:w="740" w:type="dxa"/>
            <w:vAlign w:val="bottom"/>
          </w:tcPr>
          <w:p>
            <w:pPr>
              <w:spacing w:after="0"/>
              <w:rPr>
                <w:sz w:val="12"/>
                <w:szCs w:val="12"/>
                <w:color w:val="auto"/>
              </w:rPr>
            </w:pPr>
          </w:p>
        </w:tc>
        <w:tc>
          <w:tcPr>
            <w:tcW w:w="66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199</w:t>
            </w:r>
          </w:p>
        </w:tc>
        <w:tc>
          <w:tcPr>
            <w:tcW w:w="760" w:type="dxa"/>
            <w:vAlign w:val="bottom"/>
          </w:tcPr>
          <w:p>
            <w:pPr>
              <w:spacing w:after="0"/>
              <w:rPr>
                <w:sz w:val="12"/>
                <w:szCs w:val="12"/>
                <w:color w:val="auto"/>
              </w:rPr>
            </w:pPr>
          </w:p>
        </w:tc>
        <w:tc>
          <w:tcPr>
            <w:tcW w:w="68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201</w:t>
            </w:r>
          </w:p>
        </w:tc>
      </w:tr>
      <w:tr>
        <w:trPr>
          <w:trHeight w:val="149"/>
        </w:trPr>
        <w:tc>
          <w:tcPr>
            <w:tcW w:w="740" w:type="dxa"/>
            <w:vAlign w:val="bottom"/>
          </w:tcPr>
          <w:p>
            <w:pPr>
              <w:spacing w:after="0"/>
              <w:rPr>
                <w:sz w:val="12"/>
                <w:szCs w:val="12"/>
                <w:color w:val="auto"/>
              </w:rPr>
            </w:pPr>
          </w:p>
        </w:tc>
        <w:tc>
          <w:tcPr>
            <w:tcW w:w="66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469</w:t>
            </w:r>
          </w:p>
        </w:tc>
        <w:tc>
          <w:tcPr>
            <w:tcW w:w="760" w:type="dxa"/>
            <w:vAlign w:val="bottom"/>
          </w:tcPr>
          <w:p>
            <w:pPr>
              <w:spacing w:after="0"/>
              <w:rPr>
                <w:sz w:val="12"/>
                <w:szCs w:val="12"/>
                <w:color w:val="auto"/>
              </w:rPr>
            </w:pPr>
          </w:p>
        </w:tc>
        <w:tc>
          <w:tcPr>
            <w:tcW w:w="68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467</w:t>
            </w:r>
          </w:p>
        </w:tc>
      </w:tr>
      <w:tr>
        <w:trPr>
          <w:trHeight w:val="167"/>
        </w:trPr>
        <w:tc>
          <w:tcPr>
            <w:tcW w:w="7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438</w:t>
            </w:r>
          </w:p>
        </w:tc>
        <w:tc>
          <w:tcPr>
            <w:tcW w:w="7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489</w:t>
            </w:r>
          </w:p>
        </w:tc>
      </w:tr>
      <w:tr>
        <w:trPr>
          <w:trHeight w:val="142"/>
        </w:trPr>
        <w:tc>
          <w:tcPr>
            <w:tcW w:w="74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w w:val="93"/>
              </w:rPr>
              <w:t>14,553</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w w:val="93"/>
              </w:rPr>
              <w:t>14,344</w:t>
            </w: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529"/>
        </w:trPr>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14</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08"/>
              <w:spacing w:after="0"/>
              <w:rPr>
                <w:sz w:val="20"/>
                <w:szCs w:val="20"/>
                <w:color w:val="auto"/>
              </w:rPr>
            </w:pPr>
            <w:r>
              <w:rPr>
                <w:rFonts w:ascii="Arial" w:cs="Arial" w:eastAsia="Arial" w:hAnsi="Arial"/>
                <w:sz w:val="14"/>
                <w:szCs w:val="14"/>
                <w:color w:val="auto"/>
              </w:rPr>
              <w:t>26</w:t>
            </w:r>
          </w:p>
        </w:tc>
      </w:tr>
      <w:tr>
        <w:trPr>
          <w:trHeight w:val="182"/>
        </w:trPr>
        <w:tc>
          <w:tcPr>
            <w:tcW w:w="740" w:type="dxa"/>
            <w:vAlign w:val="bottom"/>
          </w:tcPr>
          <w:p>
            <w:pPr>
              <w:spacing w:after="0"/>
              <w:rPr>
                <w:sz w:val="15"/>
                <w:szCs w:val="15"/>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344</w:t>
            </w:r>
          </w:p>
        </w:tc>
        <w:tc>
          <w:tcPr>
            <w:tcW w:w="760" w:type="dxa"/>
            <w:vAlign w:val="bottom"/>
          </w:tcPr>
          <w:p>
            <w:pPr>
              <w:spacing w:after="0"/>
              <w:rPr>
                <w:sz w:val="15"/>
                <w:szCs w:val="15"/>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color w:val="auto"/>
              </w:rPr>
              <w:t>382</w:t>
            </w:r>
          </w:p>
        </w:tc>
      </w:tr>
      <w:tr>
        <w:trPr>
          <w:trHeight w:val="263"/>
        </w:trPr>
        <w:tc>
          <w:tcPr>
            <w:tcW w:w="740" w:type="dxa"/>
            <w:vAlign w:val="bottom"/>
          </w:tcPr>
          <w:p>
            <w:pPr>
              <w:spacing w:after="0"/>
              <w:rPr>
                <w:sz w:val="22"/>
                <w:szCs w:val="22"/>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3,559</w:t>
            </w:r>
          </w:p>
        </w:tc>
        <w:tc>
          <w:tcPr>
            <w:tcW w:w="760" w:type="dxa"/>
            <w:vAlign w:val="bottom"/>
          </w:tcPr>
          <w:p>
            <w:pPr>
              <w:spacing w:after="0"/>
              <w:rPr>
                <w:sz w:val="22"/>
                <w:szCs w:val="22"/>
                <w:color w:val="auto"/>
              </w:rPr>
            </w:pPr>
          </w:p>
        </w:tc>
        <w:tc>
          <w:tcPr>
            <w:tcW w:w="680" w:type="dxa"/>
            <w:vAlign w:val="bottom"/>
          </w:tcPr>
          <w:p>
            <w:pPr>
              <w:jc w:val="right"/>
              <w:ind w:right="188"/>
              <w:spacing w:after="0"/>
              <w:rPr>
                <w:sz w:val="20"/>
                <w:szCs w:val="20"/>
                <w:color w:val="auto"/>
              </w:rPr>
            </w:pPr>
            <w:r>
              <w:rPr>
                <w:rFonts w:ascii="Arial" w:cs="Arial" w:eastAsia="Arial" w:hAnsi="Arial"/>
                <w:sz w:val="14"/>
                <w:szCs w:val="14"/>
                <w:color w:val="auto"/>
              </w:rPr>
              <w:t>3,584</w:t>
            </w:r>
          </w:p>
        </w:tc>
      </w:tr>
      <w:tr>
        <w:trPr>
          <w:trHeight w:val="149"/>
        </w:trPr>
        <w:tc>
          <w:tcPr>
            <w:tcW w:w="740" w:type="dxa"/>
            <w:vAlign w:val="bottom"/>
          </w:tcPr>
          <w:p>
            <w:pPr>
              <w:spacing w:after="0"/>
              <w:rPr>
                <w:sz w:val="12"/>
                <w:szCs w:val="12"/>
                <w:color w:val="auto"/>
              </w:rPr>
            </w:pPr>
          </w:p>
        </w:tc>
        <w:tc>
          <w:tcPr>
            <w:tcW w:w="66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1,615</w:t>
            </w:r>
          </w:p>
        </w:tc>
        <w:tc>
          <w:tcPr>
            <w:tcW w:w="760" w:type="dxa"/>
            <w:vAlign w:val="bottom"/>
          </w:tcPr>
          <w:p>
            <w:pPr>
              <w:spacing w:after="0"/>
              <w:rPr>
                <w:sz w:val="12"/>
                <w:szCs w:val="12"/>
                <w:color w:val="auto"/>
              </w:rPr>
            </w:pPr>
          </w:p>
        </w:tc>
        <w:tc>
          <w:tcPr>
            <w:tcW w:w="68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1,603</w:t>
            </w:r>
          </w:p>
        </w:tc>
      </w:tr>
      <w:tr>
        <w:trPr>
          <w:trHeight w:val="149"/>
        </w:trPr>
        <w:tc>
          <w:tcPr>
            <w:tcW w:w="740" w:type="dxa"/>
            <w:vAlign w:val="bottom"/>
          </w:tcPr>
          <w:p>
            <w:pPr>
              <w:spacing w:after="0"/>
              <w:rPr>
                <w:sz w:val="12"/>
                <w:szCs w:val="12"/>
                <w:color w:val="auto"/>
              </w:rPr>
            </w:pPr>
          </w:p>
        </w:tc>
        <w:tc>
          <w:tcPr>
            <w:tcW w:w="66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2,093</w:t>
            </w:r>
          </w:p>
        </w:tc>
        <w:tc>
          <w:tcPr>
            <w:tcW w:w="760" w:type="dxa"/>
            <w:vAlign w:val="bottom"/>
          </w:tcPr>
          <w:p>
            <w:pPr>
              <w:spacing w:after="0"/>
              <w:rPr>
                <w:sz w:val="12"/>
                <w:szCs w:val="12"/>
                <w:color w:val="auto"/>
              </w:rPr>
            </w:pPr>
          </w:p>
        </w:tc>
        <w:tc>
          <w:tcPr>
            <w:tcW w:w="68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2,082</w:t>
            </w:r>
          </w:p>
        </w:tc>
      </w:tr>
      <w:tr>
        <w:trPr>
          <w:trHeight w:val="149"/>
        </w:trPr>
        <w:tc>
          <w:tcPr>
            <w:tcW w:w="740" w:type="dxa"/>
            <w:vAlign w:val="bottom"/>
          </w:tcPr>
          <w:p>
            <w:pPr>
              <w:spacing w:after="0"/>
              <w:rPr>
                <w:sz w:val="12"/>
                <w:szCs w:val="12"/>
                <w:color w:val="auto"/>
              </w:rPr>
            </w:pPr>
          </w:p>
        </w:tc>
        <w:tc>
          <w:tcPr>
            <w:tcW w:w="66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309</w:t>
            </w:r>
          </w:p>
        </w:tc>
        <w:tc>
          <w:tcPr>
            <w:tcW w:w="760" w:type="dxa"/>
            <w:vAlign w:val="bottom"/>
          </w:tcPr>
          <w:p>
            <w:pPr>
              <w:spacing w:after="0"/>
              <w:rPr>
                <w:sz w:val="12"/>
                <w:szCs w:val="12"/>
                <w:color w:val="auto"/>
              </w:rPr>
            </w:pPr>
          </w:p>
        </w:tc>
        <w:tc>
          <w:tcPr>
            <w:tcW w:w="68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257</w:t>
            </w:r>
          </w:p>
        </w:tc>
      </w:tr>
      <w:tr>
        <w:trPr>
          <w:trHeight w:val="167"/>
        </w:trPr>
        <w:tc>
          <w:tcPr>
            <w:tcW w:w="7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68</w:t>
            </w:r>
          </w:p>
        </w:tc>
        <w:tc>
          <w:tcPr>
            <w:tcW w:w="7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76</w:t>
            </w:r>
          </w:p>
        </w:tc>
      </w:tr>
      <w:tr>
        <w:trPr>
          <w:trHeight w:val="142"/>
        </w:trPr>
        <w:tc>
          <w:tcPr>
            <w:tcW w:w="7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8,002</w:t>
            </w:r>
          </w:p>
        </w:tc>
        <w:tc>
          <w:tcPr>
            <w:tcW w:w="7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8,010</w:t>
            </w:r>
          </w:p>
        </w:tc>
      </w:tr>
      <w:tr>
        <w:trPr>
          <w:trHeight w:val="603"/>
        </w:trPr>
        <w:tc>
          <w:tcPr>
            <w:tcW w:w="740" w:type="dxa"/>
            <w:vAlign w:val="bottom"/>
          </w:tcPr>
          <w:p>
            <w:pPr>
              <w:spacing w:after="0"/>
              <w:rPr>
                <w:sz w:val="24"/>
                <w:szCs w:val="24"/>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2</w:t>
            </w:r>
          </w:p>
        </w:tc>
        <w:tc>
          <w:tcPr>
            <w:tcW w:w="760" w:type="dxa"/>
            <w:vAlign w:val="bottom"/>
          </w:tcPr>
          <w:p>
            <w:pPr>
              <w:spacing w:after="0"/>
              <w:rPr>
                <w:sz w:val="24"/>
                <w:szCs w:val="24"/>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color w:val="auto"/>
              </w:rPr>
              <w:t>2</w:t>
            </w:r>
          </w:p>
        </w:tc>
      </w:tr>
      <w:tr>
        <w:trPr>
          <w:trHeight w:val="263"/>
        </w:trPr>
        <w:tc>
          <w:tcPr>
            <w:tcW w:w="740" w:type="dxa"/>
            <w:vAlign w:val="bottom"/>
          </w:tcPr>
          <w:p>
            <w:pPr>
              <w:spacing w:after="0"/>
              <w:rPr>
                <w:sz w:val="22"/>
                <w:szCs w:val="22"/>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0</w:t>
            </w:r>
          </w:p>
        </w:tc>
        <w:tc>
          <w:tcPr>
            <w:tcW w:w="760" w:type="dxa"/>
            <w:vAlign w:val="bottom"/>
          </w:tcPr>
          <w:p>
            <w:pPr>
              <w:spacing w:after="0"/>
              <w:rPr>
                <w:sz w:val="22"/>
                <w:szCs w:val="22"/>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color w:val="auto"/>
              </w:rPr>
              <w:t>0</w:t>
            </w:r>
          </w:p>
        </w:tc>
      </w:tr>
      <w:tr>
        <w:trPr>
          <w:trHeight w:val="149"/>
        </w:trPr>
        <w:tc>
          <w:tcPr>
            <w:tcW w:w="740" w:type="dxa"/>
            <w:vAlign w:val="bottom"/>
          </w:tcPr>
          <w:p>
            <w:pPr>
              <w:spacing w:after="0"/>
              <w:rPr>
                <w:sz w:val="12"/>
                <w:szCs w:val="12"/>
                <w:color w:val="auto"/>
              </w:rPr>
            </w:pPr>
          </w:p>
        </w:tc>
        <w:tc>
          <w:tcPr>
            <w:tcW w:w="66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16</w:t>
            </w:r>
          </w:p>
        </w:tc>
        <w:tc>
          <w:tcPr>
            <w:tcW w:w="760" w:type="dxa"/>
            <w:vAlign w:val="bottom"/>
          </w:tcPr>
          <w:p>
            <w:pPr>
              <w:spacing w:after="0"/>
              <w:rPr>
                <w:sz w:val="12"/>
                <w:szCs w:val="12"/>
                <w:color w:val="auto"/>
              </w:rPr>
            </w:pPr>
          </w:p>
        </w:tc>
        <w:tc>
          <w:tcPr>
            <w:tcW w:w="68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8</w:t>
            </w:r>
          </w:p>
        </w:tc>
      </w:tr>
      <w:tr>
        <w:trPr>
          <w:trHeight w:val="149"/>
        </w:trPr>
        <w:tc>
          <w:tcPr>
            <w:tcW w:w="740" w:type="dxa"/>
            <w:vAlign w:val="bottom"/>
          </w:tcPr>
          <w:p>
            <w:pPr>
              <w:spacing w:after="0"/>
              <w:rPr>
                <w:sz w:val="12"/>
                <w:szCs w:val="12"/>
                <w:color w:val="auto"/>
              </w:rPr>
            </w:pPr>
          </w:p>
        </w:tc>
        <w:tc>
          <w:tcPr>
            <w:tcW w:w="6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(63)</w:t>
            </w:r>
          </w:p>
        </w:tc>
        <w:tc>
          <w:tcPr>
            <w:tcW w:w="760" w:type="dxa"/>
            <w:vAlign w:val="bottom"/>
          </w:tcPr>
          <w:p>
            <w:pPr>
              <w:spacing w:after="0"/>
              <w:rPr>
                <w:sz w:val="12"/>
                <w:szCs w:val="12"/>
                <w:color w:val="auto"/>
              </w:rPr>
            </w:pPr>
          </w:p>
        </w:tc>
        <w:tc>
          <w:tcPr>
            <w:tcW w:w="6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(53)</w:t>
            </w:r>
          </w:p>
        </w:tc>
      </w:tr>
      <w:tr>
        <w:trPr>
          <w:trHeight w:val="165"/>
        </w:trPr>
        <w:tc>
          <w:tcPr>
            <w:tcW w:w="740" w:type="dxa"/>
            <w:vAlign w:val="bottom"/>
          </w:tcPr>
          <w:p>
            <w:pPr>
              <w:spacing w:after="0"/>
              <w:rPr>
                <w:sz w:val="14"/>
                <w:szCs w:val="14"/>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1,846</w:t>
            </w:r>
          </w:p>
        </w:tc>
        <w:tc>
          <w:tcPr>
            <w:tcW w:w="76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Arial" w:cs="Arial" w:eastAsia="Arial" w:hAnsi="Arial"/>
                <w:sz w:val="14"/>
                <w:szCs w:val="14"/>
                <w:color w:val="auto"/>
              </w:rPr>
              <w:t>1,827</w:t>
            </w:r>
          </w:p>
        </w:tc>
      </w:tr>
    </w:tbl>
    <w:p>
      <w:pPr>
        <w:spacing w:after="0" w:line="1" w:lineRule="exact"/>
        <w:rPr>
          <w:sz w:val="20"/>
          <w:szCs w:val="20"/>
          <w:color w:val="auto"/>
        </w:rPr>
      </w:pPr>
    </w:p>
    <w:p>
      <w:pPr>
        <w:sectPr>
          <w:pgSz w:w="11900" w:h="16838" w:orient="portrait"/>
          <w:cols w:equalWidth="0" w:num="2">
            <w:col w:w="8200" w:space="380"/>
            <w:col w:w="2840"/>
          </w:cols>
          <w:pgMar w:left="240" w:top="140" w:right="239" w:bottom="0" w:gutter="0" w:footer="0" w:header="0"/>
          <w:type w:val="continuous"/>
        </w:sect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8560" w:type="dxa"/>
            <w:vAlign w:val="bottom"/>
            <w:tcBorders>
              <w:top w:val="single" w:sz="8" w:color="CCEEFF"/>
            </w:tcBorders>
            <w:shd w:val="clear" w:color="auto" w:fill="CCEEFF"/>
          </w:tcPr>
          <w:p>
            <w:pPr>
              <w:ind w:left="500"/>
              <w:spacing w:after="0" w:line="144" w:lineRule="exact"/>
              <w:rPr>
                <w:sz w:val="20"/>
                <w:szCs w:val="20"/>
                <w:color w:val="auto"/>
              </w:rPr>
            </w:pPr>
            <w:r>
              <w:rPr>
                <w:rFonts w:ascii="Arial" w:cs="Arial" w:eastAsia="Arial" w:hAnsi="Arial"/>
                <w:sz w:val="14"/>
                <w:szCs w:val="14"/>
                <w:color w:val="auto"/>
              </w:rPr>
              <w:t>Total contributed capital and retained earnings</w:t>
            </w:r>
          </w:p>
        </w:tc>
        <w:tc>
          <w:tcPr>
            <w:tcW w:w="1620" w:type="dxa"/>
            <w:vAlign w:val="bottom"/>
            <w:tcBorders>
              <w:top w:val="single" w:sz="8" w:color="auto"/>
            </w:tcBorders>
            <w:shd w:val="clear" w:color="auto" w:fill="CCEEFF"/>
          </w:tcPr>
          <w:p>
            <w:pPr>
              <w:jc w:val="right"/>
              <w:ind w:right="388"/>
              <w:spacing w:after="0" w:line="144" w:lineRule="exact"/>
              <w:rPr>
                <w:sz w:val="20"/>
                <w:szCs w:val="20"/>
                <w:color w:val="auto"/>
              </w:rPr>
            </w:pPr>
            <w:r>
              <w:rPr>
                <w:rFonts w:ascii="Arial" w:cs="Arial" w:eastAsia="Arial" w:hAnsi="Arial"/>
                <w:sz w:val="14"/>
                <w:szCs w:val="14"/>
                <w:color w:val="auto"/>
              </w:rPr>
              <w:t>1,801</w:t>
            </w:r>
          </w:p>
        </w:tc>
        <w:tc>
          <w:tcPr>
            <w:tcW w:w="1220" w:type="dxa"/>
            <w:vAlign w:val="bottom"/>
            <w:tcBorders>
              <w:top w:val="single" w:sz="8" w:color="auto"/>
            </w:tcBorders>
            <w:shd w:val="clear" w:color="auto" w:fill="CCEEFF"/>
          </w:tcPr>
          <w:p>
            <w:pPr>
              <w:jc w:val="right"/>
              <w:ind w:right="188"/>
              <w:spacing w:after="0" w:line="144" w:lineRule="exact"/>
              <w:rPr>
                <w:sz w:val="20"/>
                <w:szCs w:val="20"/>
                <w:color w:val="auto"/>
              </w:rPr>
            </w:pPr>
            <w:r>
              <w:rPr>
                <w:rFonts w:ascii="Arial" w:cs="Arial" w:eastAsia="Arial" w:hAnsi="Arial"/>
                <w:sz w:val="14"/>
                <w:szCs w:val="14"/>
                <w:color w:val="auto"/>
              </w:rPr>
              <w:t>1,784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tcBorders>
              <w:bottom w:val="single" w:sz="8" w:color="CCEEFF"/>
            </w:tcBorders>
          </w:tcPr>
          <w:p>
            <w:pPr>
              <w:ind w:left="160"/>
              <w:spacing w:after="0" w:line="149" w:lineRule="exact"/>
              <w:rPr>
                <w:sz w:val="20"/>
                <w:szCs w:val="20"/>
                <w:color w:val="auto"/>
              </w:rPr>
            </w:pPr>
            <w:r>
              <w:rPr>
                <w:rFonts w:ascii="Arial" w:cs="Arial" w:eastAsia="Arial" w:hAnsi="Arial"/>
                <w:sz w:val="14"/>
                <w:szCs w:val="14"/>
                <w:color w:val="auto"/>
              </w:rPr>
              <w:t>Treasury stock, at cost, 18,764,118 and 18,235,094 shares, respectively</w:t>
            </w:r>
          </w:p>
        </w:tc>
        <w:tc>
          <w:tcPr>
            <w:tcW w:w="1620" w:type="dxa"/>
            <w:vAlign w:val="bottom"/>
            <w:tcBorders>
              <w:bottom w:val="single" w:sz="8" w:color="auto"/>
            </w:tcBorders>
          </w:tcPr>
          <w:p>
            <w:pPr>
              <w:jc w:val="right"/>
              <w:ind w:right="348"/>
              <w:spacing w:after="0" w:line="149" w:lineRule="exact"/>
              <w:rPr>
                <w:sz w:val="20"/>
                <w:szCs w:val="20"/>
                <w:color w:val="auto"/>
              </w:rPr>
            </w:pPr>
            <w:r>
              <w:rPr>
                <w:rFonts w:ascii="Arial" w:cs="Arial" w:eastAsia="Arial" w:hAnsi="Arial"/>
                <w:sz w:val="14"/>
                <w:szCs w:val="14"/>
                <w:color w:val="auto"/>
              </w:rPr>
              <w:t>(908)</w:t>
            </w:r>
          </w:p>
        </w:tc>
        <w:tc>
          <w:tcPr>
            <w:tcW w:w="1220" w:type="dxa"/>
            <w:vAlign w:val="bottom"/>
            <w:tcBorders>
              <w:bottom w:val="single" w:sz="8" w:color="auto"/>
            </w:tcBorders>
          </w:tcPr>
          <w:p>
            <w:pPr>
              <w:jc w:val="right"/>
              <w:ind w:right="148"/>
              <w:spacing w:after="0" w:line="149" w:lineRule="exact"/>
              <w:rPr>
                <w:sz w:val="20"/>
                <w:szCs w:val="20"/>
                <w:color w:val="auto"/>
              </w:rPr>
            </w:pPr>
            <w:r>
              <w:rPr>
                <w:rFonts w:ascii="Arial" w:cs="Arial" w:eastAsia="Arial" w:hAnsi="Arial"/>
                <w:sz w:val="14"/>
                <w:szCs w:val="14"/>
                <w:color w:val="auto"/>
              </w:rPr>
              <w:t>(872)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shd w:val="clear" w:color="auto" w:fill="CCEEFF"/>
          </w:tcPr>
          <w:p>
            <w:pPr>
              <w:ind w:left="500"/>
              <w:spacing w:after="0" w:line="142" w:lineRule="exact"/>
              <w:rPr>
                <w:sz w:val="20"/>
                <w:szCs w:val="20"/>
                <w:color w:val="auto"/>
              </w:rPr>
            </w:pPr>
            <w:r>
              <w:rPr>
                <w:rFonts w:ascii="Arial" w:cs="Arial" w:eastAsia="Arial" w:hAnsi="Arial"/>
                <w:sz w:val="14"/>
                <w:szCs w:val="14"/>
                <w:b w:val="1"/>
                <w:bCs w:val="1"/>
                <w:color w:val="auto"/>
              </w:rPr>
              <w:t>Total Indemnity shareholders’ equity</w:t>
            </w:r>
          </w:p>
        </w:tc>
        <w:tc>
          <w:tcPr>
            <w:tcW w:w="1620" w:type="dxa"/>
            <w:vAlign w:val="bottom"/>
            <w:shd w:val="clear" w:color="auto" w:fill="CCEEFF"/>
          </w:tcPr>
          <w:p>
            <w:pPr>
              <w:jc w:val="right"/>
              <w:ind w:right="388"/>
              <w:spacing w:after="0" w:line="142" w:lineRule="exact"/>
              <w:rPr>
                <w:sz w:val="20"/>
                <w:szCs w:val="20"/>
                <w:color w:val="auto"/>
              </w:rPr>
            </w:pPr>
            <w:r>
              <w:rPr>
                <w:rFonts w:ascii="Arial" w:cs="Arial" w:eastAsia="Arial" w:hAnsi="Arial"/>
                <w:sz w:val="14"/>
                <w:szCs w:val="14"/>
                <w:b w:val="1"/>
                <w:bCs w:val="1"/>
                <w:color w:val="auto"/>
              </w:rPr>
              <w:t>893</w:t>
            </w:r>
          </w:p>
        </w:tc>
        <w:tc>
          <w:tcPr>
            <w:tcW w:w="1220" w:type="dxa"/>
            <w:vAlign w:val="bottom"/>
            <w:shd w:val="clear" w:color="auto" w:fill="CCEEFF"/>
          </w:tcPr>
          <w:p>
            <w:pPr>
              <w:jc w:val="right"/>
              <w:ind w:right="208"/>
              <w:spacing w:after="0" w:line="142" w:lineRule="exact"/>
              <w:rPr>
                <w:sz w:val="20"/>
                <w:szCs w:val="20"/>
                <w:color w:val="auto"/>
              </w:rPr>
            </w:pPr>
            <w:r>
              <w:rPr>
                <w:rFonts w:ascii="Arial" w:cs="Arial" w:eastAsia="Arial" w:hAnsi="Arial"/>
                <w:sz w:val="14"/>
                <w:szCs w:val="14"/>
                <w:b w:val="1"/>
                <w:bCs w:val="1"/>
                <w:color w:val="auto"/>
              </w:rPr>
              <w:t>912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5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Noncontrolling interest in consolidated entity – Exchange</w:t>
            </w:r>
          </w:p>
        </w:tc>
        <w:tc>
          <w:tcPr>
            <w:tcW w:w="162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b w:val="1"/>
                <w:bCs w:val="1"/>
                <w:color w:val="auto"/>
              </w:rPr>
              <w:t>5,658</w:t>
            </w:r>
          </w:p>
        </w:tc>
        <w:tc>
          <w:tcPr>
            <w:tcW w:w="122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b w:val="1"/>
                <w:bCs w:val="1"/>
                <w:color w:val="auto"/>
              </w:rPr>
              <w:t>5,422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Borders>
              <w:bottom w:val="single" w:sz="8" w:color="CCEEFF"/>
            </w:tcBorders>
          </w:tcPr>
          <w:p>
            <w:pPr>
              <w:ind w:left="500"/>
              <w:spacing w:after="0" w:line="142" w:lineRule="exact"/>
              <w:rPr>
                <w:sz w:val="20"/>
                <w:szCs w:val="20"/>
                <w:color w:val="auto"/>
              </w:rPr>
            </w:pPr>
            <w:r>
              <w:rPr>
                <w:rFonts w:ascii="Arial" w:cs="Arial" w:eastAsia="Arial" w:hAnsi="Arial"/>
                <w:sz w:val="14"/>
                <w:szCs w:val="14"/>
                <w:b w:val="1"/>
                <w:bCs w:val="1"/>
                <w:color w:val="auto"/>
              </w:rPr>
              <w:t>Total equity</w:t>
            </w:r>
          </w:p>
        </w:tc>
        <w:tc>
          <w:tcPr>
            <w:tcW w:w="1620" w:type="dxa"/>
            <w:vAlign w:val="bottom"/>
            <w:tcBorders>
              <w:bottom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6,551</w:t>
            </w:r>
          </w:p>
        </w:tc>
        <w:tc>
          <w:tcPr>
            <w:tcW w:w="122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6,334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Borders>
              <w:bottom w:val="single" w:sz="8" w:color="CCEEFF"/>
            </w:tcBorders>
            <w:shd w:val="clear" w:color="auto" w:fill="CCEEFF"/>
          </w:tcPr>
          <w:p>
            <w:pPr>
              <w:ind w:left="500"/>
              <w:spacing w:after="0" w:line="142" w:lineRule="exact"/>
              <w:rPr>
                <w:sz w:val="20"/>
                <w:szCs w:val="20"/>
                <w:color w:val="auto"/>
              </w:rPr>
            </w:pPr>
            <w:r>
              <w:rPr>
                <w:rFonts w:ascii="Arial" w:cs="Arial" w:eastAsia="Arial" w:hAnsi="Arial"/>
                <w:sz w:val="14"/>
                <w:szCs w:val="14"/>
                <w:b w:val="1"/>
                <w:bCs w:val="1"/>
                <w:color w:val="auto"/>
              </w:rPr>
              <w:t>Total liabilities, shareholders’ equity and noncontrolling interest</w:t>
            </w:r>
          </w:p>
        </w:tc>
        <w:tc>
          <w:tcPr>
            <w:tcW w:w="1620" w:type="dxa"/>
            <w:vAlign w:val="bottom"/>
            <w:tcBorders>
              <w:bottom w:val="single" w:sz="8" w:color="auto"/>
            </w:tcBorders>
            <w:shd w:val="clear" w:color="auto" w:fill="CCEEFF"/>
          </w:tcPr>
          <w:p>
            <w:pPr>
              <w:jc w:val="right"/>
              <w:ind w:right="388"/>
              <w:spacing w:after="0" w:line="142" w:lineRule="exact"/>
              <w:rPr>
                <w:sz w:val="20"/>
                <w:szCs w:val="20"/>
                <w:color w:val="auto"/>
              </w:rPr>
            </w:pPr>
            <w:r>
              <w:rPr>
                <w:rFonts w:ascii="Arial" w:cs="Arial" w:eastAsia="Arial" w:hAnsi="Arial"/>
                <w:sz w:val="14"/>
                <w:szCs w:val="14"/>
                <w:b w:val="1"/>
                <w:bCs w:val="1"/>
                <w:color w:val="auto"/>
              </w:rPr>
              <w:t>$ 14,553</w:t>
            </w:r>
          </w:p>
        </w:tc>
        <w:tc>
          <w:tcPr>
            <w:tcW w:w="1220" w:type="dxa"/>
            <w:vAlign w:val="bottom"/>
            <w:tcBorders>
              <w:bottom w:val="single" w:sz="8" w:color="auto"/>
            </w:tcBorders>
            <w:shd w:val="clear" w:color="auto" w:fill="CCEEFF"/>
          </w:tcPr>
          <w:p>
            <w:pPr>
              <w:jc w:val="right"/>
              <w:ind w:right="188"/>
              <w:spacing w:after="0" w:line="142" w:lineRule="exact"/>
              <w:rPr>
                <w:sz w:val="20"/>
                <w:szCs w:val="20"/>
                <w:color w:val="auto"/>
              </w:rPr>
            </w:pPr>
            <w:r>
              <w:rPr>
                <w:rFonts w:ascii="Arial" w:cs="Arial" w:eastAsia="Arial" w:hAnsi="Arial"/>
                <w:sz w:val="14"/>
                <w:szCs w:val="14"/>
                <w:b w:val="1"/>
                <w:bCs w:val="1"/>
                <w:color w:val="auto"/>
              </w:rPr>
              <w:t>$ 14,344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See accompanying notes to Consolidated Financial Statements. See Note 14, “Indemnity Supplemental Information,” for supplemental consolidating statements of financial position information.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3180" w:type="dxa"/>
            <w:vAlign w:val="bottom"/>
            <w:gridSpan w:val="2"/>
          </w:tcPr>
          <w:p>
            <w:pPr>
              <w:jc w:val="right"/>
              <w:ind w:right="77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80" w:type="dxa"/>
            <w:vAlign w:val="bottom"/>
          </w:tcPr>
          <w:p>
            <w:pPr>
              <w:jc w:val="right"/>
              <w:ind w:right="1130"/>
              <w:spacing w:after="0"/>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2011</w:t>
            </w:r>
          </w:p>
        </w:tc>
        <w:tc>
          <w:tcPr>
            <w:tcW w:w="2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Accumulated other comprehensive loss:</w:t>
            </w:r>
          </w:p>
        </w:tc>
        <w:tc>
          <w:tcPr>
            <w:tcW w:w="11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Balance, beginning of period – Indemnity</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2080" w:type="dxa"/>
            <w:vAlign w:val="bottom"/>
          </w:tcPr>
          <w:p>
            <w:pPr>
              <w:jc w:val="right"/>
              <w:ind w:right="47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Gross unrealized holding (losses) gains on investments arising during period</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080" w:type="dxa"/>
            <w:vAlign w:val="bottom"/>
          </w:tcPr>
          <w:p>
            <w:pPr>
              <w:jc w:val="right"/>
              <w:ind w:right="5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transferred to noncontrolling interest (See Note 1)</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20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Reclassification adjustment for gross gains included in net income</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2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gains on investments</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20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benefit (expense) related to unrealized gains</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w:t>
            </w:r>
          </w:p>
        </w:tc>
        <w:tc>
          <w:tcPr>
            <w:tcW w:w="2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other comprehensive (loss) income, net of tax – Indemnity</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20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end of period – Indemnity</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20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40" w:right="239"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4"/>
          </w:tcPr>
          <w:p>
            <w:pPr>
              <w:spacing w:after="0"/>
              <w:rPr>
                <w:sz w:val="20"/>
                <w:szCs w:val="20"/>
                <w:color w:val="auto"/>
              </w:rPr>
            </w:pPr>
            <w:r>
              <w:rPr>
                <w:rFonts w:ascii="Arial" w:cs="Arial" w:eastAsia="Arial" w:hAnsi="Arial"/>
                <w:sz w:val="18"/>
                <w:szCs w:val="18"/>
                <w:color w:val="auto"/>
              </w:rPr>
              <w:t>Change in other comprehensive (loss) income, net of tax – Indemnity</w:t>
            </w:r>
          </w:p>
        </w:tc>
        <w:tc>
          <w:tcPr>
            <w:tcW w:w="1600" w:type="dxa"/>
            <w:vAlign w:val="bottom"/>
            <w:gridSpan w:val="2"/>
          </w:tcPr>
          <w:p>
            <w:pPr>
              <w:jc w:val="right"/>
              <w:ind w:right="830"/>
              <w:spacing w:after="0"/>
              <w:rPr>
                <w:sz w:val="20"/>
                <w:szCs w:val="20"/>
                <w:color w:val="auto"/>
              </w:rPr>
            </w:pPr>
            <w:r>
              <w:rPr>
                <w:rFonts w:ascii="Arial" w:cs="Arial" w:eastAsia="Arial" w:hAnsi="Arial"/>
                <w:sz w:val="18"/>
                <w:szCs w:val="18"/>
                <w:color w:val="auto"/>
              </w:rPr>
              <w:t>$(10)</w:t>
            </w:r>
          </w:p>
        </w:tc>
        <w:tc>
          <w:tcPr>
            <w:tcW w:w="1280" w:type="dxa"/>
            <w:vAlign w:val="bottom"/>
          </w:tcPr>
          <w:p>
            <w:pPr>
              <w:jc w:val="right"/>
              <w:ind w:right="530"/>
              <w:spacing w:after="0"/>
              <w:rPr>
                <w:sz w:val="20"/>
                <w:szCs w:val="20"/>
                <w:color w:val="auto"/>
              </w:rPr>
            </w:pPr>
            <w:r>
              <w:rPr>
                <w:rFonts w:ascii="Arial" w:cs="Arial" w:eastAsia="Arial" w:hAnsi="Arial"/>
                <w:sz w:val="18"/>
                <w:szCs w:val="18"/>
                <w:color w:val="auto"/>
              </w:rPr>
              <w:t>$  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other comprehensive income, net of tax – Exchange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6</w:t>
            </w:r>
          </w:p>
        </w:tc>
        <w:tc>
          <w:tcPr>
            <w:tcW w:w="1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$ 45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240" w:type="dxa"/>
            <w:vAlign w:val="bottom"/>
            <w:gridSpan w:val="3"/>
          </w:tcPr>
          <w:p>
            <w:pPr>
              <w:spacing w:after="0"/>
              <w:rPr>
                <w:sz w:val="20"/>
                <w:szCs w:val="20"/>
                <w:color w:val="auto"/>
              </w:rPr>
            </w:pPr>
            <w:r>
              <w:rPr>
                <w:rFonts w:ascii="Arial" w:cs="Arial" w:eastAsia="Arial" w:hAnsi="Arial"/>
                <w:sz w:val="18"/>
                <w:szCs w:val="18"/>
                <w:color w:val="auto"/>
              </w:rPr>
              <w:t>Change in other comprehensive (loss) income, net of tax – Erie Insurance Group</w:t>
            </w:r>
          </w:p>
        </w:tc>
        <w:tc>
          <w:tcPr>
            <w:tcW w:w="30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(4)</w:t>
            </w:r>
          </w:p>
        </w:tc>
        <w:tc>
          <w:tcPr>
            <w:tcW w:w="12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$ 51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b w:val="1"/>
                <w:bCs w:val="1"/>
                <w:color w:val="auto"/>
              </w:rPr>
              <w:t>Comprehensive income:</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 Erie Insurance Group</w:t>
            </w:r>
          </w:p>
        </w:tc>
        <w:tc>
          <w:tcPr>
            <w:tcW w:w="160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$274</w:t>
            </w:r>
          </w:p>
        </w:tc>
        <w:tc>
          <w:tcPr>
            <w:tcW w:w="1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rPr>
              <w:t>Change in other comprehensive (loss) income, net of tax – Erie Insurance Group</w:t>
            </w:r>
          </w:p>
        </w:tc>
        <w:tc>
          <w:tcPr>
            <w:tcW w:w="440" w:type="dxa"/>
            <w:vAlign w:val="bottom"/>
          </w:tcPr>
          <w:p>
            <w:pPr>
              <w:spacing w:after="0"/>
              <w:rPr>
                <w:sz w:val="18"/>
                <w:szCs w:val="18"/>
                <w:color w:val="auto"/>
              </w:rPr>
            </w:pPr>
          </w:p>
        </w:tc>
        <w:tc>
          <w:tcPr>
            <w:tcW w:w="1160" w:type="dxa"/>
            <w:vAlign w:val="bottom"/>
          </w:tcPr>
          <w:p>
            <w:pPr>
              <w:jc w:val="right"/>
              <w:ind w:right="830"/>
              <w:spacing w:after="0"/>
              <w:rPr>
                <w:sz w:val="20"/>
                <w:szCs w:val="20"/>
                <w:color w:val="auto"/>
              </w:rPr>
            </w:pPr>
            <w:r>
              <w:rPr>
                <w:rFonts w:ascii="Arial" w:cs="Arial" w:eastAsia="Arial" w:hAnsi="Arial"/>
                <w:sz w:val="18"/>
                <w:szCs w:val="18"/>
                <w:color w:val="auto"/>
                <w:w w:val="99"/>
              </w:rPr>
              <w:t>(4)</w:t>
            </w:r>
          </w:p>
        </w:tc>
        <w:tc>
          <w:tcPr>
            <w:tcW w:w="1280" w:type="dxa"/>
            <w:vAlign w:val="bottom"/>
          </w:tcPr>
          <w:p>
            <w:pPr>
              <w:jc w:val="right"/>
              <w:ind w:right="530"/>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Unrealized gains transferred to noncontrolling interest, net of tax (See Note 1)</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9</w:t>
            </w:r>
          </w:p>
        </w:tc>
        <w:tc>
          <w:tcPr>
            <w:tcW w:w="1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Total comprehensive income – Erie Insurance Group</w:t>
            </w:r>
          </w:p>
        </w:tc>
        <w:tc>
          <w:tcPr>
            <w:tcW w:w="3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jc w:val="right"/>
              <w:ind w:right="890"/>
              <w:spacing w:after="0"/>
              <w:rPr>
                <w:sz w:val="20"/>
                <w:szCs w:val="20"/>
                <w:color w:val="auto"/>
              </w:rPr>
            </w:pPr>
            <w:r>
              <w:rPr>
                <w:rFonts w:ascii="Arial" w:cs="Arial" w:eastAsia="Arial" w:hAnsi="Arial"/>
                <w:sz w:val="18"/>
                <w:szCs w:val="18"/>
                <w:color w:val="auto"/>
              </w:rPr>
              <w:t>279</w:t>
            </w:r>
          </w:p>
        </w:tc>
        <w:tc>
          <w:tcPr>
            <w:tcW w:w="128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rPr>
              <w:t>213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Noncontrolling interest in consolidated entity – Exchange</w:t>
            </w:r>
          </w:p>
        </w:tc>
        <w:tc>
          <w:tcPr>
            <w:tcW w:w="160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236</w:t>
            </w:r>
          </w:p>
        </w:tc>
        <w:tc>
          <w:tcPr>
            <w:tcW w:w="1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40" w:type="dxa"/>
            <w:vAlign w:val="bottom"/>
            <w:gridSpan w:val="3"/>
          </w:tcPr>
          <w:p>
            <w:pPr>
              <w:spacing w:after="0"/>
              <w:rPr>
                <w:sz w:val="20"/>
                <w:szCs w:val="20"/>
                <w:color w:val="auto"/>
              </w:rPr>
            </w:pPr>
            <w:r>
              <w:rPr>
                <w:rFonts w:ascii="Arial" w:cs="Arial" w:eastAsia="Arial" w:hAnsi="Arial"/>
                <w:sz w:val="18"/>
                <w:szCs w:val="18"/>
                <w:b w:val="1"/>
                <w:bCs w:val="1"/>
                <w:color w:val="auto"/>
              </w:rPr>
              <w:t>Total comprehensive income - Indemnity</w:t>
            </w:r>
          </w:p>
        </w:tc>
        <w:tc>
          <w:tcPr>
            <w:tcW w:w="3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gridSpan w:val="2"/>
          </w:tcPr>
          <w:p>
            <w:pPr>
              <w:jc w:val="right"/>
              <w:ind w:right="890"/>
              <w:spacing w:after="0"/>
              <w:rPr>
                <w:sz w:val="20"/>
                <w:szCs w:val="20"/>
                <w:color w:val="auto"/>
              </w:rPr>
            </w:pPr>
            <w:r>
              <w:rPr>
                <w:rFonts w:ascii="Arial" w:cs="Arial" w:eastAsia="Arial" w:hAnsi="Arial"/>
                <w:sz w:val="18"/>
                <w:szCs w:val="18"/>
                <w:color w:val="auto"/>
              </w:rPr>
              <w:t>$ 43</w:t>
            </w:r>
          </w:p>
        </w:tc>
        <w:tc>
          <w:tcPr>
            <w:tcW w:w="12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$ 53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540" w:type="dxa"/>
            <w:vAlign w:val="bottom"/>
            <w:gridSpan w:val="4"/>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gridSpan w:val="2"/>
          </w:tcPr>
          <w:p>
            <w:pPr>
              <w:jc w:val="center"/>
              <w:ind w:left="3210"/>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81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gridSpan w:val="2"/>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8520" w:type="dxa"/>
            <w:vAlign w:val="bottom"/>
            <w:gridSpan w:val="3"/>
          </w:tcPr>
          <w:p>
            <w:pPr>
              <w:jc w:val="center"/>
              <w:ind w:left="2790"/>
              <w:spacing w:after="0"/>
              <w:rPr>
                <w:sz w:val="20"/>
                <w:szCs w:val="20"/>
                <w:color w:val="auto"/>
              </w:rPr>
            </w:pPr>
            <w:r>
              <w:rPr>
                <w:rFonts w:ascii="Arial" w:cs="Arial" w:eastAsia="Arial" w:hAnsi="Arial"/>
                <w:sz w:val="18"/>
                <w:szCs w:val="18"/>
                <w:b w:val="1"/>
                <w:bCs w:val="1"/>
                <w:color w:val="auto"/>
              </w:rPr>
              <w:t>ERIE INDEMNITY COMPANY</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520" w:type="dxa"/>
            <w:vAlign w:val="bottom"/>
            <w:gridSpan w:val="3"/>
          </w:tcPr>
          <w:p>
            <w:pPr>
              <w:jc w:val="center"/>
              <w:ind w:left="2790"/>
              <w:spacing w:after="0"/>
              <w:rPr>
                <w:sz w:val="20"/>
                <w:szCs w:val="20"/>
                <w:color w:val="auto"/>
              </w:rPr>
            </w:pPr>
            <w:r>
              <w:rPr>
                <w:rFonts w:ascii="Arial" w:cs="Arial" w:eastAsia="Arial" w:hAnsi="Arial"/>
                <w:sz w:val="18"/>
                <w:szCs w:val="18"/>
                <w:b w:val="1"/>
                <w:bCs w:val="1"/>
                <w:color w:val="auto"/>
                <w:w w:val="99"/>
              </w:rPr>
              <w:t>CONSOLIDATED STATEMENTS OF CASH FLOWS (UNAUDITED)</w:t>
            </w: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20" w:type="dxa"/>
            <w:vAlign w:val="bottom"/>
            <w:gridSpan w:val="3"/>
          </w:tcPr>
          <w:p>
            <w:pPr>
              <w:jc w:val="center"/>
              <w:ind w:left="2790"/>
              <w:spacing w:after="0"/>
              <w:rPr>
                <w:sz w:val="20"/>
                <w:szCs w:val="20"/>
                <w:color w:val="auto"/>
              </w:rPr>
            </w:pPr>
            <w:r>
              <w:rPr>
                <w:rFonts w:ascii="Arial" w:cs="Arial" w:eastAsia="Arial" w:hAnsi="Arial"/>
                <w:sz w:val="18"/>
                <w:szCs w:val="18"/>
                <w:i w:val="1"/>
                <w:iCs w:val="1"/>
                <w:color w:val="auto"/>
                <w:w w:val="96"/>
              </w:rPr>
              <w:t>(in millions)</w:t>
            </w: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80" w:type="dxa"/>
            <w:vAlign w:val="bottom"/>
            <w:gridSpan w:val="3"/>
          </w:tcPr>
          <w:p>
            <w:pPr>
              <w:jc w:val="right"/>
              <w:ind w:right="970"/>
              <w:spacing w:after="0"/>
              <w:rPr>
                <w:sz w:val="20"/>
                <w:szCs w:val="20"/>
                <w:color w:val="auto"/>
              </w:rPr>
            </w:pPr>
            <w:r>
              <w:rPr>
                <w:rFonts w:ascii="Arial" w:cs="Arial" w:eastAsia="Arial" w:hAnsi="Arial"/>
                <w:sz w:val="18"/>
                <w:szCs w:val="18"/>
                <w:color w:val="auto"/>
              </w:rPr>
              <w:t>Three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2011</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March 31,</w:t>
            </w:r>
          </w:p>
        </w:tc>
        <w:tc>
          <w:tcPr>
            <w:tcW w:w="1280" w:type="dxa"/>
            <w:vAlign w:val="bottom"/>
            <w:vMerge w:val="restart"/>
          </w:tcPr>
          <w:p>
            <w:pPr>
              <w:jc w:val="right"/>
              <w:ind w:right="690"/>
              <w:spacing w:after="0"/>
              <w:rPr>
                <w:sz w:val="20"/>
                <w:szCs w:val="20"/>
                <w:color w:val="auto"/>
              </w:rPr>
            </w:pPr>
            <w:r>
              <w:rPr>
                <w:rFonts w:ascii="Arial" w:cs="Arial" w:eastAsia="Arial" w:hAnsi="Arial"/>
                <w:sz w:val="18"/>
                <w:szCs w:val="18"/>
                <w:color w:val="auto"/>
              </w:rPr>
              <w:t>2010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gridSpan w:val="2"/>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rPr>
              <w:t>Premiums collected</w:t>
            </w:r>
          </w:p>
        </w:tc>
        <w:tc>
          <w:tcPr>
            <w:tcW w:w="440" w:type="dxa"/>
            <w:vAlign w:val="bottom"/>
          </w:tcPr>
          <w:p>
            <w:pPr>
              <w:spacing w:after="0"/>
              <w:rPr>
                <w:sz w:val="18"/>
                <w:szCs w:val="18"/>
                <w:color w:val="auto"/>
              </w:rPr>
            </w:pPr>
          </w:p>
        </w:tc>
        <w:tc>
          <w:tcPr>
            <w:tcW w:w="1160" w:type="dxa"/>
            <w:vAlign w:val="bottom"/>
          </w:tcPr>
          <w:p>
            <w:pPr>
              <w:jc w:val="right"/>
              <w:ind w:right="570"/>
              <w:spacing w:after="0"/>
              <w:rPr>
                <w:sz w:val="20"/>
                <w:szCs w:val="20"/>
                <w:color w:val="auto"/>
              </w:rPr>
            </w:pPr>
            <w:r>
              <w:rPr>
                <w:rFonts w:ascii="Arial" w:cs="Arial" w:eastAsia="Arial" w:hAnsi="Arial"/>
                <w:sz w:val="18"/>
                <w:szCs w:val="18"/>
                <w:color w:val="auto"/>
                <w:w w:val="87"/>
              </w:rPr>
              <w:t>$1,023</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$ 965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investment income received</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97</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rPr>
              <w:t>Limited partnership distributions</w:t>
            </w:r>
          </w:p>
        </w:tc>
        <w:tc>
          <w:tcPr>
            <w:tcW w:w="440" w:type="dxa"/>
            <w:vAlign w:val="bottom"/>
          </w:tcPr>
          <w:p>
            <w:pPr>
              <w:spacing w:after="0"/>
              <w:rPr>
                <w:sz w:val="18"/>
                <w:szCs w:val="18"/>
                <w:color w:val="auto"/>
              </w:rPr>
            </w:pPr>
          </w:p>
        </w:tc>
        <w:tc>
          <w:tcPr>
            <w:tcW w:w="1160" w:type="dxa"/>
            <w:vAlign w:val="bottom"/>
          </w:tcPr>
          <w:p>
            <w:pPr>
              <w:jc w:val="right"/>
              <w:ind w:right="570"/>
              <w:spacing w:after="0"/>
              <w:rPr>
                <w:sz w:val="20"/>
                <w:szCs w:val="20"/>
                <w:color w:val="auto"/>
              </w:rPr>
            </w:pPr>
            <w:r>
              <w:rPr>
                <w:rFonts w:ascii="Arial" w:cs="Arial" w:eastAsia="Arial" w:hAnsi="Arial"/>
                <w:sz w:val="18"/>
                <w:szCs w:val="18"/>
                <w:color w:val="auto"/>
              </w:rPr>
              <w:t>32</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agreement fee received</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8</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rPr>
              <w:t>Commissions and bonuses paid to agents</w:t>
            </w:r>
          </w:p>
        </w:tc>
        <w:tc>
          <w:tcPr>
            <w:tcW w:w="440" w:type="dxa"/>
            <w:vAlign w:val="bottom"/>
          </w:tcPr>
          <w:p>
            <w:pPr>
              <w:spacing w:after="0"/>
              <w:rPr>
                <w:sz w:val="18"/>
                <w:szCs w:val="18"/>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color w:val="auto"/>
              </w:rPr>
              <w:t>(178)</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Losses paid</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(598)</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rPr>
              <w:t>Loss expenses paid</w:t>
            </w:r>
          </w:p>
        </w:tc>
        <w:tc>
          <w:tcPr>
            <w:tcW w:w="440" w:type="dxa"/>
            <w:vAlign w:val="bottom"/>
          </w:tcPr>
          <w:p>
            <w:pPr>
              <w:spacing w:after="0"/>
              <w:rPr>
                <w:sz w:val="18"/>
                <w:szCs w:val="18"/>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color w:val="auto"/>
              </w:rPr>
              <w:t>(109)</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underwriting and acquisition costs paid</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(162)</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rPr>
              <w:t>Income taxes paid</w:t>
            </w:r>
          </w:p>
        </w:tc>
        <w:tc>
          <w:tcPr>
            <w:tcW w:w="440" w:type="dxa"/>
            <w:vAlign w:val="bottom"/>
          </w:tcPr>
          <w:p>
            <w:pPr>
              <w:spacing w:after="0"/>
              <w:rPr>
                <w:sz w:val="18"/>
                <w:szCs w:val="18"/>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color w:val="auto"/>
              </w:rPr>
              <w:t>(21)</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Net cash provided by operating activities</w:t>
            </w:r>
          </w:p>
        </w:tc>
        <w:tc>
          <w:tcPr>
            <w:tcW w:w="420" w:type="dxa"/>
            <w:vAlign w:val="bottom"/>
            <w:tcBorders>
              <w:top w:val="single" w:sz="8" w:color="auto"/>
              <w:bottom w:val="single" w:sz="8" w:color="auto"/>
            </w:tcBorders>
            <w:gridSpan w:val="2"/>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92</w:t>
            </w:r>
          </w:p>
        </w:tc>
        <w:tc>
          <w:tcPr>
            <w:tcW w:w="12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rPr>
              <w:t>Purchase of investments:</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Fixed maturities</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(752)</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ind w:left="200"/>
              <w:spacing w:after="0"/>
              <w:rPr>
                <w:sz w:val="20"/>
                <w:szCs w:val="20"/>
                <w:color w:val="auto"/>
              </w:rPr>
            </w:pPr>
            <w:r>
              <w:rPr>
                <w:rFonts w:ascii="Arial" w:cs="Arial" w:eastAsia="Arial" w:hAnsi="Arial"/>
                <w:sz w:val="18"/>
                <w:szCs w:val="18"/>
                <w:color w:val="auto"/>
              </w:rPr>
              <w:t>Preferred stock</w:t>
            </w:r>
          </w:p>
        </w:tc>
        <w:tc>
          <w:tcPr>
            <w:tcW w:w="440" w:type="dxa"/>
            <w:vAlign w:val="bottom"/>
          </w:tcPr>
          <w:p>
            <w:pPr>
              <w:spacing w:after="0"/>
              <w:rPr>
                <w:sz w:val="18"/>
                <w:szCs w:val="18"/>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color w:val="auto"/>
              </w:rPr>
              <w:t>(35)</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(421)</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ind w:left="200"/>
              <w:spacing w:after="0"/>
              <w:rPr>
                <w:sz w:val="20"/>
                <w:szCs w:val="20"/>
                <w:color w:val="auto"/>
              </w:rPr>
            </w:pPr>
            <w:r>
              <w:rPr>
                <w:rFonts w:ascii="Arial" w:cs="Arial" w:eastAsia="Arial" w:hAnsi="Arial"/>
                <w:sz w:val="18"/>
                <w:szCs w:val="18"/>
                <w:color w:val="auto"/>
              </w:rPr>
              <w:t>Limited partnerships</w:t>
            </w:r>
          </w:p>
        </w:tc>
        <w:tc>
          <w:tcPr>
            <w:tcW w:w="440" w:type="dxa"/>
            <w:vAlign w:val="bottom"/>
          </w:tcPr>
          <w:p>
            <w:pPr>
              <w:spacing w:after="0"/>
              <w:rPr>
                <w:sz w:val="18"/>
                <w:szCs w:val="18"/>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color w:val="auto"/>
              </w:rPr>
              <w:t>(29)</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Sales/maturities of investments:</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ind w:left="200"/>
              <w:spacing w:after="0"/>
              <w:rPr>
                <w:sz w:val="20"/>
                <w:szCs w:val="20"/>
                <w:color w:val="auto"/>
              </w:rPr>
            </w:pPr>
            <w:r>
              <w:rPr>
                <w:rFonts w:ascii="Arial" w:cs="Arial" w:eastAsia="Arial" w:hAnsi="Arial"/>
                <w:sz w:val="18"/>
                <w:szCs w:val="18"/>
                <w:color w:val="auto"/>
              </w:rPr>
              <w:t>Fixed maturity sales</w:t>
            </w:r>
          </w:p>
        </w:tc>
        <w:tc>
          <w:tcPr>
            <w:tcW w:w="440" w:type="dxa"/>
            <w:vAlign w:val="bottom"/>
          </w:tcPr>
          <w:p>
            <w:pPr>
              <w:spacing w:after="0"/>
              <w:rPr>
                <w:sz w:val="18"/>
                <w:szCs w:val="18"/>
                <w:color w:val="auto"/>
              </w:rPr>
            </w:pPr>
          </w:p>
        </w:tc>
        <w:tc>
          <w:tcPr>
            <w:tcW w:w="1160" w:type="dxa"/>
            <w:vAlign w:val="bottom"/>
          </w:tcPr>
          <w:p>
            <w:pPr>
              <w:jc w:val="right"/>
              <w:ind w:right="570"/>
              <w:spacing w:after="0"/>
              <w:rPr>
                <w:sz w:val="20"/>
                <w:szCs w:val="20"/>
                <w:color w:val="auto"/>
              </w:rPr>
            </w:pPr>
            <w:r>
              <w:rPr>
                <w:rFonts w:ascii="Arial" w:cs="Arial" w:eastAsia="Arial" w:hAnsi="Arial"/>
                <w:sz w:val="18"/>
                <w:szCs w:val="18"/>
                <w:color w:val="auto"/>
              </w:rPr>
              <w:t>277</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233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Fixed maturity calls/maturities</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247</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ind w:left="200"/>
              <w:spacing w:after="0"/>
              <w:rPr>
                <w:sz w:val="20"/>
                <w:szCs w:val="20"/>
                <w:color w:val="auto"/>
              </w:rPr>
            </w:pPr>
            <w:r>
              <w:rPr>
                <w:rFonts w:ascii="Arial" w:cs="Arial" w:eastAsia="Arial" w:hAnsi="Arial"/>
                <w:sz w:val="18"/>
                <w:szCs w:val="18"/>
                <w:color w:val="auto"/>
              </w:rPr>
              <w:t>Preferred stock</w:t>
            </w:r>
          </w:p>
        </w:tc>
        <w:tc>
          <w:tcPr>
            <w:tcW w:w="440" w:type="dxa"/>
            <w:vAlign w:val="bottom"/>
          </w:tcPr>
          <w:p>
            <w:pPr>
              <w:spacing w:after="0"/>
              <w:rPr>
                <w:sz w:val="18"/>
                <w:szCs w:val="18"/>
                <w:color w:val="auto"/>
              </w:rPr>
            </w:pPr>
          </w:p>
        </w:tc>
        <w:tc>
          <w:tcPr>
            <w:tcW w:w="1160" w:type="dxa"/>
            <w:vAlign w:val="bottom"/>
          </w:tcPr>
          <w:p>
            <w:pPr>
              <w:jc w:val="right"/>
              <w:ind w:right="570"/>
              <w:spacing w:after="0"/>
              <w:rPr>
                <w:sz w:val="20"/>
                <w:szCs w:val="20"/>
                <w:color w:val="auto"/>
              </w:rPr>
            </w:pPr>
            <w:r>
              <w:rPr>
                <w:rFonts w:ascii="Arial" w:cs="Arial" w:eastAsia="Arial" w:hAnsi="Arial"/>
                <w:sz w:val="18"/>
                <w:szCs w:val="18"/>
                <w:color w:val="auto"/>
              </w:rPr>
              <w:t>25</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400</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ind w:left="200"/>
              <w:spacing w:after="0"/>
              <w:rPr>
                <w:sz w:val="20"/>
                <w:szCs w:val="20"/>
                <w:color w:val="auto"/>
              </w:rPr>
            </w:pPr>
            <w:r>
              <w:rPr>
                <w:rFonts w:ascii="Arial" w:cs="Arial" w:eastAsia="Arial" w:hAnsi="Arial"/>
                <w:sz w:val="18"/>
                <w:szCs w:val="18"/>
                <w:color w:val="auto"/>
              </w:rPr>
              <w:t>Sale of and returns on limited partnerships</w:t>
            </w:r>
          </w:p>
        </w:tc>
        <w:tc>
          <w:tcPr>
            <w:tcW w:w="440" w:type="dxa"/>
            <w:vAlign w:val="bottom"/>
          </w:tcPr>
          <w:p>
            <w:pPr>
              <w:spacing w:after="0"/>
              <w:rPr>
                <w:sz w:val="18"/>
                <w:szCs w:val="18"/>
                <w:color w:val="auto"/>
              </w:rPr>
            </w:pPr>
          </w:p>
        </w:tc>
        <w:tc>
          <w:tcPr>
            <w:tcW w:w="1160" w:type="dxa"/>
            <w:vAlign w:val="bottom"/>
          </w:tcPr>
          <w:p>
            <w:pPr>
              <w:jc w:val="right"/>
              <w:ind w:right="570"/>
              <w:spacing w:after="0"/>
              <w:rPr>
                <w:sz w:val="20"/>
                <w:szCs w:val="20"/>
                <w:color w:val="auto"/>
              </w:rPr>
            </w:pPr>
            <w:r>
              <w:rPr>
                <w:rFonts w:ascii="Arial" w:cs="Arial" w:eastAsia="Arial" w:hAnsi="Arial"/>
                <w:sz w:val="18"/>
                <w:szCs w:val="18"/>
                <w:color w:val="auto"/>
              </w:rPr>
              <w:t>26</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Disposal (purchase) of property and equipment</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7</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rPr>
              <w:t>Net collections on agent loans</w:t>
            </w:r>
          </w:p>
        </w:tc>
        <w:tc>
          <w:tcPr>
            <w:tcW w:w="440" w:type="dxa"/>
            <w:vAlign w:val="bottom"/>
          </w:tcPr>
          <w:p>
            <w:pPr>
              <w:spacing w:after="0"/>
              <w:rPr>
                <w:sz w:val="18"/>
                <w:szCs w:val="18"/>
                <w:color w:val="auto"/>
              </w:rPr>
            </w:pPr>
          </w:p>
        </w:tc>
        <w:tc>
          <w:tcPr>
            <w:tcW w:w="1160" w:type="dxa"/>
            <w:vAlign w:val="bottom"/>
          </w:tcPr>
          <w:p>
            <w:pPr>
              <w:jc w:val="right"/>
              <w:ind w:right="570"/>
              <w:spacing w:after="0"/>
              <w:rPr>
                <w:sz w:val="20"/>
                <w:szCs w:val="20"/>
                <w:color w:val="auto"/>
              </w:rPr>
            </w:pPr>
            <w:r>
              <w:rPr>
                <w:rFonts w:ascii="Arial" w:cs="Arial" w:eastAsia="Arial" w:hAnsi="Arial"/>
                <w:sz w:val="18"/>
                <w:szCs w:val="18"/>
                <w:color w:val="auto"/>
              </w:rPr>
              <w:t>1</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Net cash used in investing activities</w:t>
            </w:r>
          </w:p>
        </w:tc>
        <w:tc>
          <w:tcPr>
            <w:tcW w:w="420" w:type="dxa"/>
            <w:vAlign w:val="bottom"/>
            <w:tcBorders>
              <w:top w:val="single" w:sz="8" w:color="auto"/>
              <w:bottom w:val="single" w:sz="8" w:color="auto"/>
            </w:tcBorders>
            <w:gridSpan w:val="2"/>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(254)</w:t>
            </w:r>
          </w:p>
        </w:tc>
        <w:tc>
          <w:tcPr>
            <w:tcW w:w="1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rPr>
              <w:t>Annuity and supplementary contract deposits and interest</w:t>
            </w:r>
          </w:p>
        </w:tc>
        <w:tc>
          <w:tcPr>
            <w:tcW w:w="440" w:type="dxa"/>
            <w:vAlign w:val="bottom"/>
          </w:tcPr>
          <w:p>
            <w:pPr>
              <w:spacing w:after="0"/>
              <w:rPr>
                <w:sz w:val="18"/>
                <w:szCs w:val="18"/>
                <w:color w:val="auto"/>
              </w:rPr>
            </w:pPr>
          </w:p>
        </w:tc>
        <w:tc>
          <w:tcPr>
            <w:tcW w:w="1160" w:type="dxa"/>
            <w:vAlign w:val="bottom"/>
          </w:tcPr>
          <w:p>
            <w:pPr>
              <w:jc w:val="right"/>
              <w:ind w:right="570"/>
              <w:spacing w:after="0"/>
              <w:rPr>
                <w:sz w:val="20"/>
                <w:szCs w:val="20"/>
                <w:color w:val="auto"/>
              </w:rPr>
            </w:pPr>
            <w:r>
              <w:rPr>
                <w:rFonts w:ascii="Arial" w:cs="Arial" w:eastAsia="Arial" w:hAnsi="Arial"/>
                <w:sz w:val="18"/>
                <w:szCs w:val="18"/>
                <w:color w:val="auto"/>
              </w:rPr>
              <w:t>22</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Annuity and supplementary contract surrenders and withdrawals</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(21)</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rPr>
              <w:t>Universal life deposits and interest</w:t>
            </w:r>
          </w:p>
        </w:tc>
        <w:tc>
          <w:tcPr>
            <w:tcW w:w="440" w:type="dxa"/>
            <w:vAlign w:val="bottom"/>
          </w:tcPr>
          <w:p>
            <w:pPr>
              <w:spacing w:after="0"/>
              <w:rPr>
                <w:sz w:val="18"/>
                <w:szCs w:val="18"/>
                <w:color w:val="auto"/>
              </w:rPr>
            </w:pPr>
          </w:p>
        </w:tc>
        <w:tc>
          <w:tcPr>
            <w:tcW w:w="1160" w:type="dxa"/>
            <w:vAlign w:val="bottom"/>
          </w:tcPr>
          <w:p>
            <w:pPr>
              <w:jc w:val="right"/>
              <w:ind w:right="570"/>
              <w:spacing w:after="0"/>
              <w:rPr>
                <w:sz w:val="20"/>
                <w:szCs w:val="20"/>
                <w:color w:val="auto"/>
              </w:rPr>
            </w:pPr>
            <w:r>
              <w:rPr>
                <w:rFonts w:ascii="Arial" w:cs="Arial" w:eastAsia="Arial" w:hAnsi="Arial"/>
                <w:sz w:val="18"/>
                <w:szCs w:val="18"/>
                <w:color w:val="auto"/>
              </w:rPr>
              <w:t>12</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Universal life surrenders</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(8)</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rPr>
              <w:t>Purchase of treasury stock</w:t>
            </w:r>
          </w:p>
        </w:tc>
        <w:tc>
          <w:tcPr>
            <w:tcW w:w="440" w:type="dxa"/>
            <w:vAlign w:val="bottom"/>
          </w:tcPr>
          <w:p>
            <w:pPr>
              <w:spacing w:after="0"/>
              <w:rPr>
                <w:sz w:val="18"/>
                <w:szCs w:val="18"/>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color w:val="auto"/>
              </w:rPr>
              <w:t>(36)</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Dividends paid to shareholders</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(26)</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tcPr>
          <w:p>
            <w:pPr>
              <w:ind w:left="520"/>
              <w:spacing w:after="0"/>
              <w:rPr>
                <w:sz w:val="20"/>
                <w:szCs w:val="20"/>
                <w:color w:val="auto"/>
              </w:rPr>
            </w:pPr>
            <w:r>
              <w:rPr>
                <w:rFonts w:ascii="Arial" w:cs="Arial" w:eastAsia="Arial" w:hAnsi="Arial"/>
                <w:sz w:val="18"/>
                <w:szCs w:val="18"/>
                <w:b w:val="1"/>
                <w:bCs w:val="1"/>
                <w:color w:val="auto"/>
              </w:rPr>
              <w:t>Net cash used in financing activities</w:t>
            </w:r>
          </w:p>
        </w:tc>
        <w:tc>
          <w:tcPr>
            <w:tcW w:w="420" w:type="dxa"/>
            <w:vAlign w:val="bottom"/>
            <w:tcBorders>
              <w:top w:val="single" w:sz="8" w:color="auto"/>
              <w:bottom w:val="single" w:sz="8" w:color="auto"/>
            </w:tcBorders>
            <w:gridSpan w:val="2"/>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(57)</w:t>
            </w:r>
          </w:p>
        </w:tc>
        <w:tc>
          <w:tcPr>
            <w:tcW w:w="12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rPr>
              <w:t>Net decrease in cash and cash equivalents</w:t>
            </w:r>
          </w:p>
        </w:tc>
        <w:tc>
          <w:tcPr>
            <w:tcW w:w="440" w:type="dxa"/>
            <w:vAlign w:val="bottom"/>
          </w:tcPr>
          <w:p>
            <w:pPr>
              <w:spacing w:after="0"/>
              <w:rPr>
                <w:sz w:val="18"/>
                <w:szCs w:val="18"/>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color w:val="auto"/>
              </w:rPr>
              <w:t>(219)</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430</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520"/>
              <w:spacing w:after="0"/>
              <w:rPr>
                <w:sz w:val="20"/>
                <w:szCs w:val="20"/>
                <w:color w:val="auto"/>
              </w:rPr>
            </w:pPr>
            <w:r>
              <w:rPr>
                <w:rFonts w:ascii="Arial" w:cs="Arial" w:eastAsia="Arial" w:hAnsi="Arial"/>
                <w:sz w:val="18"/>
                <w:szCs w:val="18"/>
                <w:b w:val="1"/>
                <w:bCs w:val="1"/>
                <w:color w:val="auto"/>
              </w:rPr>
              <w:t>Cash and cash equivalents at end of period</w:t>
            </w:r>
          </w:p>
        </w:tc>
        <w:tc>
          <w:tcPr>
            <w:tcW w:w="420" w:type="dxa"/>
            <w:vAlign w:val="bottom"/>
            <w:tcBorders>
              <w:top w:val="single" w:sz="8" w:color="auto"/>
              <w:bottom w:val="single" w:sz="8" w:color="auto"/>
            </w:tcBorders>
            <w:gridSpan w:val="2"/>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$ 211</w:t>
            </w:r>
          </w:p>
        </w:tc>
        <w:tc>
          <w:tcPr>
            <w:tcW w:w="12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$ 202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-6922135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-6922135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See accompanying notes to Consolidated Financial Statements. See Note 14, “Indemnity Supplemental Information,” for supplemental cash flow information.</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56" w:right="199" w:bottom="491" w:gutter="0" w:footer="0" w:header="0"/>
        </w:sectPr>
      </w:pPr>
    </w:p>
    <w:bookmarkStart w:id="4" w:name="page5"/>
    <w:bookmarkEnd w:id="4"/>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Erie Indemnity Company (“Indemnity”) is a publicly held Pennsylvania business corporation that since 1925 has been the managing attorney-in-fact for the subscribers (policyholders) at the Erie Insurance Exchange (“Exchange”). The Exchange is a subscriber owned Pennsylvania-domiciled reciprocal insurer that writes property and casualty insurance.</w:t>
      </w:r>
    </w:p>
    <w:p>
      <w:pPr>
        <w:spacing w:after="0" w:line="181" w:lineRule="exact"/>
        <w:rPr>
          <w:sz w:val="20"/>
          <w:szCs w:val="20"/>
          <w:color w:val="auto"/>
        </w:rPr>
      </w:pPr>
    </w:p>
    <w:p>
      <w:pPr>
        <w:ind w:right="360"/>
        <w:spacing w:after="0" w:line="297" w:lineRule="auto"/>
        <w:rPr>
          <w:sz w:val="20"/>
          <w:szCs w:val="20"/>
          <w:color w:val="auto"/>
        </w:rPr>
      </w:pPr>
      <w:r>
        <w:rPr>
          <w:rFonts w:ascii="Arial" w:cs="Arial" w:eastAsia="Arial" w:hAnsi="Arial"/>
          <w:sz w:val="16"/>
          <w:szCs w:val="16"/>
          <w:color w:val="auto"/>
        </w:rPr>
        <w:t>Indemnity’s primary function is to perform certain services for the Exchange relating to the sales, underwriting and issuance of policies on behalf of the Exchange. This is done in accordance with a subscriber’s agreement (a limited power of attorney) executed by each subscriber (policyholder), appointing Indemnity as their common attorney-in-fact to transact business on their behalf and to manage the affairs of the Exchange. Pursuant to the subscriber’s agreement and for its services as attorney-in-fact, Indemnity earns a management fee calculated as a percentage of the direct premiums written by the Exchange and the other members of the Property and Casualty Group, which are assumed by the Exchange under an intercompany pooling arrangement.</w:t>
      </w:r>
    </w:p>
    <w:p>
      <w:pPr>
        <w:spacing w:after="0" w:line="15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Through December 31, 2010, Indemnity also operated as a property and casualty insurer through its wholly owned subsidiaries, Erie Insurance Company (“EIC”), Erie Insurance Company of New York (“ENY”) and Erie Insurance Property and Casualty Company (“EPC”). EIC, ENY and EPC, together with the Exchange and its wholly owned subsidiary, Flagship City Insurance Company (“Flagship”), are collectively referred to as the “Property and Casualty Group”.</w:t>
      </w:r>
    </w:p>
    <w:p>
      <w:pPr>
        <w:spacing w:after="0" w:line="147" w:lineRule="exact"/>
        <w:rPr>
          <w:sz w:val="20"/>
          <w:szCs w:val="20"/>
          <w:color w:val="auto"/>
        </w:rPr>
      </w:pPr>
    </w:p>
    <w:p>
      <w:pPr>
        <w:jc w:val="both"/>
        <w:ind w:right="540"/>
        <w:spacing w:after="0" w:line="342" w:lineRule="auto"/>
        <w:rPr>
          <w:sz w:val="20"/>
          <w:szCs w:val="20"/>
          <w:color w:val="auto"/>
        </w:rPr>
      </w:pPr>
      <w:r>
        <w:rPr>
          <w:rFonts w:ascii="Arial" w:cs="Arial" w:eastAsia="Arial" w:hAnsi="Arial"/>
          <w:sz w:val="16"/>
          <w:szCs w:val="16"/>
          <w:color w:val="auto"/>
        </w:rPr>
        <w:t>On December 31, 2010, Indemnity sold all of the outstanding capital stock of its wholly owned property and casualty subsidiaries to the Exchange. All property and casualty and life insurance operations are owned by the Exchange, and Indemnity will continue to function as the management company.</w:t>
      </w:r>
    </w:p>
    <w:p>
      <w:pPr>
        <w:spacing w:after="0" w:line="124"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Erie Family Life Insurance Company (“EFL”) is an affiliated life insurance company that underwrites and sells individual and group life insurance policies and fixed annuities. On March 31, 2011, Indemnity sold its 21.6% ownership interest in EFL to the Exchange for 95% of EFL’s GAAP book value per share as of this date. Because Indemnity and the Exchange are deemed to be under common control, there was no gain or loss resulting from this sale.</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“Indemnity shareholder interest” refers to the interest in Erie Indemnity Company owned by the Class A and Class B shareholders. “Noncontrolling interest” refers to the interest in the Erie Insurance Exchange held for the benefit of the subscribers (policyholders).</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consolidated financial statements of Erie Indemnity Company reflect the results of Indemnity and its variable interest entity, the Exchange, which we refer to collectively as “Erie Insurance Group” (“we,” “us,” “our”).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 and principles of consolidation</w:t>
      </w:r>
    </w:p>
    <w:p>
      <w:pPr>
        <w:spacing w:after="0" w:line="2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accompanying consolidated financial statements have been prepared in conformity with U.S. generally accepted accounting principles (“GAAP”) and include the accounts of Indemnity together with its affiliate companies in which Indemnity holds a majority voting or economic interest. In addition, we consolidate the Exchange as a variable interest entity for which Indemnity is the primary beneficiary. All intercompany accounts and transactions have been eliminated in consolidation. The required presentation of noncontrolling interests is reflected in the consolidated financial statements. Noncontrolling interests represent the ownership interests of the Exchange, all of which is held by parties other than Indemnity (i.e. the Exchange’s subscribers (policyholders)). Noncontrolling interests also include the Exchange subscribers’ ownership interest in EFL.</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In the opinion of management, all adjustments (consisting of normal recurring accruals) considered necessary for a fair presentation of our financial position, results of operations and cash flows for the interim periods have been included. Operating results for the three month period ended March 31, 2011 are not necessarily indicative of the results that may be expected for the year ending December 31, 2011. The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accompanying consolidated financial statements and notes should be read in conjunction with the consolidated financial statements and notes thereto included in our Annual Report on Form 10-K for the year ended December 31, 2010 as filed with the Securities and Exchange Commission on February 24, 2011.</w:t>
      </w:r>
    </w:p>
    <w:p>
      <w:pPr>
        <w:spacing w:after="0" w:line="124"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i w:val="1"/>
          <w:iCs w:val="1"/>
          <w:color w:val="auto"/>
        </w:rPr>
        <w:t xml:space="preserve">Presentation of assets and liabilities </w:t>
      </w:r>
      <w:r>
        <w:rPr>
          <w:rFonts w:ascii="Arial" w:cs="Arial" w:eastAsia="Arial" w:hAnsi="Arial"/>
          <w:sz w:val="17"/>
          <w:szCs w:val="17"/>
          <w:color w:val="auto"/>
        </w:rPr>
        <w:t>– While the assets of the Exchange are presented separately in the Consolidated Statements of Financial Position,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Exchange’s assets can only be used to satisfy the Exchange’s liabilities or for other unrestricted activities. Accounting Standards Codification (“ASC”) 810, </w:t>
      </w:r>
      <w:r>
        <w:rPr>
          <w:rFonts w:ascii="Arial" w:cs="Arial" w:eastAsia="Arial" w:hAnsi="Arial"/>
          <w:sz w:val="17"/>
          <w:szCs w:val="17"/>
          <w:i w:val="1"/>
          <w:iCs w:val="1"/>
          <w:color w:val="auto"/>
        </w:rPr>
        <w:t xml:space="preserve">Consolidation, </w:t>
      </w:r>
      <w:r>
        <w:rPr>
          <w:rFonts w:ascii="Arial" w:cs="Arial" w:eastAsia="Arial" w:hAnsi="Arial"/>
          <w:sz w:val="17"/>
          <w:szCs w:val="17"/>
          <w:color w:val="auto"/>
        </w:rPr>
        <w:t>does not require separate presentation of the Exchange’s assets. However, because the shareholders of Indemnity have no rights to the assets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the Exchange and, conversely, the Exchange has no rights to the assets of Indemnity, we have presented the invested assets of the Exchange separately on the Consolidated Statements of Financial Position along with the remaining consolidated assets reflecting the Exchange’s portion parenthetically. Liabilities are required under ASC 810,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to be presented separately for the Exchange on the Consolidated Statements of Financial Position as the Exchange’s creditors do not have recourse to the general credit of Indemnity.</w:t>
      </w:r>
    </w:p>
    <w:p>
      <w:pPr>
        <w:spacing w:after="0" w:line="17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i w:val="1"/>
          <w:iCs w:val="1"/>
          <w:color w:val="auto"/>
        </w:rPr>
        <w:t xml:space="preserve">Rights of shareholders of Indemnity and subscribers (policyholders) of the Exchange </w:t>
      </w:r>
      <w:r>
        <w:rPr>
          <w:rFonts w:ascii="Arial" w:cs="Arial" w:eastAsia="Arial" w:hAnsi="Arial"/>
          <w:sz w:val="18"/>
          <w:szCs w:val="18"/>
          <w:color w:val="auto"/>
        </w:rPr>
        <w:t>– The shareholders of Indemnity, through the management fee, have a</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controlling financial interest in the Exchange; however, they have no other rights to or obligations arising from assets and liabilities of the Exchange. The shareholders of Indemnity own its equity but have no rights or interest in the Exchange’s (noncontrolling interest) income or equity. The noncontrolling interest equity represents the Exchange’s equity held for the benefit of its subscribers (policyholders), who have no rights or interest in the Indemnity shareholder interest income or equity.</w:t>
      </w: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All intercompany assets, liabilities, revenues and expenses between Indemnity and the Exchange have been eliminated in the Consolidated Statements of Financial Position.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Adopted accounting pronouncements</w:t>
      </w:r>
    </w:p>
    <w:p>
      <w:pPr>
        <w:spacing w:after="0" w:line="2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In January 2010, the Financial Accounting Standard Board (“FASB”) issued Accounting Standards Update (“ASU”) 2010-06, </w:t>
      </w:r>
      <w:r>
        <w:rPr>
          <w:rFonts w:ascii="Arial" w:cs="Arial" w:eastAsia="Arial" w:hAnsi="Arial"/>
          <w:sz w:val="16"/>
          <w:szCs w:val="16"/>
          <w:i w:val="1"/>
          <w:iCs w:val="1"/>
          <w:color w:val="auto"/>
        </w:rPr>
        <w:t>Improving Disclosures about</w:t>
      </w:r>
      <w:r>
        <w:rPr>
          <w:rFonts w:ascii="Arial" w:cs="Arial" w:eastAsia="Arial" w:hAnsi="Arial"/>
          <w:sz w:val="16"/>
          <w:szCs w:val="16"/>
          <w:color w:val="auto"/>
        </w:rPr>
        <w:t xml:space="preserve"> </w:t>
      </w:r>
      <w:r>
        <w:rPr>
          <w:rFonts w:ascii="Arial" w:cs="Arial" w:eastAsia="Arial" w:hAnsi="Arial"/>
          <w:sz w:val="16"/>
          <w:szCs w:val="16"/>
          <w:i w:val="1"/>
          <w:iCs w:val="1"/>
          <w:color w:val="auto"/>
        </w:rPr>
        <w:t>Fair Value Measurements</w:t>
      </w:r>
      <w:r>
        <w:rPr>
          <w:rFonts w:ascii="Arial" w:cs="Arial" w:eastAsia="Arial" w:hAnsi="Arial"/>
          <w:sz w:val="16"/>
          <w:szCs w:val="16"/>
          <w:color w:val="auto"/>
        </w:rPr>
        <w:t>. This guidance updated the disclosures on ASC 820,</w:t>
      </w:r>
      <w:r>
        <w:rPr>
          <w:rFonts w:ascii="Arial" w:cs="Arial" w:eastAsia="Arial" w:hAnsi="Arial"/>
          <w:sz w:val="16"/>
          <w:szCs w:val="16"/>
          <w:i w:val="1"/>
          <w:iCs w:val="1"/>
          <w:color w:val="auto"/>
        </w:rPr>
        <w:t xml:space="preserve"> Fair Value Measurements and Disclosures</w:t>
      </w:r>
      <w:r>
        <w:rPr>
          <w:rFonts w:ascii="Arial" w:cs="Arial" w:eastAsia="Arial" w:hAnsi="Arial"/>
          <w:sz w:val="16"/>
          <w:szCs w:val="16"/>
          <w:color w:val="auto"/>
        </w:rPr>
        <w:t>. The additional disclosures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the amounts and reasons for significant transfers between the levels in the fair value hierarchy, the expansion of fair market disclosures by each class of</w:t>
      </w:r>
    </w:p>
    <w:p>
      <w:pPr>
        <w:sectPr>
          <w:pgSz w:w="11900" w:h="16876" w:orient="portrait"/>
          <w:cols w:equalWidth="0" w:num="1">
            <w:col w:w="11420"/>
          </w:cols>
          <w:pgMar w:left="240" w:top="121" w:right="239" w:bottom="0" w:gutter="0" w:footer="0" w:header="0"/>
        </w:sectPr>
      </w:pPr>
    </w:p>
    <w:bookmarkStart w:id="5" w:name="page6"/>
    <w:bookmarkEnd w:id="5"/>
    <w:p>
      <w:pPr>
        <w:ind w:right="360"/>
        <w:spacing w:after="0" w:line="279" w:lineRule="auto"/>
        <w:rPr>
          <w:sz w:val="20"/>
          <w:szCs w:val="20"/>
          <w:color w:val="auto"/>
        </w:rPr>
      </w:pPr>
      <w:r>
        <w:rPr>
          <w:rFonts w:ascii="Arial" w:cs="Arial" w:eastAsia="Arial" w:hAnsi="Arial"/>
          <w:sz w:val="17"/>
          <w:szCs w:val="17"/>
          <w:color w:val="auto"/>
        </w:rPr>
        <w:t>assets, disclosure of the policy for recognition of level transfers, and disclosure of the valuation techniques used for all Level 2 and Level 3 assets. These disclosures were effective for periods beginning after December 15, 2009 and have been included in Note 6, “Fair Value.” An additional disclosure requirement to present purchases, sales, issuances, and settlements of Level 3 activity on a gross basis became effective with periods beginning after December 15, 2010. The additional disclosures required by this guidance have been included in Note 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Pending accounting pronouncements</w:t>
      </w:r>
    </w:p>
    <w:p>
      <w:pPr>
        <w:spacing w:after="0" w:line="2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In October 2010, the FASB issued ASU 2010-26, </w:t>
      </w:r>
      <w:r>
        <w:rPr>
          <w:rFonts w:ascii="Arial" w:cs="Arial" w:eastAsia="Arial" w:hAnsi="Arial"/>
          <w:sz w:val="16"/>
          <w:szCs w:val="16"/>
          <w:i w:val="1"/>
          <w:iCs w:val="1"/>
          <w:color w:val="auto"/>
        </w:rPr>
        <w:t>Accounting for Costs Associated with Acquiring or Renewing Insurance Contracts</w:t>
      </w:r>
      <w:r>
        <w:rPr>
          <w:rFonts w:ascii="Arial" w:cs="Arial" w:eastAsia="Arial" w:hAnsi="Arial"/>
          <w:sz w:val="16"/>
          <w:szCs w:val="16"/>
          <w:color w:val="auto"/>
        </w:rPr>
        <w:t>. This guidance modifies the definition of the types of costs incurred by insurance entities that can be capitalized in the acquisition of new and renewal insurance contracts. The amendments in this update specify that the costs are limited to incremental direct costs that result directly from successful contract transactions and would not have been incurred by the insurance entity had the contract transactions not occurred. These costs must be directly related to underwriting, policy issuance and processing, medical and inspection and sales force contract selling. The amendments also specify that advertising costs only should be included as deferred acquisition costs if the direct-response advertising criteria are met. ASU 2010-26 is effective for interim and annual reporting periods beginning after December 15, 2011 with either prospective or retrospective adoption permitted. Although we have not performed a detailed analysis, the adoption method and impact of this update on the Company’s financial position, cash flows, or results of operations is expected to be immaterial.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Basic earnings per share are calculated under the two-class method, which allocates earnings to each class of stock based on its dividend rights. Class B shares are convertible into Class A shares at a conversion ratio of 2,400 to 1. Class A diluted earnings per share are calculated under the if-converted method, which reflects the conversion of Class B shares and the effect of potentially dilutive outstanding employee stock-based awards and awards vested and not yet vested related to the outside directors’ stock compensation plan. Vested shares related to the outside directors’ compensation plan were included in the table below for the first time at December 31, 2010. The March 31, 2010 amounts have been updated to include these shares. This had no impact on previously reported diluted earnings per share.</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reconciliation of the numerators and denominators used in the basic and diluted per-share computations is presented as follows for each class of Indemnity common stock: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0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5"/>
          </w:tcPr>
          <w:p>
            <w:pPr>
              <w:jc w:val="center"/>
              <w:ind w:left="148"/>
              <w:spacing w:after="0"/>
              <w:rPr>
                <w:sz w:val="20"/>
                <w:szCs w:val="20"/>
                <w:color w:val="auto"/>
              </w:rPr>
            </w:pPr>
            <w:r>
              <w:rPr>
                <w:rFonts w:ascii="Arial" w:cs="Arial" w:eastAsia="Arial" w:hAnsi="Arial"/>
                <w:sz w:val="14"/>
                <w:szCs w:val="14"/>
                <w:color w:val="auto"/>
                <w:w w:val="93"/>
              </w:rPr>
              <w:t>Indemnity Earnings Per Share Calculation</w:t>
            </w:r>
          </w:p>
        </w:tc>
        <w:tc>
          <w:tcPr>
            <w:tcW w:w="1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20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920" w:type="dxa"/>
            <w:vAlign w:val="bottom"/>
            <w:gridSpan w:val="3"/>
          </w:tcPr>
          <w:p>
            <w:pPr>
              <w:jc w:val="center"/>
              <w:ind w:left="8"/>
              <w:spacing w:after="0" w:line="123" w:lineRule="exact"/>
              <w:rPr>
                <w:sz w:val="20"/>
                <w:szCs w:val="20"/>
                <w:color w:val="auto"/>
              </w:rPr>
            </w:pPr>
            <w:r>
              <w:rPr>
                <w:rFonts w:ascii="Arial" w:cs="Arial" w:eastAsia="Arial" w:hAnsi="Arial"/>
                <w:sz w:val="14"/>
                <w:szCs w:val="14"/>
                <w:color w:val="auto"/>
                <w:w w:val="92"/>
              </w:rPr>
              <w:t>Three months ended March 31,</w:t>
            </w:r>
          </w:p>
        </w:tc>
        <w:tc>
          <w:tcPr>
            <w:tcW w:w="3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except share data)</w:t>
            </w: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2011</w:t>
            </w: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2010</w:t>
            </w:r>
          </w:p>
        </w:tc>
        <w:tc>
          <w:tcPr>
            <w:tcW w:w="6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200" w:type="dxa"/>
            <w:vAlign w:val="bottom"/>
          </w:tcPr>
          <w:p>
            <w:pPr>
              <w:spacing w:after="0"/>
              <w:rPr>
                <w:sz w:val="10"/>
                <w:szCs w:val="10"/>
                <w:color w:val="auto"/>
              </w:rPr>
            </w:pPr>
          </w:p>
        </w:tc>
        <w:tc>
          <w:tcPr>
            <w:tcW w:w="900" w:type="dxa"/>
            <w:vAlign w:val="bottom"/>
          </w:tcPr>
          <w:p>
            <w:pPr>
              <w:jc w:val="center"/>
              <w:ind w:left="68"/>
              <w:spacing w:after="0" w:line="123" w:lineRule="exact"/>
              <w:rPr>
                <w:sz w:val="20"/>
                <w:szCs w:val="20"/>
                <w:color w:val="auto"/>
              </w:rPr>
            </w:pPr>
            <w:r>
              <w:rPr>
                <w:rFonts w:ascii="Arial" w:cs="Arial" w:eastAsia="Arial" w:hAnsi="Arial"/>
                <w:sz w:val="14"/>
                <w:szCs w:val="14"/>
                <w:color w:val="auto"/>
                <w:w w:val="97"/>
              </w:rPr>
              <w:t>Allocated</w:t>
            </w:r>
          </w:p>
        </w:tc>
        <w:tc>
          <w:tcPr>
            <w:tcW w:w="280" w:type="dxa"/>
            <w:vAlign w:val="bottom"/>
          </w:tcPr>
          <w:p>
            <w:pPr>
              <w:spacing w:after="0"/>
              <w:rPr>
                <w:sz w:val="10"/>
                <w:szCs w:val="10"/>
                <w:color w:val="auto"/>
              </w:rPr>
            </w:pPr>
          </w:p>
        </w:tc>
        <w:tc>
          <w:tcPr>
            <w:tcW w:w="1400" w:type="dxa"/>
            <w:vAlign w:val="bottom"/>
          </w:tcPr>
          <w:p>
            <w:pPr>
              <w:jc w:val="center"/>
              <w:ind w:right="88"/>
              <w:spacing w:after="0" w:line="123" w:lineRule="exact"/>
              <w:rPr>
                <w:sz w:val="20"/>
                <w:szCs w:val="20"/>
                <w:color w:val="auto"/>
              </w:rPr>
            </w:pPr>
            <w:r>
              <w:rPr>
                <w:rFonts w:ascii="Arial" w:cs="Arial" w:eastAsia="Arial" w:hAnsi="Arial"/>
                <w:sz w:val="14"/>
                <w:szCs w:val="14"/>
                <w:color w:val="auto"/>
                <w:w w:val="94"/>
              </w:rPr>
              <w:t>Weighted</w:t>
            </w:r>
          </w:p>
        </w:tc>
        <w:tc>
          <w:tcPr>
            <w:tcW w:w="540" w:type="dxa"/>
            <w:vAlign w:val="bottom"/>
          </w:tcPr>
          <w:p>
            <w:pPr>
              <w:spacing w:after="0"/>
              <w:rPr>
                <w:sz w:val="10"/>
                <w:szCs w:val="10"/>
                <w:color w:val="auto"/>
              </w:rPr>
            </w:pPr>
          </w:p>
        </w:tc>
        <w:tc>
          <w:tcPr>
            <w:tcW w:w="820" w:type="dxa"/>
            <w:vAlign w:val="bottom"/>
          </w:tcPr>
          <w:p>
            <w:pPr>
              <w:jc w:val="right"/>
              <w:ind w:right="508"/>
              <w:spacing w:after="0" w:line="123" w:lineRule="exact"/>
              <w:rPr>
                <w:sz w:val="20"/>
                <w:szCs w:val="20"/>
                <w:color w:val="auto"/>
              </w:rPr>
            </w:pPr>
            <w:r>
              <w:rPr>
                <w:rFonts w:ascii="Arial" w:cs="Arial" w:eastAsia="Arial" w:hAnsi="Arial"/>
                <w:sz w:val="14"/>
                <w:szCs w:val="14"/>
                <w:color w:val="auto"/>
                <w:w w:val="83"/>
              </w:rPr>
              <w:t>Per-</w:t>
            </w:r>
          </w:p>
        </w:tc>
        <w:tc>
          <w:tcPr>
            <w:tcW w:w="220" w:type="dxa"/>
            <w:vAlign w:val="bottom"/>
          </w:tcPr>
          <w:p>
            <w:pPr>
              <w:spacing w:after="0"/>
              <w:rPr>
                <w:sz w:val="10"/>
                <w:szCs w:val="10"/>
                <w:color w:val="auto"/>
              </w:rPr>
            </w:pPr>
          </w:p>
        </w:tc>
        <w:tc>
          <w:tcPr>
            <w:tcW w:w="880" w:type="dxa"/>
            <w:vAlign w:val="bottom"/>
          </w:tcPr>
          <w:p>
            <w:pPr>
              <w:jc w:val="center"/>
              <w:ind w:left="88"/>
              <w:spacing w:after="0" w:line="123" w:lineRule="exact"/>
              <w:rPr>
                <w:sz w:val="20"/>
                <w:szCs w:val="20"/>
                <w:color w:val="auto"/>
              </w:rPr>
            </w:pPr>
            <w:r>
              <w:rPr>
                <w:rFonts w:ascii="Arial" w:cs="Arial" w:eastAsia="Arial" w:hAnsi="Arial"/>
                <w:sz w:val="14"/>
                <w:szCs w:val="14"/>
                <w:color w:val="auto"/>
                <w:w w:val="97"/>
              </w:rPr>
              <w:t>Allocated</w:t>
            </w:r>
          </w:p>
        </w:tc>
        <w:tc>
          <w:tcPr>
            <w:tcW w:w="380" w:type="dxa"/>
            <w:vAlign w:val="bottom"/>
          </w:tcPr>
          <w:p>
            <w:pPr>
              <w:spacing w:after="0"/>
              <w:rPr>
                <w:sz w:val="10"/>
                <w:szCs w:val="10"/>
                <w:color w:val="auto"/>
              </w:rPr>
            </w:pPr>
          </w:p>
        </w:tc>
        <w:tc>
          <w:tcPr>
            <w:tcW w:w="1320" w:type="dxa"/>
            <w:vAlign w:val="bottom"/>
          </w:tcPr>
          <w:p>
            <w:pPr>
              <w:jc w:val="center"/>
              <w:ind w:right="228"/>
              <w:spacing w:after="0" w:line="123" w:lineRule="exact"/>
              <w:rPr>
                <w:sz w:val="20"/>
                <w:szCs w:val="20"/>
                <w:color w:val="auto"/>
              </w:rPr>
            </w:pPr>
            <w:r>
              <w:rPr>
                <w:rFonts w:ascii="Arial" w:cs="Arial" w:eastAsia="Arial" w:hAnsi="Arial"/>
                <w:sz w:val="14"/>
                <w:szCs w:val="14"/>
                <w:color w:val="auto"/>
                <w:w w:val="91"/>
              </w:rPr>
              <w:t>Weighted</w:t>
            </w:r>
          </w:p>
        </w:tc>
        <w:tc>
          <w:tcPr>
            <w:tcW w:w="1480" w:type="dxa"/>
            <w:vAlign w:val="bottom"/>
            <w:gridSpan w:val="2"/>
          </w:tcPr>
          <w:p>
            <w:pPr>
              <w:ind w:left="480"/>
              <w:spacing w:after="0" w:line="123" w:lineRule="exact"/>
              <w:rPr>
                <w:sz w:val="20"/>
                <w:szCs w:val="20"/>
                <w:color w:val="auto"/>
              </w:rPr>
            </w:pPr>
            <w:r>
              <w:rPr>
                <w:rFonts w:ascii="Arial" w:cs="Arial" w:eastAsia="Arial" w:hAnsi="Arial"/>
                <w:sz w:val="14"/>
                <w:szCs w:val="14"/>
                <w:color w:val="auto"/>
              </w:rPr>
              <w:t>Per-</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900" w:type="dxa"/>
            <w:vAlign w:val="bottom"/>
          </w:tcPr>
          <w:p>
            <w:pPr>
              <w:jc w:val="center"/>
              <w:ind w:left="88"/>
              <w:spacing w:after="0" w:line="149" w:lineRule="exact"/>
              <w:rPr>
                <w:sz w:val="20"/>
                <w:szCs w:val="20"/>
                <w:color w:val="auto"/>
              </w:rPr>
            </w:pPr>
            <w:r>
              <w:rPr>
                <w:rFonts w:ascii="Arial" w:cs="Arial" w:eastAsia="Arial" w:hAnsi="Arial"/>
                <w:sz w:val="14"/>
                <w:szCs w:val="14"/>
                <w:color w:val="auto"/>
                <w:w w:val="90"/>
              </w:rPr>
              <w:t>net income</w:t>
            </w:r>
          </w:p>
        </w:tc>
        <w:tc>
          <w:tcPr>
            <w:tcW w:w="280" w:type="dxa"/>
            <w:vAlign w:val="bottom"/>
          </w:tcPr>
          <w:p>
            <w:pPr>
              <w:spacing w:after="0"/>
              <w:rPr>
                <w:sz w:val="12"/>
                <w:szCs w:val="12"/>
                <w:color w:val="auto"/>
              </w:rPr>
            </w:pPr>
          </w:p>
        </w:tc>
        <w:tc>
          <w:tcPr>
            <w:tcW w:w="140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85"/>
              </w:rPr>
              <w:t>shares</w:t>
            </w:r>
          </w:p>
        </w:tc>
        <w:tc>
          <w:tcPr>
            <w:tcW w:w="158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share</w:t>
            </w:r>
          </w:p>
        </w:tc>
        <w:tc>
          <w:tcPr>
            <w:tcW w:w="880" w:type="dxa"/>
            <w:vAlign w:val="bottom"/>
          </w:tcPr>
          <w:p>
            <w:pPr>
              <w:jc w:val="center"/>
              <w:ind w:left="88"/>
              <w:spacing w:after="0" w:line="149" w:lineRule="exact"/>
              <w:rPr>
                <w:sz w:val="20"/>
                <w:szCs w:val="20"/>
                <w:color w:val="auto"/>
              </w:rPr>
            </w:pPr>
            <w:r>
              <w:rPr>
                <w:rFonts w:ascii="Arial" w:cs="Arial" w:eastAsia="Arial" w:hAnsi="Arial"/>
                <w:sz w:val="14"/>
                <w:szCs w:val="14"/>
                <w:color w:val="auto"/>
                <w:w w:val="93"/>
              </w:rPr>
              <w:t>net income</w:t>
            </w:r>
          </w:p>
        </w:tc>
        <w:tc>
          <w:tcPr>
            <w:tcW w:w="380" w:type="dxa"/>
            <w:vAlign w:val="bottom"/>
          </w:tcPr>
          <w:p>
            <w:pPr>
              <w:spacing w:after="0"/>
              <w:rPr>
                <w:sz w:val="12"/>
                <w:szCs w:val="12"/>
                <w:color w:val="auto"/>
              </w:rPr>
            </w:pPr>
          </w:p>
        </w:tc>
        <w:tc>
          <w:tcPr>
            <w:tcW w:w="1320" w:type="dxa"/>
            <w:vAlign w:val="bottom"/>
          </w:tcPr>
          <w:p>
            <w:pPr>
              <w:jc w:val="center"/>
              <w:ind w:right="248"/>
              <w:spacing w:after="0" w:line="149" w:lineRule="exact"/>
              <w:rPr>
                <w:sz w:val="20"/>
                <w:szCs w:val="20"/>
                <w:color w:val="auto"/>
              </w:rPr>
            </w:pPr>
            <w:r>
              <w:rPr>
                <w:rFonts w:ascii="Arial" w:cs="Arial" w:eastAsia="Arial" w:hAnsi="Arial"/>
                <w:sz w:val="14"/>
                <w:szCs w:val="14"/>
                <w:color w:val="auto"/>
                <w:w w:val="85"/>
              </w:rPr>
              <w:t>shares</w:t>
            </w:r>
          </w:p>
        </w:tc>
        <w:tc>
          <w:tcPr>
            <w:tcW w:w="1480" w:type="dxa"/>
            <w:vAlign w:val="bottom"/>
            <w:gridSpan w:val="2"/>
          </w:tcPr>
          <w:p>
            <w:pPr>
              <w:jc w:val="right"/>
              <w:ind w:right="668"/>
              <w:spacing w:after="0" w:line="149" w:lineRule="exact"/>
              <w:rPr>
                <w:sz w:val="20"/>
                <w:szCs w:val="20"/>
                <w:color w:val="auto"/>
              </w:rPr>
            </w:pPr>
            <w:r>
              <w:rPr>
                <w:rFonts w:ascii="Arial" w:cs="Arial" w:eastAsia="Arial" w:hAnsi="Arial"/>
                <w:sz w:val="14"/>
                <w:szCs w:val="14"/>
                <w:color w:val="auto"/>
              </w:rPr>
              <w:t>share</w:t>
            </w:r>
          </w:p>
        </w:tc>
        <w:tc>
          <w:tcPr>
            <w:tcW w:w="0" w:type="dxa"/>
            <w:vAlign w:val="bottom"/>
          </w:tcPr>
          <w:p>
            <w:pPr>
              <w:spacing w:after="0"/>
              <w:rPr>
                <w:sz w:val="1"/>
                <w:szCs w:val="1"/>
                <w:color w:val="auto"/>
              </w:rPr>
            </w:pPr>
          </w:p>
        </w:tc>
      </w:tr>
      <w:tr>
        <w:trPr>
          <w:trHeight w:val="167"/>
        </w:trPr>
        <w:tc>
          <w:tcPr>
            <w:tcW w:w="3200" w:type="dxa"/>
            <w:vAlign w:val="bottom"/>
          </w:tcPr>
          <w:p>
            <w:pPr>
              <w:spacing w:after="0"/>
              <w:rPr>
                <w:sz w:val="14"/>
                <w:szCs w:val="14"/>
                <w:color w:val="auto"/>
              </w:rPr>
            </w:pPr>
          </w:p>
        </w:tc>
        <w:tc>
          <w:tcPr>
            <w:tcW w:w="900" w:type="dxa"/>
            <w:vAlign w:val="bottom"/>
          </w:tcPr>
          <w:p>
            <w:pPr>
              <w:jc w:val="center"/>
              <w:ind w:left="88"/>
              <w:spacing w:after="0"/>
              <w:rPr>
                <w:sz w:val="20"/>
                <w:szCs w:val="20"/>
                <w:color w:val="auto"/>
              </w:rPr>
            </w:pPr>
            <w:r>
              <w:rPr>
                <w:rFonts w:ascii="Arial" w:cs="Arial" w:eastAsia="Arial" w:hAnsi="Arial"/>
                <w:sz w:val="14"/>
                <w:szCs w:val="14"/>
                <w:color w:val="auto"/>
                <w:w w:val="95"/>
              </w:rPr>
              <w:t>(numerator)</w:t>
            </w:r>
          </w:p>
        </w:tc>
        <w:tc>
          <w:tcPr>
            <w:tcW w:w="280" w:type="dxa"/>
            <w:vAlign w:val="bottom"/>
          </w:tcPr>
          <w:p>
            <w:pPr>
              <w:spacing w:after="0"/>
              <w:rPr>
                <w:sz w:val="14"/>
                <w:szCs w:val="14"/>
                <w:color w:val="auto"/>
              </w:rPr>
            </w:pPr>
          </w:p>
        </w:tc>
        <w:tc>
          <w:tcPr>
            <w:tcW w:w="1400" w:type="dxa"/>
            <w:vAlign w:val="bottom"/>
          </w:tcPr>
          <w:p>
            <w:pPr>
              <w:jc w:val="center"/>
              <w:ind w:right="108"/>
              <w:spacing w:after="0"/>
              <w:rPr>
                <w:sz w:val="20"/>
                <w:szCs w:val="20"/>
                <w:color w:val="auto"/>
              </w:rPr>
            </w:pPr>
            <w:r>
              <w:rPr>
                <w:rFonts w:ascii="Arial" w:cs="Arial" w:eastAsia="Arial" w:hAnsi="Arial"/>
                <w:sz w:val="14"/>
                <w:szCs w:val="14"/>
                <w:color w:val="auto"/>
                <w:w w:val="94"/>
              </w:rPr>
              <w:t>(denominator)</w:t>
            </w:r>
          </w:p>
        </w:tc>
        <w:tc>
          <w:tcPr>
            <w:tcW w:w="1580" w:type="dxa"/>
            <w:vAlign w:val="bottom"/>
            <w:gridSpan w:val="3"/>
          </w:tcPr>
          <w:p>
            <w:pPr>
              <w:ind w:left="440"/>
              <w:spacing w:after="0"/>
              <w:rPr>
                <w:sz w:val="20"/>
                <w:szCs w:val="20"/>
                <w:color w:val="auto"/>
              </w:rPr>
            </w:pPr>
            <w:r>
              <w:rPr>
                <w:rFonts w:ascii="Arial" w:cs="Arial" w:eastAsia="Arial" w:hAnsi="Arial"/>
                <w:sz w:val="14"/>
                <w:szCs w:val="14"/>
                <w:color w:val="auto"/>
              </w:rPr>
              <w:t>amount</w:t>
            </w:r>
          </w:p>
        </w:tc>
        <w:tc>
          <w:tcPr>
            <w:tcW w:w="880" w:type="dxa"/>
            <w:vAlign w:val="bottom"/>
          </w:tcPr>
          <w:p>
            <w:pPr>
              <w:jc w:val="center"/>
              <w:ind w:left="88"/>
              <w:spacing w:after="0"/>
              <w:rPr>
                <w:sz w:val="20"/>
                <w:szCs w:val="20"/>
                <w:color w:val="auto"/>
              </w:rPr>
            </w:pPr>
            <w:r>
              <w:rPr>
                <w:rFonts w:ascii="Arial" w:cs="Arial" w:eastAsia="Arial" w:hAnsi="Arial"/>
                <w:sz w:val="14"/>
                <w:szCs w:val="14"/>
                <w:color w:val="auto"/>
                <w:w w:val="92"/>
              </w:rPr>
              <w:t>(numerator)</w:t>
            </w:r>
          </w:p>
        </w:tc>
        <w:tc>
          <w:tcPr>
            <w:tcW w:w="380" w:type="dxa"/>
            <w:vAlign w:val="bottom"/>
          </w:tcPr>
          <w:p>
            <w:pPr>
              <w:spacing w:after="0"/>
              <w:rPr>
                <w:sz w:val="14"/>
                <w:szCs w:val="14"/>
                <w:color w:val="auto"/>
              </w:rPr>
            </w:pPr>
          </w:p>
        </w:tc>
        <w:tc>
          <w:tcPr>
            <w:tcW w:w="1320" w:type="dxa"/>
            <w:vAlign w:val="bottom"/>
          </w:tcPr>
          <w:p>
            <w:pPr>
              <w:jc w:val="center"/>
              <w:ind w:right="228"/>
              <w:spacing w:after="0"/>
              <w:rPr>
                <w:sz w:val="20"/>
                <w:szCs w:val="20"/>
                <w:color w:val="auto"/>
              </w:rPr>
            </w:pPr>
            <w:r>
              <w:rPr>
                <w:rFonts w:ascii="Arial" w:cs="Arial" w:eastAsia="Arial" w:hAnsi="Arial"/>
                <w:sz w:val="14"/>
                <w:szCs w:val="14"/>
                <w:color w:val="auto"/>
                <w:w w:val="94"/>
              </w:rPr>
              <w:t>(denominator)</w:t>
            </w:r>
          </w:p>
        </w:tc>
        <w:tc>
          <w:tcPr>
            <w:tcW w:w="1480" w:type="dxa"/>
            <w:vAlign w:val="bottom"/>
            <w:gridSpan w:val="2"/>
          </w:tcPr>
          <w:p>
            <w:pPr>
              <w:jc w:val="right"/>
              <w:ind w:right="608"/>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129"/>
        </w:trPr>
        <w:tc>
          <w:tcPr>
            <w:tcW w:w="32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Class A – Basic EPS:</w:t>
            </w:r>
          </w:p>
        </w:tc>
        <w:tc>
          <w:tcPr>
            <w:tcW w:w="9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Income available to Class A stockholders</w:t>
            </w:r>
          </w:p>
        </w:tc>
        <w:tc>
          <w:tcPr>
            <w:tcW w:w="1180" w:type="dxa"/>
            <w:vAlign w:val="bottom"/>
            <w:tcBorders>
              <w:bottom w:val="single" w:sz="8" w:color="auto"/>
            </w:tcBorders>
            <w:gridSpan w:val="2"/>
          </w:tcPr>
          <w:p>
            <w:pPr>
              <w:jc w:val="right"/>
              <w:ind w:right="128"/>
              <w:spacing w:after="0" w:line="149" w:lineRule="exact"/>
              <w:rPr>
                <w:sz w:val="20"/>
                <w:szCs w:val="20"/>
                <w:color w:val="auto"/>
              </w:rPr>
            </w:pPr>
            <w:r>
              <w:rPr>
                <w:rFonts w:ascii="Arial" w:cs="Arial" w:eastAsia="Arial" w:hAnsi="Arial"/>
                <w:sz w:val="14"/>
                <w:szCs w:val="14"/>
                <w:color w:val="auto"/>
              </w:rPr>
              <w:t>$44</w:t>
            </w:r>
          </w:p>
        </w:tc>
        <w:tc>
          <w:tcPr>
            <w:tcW w:w="1400" w:type="dxa"/>
            <w:vAlign w:val="bottom"/>
            <w:tcBorders>
              <w:bottom w:val="single" w:sz="8" w:color="auto"/>
            </w:tcBorders>
          </w:tcPr>
          <w:p>
            <w:pPr>
              <w:jc w:val="right"/>
              <w:ind w:right="248"/>
              <w:spacing w:after="0" w:line="149" w:lineRule="exact"/>
              <w:rPr>
                <w:sz w:val="20"/>
                <w:szCs w:val="20"/>
                <w:color w:val="auto"/>
              </w:rPr>
            </w:pPr>
            <w:r>
              <w:rPr>
                <w:rFonts w:ascii="Arial" w:cs="Arial" w:eastAsia="Arial" w:hAnsi="Arial"/>
                <w:sz w:val="14"/>
                <w:szCs w:val="14"/>
                <w:color w:val="auto"/>
              </w:rPr>
              <w:t>49,789,056</w:t>
            </w:r>
          </w:p>
        </w:tc>
        <w:tc>
          <w:tcPr>
            <w:tcW w:w="540" w:type="dxa"/>
            <w:vAlign w:val="bottom"/>
            <w:tcBorders>
              <w:bottom w:val="single" w:sz="8" w:color="auto"/>
            </w:tcBorders>
          </w:tcPr>
          <w:p>
            <w:pPr>
              <w:ind w:left="46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368"/>
              <w:spacing w:after="0" w:line="149" w:lineRule="exact"/>
              <w:rPr>
                <w:sz w:val="20"/>
                <w:szCs w:val="20"/>
                <w:color w:val="auto"/>
              </w:rPr>
            </w:pPr>
            <w:r>
              <w:rPr>
                <w:rFonts w:ascii="Arial" w:cs="Arial" w:eastAsia="Arial" w:hAnsi="Arial"/>
                <w:sz w:val="14"/>
                <w:szCs w:val="14"/>
                <w:color w:val="auto"/>
              </w:rPr>
              <w:t>0.88</w:t>
            </w:r>
          </w:p>
        </w:tc>
        <w:tc>
          <w:tcPr>
            <w:tcW w:w="22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gridSpan w:val="2"/>
          </w:tcPr>
          <w:p>
            <w:pPr>
              <w:jc w:val="right"/>
              <w:ind w:right="208"/>
              <w:spacing w:after="0" w:line="149" w:lineRule="exact"/>
              <w:rPr>
                <w:sz w:val="20"/>
                <w:szCs w:val="20"/>
                <w:color w:val="auto"/>
              </w:rPr>
            </w:pPr>
            <w:r>
              <w:rPr>
                <w:rFonts w:ascii="Arial" w:cs="Arial" w:eastAsia="Arial" w:hAnsi="Arial"/>
                <w:sz w:val="14"/>
                <w:szCs w:val="14"/>
                <w:color w:val="auto"/>
              </w:rPr>
              <w:t>$47</w:t>
            </w:r>
          </w:p>
        </w:tc>
        <w:tc>
          <w:tcPr>
            <w:tcW w:w="1320" w:type="dxa"/>
            <w:vAlign w:val="bottom"/>
            <w:tcBorders>
              <w:bottom w:val="single" w:sz="8" w:color="auto"/>
            </w:tcBorders>
          </w:tcPr>
          <w:p>
            <w:pPr>
              <w:jc w:val="right"/>
              <w:ind w:right="288"/>
              <w:spacing w:after="0" w:line="149" w:lineRule="exact"/>
              <w:rPr>
                <w:sz w:val="20"/>
                <w:szCs w:val="20"/>
                <w:color w:val="auto"/>
              </w:rPr>
            </w:pPr>
            <w:r>
              <w:rPr>
                <w:rFonts w:ascii="Arial" w:cs="Arial" w:eastAsia="Arial" w:hAnsi="Arial"/>
                <w:sz w:val="14"/>
                <w:szCs w:val="14"/>
                <w:color w:val="auto"/>
              </w:rPr>
              <w:t>51,185,736</w:t>
            </w:r>
          </w:p>
        </w:tc>
        <w:tc>
          <w:tcPr>
            <w:tcW w:w="600" w:type="dxa"/>
            <w:vAlign w:val="bottom"/>
            <w:tcBorders>
              <w:bottom w:val="single" w:sz="8" w:color="auto"/>
            </w:tcBorders>
          </w:tcPr>
          <w:p>
            <w:pPr>
              <w:ind w:left="460"/>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8"/>
              <w:spacing w:after="0" w:line="149" w:lineRule="exact"/>
              <w:rPr>
                <w:sz w:val="20"/>
                <w:szCs w:val="20"/>
                <w:color w:val="auto"/>
              </w:rPr>
            </w:pPr>
            <w:r>
              <w:rPr>
                <w:rFonts w:ascii="Arial" w:cs="Arial" w:eastAsia="Arial" w:hAnsi="Arial"/>
                <w:sz w:val="14"/>
                <w:szCs w:val="14"/>
                <w:color w:val="auto"/>
              </w:rPr>
              <w:t>0.92</w:t>
            </w:r>
          </w:p>
        </w:tc>
        <w:tc>
          <w:tcPr>
            <w:tcW w:w="0" w:type="dxa"/>
            <w:vAlign w:val="bottom"/>
          </w:tcPr>
          <w:p>
            <w:pPr>
              <w:spacing w:after="0"/>
              <w:rPr>
                <w:sz w:val="1"/>
                <w:szCs w:val="1"/>
                <w:color w:val="auto"/>
              </w:rPr>
            </w:pPr>
          </w:p>
        </w:tc>
      </w:tr>
      <w:tr>
        <w:trPr>
          <w:trHeight w:val="142"/>
        </w:trPr>
        <w:tc>
          <w:tcPr>
            <w:tcW w:w="3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Dilutive effect of stock awards</w:t>
            </w:r>
          </w:p>
        </w:tc>
        <w:tc>
          <w:tcPr>
            <w:tcW w:w="90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w w:val="76"/>
              </w:rPr>
              <w:t>0</w:t>
            </w:r>
          </w:p>
        </w:tc>
        <w:tc>
          <w:tcPr>
            <w:tcW w:w="1400" w:type="dxa"/>
            <w:vAlign w:val="bottom"/>
            <w:tcBorders>
              <w:bottom w:val="single" w:sz="8" w:color="auto"/>
            </w:tcBorders>
            <w:shd w:val="clear" w:color="auto" w:fill="CCEEFF"/>
          </w:tcPr>
          <w:p>
            <w:pPr>
              <w:jc w:val="right"/>
              <w:ind w:right="248"/>
              <w:spacing w:after="0" w:line="142" w:lineRule="exact"/>
              <w:rPr>
                <w:sz w:val="20"/>
                <w:szCs w:val="20"/>
                <w:color w:val="auto"/>
              </w:rPr>
            </w:pPr>
            <w:r>
              <w:rPr>
                <w:rFonts w:ascii="Arial" w:cs="Arial" w:eastAsia="Arial" w:hAnsi="Arial"/>
                <w:sz w:val="14"/>
                <w:szCs w:val="14"/>
                <w:color w:val="auto"/>
              </w:rPr>
              <w:t>69,382</w:t>
            </w:r>
          </w:p>
        </w:tc>
        <w:tc>
          <w:tcPr>
            <w:tcW w:w="5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368"/>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rPr>
              <w:t>0</w:t>
            </w:r>
          </w:p>
        </w:tc>
        <w:tc>
          <w:tcPr>
            <w:tcW w:w="1320" w:type="dxa"/>
            <w:vAlign w:val="bottom"/>
            <w:tcBorders>
              <w:bottom w:val="single" w:sz="8" w:color="auto"/>
            </w:tcBorders>
            <w:shd w:val="clear" w:color="auto" w:fill="CCEEFF"/>
          </w:tcPr>
          <w:p>
            <w:pPr>
              <w:jc w:val="right"/>
              <w:ind w:right="288"/>
              <w:spacing w:after="0" w:line="142" w:lineRule="exact"/>
              <w:rPr>
                <w:sz w:val="20"/>
                <w:szCs w:val="20"/>
                <w:color w:val="auto"/>
              </w:rPr>
            </w:pPr>
            <w:r>
              <w:rPr>
                <w:rFonts w:ascii="Arial" w:cs="Arial" w:eastAsia="Arial" w:hAnsi="Arial"/>
                <w:sz w:val="14"/>
                <w:szCs w:val="14"/>
                <w:color w:val="auto"/>
              </w:rPr>
              <w:t>61,407</w:t>
            </w:r>
          </w:p>
        </w:tc>
        <w:tc>
          <w:tcPr>
            <w:tcW w:w="6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48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2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Assumed conversion of Class B shares</w:t>
            </w:r>
          </w:p>
        </w:tc>
        <w:tc>
          <w:tcPr>
            <w:tcW w:w="9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w w:val="76"/>
              </w:rPr>
              <w:t>0</w:t>
            </w:r>
          </w:p>
        </w:tc>
        <w:tc>
          <w:tcPr>
            <w:tcW w:w="140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color w:val="auto"/>
              </w:rPr>
              <w:t>6,110,400</w:t>
            </w: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0</w:t>
            </w:r>
          </w:p>
        </w:tc>
        <w:tc>
          <w:tcPr>
            <w:tcW w:w="13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color w:val="auto"/>
              </w:rPr>
              <w:t>6,110,400</w:t>
            </w:r>
          </w:p>
        </w:tc>
        <w:tc>
          <w:tcPr>
            <w:tcW w:w="6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8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32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Class A – Diluted EPS:</w:t>
            </w:r>
          </w:p>
        </w:tc>
        <w:tc>
          <w:tcPr>
            <w:tcW w:w="9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200" w:type="dxa"/>
            <w:vAlign w:val="bottom"/>
          </w:tcPr>
          <w:p>
            <w:pPr>
              <w:spacing w:after="0" w:line="130" w:lineRule="exact"/>
              <w:rPr>
                <w:sz w:val="20"/>
                <w:szCs w:val="20"/>
                <w:color w:val="auto"/>
              </w:rPr>
            </w:pPr>
            <w:r>
              <w:rPr>
                <w:rFonts w:ascii="Arial" w:cs="Arial" w:eastAsia="Arial" w:hAnsi="Arial"/>
                <w:sz w:val="14"/>
                <w:szCs w:val="14"/>
                <w:color w:val="auto"/>
              </w:rPr>
              <w:t>Income available to Class A stockholders on</w:t>
            </w:r>
          </w:p>
        </w:tc>
        <w:tc>
          <w:tcPr>
            <w:tcW w:w="1180" w:type="dxa"/>
            <w:vAlign w:val="bottom"/>
            <w:gridSpan w:val="2"/>
            <w:vMerge w:val="restart"/>
          </w:tcPr>
          <w:p>
            <w:pPr>
              <w:jc w:val="right"/>
              <w:ind w:right="128"/>
              <w:spacing w:after="0"/>
              <w:rPr>
                <w:sz w:val="20"/>
                <w:szCs w:val="20"/>
                <w:color w:val="auto"/>
              </w:rPr>
            </w:pPr>
            <w:r>
              <w:rPr>
                <w:rFonts w:ascii="Arial" w:cs="Arial" w:eastAsia="Arial" w:hAnsi="Arial"/>
                <w:sz w:val="14"/>
                <w:szCs w:val="14"/>
                <w:color w:val="auto"/>
              </w:rPr>
              <w:t>$44</w:t>
            </w:r>
          </w:p>
        </w:tc>
        <w:tc>
          <w:tcPr>
            <w:tcW w:w="1400" w:type="dxa"/>
            <w:vAlign w:val="bottom"/>
            <w:vMerge w:val="restart"/>
          </w:tcPr>
          <w:p>
            <w:pPr>
              <w:jc w:val="right"/>
              <w:ind w:right="248"/>
              <w:spacing w:after="0"/>
              <w:rPr>
                <w:sz w:val="20"/>
                <w:szCs w:val="20"/>
                <w:color w:val="auto"/>
              </w:rPr>
            </w:pPr>
            <w:r>
              <w:rPr>
                <w:rFonts w:ascii="Arial" w:cs="Arial" w:eastAsia="Arial" w:hAnsi="Arial"/>
                <w:sz w:val="14"/>
                <w:szCs w:val="14"/>
                <w:color w:val="auto"/>
              </w:rPr>
              <w:t>55,968,838</w:t>
            </w:r>
          </w:p>
        </w:tc>
        <w:tc>
          <w:tcPr>
            <w:tcW w:w="540" w:type="dxa"/>
            <w:vAlign w:val="bottom"/>
            <w:vMerge w:val="restart"/>
          </w:tcPr>
          <w:p>
            <w:pPr>
              <w:ind w:left="460"/>
              <w:spacing w:after="0"/>
              <w:rPr>
                <w:sz w:val="20"/>
                <w:szCs w:val="20"/>
                <w:color w:val="auto"/>
              </w:rPr>
            </w:pPr>
            <w:r>
              <w:rPr>
                <w:rFonts w:ascii="Arial" w:cs="Arial" w:eastAsia="Arial" w:hAnsi="Arial"/>
                <w:sz w:val="14"/>
                <w:szCs w:val="14"/>
                <w:color w:val="auto"/>
                <w:w w:val="76"/>
              </w:rPr>
              <w:t>$</w:t>
            </w:r>
          </w:p>
        </w:tc>
        <w:tc>
          <w:tcPr>
            <w:tcW w:w="820" w:type="dxa"/>
            <w:vAlign w:val="bottom"/>
            <w:vMerge w:val="restart"/>
          </w:tcPr>
          <w:p>
            <w:pPr>
              <w:jc w:val="right"/>
              <w:ind w:right="368"/>
              <w:spacing w:after="0"/>
              <w:rPr>
                <w:sz w:val="20"/>
                <w:szCs w:val="20"/>
                <w:color w:val="auto"/>
              </w:rPr>
            </w:pPr>
            <w:r>
              <w:rPr>
                <w:rFonts w:ascii="Arial" w:cs="Arial" w:eastAsia="Arial" w:hAnsi="Arial"/>
                <w:sz w:val="14"/>
                <w:szCs w:val="14"/>
                <w:color w:val="auto"/>
              </w:rPr>
              <w:t>0.78</w:t>
            </w:r>
          </w:p>
        </w:tc>
        <w:tc>
          <w:tcPr>
            <w:tcW w:w="220" w:type="dxa"/>
            <w:vAlign w:val="bottom"/>
          </w:tcPr>
          <w:p>
            <w:pPr>
              <w:spacing w:after="0"/>
              <w:rPr>
                <w:sz w:val="11"/>
                <w:szCs w:val="11"/>
                <w:color w:val="auto"/>
              </w:rPr>
            </w:pPr>
          </w:p>
        </w:tc>
        <w:tc>
          <w:tcPr>
            <w:tcW w:w="1260" w:type="dxa"/>
            <w:vAlign w:val="bottom"/>
            <w:gridSpan w:val="2"/>
            <w:vMerge w:val="restart"/>
          </w:tcPr>
          <w:p>
            <w:pPr>
              <w:jc w:val="right"/>
              <w:ind w:right="208"/>
              <w:spacing w:after="0"/>
              <w:rPr>
                <w:sz w:val="20"/>
                <w:szCs w:val="20"/>
                <w:color w:val="auto"/>
              </w:rPr>
            </w:pPr>
            <w:r>
              <w:rPr>
                <w:rFonts w:ascii="Arial" w:cs="Arial" w:eastAsia="Arial" w:hAnsi="Arial"/>
                <w:sz w:val="14"/>
                <w:szCs w:val="14"/>
                <w:color w:val="auto"/>
              </w:rPr>
              <w:t>$47</w:t>
            </w:r>
          </w:p>
        </w:tc>
        <w:tc>
          <w:tcPr>
            <w:tcW w:w="1320" w:type="dxa"/>
            <w:vAlign w:val="bottom"/>
            <w:vMerge w:val="restart"/>
          </w:tcPr>
          <w:p>
            <w:pPr>
              <w:jc w:val="right"/>
              <w:ind w:right="288"/>
              <w:spacing w:after="0"/>
              <w:rPr>
                <w:sz w:val="20"/>
                <w:szCs w:val="20"/>
                <w:color w:val="auto"/>
              </w:rPr>
            </w:pPr>
            <w:r>
              <w:rPr>
                <w:rFonts w:ascii="Arial" w:cs="Arial" w:eastAsia="Arial" w:hAnsi="Arial"/>
                <w:sz w:val="14"/>
                <w:szCs w:val="14"/>
                <w:color w:val="auto"/>
              </w:rPr>
              <w:t>57,357,543</w:t>
            </w:r>
          </w:p>
        </w:tc>
        <w:tc>
          <w:tcPr>
            <w:tcW w:w="60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8"/>
              <w:spacing w:after="0"/>
              <w:rPr>
                <w:sz w:val="20"/>
                <w:szCs w:val="20"/>
                <w:color w:val="auto"/>
              </w:rPr>
            </w:pPr>
            <w:r>
              <w:rPr>
                <w:rFonts w:ascii="Arial" w:cs="Arial" w:eastAsia="Arial" w:hAnsi="Arial"/>
                <w:sz w:val="14"/>
                <w:szCs w:val="14"/>
                <w:color w:val="auto"/>
              </w:rPr>
              <w:t>0.82</w:t>
            </w:r>
          </w:p>
        </w:tc>
        <w:tc>
          <w:tcPr>
            <w:tcW w:w="0" w:type="dxa"/>
            <w:vAlign w:val="bottom"/>
          </w:tcPr>
          <w:p>
            <w:pPr>
              <w:spacing w:after="0"/>
              <w:rPr>
                <w:sz w:val="1"/>
                <w:szCs w:val="1"/>
                <w:color w:val="auto"/>
              </w:rPr>
            </w:pPr>
          </w:p>
        </w:tc>
      </w:tr>
      <w:tr>
        <w:trPr>
          <w:trHeight w:val="194"/>
        </w:trPr>
        <w:tc>
          <w:tcPr>
            <w:tcW w:w="3200" w:type="dxa"/>
            <w:vAlign w:val="bottom"/>
            <w:tcBorders>
              <w:bottom w:val="single" w:sz="8" w:color="CCEEFF"/>
            </w:tcBorders>
          </w:tcPr>
          <w:p>
            <w:pPr>
              <w:ind w:left="180"/>
              <w:spacing w:after="0" w:line="154" w:lineRule="exact"/>
              <w:rPr>
                <w:sz w:val="20"/>
                <w:szCs w:val="20"/>
                <w:color w:val="auto"/>
              </w:rPr>
            </w:pPr>
            <w:r>
              <w:rPr>
                <w:rFonts w:ascii="Arial" w:cs="Arial" w:eastAsia="Arial" w:hAnsi="Arial"/>
                <w:sz w:val="14"/>
                <w:szCs w:val="14"/>
                <w:color w:val="auto"/>
              </w:rPr>
              <w:t>Class A equivalent shares</w:t>
            </w:r>
          </w:p>
        </w:tc>
        <w:tc>
          <w:tcPr>
            <w:tcW w:w="1180" w:type="dxa"/>
            <w:vAlign w:val="bottom"/>
            <w:tcBorders>
              <w:bottom w:val="single" w:sz="8" w:color="auto"/>
            </w:tcBorders>
            <w:gridSpan w:val="2"/>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3200" w:type="dxa"/>
            <w:vAlign w:val="bottom"/>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Class B – Basic and diluted EPS:</w:t>
            </w:r>
          </w:p>
        </w:tc>
        <w:tc>
          <w:tcPr>
            <w:tcW w:w="9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Income available to Class B stockholders</w:t>
            </w: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128"/>
              <w:spacing w:after="0" w:line="149" w:lineRule="exact"/>
              <w:rPr>
                <w:sz w:val="20"/>
                <w:szCs w:val="20"/>
                <w:color w:val="auto"/>
              </w:rPr>
            </w:pPr>
            <w:r>
              <w:rPr>
                <w:rFonts w:ascii="Arial" w:cs="Arial" w:eastAsia="Arial" w:hAnsi="Arial"/>
                <w:sz w:val="14"/>
                <w:szCs w:val="14"/>
                <w:color w:val="auto"/>
                <w:w w:val="76"/>
              </w:rPr>
              <w:t>0</w:t>
            </w:r>
          </w:p>
        </w:tc>
        <w:tc>
          <w:tcPr>
            <w:tcW w:w="1400" w:type="dxa"/>
            <w:vAlign w:val="bottom"/>
            <w:tcBorders>
              <w:bottom w:val="single" w:sz="8" w:color="auto"/>
            </w:tcBorders>
          </w:tcPr>
          <w:p>
            <w:pPr>
              <w:jc w:val="right"/>
              <w:ind w:right="248"/>
              <w:spacing w:after="0" w:line="149" w:lineRule="exact"/>
              <w:rPr>
                <w:sz w:val="20"/>
                <w:szCs w:val="20"/>
                <w:color w:val="auto"/>
              </w:rPr>
            </w:pPr>
            <w:r>
              <w:rPr>
                <w:rFonts w:ascii="Arial" w:cs="Arial" w:eastAsia="Arial" w:hAnsi="Arial"/>
                <w:sz w:val="14"/>
                <w:szCs w:val="14"/>
                <w:color w:val="auto"/>
              </w:rPr>
              <w:t>2,546</w:t>
            </w:r>
          </w:p>
        </w:tc>
        <w:tc>
          <w:tcPr>
            <w:tcW w:w="1360" w:type="dxa"/>
            <w:vAlign w:val="bottom"/>
            <w:tcBorders>
              <w:bottom w:val="single" w:sz="8" w:color="auto"/>
            </w:tcBorders>
            <w:gridSpan w:val="2"/>
          </w:tcPr>
          <w:p>
            <w:pPr>
              <w:jc w:val="right"/>
              <w:ind w:right="368"/>
              <w:spacing w:after="0" w:line="149" w:lineRule="exact"/>
              <w:rPr>
                <w:sz w:val="20"/>
                <w:szCs w:val="20"/>
                <w:color w:val="auto"/>
              </w:rPr>
            </w:pPr>
            <w:r>
              <w:rPr>
                <w:rFonts w:ascii="Arial" w:cs="Arial" w:eastAsia="Arial" w:hAnsi="Arial"/>
                <w:sz w:val="14"/>
                <w:szCs w:val="14"/>
                <w:color w:val="auto"/>
              </w:rPr>
              <w:t>$126.48</w:t>
            </w:r>
          </w:p>
        </w:tc>
        <w:tc>
          <w:tcPr>
            <w:tcW w:w="22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color w:val="auto"/>
              </w:rPr>
              <w:t>0</w:t>
            </w:r>
          </w:p>
        </w:tc>
        <w:tc>
          <w:tcPr>
            <w:tcW w:w="1320" w:type="dxa"/>
            <w:vAlign w:val="bottom"/>
            <w:tcBorders>
              <w:bottom w:val="single" w:sz="8" w:color="auto"/>
            </w:tcBorders>
          </w:tcPr>
          <w:p>
            <w:pPr>
              <w:jc w:val="right"/>
              <w:ind w:right="288"/>
              <w:spacing w:after="0" w:line="149" w:lineRule="exact"/>
              <w:rPr>
                <w:sz w:val="20"/>
                <w:szCs w:val="20"/>
                <w:color w:val="auto"/>
              </w:rPr>
            </w:pPr>
            <w:r>
              <w:rPr>
                <w:rFonts w:ascii="Arial" w:cs="Arial" w:eastAsia="Arial" w:hAnsi="Arial"/>
                <w:sz w:val="14"/>
                <w:szCs w:val="14"/>
                <w:color w:val="auto"/>
              </w:rPr>
              <w:t>2,546</w:t>
            </w:r>
          </w:p>
        </w:tc>
        <w:tc>
          <w:tcPr>
            <w:tcW w:w="1480" w:type="dxa"/>
            <w:vAlign w:val="bottom"/>
            <w:tcBorders>
              <w:bottom w:val="single" w:sz="8" w:color="auto"/>
            </w:tcBorders>
            <w:gridSpan w:val="2"/>
          </w:tcPr>
          <w:p>
            <w:pPr>
              <w:jc w:val="right"/>
              <w:ind w:right="488"/>
              <w:spacing w:after="0" w:line="149" w:lineRule="exact"/>
              <w:rPr>
                <w:sz w:val="20"/>
                <w:szCs w:val="20"/>
                <w:color w:val="auto"/>
              </w:rPr>
            </w:pPr>
            <w:r>
              <w:rPr>
                <w:rFonts w:ascii="Arial" w:cs="Arial" w:eastAsia="Arial" w:hAnsi="Arial"/>
                <w:sz w:val="14"/>
                <w:szCs w:val="14"/>
                <w:color w:val="auto"/>
              </w:rPr>
              <w:t>$132.83</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Included in the diluted earnings per share calculations for the first quarters of 2011 and 2010, respectively, were 6,400 and 11,200 shares of stock-based awards not yet vested, 60,329 and 47,296 shares of awards vested related to our outside directors’ stock compensation plan, and 2,653 and 2,911 shares of awards not yet vested related to our outside directors’ stock compensation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Variable Interest Entity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w:t>
      </w:r>
    </w:p>
    <w:p>
      <w:pPr>
        <w:spacing w:after="0" w:line="2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Exchange is a reciprocal insurance exchange domiciled in Pennsylvania, for which Indemnity serves as attorney-in-fact. Indemnity holds a variable interest in the Exchange due to the absence of decision-making capabilities by the equity owners (subscribers/policyholders) of the Exchange and due to the significance of the management fee the Exchange pays to Indemnity as its decision maker. As a result, Indemnity is deemed to have a controlling financial interest in the Exchange and is considered to be its primary beneficiary.</w:t>
      </w:r>
    </w:p>
    <w:p>
      <w:pPr>
        <w:spacing w:after="0" w:line="190"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Consolidation of the Exchange’s financial results is required given the significance of the management fee to the Exchange and because Indemnity has the power to direct the activities of the Exchange that most significantly impact the Exchange’s economic performance. Indemnity earns management fee revenues from the Exchange for the services it provides as attorney-in-fact. Indemnity’s management fee revenues are based on all premiums written or assumed by the Exchange. Indemnity’s Board of Directors determines the management fee rate to be paid by the Exchange to Indemnity. This rate cannot exceed 25% of the direct and affiliated assumed written premiums of the Exchange, as defined by the subscriber’s agreement signed by each policyholder. Management fee revenues and management fee expenses are eliminated upon consolidation.</w:t>
      </w:r>
    </w:p>
    <w:p>
      <w:pPr>
        <w:spacing w:after="0" w:line="178"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Indemnity has no obligation related to any underwriting and/or investment losses experienced by the Exchange. Indemnity would however be adversely impacted if the Exchange incurred significant underwriting and/or investment losses. If the surplus of the Exchange were to decline significantly from its current level, its financial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strength ratings could be reduced and as a consequence the Exchange could find it more difficult to retain its existing business and attract new business. A decline in the business of the Exchange would have an adverse effect on the amount of the management fees Indemnity receives. In addition, a decline in the surplus of the Exchange from its current level may impact the management fee rate received by Indemnity. Indemnity also has an exposure to a concentration of credit risk related to the unsecured receivables due from the Exchange for its management fee.</w:t>
      </w:r>
    </w:p>
    <w:p>
      <w:pPr>
        <w:sectPr>
          <w:pgSz w:w="11900" w:h="16838" w:orient="portrait"/>
          <w:cols w:equalWidth="0" w:num="1">
            <w:col w:w="11420"/>
          </w:cols>
          <w:pgMar w:left="240" w:top="125" w:right="239" w:bottom="32" w:gutter="0" w:footer="0" w:header="0"/>
        </w:sectPr>
      </w:pPr>
    </w:p>
    <w:bookmarkStart w:id="6" w:name="page7"/>
    <w:bookmarkEnd w:id="6"/>
    <w:p>
      <w:pPr>
        <w:ind w:right="160"/>
        <w:spacing w:after="0" w:line="279" w:lineRule="auto"/>
        <w:rPr>
          <w:sz w:val="20"/>
          <w:szCs w:val="20"/>
          <w:color w:val="auto"/>
        </w:rPr>
      </w:pPr>
      <w:r>
        <w:rPr>
          <w:rFonts w:ascii="Arial" w:cs="Arial" w:eastAsia="Arial" w:hAnsi="Arial"/>
          <w:sz w:val="17"/>
          <w:szCs w:val="17"/>
          <w:color w:val="auto"/>
        </w:rPr>
        <w:t>On December 31, 2010, Indemnity sold all of the outstanding capital stock of its wholly owned subsidiaries to the Exchange. Under this new structure, all property and casualty insurance operations are owned by the Exchange, and Indemnity will continue to function as the management company. There was no impact on the existing reinsurance pooling agreement between the Exchange and EIC or ENY as a result of the sale, nor was there any impact to the subscribers (policyholders) of the Exchange, to the Exchange’s independent insurance agents, or to Indemnity’s employees.</w:t>
      </w:r>
    </w:p>
    <w:p>
      <w:pPr>
        <w:spacing w:after="0" w:line="17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Indemnity has not provided financial or other support to the Exchange for the reporting periods presented. At March 31, 2011, there are no explicit or implicit arrangements that would require Indemnity to provide future financial support to the Exchange. Indemnity is not liable if the Exchange was to be in violation of its debt covenants or was unable to meet its obligation for unfunded commitments to limited partnerships.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Segment Information</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reportable segments include management operations, property and casualty insurance operations, life insurance operations and investment operations. Accounting policies for segments are the same as those described in the summary of significant accounting policies. See Item 8. “Financial Statements and Supplementary Data, Note 2, Significant Accounting Policies,” in our Annual Report on Form 10-K for the year ended December 31, 2010 as filed with the Securities and Exchange Commission on February 24, 2011. Assets are not allocated to the segments but rather are reviewed in total for purposes of decision-making. No single customer or agent provides 10% or more of revenues.</w:t>
      </w:r>
    </w:p>
    <w:p>
      <w:pPr>
        <w:spacing w:after="0" w:line="18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management operations segment consists of serving as attorney-in-fact for the Exchange. Indemnity operates in this capacity solely for the Exchange. We evaluate profitability of our management operations segment principally on the gross margin from management operations. Indemnity earns management fees from the Exchange for providing sales, underwriting and policy issuance services. Management fee revenue, which is eliminated in consolidation, is calculated as a percentage not to exceed 25% of all the direct premiums written by the Exchange and the other members of the Property and Casualty Group, which are assumed by the Exchange under an intercompany pooling arrangement. The Property and Casualty Group issues policies with annual terms only. Management fees are recorded upon policy issuance or renewal, as substantially all of the services required to be performed by Indemnity have been satisfied at that time. Certain activities are performed and related costs are incurred by us subsequent to policy issuance in connection with the services provided to the Exchange; however, these activities are inconsequential and perfunctory. Although these management fee revenues and expenses are eliminated in consolidation, the amount of the fee directly impacts the allocation of our consolidated net income between noncontrolling interest, which bears the management fee expense and represents the interests of the Exchange subscribers (policyholders), and Indemnity’s interest, which earns the management fee revenue and represents Indemnity shareholder interest in net income.</w:t>
      </w:r>
    </w:p>
    <w:p>
      <w:pPr>
        <w:spacing w:after="0" w:line="17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property and casualty insurance operations segment includes personal and commercial lines. Personal lines consist primarily of personal auto and homeowners and are marketed to individuals. Commercial lines consist primarily of commercial multi-peril, commercial auto and workers compensation and are marketed to small- and medium-sized businesses. Our property and casualty policies are sold by independent agents. Our property and casualty insurance underwriting operations are conducted through the Exchange and its subsidiaries and include assumed voluntary reinsurance from nonaffiliated domestic and foreign sources, assumed involuntary and ceded reinsurance business. The Exchange exited the assumed voluntary reinsurance business effective December 31, 2003, and therefore unaffiliated reinsurance includes only run-off activity of the previously assumed voluntary reinsurance business. We evaluate profitability of the property and casualty operations principally based on net underwriting results represented by the combined ratio.</w:t>
      </w:r>
    </w:p>
    <w:p>
      <w:pPr>
        <w:spacing w:after="0" w:line="16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life insurance operations segment includes traditional and universal life insurance products and fixed annuities marketed to individuals using the same independent agency force utilized by our property and casualty operations. We evaluate profitability of the life insurance segment principally based on segment net income, including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investments, which for segment purposes are reflected in the investment operations segment. At the same time, we recognize that investment-related income is integral to the evaluation of the life insurance segment because of the long duration of life products. Through March 31, 2011, investment activities on life insurance-related assets generated revenues of $27 million resulting in EFL reporting income before income taxes of $13 million, before intercompany eliminations. Through March 31, 2010, investment activities on life insurance-related assets generated revenues of $27 million resulting in EFL reporting income before income taxes of $10 million, before intercompany eliminations.</w:t>
      </w:r>
    </w:p>
    <w:p>
      <w:pPr>
        <w:spacing w:after="0" w:line="1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investment operations segment performance is evaluated based on appreciation of assets, rate of return and overall return. Investment-related income for the life operations is included in the investment segment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components of the Consolidated Statements of Operations by reportable business segments: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2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2"/>
          </w:tcPr>
          <w:p>
            <w:pPr>
              <w:jc w:val="right"/>
              <w:ind w:right="641"/>
              <w:spacing w:after="0"/>
              <w:rPr>
                <w:sz w:val="20"/>
                <w:szCs w:val="20"/>
                <w:color w:val="auto"/>
              </w:rPr>
            </w:pPr>
            <w:r>
              <w:rPr>
                <w:rFonts w:ascii="Arial" w:cs="Arial" w:eastAsia="Arial" w:hAnsi="Arial"/>
                <w:sz w:val="16"/>
                <w:szCs w:val="16"/>
                <w:color w:val="auto"/>
              </w:rPr>
              <w:t>Erie Insurance Group</w:t>
            </w:r>
          </w:p>
        </w:tc>
        <w:tc>
          <w:tcPr>
            <w:tcW w:w="4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r>
      <w:tr>
        <w:trPr>
          <w:trHeight w:val="180"/>
        </w:trPr>
        <w:tc>
          <w:tcPr>
            <w:tcW w:w="4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100" w:type="dxa"/>
            <w:vAlign w:val="bottom"/>
            <w:gridSpan w:val="3"/>
          </w:tcPr>
          <w:p>
            <w:pPr>
              <w:jc w:val="right"/>
              <w:spacing w:after="0" w:line="181" w:lineRule="exact"/>
              <w:rPr>
                <w:sz w:val="20"/>
                <w:szCs w:val="20"/>
                <w:color w:val="auto"/>
              </w:rPr>
            </w:pPr>
            <w:r>
              <w:rPr>
                <w:rFonts w:ascii="Arial" w:cs="Arial" w:eastAsia="Arial" w:hAnsi="Arial"/>
                <w:sz w:val="16"/>
                <w:szCs w:val="16"/>
                <w:color w:val="auto"/>
                <w:w w:val="98"/>
              </w:rPr>
              <w:t>For the three months ended March 31, 2011</w:t>
            </w: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49"/>
        </w:trPr>
        <w:tc>
          <w:tcPr>
            <w:tcW w:w="4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Property</w:t>
            </w:r>
          </w:p>
        </w:tc>
        <w:tc>
          <w:tcPr>
            <w:tcW w:w="1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9"/>
        </w:trPr>
        <w:tc>
          <w:tcPr>
            <w:tcW w:w="4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and</w:t>
            </w:r>
          </w:p>
        </w:tc>
        <w:tc>
          <w:tcPr>
            <w:tcW w:w="1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9"/>
        </w:trPr>
        <w:tc>
          <w:tcPr>
            <w:tcW w:w="4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casualty</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rPr>
              <w:t>Life</w:t>
            </w:r>
          </w:p>
        </w:tc>
        <w:tc>
          <w:tcPr>
            <w:tcW w:w="1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9"/>
        </w:trPr>
        <w:tc>
          <w:tcPr>
            <w:tcW w:w="42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Management</w:t>
            </w:r>
          </w:p>
        </w:tc>
        <w:tc>
          <w:tcPr>
            <w:tcW w:w="50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8"/>
              </w:rPr>
              <w:t>insurance</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2"/>
              </w:rPr>
              <w:t>insurance</w:t>
            </w:r>
          </w:p>
        </w:tc>
        <w:tc>
          <w:tcPr>
            <w:tcW w:w="1340" w:type="dxa"/>
            <w:vAlign w:val="bottom"/>
          </w:tcPr>
          <w:p>
            <w:pPr>
              <w:jc w:val="right"/>
              <w:ind w:right="381"/>
              <w:spacing w:after="0" w:line="149" w:lineRule="exact"/>
              <w:rPr>
                <w:sz w:val="20"/>
                <w:szCs w:val="20"/>
                <w:color w:val="auto"/>
              </w:rPr>
            </w:pPr>
            <w:r>
              <w:rPr>
                <w:rFonts w:ascii="Arial" w:cs="Arial" w:eastAsia="Arial" w:hAnsi="Arial"/>
                <w:sz w:val="14"/>
                <w:szCs w:val="14"/>
                <w:color w:val="auto"/>
              </w:rPr>
              <w:t>Investment</w:t>
            </w: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67"/>
        </w:trPr>
        <w:tc>
          <w:tcPr>
            <w:tcW w:w="420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millions)</w:t>
            </w: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color w:val="auto"/>
              </w:rPr>
              <w:t>operations</w:t>
            </w:r>
          </w:p>
        </w:tc>
        <w:tc>
          <w:tcPr>
            <w:tcW w:w="5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1"/>
              </w:rPr>
              <w:t>operations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operations</w:t>
            </w:r>
          </w:p>
        </w:tc>
        <w:tc>
          <w:tcPr>
            <w:tcW w:w="13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operations</w:t>
            </w:r>
          </w:p>
        </w:tc>
        <w:tc>
          <w:tcPr>
            <w:tcW w:w="1000" w:type="dxa"/>
            <w:vAlign w:val="bottom"/>
            <w:tcBorders>
              <w:bottom w:val="single" w:sz="8" w:color="auto"/>
            </w:tcBorders>
            <w:gridSpan w:val="2"/>
          </w:tcPr>
          <w:p>
            <w:pPr>
              <w:jc w:val="center"/>
              <w:ind w:right="139"/>
              <w:spacing w:after="0"/>
              <w:rPr>
                <w:sz w:val="20"/>
                <w:szCs w:val="20"/>
                <w:color w:val="auto"/>
              </w:rPr>
            </w:pPr>
            <w:r>
              <w:rPr>
                <w:rFonts w:ascii="Arial" w:cs="Arial" w:eastAsia="Arial" w:hAnsi="Arial"/>
                <w:sz w:val="14"/>
                <w:szCs w:val="14"/>
                <w:color w:val="auto"/>
                <w:w w:val="98"/>
              </w:rPr>
              <w:t>Eliminations</w:t>
            </w:r>
          </w:p>
        </w:tc>
        <w:tc>
          <w:tcPr>
            <w:tcW w:w="118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color w:val="auto"/>
              </w:rPr>
              <w:t>Consolidated</w:t>
            </w: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Premiums earned/life policy revenue</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1,014</w:t>
            </w:r>
          </w:p>
        </w:tc>
        <w:tc>
          <w:tcPr>
            <w:tcW w:w="11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  16</w:t>
            </w:r>
          </w:p>
        </w:tc>
        <w:tc>
          <w:tcPr>
            <w:tcW w:w="1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4"/>
              </w:rPr>
              <w:t>1,030</w:t>
            </w:r>
          </w:p>
        </w:tc>
      </w:tr>
      <w:tr>
        <w:trPr>
          <w:trHeight w:val="203"/>
        </w:trPr>
        <w:tc>
          <w:tcPr>
            <w:tcW w:w="4200" w:type="dxa"/>
            <w:vAlign w:val="bottom"/>
          </w:tcPr>
          <w:p>
            <w:pPr>
              <w:spacing w:after="0"/>
              <w:rPr>
                <w:sz w:val="20"/>
                <w:szCs w:val="20"/>
                <w:color w:val="auto"/>
              </w:rPr>
            </w:pPr>
            <w:r>
              <w:rPr>
                <w:rFonts w:ascii="Arial" w:cs="Arial" w:eastAsia="Arial" w:hAnsi="Arial"/>
                <w:sz w:val="16"/>
                <w:szCs w:val="16"/>
                <w:color w:val="auto"/>
              </w:rPr>
              <w:t>Net investment income</w:t>
            </w: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jc w:val="right"/>
              <w:ind w:right="421"/>
              <w:spacing w:after="0"/>
              <w:rPr>
                <w:sz w:val="20"/>
                <w:szCs w:val="20"/>
                <w:color w:val="auto"/>
              </w:rPr>
            </w:pPr>
            <w:r>
              <w:rPr>
                <w:rFonts w:ascii="Arial" w:cs="Arial" w:eastAsia="Arial" w:hAnsi="Arial"/>
                <w:sz w:val="16"/>
                <w:szCs w:val="16"/>
                <w:color w:val="auto"/>
              </w:rPr>
              <w:t>$108</w:t>
            </w:r>
          </w:p>
        </w:tc>
        <w:tc>
          <w:tcPr>
            <w:tcW w:w="440" w:type="dxa"/>
            <w:vAlign w:val="bottom"/>
          </w:tcPr>
          <w:p>
            <w:pPr>
              <w:jc w:val="center"/>
              <w:ind w:left="24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99"/>
              <w:spacing w:after="0"/>
              <w:rPr>
                <w:sz w:val="20"/>
                <w:szCs w:val="20"/>
                <w:color w:val="auto"/>
              </w:rPr>
            </w:pPr>
            <w:r>
              <w:rPr>
                <w:rFonts w:ascii="Arial" w:cs="Arial" w:eastAsia="Arial" w:hAnsi="Arial"/>
                <w:sz w:val="16"/>
                <w:szCs w:val="16"/>
                <w:color w:val="auto"/>
              </w:rPr>
              <w:t>(3)</w:t>
            </w:r>
          </w:p>
        </w:tc>
        <w:tc>
          <w:tcPr>
            <w:tcW w:w="620" w:type="dxa"/>
            <w:vAlign w:val="bottom"/>
          </w:tcPr>
          <w:p>
            <w:pPr>
              <w:spacing w:after="0"/>
              <w:rPr>
                <w:sz w:val="17"/>
                <w:szCs w:val="17"/>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105</w:t>
            </w:r>
          </w:p>
        </w:tc>
      </w:tr>
      <w:tr>
        <w:trPr>
          <w:trHeight w:val="203"/>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Net realized investment gains</w:t>
            </w: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21"/>
              <w:spacing w:after="0"/>
              <w:rPr>
                <w:sz w:val="20"/>
                <w:szCs w:val="20"/>
                <w:color w:val="auto"/>
              </w:rPr>
            </w:pPr>
            <w:r>
              <w:rPr>
                <w:rFonts w:ascii="Arial" w:cs="Arial" w:eastAsia="Arial" w:hAnsi="Arial"/>
                <w:sz w:val="16"/>
                <w:szCs w:val="16"/>
                <w:color w:val="auto"/>
              </w:rPr>
              <w:t>149</w:t>
            </w: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149</w:t>
            </w:r>
          </w:p>
        </w:tc>
      </w:tr>
      <w:tr>
        <w:trPr>
          <w:trHeight w:val="203"/>
        </w:trPr>
        <w:tc>
          <w:tcPr>
            <w:tcW w:w="4200" w:type="dxa"/>
            <w:vAlign w:val="bottom"/>
          </w:tcPr>
          <w:p>
            <w:pPr>
              <w:spacing w:after="0"/>
              <w:rPr>
                <w:sz w:val="20"/>
                <w:szCs w:val="20"/>
                <w:color w:val="auto"/>
              </w:rPr>
            </w:pPr>
            <w:r>
              <w:rPr>
                <w:rFonts w:ascii="Arial" w:cs="Arial" w:eastAsia="Arial" w:hAnsi="Arial"/>
                <w:sz w:val="16"/>
                <w:szCs w:val="16"/>
                <w:color w:val="auto"/>
              </w:rPr>
              <w:t>Net impairment losses recognized in earnings</w:t>
            </w: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jc w:val="right"/>
              <w:ind w:right="421"/>
              <w:spacing w:after="0"/>
              <w:rPr>
                <w:sz w:val="20"/>
                <w:szCs w:val="20"/>
                <w:color w:val="auto"/>
              </w:rPr>
            </w:pPr>
            <w:r>
              <w:rPr>
                <w:rFonts w:ascii="Arial" w:cs="Arial" w:eastAsia="Arial" w:hAnsi="Arial"/>
                <w:sz w:val="16"/>
                <w:szCs w:val="16"/>
                <w:color w:val="auto"/>
              </w:rPr>
              <w:t>0</w:t>
            </w: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0</w:t>
            </w:r>
          </w:p>
        </w:tc>
      </w:tr>
      <w:tr>
        <w:trPr>
          <w:trHeight w:val="203"/>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Equity in earnings of limited partnerships</w:t>
            </w: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21"/>
              <w:spacing w:after="0"/>
              <w:rPr>
                <w:sz w:val="20"/>
                <w:szCs w:val="20"/>
                <w:color w:val="auto"/>
              </w:rPr>
            </w:pPr>
            <w:r>
              <w:rPr>
                <w:rFonts w:ascii="Arial" w:cs="Arial" w:eastAsia="Arial" w:hAnsi="Arial"/>
                <w:sz w:val="16"/>
                <w:szCs w:val="16"/>
                <w:color w:val="auto"/>
              </w:rPr>
              <w:t>72</w:t>
            </w: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72</w:t>
            </w:r>
          </w:p>
        </w:tc>
      </w:tr>
      <w:tr>
        <w:trPr>
          <w:trHeight w:val="203"/>
        </w:trPr>
        <w:tc>
          <w:tcPr>
            <w:tcW w:w="4200" w:type="dxa"/>
            <w:vAlign w:val="bottom"/>
          </w:tcPr>
          <w:p>
            <w:pPr>
              <w:spacing w:after="0"/>
              <w:rPr>
                <w:sz w:val="20"/>
                <w:szCs w:val="20"/>
                <w:color w:val="auto"/>
              </w:rPr>
            </w:pPr>
            <w:r>
              <w:rPr>
                <w:rFonts w:ascii="Arial" w:cs="Arial" w:eastAsia="Arial" w:hAnsi="Arial"/>
                <w:sz w:val="16"/>
                <w:szCs w:val="16"/>
                <w:color w:val="auto"/>
              </w:rPr>
              <w:t>Management fee revenue</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79"/>
              <w:spacing w:after="0"/>
              <w:rPr>
                <w:sz w:val="20"/>
                <w:szCs w:val="20"/>
                <w:color w:val="auto"/>
              </w:rPr>
            </w:pPr>
            <w:r>
              <w:rPr>
                <w:rFonts w:ascii="Arial" w:cs="Arial" w:eastAsia="Arial" w:hAnsi="Arial"/>
                <w:sz w:val="16"/>
                <w:szCs w:val="16"/>
                <w:color w:val="auto"/>
                <w:w w:val="82"/>
              </w:rPr>
              <w:t>251</w:t>
            </w: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gridSpan w:val="2"/>
          </w:tcPr>
          <w:p>
            <w:pPr>
              <w:jc w:val="right"/>
              <w:ind w:right="199"/>
              <w:spacing w:after="0"/>
              <w:rPr>
                <w:sz w:val="20"/>
                <w:szCs w:val="20"/>
                <w:color w:val="auto"/>
              </w:rPr>
            </w:pPr>
            <w:r>
              <w:rPr>
                <w:rFonts w:ascii="Arial" w:cs="Arial" w:eastAsia="Arial" w:hAnsi="Arial"/>
                <w:sz w:val="16"/>
                <w:szCs w:val="16"/>
                <w:color w:val="auto"/>
              </w:rPr>
              <w:t>(251)</w:t>
            </w:r>
          </w:p>
        </w:tc>
        <w:tc>
          <w:tcPr>
            <w:tcW w:w="620" w:type="dxa"/>
            <w:vAlign w:val="bottom"/>
          </w:tcPr>
          <w:p>
            <w:pPr>
              <w:spacing w:after="0"/>
              <w:rPr>
                <w:sz w:val="17"/>
                <w:szCs w:val="17"/>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03"/>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Service agreement and other revenue</w:t>
            </w:r>
          </w:p>
        </w:tc>
        <w:tc>
          <w:tcPr>
            <w:tcW w:w="9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w:t>
            </w:r>
          </w:p>
        </w:tc>
        <w:tc>
          <w:tcPr>
            <w:tcW w:w="4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1</w:t>
            </w:r>
          </w:p>
        </w:tc>
        <w:tc>
          <w:tcPr>
            <w:tcW w:w="13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w:t>
            </w:r>
          </w:p>
        </w:tc>
      </w:tr>
      <w:tr>
        <w:trPr>
          <w:trHeight w:val="196"/>
        </w:trPr>
        <w:tc>
          <w:tcPr>
            <w:tcW w:w="42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revenues</w:t>
            </w: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2"/>
              </w:rPr>
              <w:t>259</w:t>
            </w:r>
          </w:p>
        </w:tc>
        <w:tc>
          <w:tcPr>
            <w:tcW w:w="4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1,014</w:t>
            </w:r>
          </w:p>
        </w:tc>
        <w:tc>
          <w:tcPr>
            <w:tcW w:w="11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17</w:t>
            </w:r>
          </w:p>
        </w:tc>
        <w:tc>
          <w:tcPr>
            <w:tcW w:w="134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329</w:t>
            </w:r>
          </w:p>
        </w:tc>
        <w:tc>
          <w:tcPr>
            <w:tcW w:w="100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rPr>
              <w:t>(254)</w:t>
            </w:r>
          </w:p>
        </w:tc>
        <w:tc>
          <w:tcPr>
            <w:tcW w:w="6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4"/>
              </w:rPr>
              <w:t>1,365</w:t>
            </w:r>
          </w:p>
        </w:tc>
      </w:tr>
      <w:tr>
        <w:trPr>
          <w:trHeight w:val="196"/>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Cost of management operations</w:t>
            </w: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2"/>
              </w:rPr>
              <w:t>211</w:t>
            </w: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(211)</w:t>
            </w: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03"/>
        </w:trPr>
        <w:tc>
          <w:tcPr>
            <w:tcW w:w="4200" w:type="dxa"/>
            <w:vAlign w:val="bottom"/>
          </w:tcPr>
          <w:p>
            <w:pPr>
              <w:spacing w:after="0"/>
              <w:rPr>
                <w:sz w:val="20"/>
                <w:szCs w:val="20"/>
                <w:color w:val="auto"/>
              </w:rPr>
            </w:pPr>
            <w:r>
              <w:rPr>
                <w:rFonts w:ascii="Arial" w:cs="Arial" w:eastAsia="Arial" w:hAnsi="Arial"/>
                <w:sz w:val="16"/>
                <w:szCs w:val="16"/>
                <w:color w:val="auto"/>
              </w:rPr>
              <w:t>Insurance losses and loss expenses</w:t>
            </w: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jc w:val="right"/>
              <w:ind w:right="199"/>
              <w:spacing w:after="0"/>
              <w:rPr>
                <w:sz w:val="20"/>
                <w:szCs w:val="20"/>
                <w:color w:val="auto"/>
              </w:rPr>
            </w:pPr>
            <w:r>
              <w:rPr>
                <w:rFonts w:ascii="Arial" w:cs="Arial" w:eastAsia="Arial" w:hAnsi="Arial"/>
                <w:sz w:val="16"/>
                <w:szCs w:val="16"/>
                <w:color w:val="auto"/>
              </w:rPr>
              <w:t>683</w:t>
            </w:r>
          </w:p>
        </w:tc>
        <w:tc>
          <w:tcPr>
            <w:tcW w:w="1100" w:type="dxa"/>
            <w:vAlign w:val="bottom"/>
          </w:tcPr>
          <w:p>
            <w:pPr>
              <w:jc w:val="right"/>
              <w:ind w:right="221"/>
              <w:spacing w:after="0"/>
              <w:rPr>
                <w:sz w:val="20"/>
                <w:szCs w:val="20"/>
                <w:color w:val="auto"/>
              </w:rPr>
            </w:pPr>
            <w:r>
              <w:rPr>
                <w:rFonts w:ascii="Arial" w:cs="Arial" w:eastAsia="Arial" w:hAnsi="Arial"/>
                <w:sz w:val="16"/>
                <w:szCs w:val="16"/>
                <w:color w:val="auto"/>
              </w:rPr>
              <w:t>24</w:t>
            </w:r>
          </w:p>
        </w:tc>
        <w:tc>
          <w:tcPr>
            <w:tcW w:w="1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620" w:type="dxa"/>
            <w:vAlign w:val="bottom"/>
          </w:tcPr>
          <w:p>
            <w:pPr>
              <w:spacing w:after="0"/>
              <w:rPr>
                <w:sz w:val="17"/>
                <w:szCs w:val="17"/>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706</w:t>
            </w:r>
          </w:p>
        </w:tc>
      </w:tr>
      <w:tr>
        <w:trPr>
          <w:trHeight w:val="203"/>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Policy acquisition and underwriting expenses</w:t>
            </w:r>
          </w:p>
        </w:tc>
        <w:tc>
          <w:tcPr>
            <w:tcW w:w="9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282</w:t>
            </w:r>
          </w:p>
        </w:tc>
        <w:tc>
          <w:tcPr>
            <w:tcW w:w="11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7</w:t>
            </w:r>
          </w:p>
        </w:tc>
        <w:tc>
          <w:tcPr>
            <w:tcW w:w="13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91"/>
              </w:rPr>
              <w:t>(42)</w:t>
            </w:r>
          </w:p>
        </w:tc>
        <w:tc>
          <w:tcPr>
            <w:tcW w:w="6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247</w:t>
            </w:r>
          </w:p>
        </w:tc>
      </w:tr>
      <w:tr>
        <w:trPr>
          <w:trHeight w:val="196"/>
        </w:trPr>
        <w:tc>
          <w:tcPr>
            <w:tcW w:w="42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benefits and expenses</w:t>
            </w: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2"/>
              </w:rPr>
              <w:t>211</w:t>
            </w:r>
          </w:p>
        </w:tc>
        <w:tc>
          <w:tcPr>
            <w:tcW w:w="4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965</w:t>
            </w:r>
          </w:p>
        </w:tc>
        <w:tc>
          <w:tcPr>
            <w:tcW w:w="11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31</w:t>
            </w:r>
          </w:p>
        </w:tc>
        <w:tc>
          <w:tcPr>
            <w:tcW w:w="134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rPr>
              <w:t>(254)</w:t>
            </w:r>
          </w:p>
        </w:tc>
        <w:tc>
          <w:tcPr>
            <w:tcW w:w="6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953</w:t>
            </w:r>
          </w:p>
        </w:tc>
      </w:tr>
      <w:tr>
        <w:trPr>
          <w:trHeight w:val="196"/>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Income (loss) before income taxes</w:t>
            </w: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48</w:t>
            </w: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49</w:t>
            </w:r>
          </w:p>
        </w:tc>
        <w:tc>
          <w:tcPr>
            <w:tcW w:w="11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(14)</w:t>
            </w:r>
          </w:p>
        </w:tc>
        <w:tc>
          <w:tcPr>
            <w:tcW w:w="1340" w:type="dxa"/>
            <w:vAlign w:val="bottom"/>
            <w:shd w:val="clear" w:color="auto" w:fill="CCEEFF"/>
          </w:tcPr>
          <w:p>
            <w:pPr>
              <w:jc w:val="right"/>
              <w:ind w:right="421"/>
              <w:spacing w:after="0"/>
              <w:rPr>
                <w:sz w:val="20"/>
                <w:szCs w:val="20"/>
                <w:color w:val="auto"/>
              </w:rPr>
            </w:pPr>
            <w:r>
              <w:rPr>
                <w:rFonts w:ascii="Arial" w:cs="Arial" w:eastAsia="Arial" w:hAnsi="Arial"/>
                <w:sz w:val="16"/>
                <w:szCs w:val="16"/>
                <w:color w:val="auto"/>
              </w:rPr>
              <w:t>329</w:t>
            </w: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412</w:t>
            </w:r>
          </w:p>
        </w:tc>
      </w:tr>
      <w:tr>
        <w:trPr>
          <w:trHeight w:val="203"/>
        </w:trPr>
        <w:tc>
          <w:tcPr>
            <w:tcW w:w="4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Provision (benefit) for income taxes</w:t>
            </w: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17</w:t>
            </w:r>
          </w:p>
        </w:tc>
        <w:tc>
          <w:tcPr>
            <w:tcW w:w="4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17</w:t>
            </w:r>
          </w:p>
        </w:tc>
        <w:tc>
          <w:tcPr>
            <w:tcW w:w="11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(5)</w:t>
            </w:r>
          </w:p>
        </w:tc>
        <w:tc>
          <w:tcPr>
            <w:tcW w:w="134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109</w:t>
            </w:r>
          </w:p>
        </w:tc>
        <w:tc>
          <w:tcPr>
            <w:tcW w:w="4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138</w:t>
            </w:r>
          </w:p>
        </w:tc>
      </w:tr>
      <w:tr>
        <w:trPr>
          <w:trHeight w:val="203"/>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31</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32</w:t>
            </w:r>
          </w:p>
        </w:tc>
        <w:tc>
          <w:tcPr>
            <w:tcW w:w="110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 (9)</w:t>
            </w:r>
          </w:p>
        </w:tc>
        <w:tc>
          <w:tcPr>
            <w:tcW w:w="134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16"/>
                <w:szCs w:val="16"/>
                <w:color w:val="auto"/>
              </w:rPr>
              <w:t>$220</w:t>
            </w:r>
          </w:p>
        </w:tc>
        <w:tc>
          <w:tcPr>
            <w:tcW w:w="440" w:type="dxa"/>
            <w:vAlign w:val="bottom"/>
            <w:tcBorders>
              <w:bottom w:val="single" w:sz="8" w:color="auto"/>
            </w:tcBorders>
            <w:shd w:val="clear" w:color="auto" w:fill="CCEEFF"/>
          </w:tcPr>
          <w:p>
            <w:pPr>
              <w:jc w:val="center"/>
              <w:ind w:left="240"/>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274</w:t>
            </w:r>
          </w:p>
        </w:tc>
      </w:tr>
    </w:tbl>
    <w:p>
      <w:pPr>
        <w:sectPr>
          <w:pgSz w:w="11900" w:h="16838" w:orient="portrait"/>
          <w:cols w:equalWidth="0" w:num="1">
            <w:col w:w="11420"/>
          </w:cols>
          <w:pgMar w:left="240" w:top="125" w:right="239" w:bottom="0" w:gutter="0" w:footer="0" w:header="0"/>
        </w:sectPr>
      </w:pPr>
    </w:p>
    <w:bookmarkStart w:id="7" w:name="page8"/>
    <w:bookmarkEnd w:id="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20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2"/>
          </w:tcPr>
          <w:p>
            <w:pPr>
              <w:jc w:val="right"/>
              <w:ind w:right="641"/>
              <w:spacing w:after="0"/>
              <w:rPr>
                <w:sz w:val="20"/>
                <w:szCs w:val="20"/>
                <w:color w:val="auto"/>
              </w:rPr>
            </w:pPr>
            <w:r>
              <w:rPr>
                <w:rFonts w:ascii="Arial" w:cs="Arial" w:eastAsia="Arial" w:hAnsi="Arial"/>
                <w:sz w:val="16"/>
                <w:szCs w:val="16"/>
                <w:color w:val="auto"/>
              </w:rPr>
              <w:t>Erie Insurance Group</w:t>
            </w:r>
          </w:p>
        </w:tc>
        <w:tc>
          <w:tcPr>
            <w:tcW w:w="4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180"/>
        </w:trPr>
        <w:tc>
          <w:tcPr>
            <w:tcW w:w="4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20" w:type="dxa"/>
            <w:vAlign w:val="bottom"/>
            <w:gridSpan w:val="3"/>
          </w:tcPr>
          <w:p>
            <w:pPr>
              <w:jc w:val="right"/>
              <w:spacing w:after="0" w:line="181" w:lineRule="exact"/>
              <w:rPr>
                <w:sz w:val="20"/>
                <w:szCs w:val="20"/>
                <w:color w:val="auto"/>
              </w:rPr>
            </w:pPr>
            <w:r>
              <w:rPr>
                <w:rFonts w:ascii="Arial" w:cs="Arial" w:eastAsia="Arial" w:hAnsi="Arial"/>
                <w:sz w:val="16"/>
                <w:szCs w:val="16"/>
                <w:color w:val="auto"/>
                <w:w w:val="95"/>
              </w:rPr>
              <w:t>For the three months ended March 31, 2010</w:t>
            </w: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49"/>
        </w:trPr>
        <w:tc>
          <w:tcPr>
            <w:tcW w:w="4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Property</w:t>
            </w:r>
          </w:p>
        </w:tc>
        <w:tc>
          <w:tcPr>
            <w:tcW w:w="1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9"/>
        </w:trPr>
        <w:tc>
          <w:tcPr>
            <w:tcW w:w="4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and</w:t>
            </w:r>
          </w:p>
        </w:tc>
        <w:tc>
          <w:tcPr>
            <w:tcW w:w="1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9"/>
        </w:trPr>
        <w:tc>
          <w:tcPr>
            <w:tcW w:w="4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casualty</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rPr>
              <w:t>Life</w:t>
            </w:r>
          </w:p>
        </w:tc>
        <w:tc>
          <w:tcPr>
            <w:tcW w:w="1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9"/>
        </w:trPr>
        <w:tc>
          <w:tcPr>
            <w:tcW w:w="4200" w:type="dxa"/>
            <w:vAlign w:val="bottom"/>
          </w:tcPr>
          <w:p>
            <w:pPr>
              <w:spacing w:after="0"/>
              <w:rPr>
                <w:sz w:val="12"/>
                <w:szCs w:val="12"/>
                <w:color w:val="auto"/>
              </w:rPr>
            </w:pPr>
          </w:p>
        </w:tc>
        <w:tc>
          <w:tcPr>
            <w:tcW w:w="1480" w:type="dxa"/>
            <w:vAlign w:val="bottom"/>
          </w:tcPr>
          <w:p>
            <w:pPr>
              <w:jc w:val="right"/>
              <w:ind w:right="321"/>
              <w:spacing w:after="0" w:line="149" w:lineRule="exact"/>
              <w:rPr>
                <w:sz w:val="20"/>
                <w:szCs w:val="20"/>
                <w:color w:val="auto"/>
              </w:rPr>
            </w:pPr>
            <w:r>
              <w:rPr>
                <w:rFonts w:ascii="Arial" w:cs="Arial" w:eastAsia="Arial" w:hAnsi="Arial"/>
                <w:sz w:val="14"/>
                <w:szCs w:val="14"/>
                <w:color w:val="auto"/>
              </w:rPr>
              <w:t>Management</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8"/>
              </w:rPr>
              <w:t>insurance</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2"/>
              </w:rPr>
              <w:t>insurance</w:t>
            </w:r>
          </w:p>
        </w:tc>
        <w:tc>
          <w:tcPr>
            <w:tcW w:w="1340" w:type="dxa"/>
            <w:vAlign w:val="bottom"/>
          </w:tcPr>
          <w:p>
            <w:pPr>
              <w:jc w:val="right"/>
              <w:ind w:right="381"/>
              <w:spacing w:after="0" w:line="149" w:lineRule="exact"/>
              <w:rPr>
                <w:sz w:val="20"/>
                <w:szCs w:val="20"/>
                <w:color w:val="auto"/>
              </w:rPr>
            </w:pPr>
            <w:r>
              <w:rPr>
                <w:rFonts w:ascii="Arial" w:cs="Arial" w:eastAsia="Arial" w:hAnsi="Arial"/>
                <w:sz w:val="14"/>
                <w:szCs w:val="14"/>
                <w:color w:val="auto"/>
              </w:rPr>
              <w:t>Investment</w:t>
            </w: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67"/>
        </w:trPr>
        <w:tc>
          <w:tcPr>
            <w:tcW w:w="420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millions)</w:t>
            </w:r>
          </w:p>
        </w:tc>
        <w:tc>
          <w:tcPr>
            <w:tcW w:w="14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operations</w:t>
            </w: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1"/>
              </w:rPr>
              <w:t>operations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operations</w:t>
            </w:r>
          </w:p>
        </w:tc>
        <w:tc>
          <w:tcPr>
            <w:tcW w:w="13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operations</w:t>
            </w:r>
          </w:p>
        </w:tc>
        <w:tc>
          <w:tcPr>
            <w:tcW w:w="1000" w:type="dxa"/>
            <w:vAlign w:val="bottom"/>
            <w:tcBorders>
              <w:bottom w:val="single" w:sz="8" w:color="auto"/>
            </w:tcBorders>
            <w:gridSpan w:val="2"/>
          </w:tcPr>
          <w:p>
            <w:pPr>
              <w:jc w:val="center"/>
              <w:ind w:right="139"/>
              <w:spacing w:after="0"/>
              <w:rPr>
                <w:sz w:val="20"/>
                <w:szCs w:val="20"/>
                <w:color w:val="auto"/>
              </w:rPr>
            </w:pPr>
            <w:r>
              <w:rPr>
                <w:rFonts w:ascii="Arial" w:cs="Arial" w:eastAsia="Arial" w:hAnsi="Arial"/>
                <w:sz w:val="14"/>
                <w:szCs w:val="14"/>
                <w:color w:val="auto"/>
                <w:w w:val="98"/>
              </w:rPr>
              <w:t>Eliminations</w:t>
            </w: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color w:val="auto"/>
              </w:rPr>
              <w:t>Consolidated</w:t>
            </w:r>
          </w:p>
        </w:tc>
      </w:tr>
      <w:tr>
        <w:trPr>
          <w:trHeight w:val="196"/>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Premiums earned/life policy revenue</w:t>
            </w:r>
          </w:p>
        </w:tc>
        <w:tc>
          <w:tcPr>
            <w:tcW w:w="14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962</w:t>
            </w:r>
          </w:p>
        </w:tc>
        <w:tc>
          <w:tcPr>
            <w:tcW w:w="11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  16</w:t>
            </w:r>
          </w:p>
        </w:tc>
        <w:tc>
          <w:tcPr>
            <w:tcW w:w="1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$ 978</w:t>
            </w:r>
          </w:p>
        </w:tc>
      </w:tr>
      <w:tr>
        <w:trPr>
          <w:trHeight w:val="203"/>
        </w:trPr>
        <w:tc>
          <w:tcPr>
            <w:tcW w:w="4200" w:type="dxa"/>
            <w:vAlign w:val="bottom"/>
          </w:tcPr>
          <w:p>
            <w:pPr>
              <w:spacing w:after="0"/>
              <w:rPr>
                <w:sz w:val="20"/>
                <w:szCs w:val="20"/>
                <w:color w:val="auto"/>
              </w:rPr>
            </w:pPr>
            <w:r>
              <w:rPr>
                <w:rFonts w:ascii="Arial" w:cs="Arial" w:eastAsia="Arial" w:hAnsi="Arial"/>
                <w:sz w:val="16"/>
                <w:szCs w:val="16"/>
                <w:color w:val="auto"/>
              </w:rPr>
              <w:t>Net investment income</w:t>
            </w:r>
          </w:p>
        </w:tc>
        <w:tc>
          <w:tcPr>
            <w:tcW w:w="1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jc w:val="right"/>
              <w:ind w:right="421"/>
              <w:spacing w:after="0"/>
              <w:rPr>
                <w:sz w:val="20"/>
                <w:szCs w:val="20"/>
                <w:color w:val="auto"/>
              </w:rPr>
            </w:pPr>
            <w:r>
              <w:rPr>
                <w:rFonts w:ascii="Arial" w:cs="Arial" w:eastAsia="Arial" w:hAnsi="Arial"/>
                <w:sz w:val="16"/>
                <w:szCs w:val="16"/>
                <w:color w:val="auto"/>
              </w:rPr>
              <w:t>$107</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9"/>
              <w:spacing w:after="0"/>
              <w:rPr>
                <w:sz w:val="20"/>
                <w:szCs w:val="20"/>
                <w:color w:val="auto"/>
              </w:rPr>
            </w:pPr>
            <w:r>
              <w:rPr>
                <w:rFonts w:ascii="Arial" w:cs="Arial" w:eastAsia="Arial" w:hAnsi="Arial"/>
                <w:sz w:val="16"/>
                <w:szCs w:val="16"/>
                <w:color w:val="auto"/>
              </w:rPr>
              <w:t>(3)</w:t>
            </w: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104</w:t>
            </w:r>
          </w:p>
        </w:tc>
      </w:tr>
      <w:tr>
        <w:trPr>
          <w:trHeight w:val="203"/>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Net realized investment gains</w:t>
            </w:r>
          </w:p>
        </w:tc>
        <w:tc>
          <w:tcPr>
            <w:tcW w:w="1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21"/>
              <w:spacing w:after="0"/>
              <w:rPr>
                <w:sz w:val="20"/>
                <w:szCs w:val="20"/>
                <w:color w:val="auto"/>
              </w:rPr>
            </w:pPr>
            <w:r>
              <w:rPr>
                <w:rFonts w:ascii="Arial" w:cs="Arial" w:eastAsia="Arial" w:hAnsi="Arial"/>
                <w:sz w:val="16"/>
                <w:szCs w:val="16"/>
                <w:color w:val="auto"/>
              </w:rPr>
              <w:t>125</w:t>
            </w: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125</w:t>
            </w:r>
          </w:p>
        </w:tc>
      </w:tr>
      <w:tr>
        <w:trPr>
          <w:trHeight w:val="203"/>
        </w:trPr>
        <w:tc>
          <w:tcPr>
            <w:tcW w:w="4200" w:type="dxa"/>
            <w:vAlign w:val="bottom"/>
          </w:tcPr>
          <w:p>
            <w:pPr>
              <w:spacing w:after="0"/>
              <w:rPr>
                <w:sz w:val="20"/>
                <w:szCs w:val="20"/>
                <w:color w:val="auto"/>
              </w:rPr>
            </w:pPr>
            <w:r>
              <w:rPr>
                <w:rFonts w:ascii="Arial" w:cs="Arial" w:eastAsia="Arial" w:hAnsi="Arial"/>
                <w:sz w:val="16"/>
                <w:szCs w:val="16"/>
                <w:color w:val="auto"/>
              </w:rPr>
              <w:t>Net impairment losses recognized in earnings</w:t>
            </w:r>
          </w:p>
        </w:tc>
        <w:tc>
          <w:tcPr>
            <w:tcW w:w="1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jc w:val="right"/>
              <w:ind w:right="361"/>
              <w:spacing w:after="0"/>
              <w:rPr>
                <w:sz w:val="20"/>
                <w:szCs w:val="20"/>
                <w:color w:val="auto"/>
              </w:rPr>
            </w:pPr>
            <w:r>
              <w:rPr>
                <w:rFonts w:ascii="Arial" w:cs="Arial" w:eastAsia="Arial" w:hAnsi="Arial"/>
                <w:sz w:val="16"/>
                <w:szCs w:val="16"/>
                <w:color w:val="auto"/>
              </w:rPr>
              <w:t>(2)</w:t>
            </w: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(2)</w:t>
            </w:r>
          </w:p>
        </w:tc>
      </w:tr>
      <w:tr>
        <w:trPr>
          <w:trHeight w:val="203"/>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Equity in earnings of limited partnerships</w:t>
            </w:r>
          </w:p>
        </w:tc>
        <w:tc>
          <w:tcPr>
            <w:tcW w:w="1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21"/>
              <w:spacing w:after="0"/>
              <w:rPr>
                <w:sz w:val="20"/>
                <w:szCs w:val="20"/>
                <w:color w:val="auto"/>
              </w:rPr>
            </w:pPr>
            <w:r>
              <w:rPr>
                <w:rFonts w:ascii="Arial" w:cs="Arial" w:eastAsia="Arial" w:hAnsi="Arial"/>
                <w:sz w:val="16"/>
                <w:szCs w:val="16"/>
                <w:color w:val="auto"/>
              </w:rPr>
              <w:t>3</w:t>
            </w: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r>
      <w:tr>
        <w:trPr>
          <w:trHeight w:val="203"/>
        </w:trPr>
        <w:tc>
          <w:tcPr>
            <w:tcW w:w="4200" w:type="dxa"/>
            <w:vAlign w:val="bottom"/>
          </w:tcPr>
          <w:p>
            <w:pPr>
              <w:spacing w:after="0"/>
              <w:rPr>
                <w:sz w:val="20"/>
                <w:szCs w:val="20"/>
                <w:color w:val="auto"/>
              </w:rPr>
            </w:pPr>
            <w:r>
              <w:rPr>
                <w:rFonts w:ascii="Arial" w:cs="Arial" w:eastAsia="Arial" w:hAnsi="Arial"/>
                <w:sz w:val="16"/>
                <w:szCs w:val="16"/>
                <w:color w:val="auto"/>
              </w:rPr>
              <w:t>Management fee revenue</w:t>
            </w:r>
          </w:p>
        </w:tc>
        <w:tc>
          <w:tcPr>
            <w:tcW w:w="1480" w:type="dxa"/>
            <w:vAlign w:val="bottom"/>
          </w:tcPr>
          <w:p>
            <w:pPr>
              <w:jc w:val="right"/>
              <w:ind w:right="181"/>
              <w:spacing w:after="0"/>
              <w:rPr>
                <w:sz w:val="20"/>
                <w:szCs w:val="20"/>
                <w:color w:val="auto"/>
              </w:rPr>
            </w:pPr>
            <w:r>
              <w:rPr>
                <w:rFonts w:ascii="Arial" w:cs="Arial" w:eastAsia="Arial" w:hAnsi="Arial"/>
                <w:sz w:val="16"/>
                <w:szCs w:val="16"/>
                <w:color w:val="auto"/>
              </w:rPr>
              <w:t>$237</w:t>
            </w: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gridSpan w:val="2"/>
          </w:tcPr>
          <w:p>
            <w:pPr>
              <w:jc w:val="right"/>
              <w:ind w:right="199"/>
              <w:spacing w:after="0"/>
              <w:rPr>
                <w:sz w:val="20"/>
                <w:szCs w:val="20"/>
                <w:color w:val="auto"/>
              </w:rPr>
            </w:pPr>
            <w:r>
              <w:rPr>
                <w:rFonts w:ascii="Arial" w:cs="Arial" w:eastAsia="Arial" w:hAnsi="Arial"/>
                <w:sz w:val="16"/>
                <w:szCs w:val="16"/>
                <w:color w:val="auto"/>
              </w:rPr>
              <w:t>(237)</w:t>
            </w: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Service agreement and other revenue</w:t>
            </w:r>
          </w:p>
        </w:tc>
        <w:tc>
          <w:tcPr>
            <w:tcW w:w="148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8</w:t>
            </w:r>
          </w:p>
        </w:tc>
        <w:tc>
          <w:tcPr>
            <w:tcW w:w="5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0</w:t>
            </w:r>
          </w:p>
        </w:tc>
        <w:tc>
          <w:tcPr>
            <w:tcW w:w="13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8</w:t>
            </w:r>
          </w:p>
        </w:tc>
      </w:tr>
      <w:tr>
        <w:trPr>
          <w:trHeight w:val="196"/>
        </w:trPr>
        <w:tc>
          <w:tcPr>
            <w:tcW w:w="42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revenues</w:t>
            </w:r>
          </w:p>
        </w:tc>
        <w:tc>
          <w:tcPr>
            <w:tcW w:w="14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245</w:t>
            </w:r>
          </w:p>
        </w:tc>
        <w:tc>
          <w:tcPr>
            <w:tcW w:w="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962</w:t>
            </w:r>
          </w:p>
        </w:tc>
        <w:tc>
          <w:tcPr>
            <w:tcW w:w="11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16</w:t>
            </w:r>
          </w:p>
        </w:tc>
        <w:tc>
          <w:tcPr>
            <w:tcW w:w="134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233</w:t>
            </w:r>
          </w:p>
        </w:tc>
        <w:tc>
          <w:tcPr>
            <w:tcW w:w="100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rPr>
              <w:t>(240)</w:t>
            </w:r>
          </w:p>
        </w:tc>
        <w:tc>
          <w:tcPr>
            <w:tcW w:w="11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1,216</w:t>
            </w:r>
          </w:p>
        </w:tc>
      </w:tr>
      <w:tr>
        <w:trPr>
          <w:trHeight w:val="196"/>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Cost of management operations</w:t>
            </w:r>
          </w:p>
        </w:tc>
        <w:tc>
          <w:tcPr>
            <w:tcW w:w="14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192</w:t>
            </w: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(192)</w:t>
            </w:r>
          </w:p>
        </w:tc>
        <w:tc>
          <w:tcPr>
            <w:tcW w:w="11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4200" w:type="dxa"/>
            <w:vAlign w:val="bottom"/>
          </w:tcPr>
          <w:p>
            <w:pPr>
              <w:spacing w:after="0"/>
              <w:rPr>
                <w:sz w:val="20"/>
                <w:szCs w:val="20"/>
                <w:color w:val="auto"/>
              </w:rPr>
            </w:pPr>
            <w:r>
              <w:rPr>
                <w:rFonts w:ascii="Arial" w:cs="Arial" w:eastAsia="Arial" w:hAnsi="Arial"/>
                <w:sz w:val="16"/>
                <w:szCs w:val="16"/>
                <w:color w:val="auto"/>
              </w:rPr>
              <w:t>Insurance losses and loss expenses</w:t>
            </w:r>
          </w:p>
        </w:tc>
        <w:tc>
          <w:tcPr>
            <w:tcW w:w="1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jc w:val="right"/>
              <w:ind w:right="199"/>
              <w:spacing w:after="0"/>
              <w:rPr>
                <w:sz w:val="20"/>
                <w:szCs w:val="20"/>
                <w:color w:val="auto"/>
              </w:rPr>
            </w:pPr>
            <w:r>
              <w:rPr>
                <w:rFonts w:ascii="Arial" w:cs="Arial" w:eastAsia="Arial" w:hAnsi="Arial"/>
                <w:sz w:val="16"/>
                <w:szCs w:val="16"/>
                <w:color w:val="auto"/>
              </w:rPr>
              <w:t>738</w:t>
            </w:r>
          </w:p>
        </w:tc>
        <w:tc>
          <w:tcPr>
            <w:tcW w:w="1100" w:type="dxa"/>
            <w:vAlign w:val="bottom"/>
          </w:tcPr>
          <w:p>
            <w:pPr>
              <w:jc w:val="right"/>
              <w:ind w:right="221"/>
              <w:spacing w:after="0"/>
              <w:rPr>
                <w:sz w:val="20"/>
                <w:szCs w:val="20"/>
                <w:color w:val="auto"/>
              </w:rPr>
            </w:pPr>
            <w:r>
              <w:rPr>
                <w:rFonts w:ascii="Arial" w:cs="Arial" w:eastAsia="Arial" w:hAnsi="Arial"/>
                <w:sz w:val="16"/>
                <w:szCs w:val="16"/>
                <w:color w:val="auto"/>
              </w:rPr>
              <w:t>24</w:t>
            </w:r>
          </w:p>
        </w:tc>
        <w:tc>
          <w:tcPr>
            <w:tcW w:w="1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761</w:t>
            </w:r>
          </w:p>
        </w:tc>
      </w:tr>
      <w:tr>
        <w:trPr>
          <w:trHeight w:val="203"/>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Policy acquisition and underwriting expenses</w:t>
            </w:r>
          </w:p>
        </w:tc>
        <w:tc>
          <w:tcPr>
            <w:tcW w:w="14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265</w:t>
            </w:r>
          </w:p>
        </w:tc>
        <w:tc>
          <w:tcPr>
            <w:tcW w:w="11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9</w:t>
            </w:r>
          </w:p>
        </w:tc>
        <w:tc>
          <w:tcPr>
            <w:tcW w:w="13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91"/>
              </w:rPr>
              <w:t>(47)</w:t>
            </w:r>
          </w:p>
        </w:tc>
        <w:tc>
          <w:tcPr>
            <w:tcW w:w="11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227</w:t>
            </w:r>
          </w:p>
        </w:tc>
      </w:tr>
      <w:tr>
        <w:trPr>
          <w:trHeight w:val="196"/>
        </w:trPr>
        <w:tc>
          <w:tcPr>
            <w:tcW w:w="42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benefits and expenses</w:t>
            </w:r>
          </w:p>
        </w:tc>
        <w:tc>
          <w:tcPr>
            <w:tcW w:w="14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192</w:t>
            </w:r>
          </w:p>
        </w:tc>
        <w:tc>
          <w:tcPr>
            <w:tcW w:w="112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rPr>
              <w:t>1,003</w:t>
            </w:r>
          </w:p>
        </w:tc>
        <w:tc>
          <w:tcPr>
            <w:tcW w:w="11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33</w:t>
            </w:r>
          </w:p>
        </w:tc>
        <w:tc>
          <w:tcPr>
            <w:tcW w:w="134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rPr>
              <w:t>(240)</w:t>
            </w:r>
          </w:p>
        </w:tc>
        <w:tc>
          <w:tcPr>
            <w:tcW w:w="11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988</w:t>
            </w:r>
          </w:p>
        </w:tc>
      </w:tr>
      <w:tr>
        <w:trPr>
          <w:trHeight w:val="196"/>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Income (loss) before income taxes</w:t>
            </w:r>
          </w:p>
        </w:tc>
        <w:tc>
          <w:tcPr>
            <w:tcW w:w="14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53</w:t>
            </w: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w:t>
            </w:r>
          </w:p>
        </w:tc>
        <w:tc>
          <w:tcPr>
            <w:tcW w:w="11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(17)</w:t>
            </w:r>
          </w:p>
        </w:tc>
        <w:tc>
          <w:tcPr>
            <w:tcW w:w="1340" w:type="dxa"/>
            <w:vAlign w:val="bottom"/>
            <w:shd w:val="clear" w:color="auto" w:fill="CCEEFF"/>
          </w:tcPr>
          <w:p>
            <w:pPr>
              <w:jc w:val="right"/>
              <w:ind w:right="421"/>
              <w:spacing w:after="0"/>
              <w:rPr>
                <w:sz w:val="20"/>
                <w:szCs w:val="20"/>
                <w:color w:val="auto"/>
              </w:rPr>
            </w:pPr>
            <w:r>
              <w:rPr>
                <w:rFonts w:ascii="Arial" w:cs="Arial" w:eastAsia="Arial" w:hAnsi="Arial"/>
                <w:sz w:val="16"/>
                <w:szCs w:val="16"/>
                <w:color w:val="auto"/>
              </w:rPr>
              <w:t>233</w:t>
            </w: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228</w:t>
            </w:r>
          </w:p>
        </w:tc>
      </w:tr>
      <w:tr>
        <w:trPr>
          <w:trHeight w:val="203"/>
        </w:trPr>
        <w:tc>
          <w:tcPr>
            <w:tcW w:w="4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Provision (benefit) for income taxes</w:t>
            </w:r>
          </w:p>
        </w:tc>
        <w:tc>
          <w:tcPr>
            <w:tcW w:w="14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18</w:t>
            </w:r>
          </w:p>
        </w:tc>
        <w:tc>
          <w:tcPr>
            <w:tcW w:w="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w:t>
            </w:r>
          </w:p>
        </w:tc>
        <w:tc>
          <w:tcPr>
            <w:tcW w:w="11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(6)</w:t>
            </w:r>
          </w:p>
        </w:tc>
        <w:tc>
          <w:tcPr>
            <w:tcW w:w="134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68</w:t>
            </w:r>
          </w:p>
        </w:tc>
        <w:tc>
          <w:tcPr>
            <w:tcW w:w="4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66</w:t>
            </w:r>
          </w:p>
        </w:tc>
      </w:tr>
      <w:tr>
        <w:trPr>
          <w:trHeight w:val="203"/>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148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$ 35</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(27)</w:t>
            </w:r>
          </w:p>
        </w:tc>
        <w:tc>
          <w:tcPr>
            <w:tcW w:w="110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 (11)</w:t>
            </w:r>
          </w:p>
        </w:tc>
        <w:tc>
          <w:tcPr>
            <w:tcW w:w="134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16"/>
                <w:szCs w:val="16"/>
                <w:color w:val="auto"/>
              </w:rPr>
              <w:t>$165</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$ 162</w:t>
            </w:r>
          </w:p>
        </w:tc>
      </w:tr>
    </w:tbl>
    <w:p>
      <w:pPr>
        <w:spacing w:after="0" w:line="20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See the “Results of the Erie Insurance Group’s operations by interest” table in the Management’s Discussion and Analysis for the composition of income attributable to Indemnity and income attributable to the noncontrolling interest (Exchange).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available-for-sale and trading securities are recorded at fair value, which is the price that would be received to sell the asset in an orderly transaction between willing market participants as of the measurement date.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Valuation techniques used to derive the fair value of our available-for-sale and trading securities are based on observable and unobservable inputs. Observable inputs reflect market data obtained from independent sources.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Unobservable inputs reflect our own assumptions regarding fair market value for these securities. Although the majority of our prices are obtained from third party sources, we also perform an internal pricing review for securities with low trading volumes in the current market conditions. Financial instruments are categorized based upon the following characteristics or inputs to the valuation techniques:</w:t>
      </w:r>
    </w:p>
    <w:p>
      <w:pPr>
        <w:spacing w:after="0" w:line="181" w:lineRule="exact"/>
        <w:rPr>
          <w:sz w:val="20"/>
          <w:szCs w:val="20"/>
          <w:color w:val="auto"/>
        </w:rPr>
      </w:pPr>
    </w:p>
    <w:p>
      <w:pPr>
        <w:ind w:left="600"/>
        <w:spacing w:after="0"/>
        <w:tabs>
          <w:tab w:leader="none" w:pos="16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for identical instruments in active markets not subject to adjustments or discounts.</w:t>
      </w:r>
    </w:p>
    <w:p>
      <w:pPr>
        <w:spacing w:after="0" w:line="225" w:lineRule="exact"/>
        <w:rPr>
          <w:sz w:val="20"/>
          <w:szCs w:val="20"/>
          <w:color w:val="auto"/>
        </w:rPr>
      </w:pPr>
    </w:p>
    <w:p>
      <w:pPr>
        <w:ind w:left="1680" w:right="520" w:hanging="1088"/>
        <w:spacing w:after="0" w:line="342" w:lineRule="auto"/>
        <w:tabs>
          <w:tab w:leader="none" w:pos="16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124" w:lineRule="exact"/>
        <w:rPr>
          <w:sz w:val="20"/>
          <w:szCs w:val="20"/>
          <w:color w:val="auto"/>
        </w:rPr>
      </w:pPr>
    </w:p>
    <w:p>
      <w:pPr>
        <w:ind w:left="1680" w:right="260" w:hanging="1088"/>
        <w:spacing w:after="0" w:line="277" w:lineRule="auto"/>
        <w:tabs>
          <w:tab w:leader="none" w:pos="16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Instruments whose significant value drivers are unobservable and reflect management’s estimate of fair value based on assumptions used by market participants in an orderly transaction as of the valuation date.</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represents the fair value measurements on a recurring basis for our consolidated available-for-sale and trading securities by asset class and level of input at March 31, 2011:</w:t>
      </w:r>
    </w:p>
    <w:p>
      <w:pPr>
        <w:spacing w:after="0" w:line="175" w:lineRule="exact"/>
        <w:rPr>
          <w:sz w:val="20"/>
          <w:szCs w:val="20"/>
          <w:color w:val="auto"/>
        </w:rPr>
      </w:pPr>
    </w:p>
    <w:p>
      <w:pPr>
        <w:jc w:val="center"/>
        <w:ind w:left="4880"/>
        <w:spacing w:after="0"/>
        <w:rPr>
          <w:sz w:val="20"/>
          <w:szCs w:val="20"/>
          <w:color w:val="auto"/>
        </w:rPr>
      </w:pPr>
      <w:r>
        <w:rPr>
          <w:rFonts w:ascii="Arial" w:cs="Arial" w:eastAsia="Arial" w:hAnsi="Arial"/>
          <w:sz w:val="16"/>
          <w:szCs w:val="16"/>
          <w:color w:val="auto"/>
        </w:rPr>
        <w:t>Erie Insurance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17780</wp:posOffset>
            </wp:positionV>
            <wp:extent cx="40132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12" w:lineRule="exact"/>
        <w:rPr>
          <w:sz w:val="20"/>
          <w:szCs w:val="20"/>
          <w:color w:val="auto"/>
        </w:rPr>
      </w:pPr>
    </w:p>
    <w:p>
      <w:pPr>
        <w:jc w:val="center"/>
        <w:ind w:left="4880"/>
        <w:spacing w:after="0"/>
        <w:rPr>
          <w:sz w:val="20"/>
          <w:szCs w:val="20"/>
          <w:color w:val="auto"/>
        </w:rPr>
      </w:pPr>
      <w:r>
        <w:rPr>
          <w:rFonts w:ascii="Arial" w:cs="Arial" w:eastAsia="Arial" w:hAnsi="Arial"/>
          <w:sz w:val="16"/>
          <w:szCs w:val="16"/>
          <w:color w:val="auto"/>
        </w:rPr>
        <w:t>March 31, 2011</w:t>
      </w:r>
    </w:p>
    <w:tbl>
      <w:tblPr>
        <w:tblLayout w:type="fixed"/>
        <w:tblInd w:w="0" w:type="dxa"/>
        <w:tblCellMar>
          <w:top w:w="0" w:type="dxa"/>
          <w:left w:w="0" w:type="dxa"/>
          <w:bottom w:w="0" w:type="dxa"/>
          <w:right w:w="0" w:type="dxa"/>
        </w:tblCellMar>
      </w:tblPr>
      <w:tr>
        <w:trPr>
          <w:trHeight w:val="158"/>
        </w:trPr>
        <w:tc>
          <w:tcPr>
            <w:tcW w:w="50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360" w:type="dxa"/>
            <w:vAlign w:val="bottom"/>
            <w:gridSpan w:val="2"/>
          </w:tcPr>
          <w:p>
            <w:pPr>
              <w:jc w:val="right"/>
              <w:ind w:right="821"/>
              <w:spacing w:after="0" w:line="158" w:lineRule="exact"/>
              <w:rPr>
                <w:sz w:val="20"/>
                <w:szCs w:val="20"/>
                <w:color w:val="auto"/>
              </w:rPr>
            </w:pPr>
            <w:r>
              <w:rPr>
                <w:rFonts w:ascii="Arial" w:cs="Arial" w:eastAsia="Arial" w:hAnsi="Arial"/>
                <w:sz w:val="14"/>
                <w:szCs w:val="14"/>
                <w:color w:val="auto"/>
              </w:rPr>
              <w:t>Fair value measurements using:</w:t>
            </w:r>
          </w:p>
        </w:tc>
        <w:tc>
          <w:tcPr>
            <w:tcW w:w="1460" w:type="dxa"/>
            <w:vAlign w:val="bottom"/>
          </w:tcPr>
          <w:p>
            <w:pPr>
              <w:spacing w:after="0"/>
              <w:rPr>
                <w:sz w:val="13"/>
                <w:szCs w:val="13"/>
                <w:color w:val="auto"/>
              </w:rPr>
            </w:pPr>
          </w:p>
        </w:tc>
      </w:tr>
      <w:tr>
        <w:trPr>
          <w:trHeight w:val="149"/>
        </w:trPr>
        <w:tc>
          <w:tcPr>
            <w:tcW w:w="50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40" w:type="dxa"/>
            <w:vAlign w:val="bottom"/>
          </w:tcPr>
          <w:p>
            <w:pPr>
              <w:jc w:val="center"/>
              <w:ind w:right="81"/>
              <w:spacing w:after="0" w:line="149" w:lineRule="exact"/>
              <w:rPr>
                <w:sz w:val="20"/>
                <w:szCs w:val="20"/>
                <w:color w:val="auto"/>
              </w:rPr>
            </w:pPr>
            <w:r>
              <w:rPr>
                <w:rFonts w:ascii="Arial" w:cs="Arial" w:eastAsia="Arial" w:hAnsi="Arial"/>
                <w:sz w:val="14"/>
                <w:szCs w:val="14"/>
                <w:color w:val="auto"/>
                <w:w w:val="94"/>
              </w:rPr>
              <w:t>Quoted prices in</w:t>
            </w:r>
          </w:p>
        </w:tc>
        <w:tc>
          <w:tcPr>
            <w:tcW w:w="1720" w:type="dxa"/>
            <w:vAlign w:val="bottom"/>
          </w:tcPr>
          <w:p>
            <w:pPr>
              <w:spacing w:after="0"/>
              <w:rPr>
                <w:sz w:val="12"/>
                <w:szCs w:val="12"/>
                <w:color w:val="auto"/>
              </w:rPr>
            </w:pPr>
          </w:p>
        </w:tc>
        <w:tc>
          <w:tcPr>
            <w:tcW w:w="1460" w:type="dxa"/>
            <w:vAlign w:val="bottom"/>
          </w:tcPr>
          <w:p>
            <w:pPr>
              <w:jc w:val="center"/>
              <w:ind w:right="41"/>
              <w:spacing w:after="0" w:line="149" w:lineRule="exact"/>
              <w:rPr>
                <w:sz w:val="20"/>
                <w:szCs w:val="20"/>
                <w:color w:val="auto"/>
              </w:rPr>
            </w:pPr>
            <w:r>
              <w:rPr>
                <w:rFonts w:ascii="Arial" w:cs="Arial" w:eastAsia="Arial" w:hAnsi="Arial"/>
                <w:sz w:val="14"/>
                <w:szCs w:val="14"/>
                <w:color w:val="auto"/>
                <w:w w:val="95"/>
              </w:rPr>
              <w:t>Significant</w:t>
            </w:r>
          </w:p>
        </w:tc>
      </w:tr>
      <w:tr>
        <w:trPr>
          <w:trHeight w:val="149"/>
        </w:trPr>
        <w:tc>
          <w:tcPr>
            <w:tcW w:w="50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40" w:type="dxa"/>
            <w:vAlign w:val="bottom"/>
          </w:tcPr>
          <w:p>
            <w:pPr>
              <w:jc w:val="center"/>
              <w:ind w:right="81"/>
              <w:spacing w:after="0" w:line="149" w:lineRule="exact"/>
              <w:rPr>
                <w:sz w:val="20"/>
                <w:szCs w:val="20"/>
                <w:color w:val="auto"/>
              </w:rPr>
            </w:pPr>
            <w:r>
              <w:rPr>
                <w:rFonts w:ascii="Arial" w:cs="Arial" w:eastAsia="Arial" w:hAnsi="Arial"/>
                <w:sz w:val="14"/>
                <w:szCs w:val="14"/>
                <w:color w:val="auto"/>
                <w:w w:val="94"/>
              </w:rPr>
              <w:t>active markets for</w:t>
            </w:r>
          </w:p>
        </w:tc>
        <w:tc>
          <w:tcPr>
            <w:tcW w:w="1720" w:type="dxa"/>
            <w:vAlign w:val="bottom"/>
          </w:tcPr>
          <w:p>
            <w:pPr>
              <w:jc w:val="center"/>
              <w:ind w:right="161"/>
              <w:spacing w:after="0" w:line="149" w:lineRule="exact"/>
              <w:rPr>
                <w:sz w:val="20"/>
                <w:szCs w:val="20"/>
                <w:color w:val="auto"/>
              </w:rPr>
            </w:pPr>
            <w:r>
              <w:rPr>
                <w:rFonts w:ascii="Arial" w:cs="Arial" w:eastAsia="Arial" w:hAnsi="Arial"/>
                <w:sz w:val="14"/>
                <w:szCs w:val="14"/>
                <w:color w:val="auto"/>
                <w:w w:val="99"/>
              </w:rPr>
              <w:t>Significant</w:t>
            </w:r>
          </w:p>
        </w:tc>
        <w:tc>
          <w:tcPr>
            <w:tcW w:w="1460" w:type="dxa"/>
            <w:vAlign w:val="bottom"/>
          </w:tcPr>
          <w:p>
            <w:pPr>
              <w:jc w:val="center"/>
              <w:ind w:right="41"/>
              <w:spacing w:after="0" w:line="149" w:lineRule="exact"/>
              <w:rPr>
                <w:sz w:val="20"/>
                <w:szCs w:val="20"/>
                <w:color w:val="auto"/>
              </w:rPr>
            </w:pPr>
            <w:r>
              <w:rPr>
                <w:rFonts w:ascii="Arial" w:cs="Arial" w:eastAsia="Arial" w:hAnsi="Arial"/>
                <w:sz w:val="14"/>
                <w:szCs w:val="14"/>
                <w:color w:val="auto"/>
                <w:w w:val="92"/>
              </w:rPr>
              <w:t>unobservable</w:t>
            </w:r>
          </w:p>
        </w:tc>
      </w:tr>
      <w:tr>
        <w:trPr>
          <w:trHeight w:val="149"/>
        </w:trPr>
        <w:tc>
          <w:tcPr>
            <w:tcW w:w="50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40" w:type="dxa"/>
            <w:vAlign w:val="bottom"/>
          </w:tcPr>
          <w:p>
            <w:pPr>
              <w:jc w:val="center"/>
              <w:ind w:right="101"/>
              <w:spacing w:after="0" w:line="149" w:lineRule="exact"/>
              <w:rPr>
                <w:sz w:val="20"/>
                <w:szCs w:val="20"/>
                <w:color w:val="auto"/>
              </w:rPr>
            </w:pPr>
            <w:r>
              <w:rPr>
                <w:rFonts w:ascii="Arial" w:cs="Arial" w:eastAsia="Arial" w:hAnsi="Arial"/>
                <w:sz w:val="14"/>
                <w:szCs w:val="14"/>
                <w:color w:val="auto"/>
                <w:w w:val="89"/>
              </w:rPr>
              <w:t>identical assets</w:t>
            </w:r>
          </w:p>
        </w:tc>
        <w:tc>
          <w:tcPr>
            <w:tcW w:w="1720" w:type="dxa"/>
            <w:vAlign w:val="bottom"/>
          </w:tcPr>
          <w:p>
            <w:pPr>
              <w:jc w:val="center"/>
              <w:ind w:right="161"/>
              <w:spacing w:after="0" w:line="149" w:lineRule="exact"/>
              <w:rPr>
                <w:sz w:val="20"/>
                <w:szCs w:val="20"/>
                <w:color w:val="auto"/>
              </w:rPr>
            </w:pPr>
            <w:r>
              <w:rPr>
                <w:rFonts w:ascii="Arial" w:cs="Arial" w:eastAsia="Arial" w:hAnsi="Arial"/>
                <w:sz w:val="14"/>
                <w:szCs w:val="14"/>
                <w:color w:val="auto"/>
                <w:w w:val="91"/>
              </w:rPr>
              <w:t>observable inputs</w:t>
            </w:r>
          </w:p>
        </w:tc>
        <w:tc>
          <w:tcPr>
            <w:tcW w:w="1460" w:type="dxa"/>
            <w:vAlign w:val="bottom"/>
          </w:tcPr>
          <w:p>
            <w:pPr>
              <w:jc w:val="center"/>
              <w:ind w:right="41"/>
              <w:spacing w:after="0" w:line="149" w:lineRule="exact"/>
              <w:rPr>
                <w:sz w:val="20"/>
                <w:szCs w:val="20"/>
                <w:color w:val="auto"/>
              </w:rPr>
            </w:pPr>
            <w:r>
              <w:rPr>
                <w:rFonts w:ascii="Arial" w:cs="Arial" w:eastAsia="Arial" w:hAnsi="Arial"/>
                <w:sz w:val="14"/>
                <w:szCs w:val="14"/>
                <w:color w:val="auto"/>
                <w:w w:val="90"/>
              </w:rPr>
              <w:t>inputs</w:t>
            </w:r>
          </w:p>
        </w:tc>
      </w:tr>
      <w:tr>
        <w:trPr>
          <w:trHeight w:val="167"/>
        </w:trPr>
        <w:tc>
          <w:tcPr>
            <w:tcW w:w="500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millions)</w:t>
            </w:r>
          </w:p>
        </w:tc>
        <w:tc>
          <w:tcPr>
            <w:tcW w:w="160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color w:val="auto"/>
              </w:rPr>
              <w:t>Total</w:t>
            </w:r>
          </w:p>
        </w:tc>
        <w:tc>
          <w:tcPr>
            <w:tcW w:w="16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w w:val="97"/>
              </w:rPr>
              <w:t>Level 1</w:t>
            </w:r>
          </w:p>
        </w:tc>
        <w:tc>
          <w:tcPr>
            <w:tcW w:w="17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color w:val="auto"/>
                <w:w w:val="97"/>
              </w:rPr>
              <w:t>Level 2</w:t>
            </w:r>
          </w:p>
        </w:tc>
        <w:tc>
          <w:tcPr>
            <w:tcW w:w="14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w w:val="92"/>
              </w:rPr>
              <w:t>Level 3</w:t>
            </w:r>
          </w:p>
        </w:tc>
      </w:tr>
      <w:tr>
        <w:trPr>
          <w:trHeight w:val="183"/>
        </w:trPr>
        <w:tc>
          <w:tcPr>
            <w:tcW w:w="500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Indemnity</w:t>
            </w:r>
          </w:p>
        </w:tc>
        <w:tc>
          <w:tcPr>
            <w:tcW w:w="16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03"/>
        </w:trPr>
        <w:tc>
          <w:tcPr>
            <w:tcW w:w="500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16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5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Fixed maturities:</w:t>
            </w:r>
          </w:p>
        </w:tc>
        <w:tc>
          <w:tcPr>
            <w:tcW w:w="16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3"/>
        </w:trPr>
        <w:tc>
          <w:tcPr>
            <w:tcW w:w="5000" w:type="dxa"/>
            <w:vAlign w:val="bottom"/>
          </w:tcPr>
          <w:p>
            <w:pPr>
              <w:ind w:left="360"/>
              <w:spacing w:after="0"/>
              <w:rPr>
                <w:sz w:val="20"/>
                <w:szCs w:val="20"/>
                <w:color w:val="auto"/>
              </w:rPr>
            </w:pPr>
            <w:r>
              <w:rPr>
                <w:rFonts w:ascii="Arial" w:cs="Arial" w:eastAsia="Arial" w:hAnsi="Arial"/>
                <w:sz w:val="16"/>
                <w:szCs w:val="16"/>
                <w:color w:val="auto"/>
              </w:rPr>
              <w:t>U.S. treasuries and government agencies</w:t>
            </w:r>
          </w:p>
        </w:tc>
        <w:tc>
          <w:tcPr>
            <w:tcW w:w="1600" w:type="dxa"/>
            <w:vAlign w:val="bottom"/>
          </w:tcPr>
          <w:p>
            <w:pPr>
              <w:jc w:val="right"/>
              <w:ind w:right="160"/>
              <w:spacing w:after="0"/>
              <w:rPr>
                <w:sz w:val="20"/>
                <w:szCs w:val="20"/>
                <w:color w:val="auto"/>
              </w:rPr>
            </w:pPr>
            <w:r>
              <w:rPr>
                <w:rFonts w:ascii="Arial" w:cs="Arial" w:eastAsia="Arial" w:hAnsi="Arial"/>
                <w:sz w:val="16"/>
                <w:szCs w:val="16"/>
                <w:color w:val="auto"/>
              </w:rPr>
              <w:t>$ 10</w:t>
            </w:r>
          </w:p>
        </w:tc>
        <w:tc>
          <w:tcPr>
            <w:tcW w:w="1640" w:type="dxa"/>
            <w:vAlign w:val="bottom"/>
          </w:tcPr>
          <w:p>
            <w:pPr>
              <w:jc w:val="right"/>
              <w:ind w:right="141"/>
              <w:spacing w:after="0"/>
              <w:rPr>
                <w:sz w:val="20"/>
                <w:szCs w:val="20"/>
                <w:color w:val="auto"/>
              </w:rPr>
            </w:pPr>
            <w:r>
              <w:rPr>
                <w:rFonts w:ascii="Arial" w:cs="Arial" w:eastAsia="Arial" w:hAnsi="Arial"/>
                <w:sz w:val="16"/>
                <w:szCs w:val="16"/>
                <w:color w:val="auto"/>
              </w:rPr>
              <w:t>$ 0</w:t>
            </w:r>
          </w:p>
        </w:tc>
        <w:tc>
          <w:tcPr>
            <w:tcW w:w="1720" w:type="dxa"/>
            <w:vAlign w:val="bottom"/>
          </w:tcPr>
          <w:p>
            <w:pPr>
              <w:jc w:val="right"/>
              <w:ind w:right="221"/>
              <w:spacing w:after="0"/>
              <w:rPr>
                <w:sz w:val="20"/>
                <w:szCs w:val="20"/>
                <w:color w:val="auto"/>
              </w:rPr>
            </w:pPr>
            <w:r>
              <w:rPr>
                <w:rFonts w:ascii="Arial" w:cs="Arial" w:eastAsia="Arial" w:hAnsi="Arial"/>
                <w:sz w:val="16"/>
                <w:szCs w:val="16"/>
                <w:color w:val="auto"/>
              </w:rPr>
              <w:t>$ 10</w:t>
            </w: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$0</w:t>
            </w:r>
          </w:p>
        </w:tc>
      </w:tr>
      <w:tr>
        <w:trPr>
          <w:trHeight w:val="203"/>
        </w:trPr>
        <w:tc>
          <w:tcPr>
            <w:tcW w:w="5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U.S. government sponsored enterprises</w:t>
            </w:r>
          </w:p>
        </w:tc>
        <w:tc>
          <w:tcPr>
            <w:tcW w:w="16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9</w:t>
            </w:r>
          </w:p>
        </w:tc>
        <w:tc>
          <w:tcPr>
            <w:tcW w:w="16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0</w:t>
            </w:r>
          </w:p>
        </w:tc>
        <w:tc>
          <w:tcPr>
            <w:tcW w:w="172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9</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w:t>
            </w:r>
          </w:p>
        </w:tc>
      </w:tr>
      <w:tr>
        <w:trPr>
          <w:trHeight w:val="203"/>
        </w:trPr>
        <w:tc>
          <w:tcPr>
            <w:tcW w:w="5000" w:type="dxa"/>
            <w:vAlign w:val="bottom"/>
          </w:tcPr>
          <w:p>
            <w:pPr>
              <w:ind w:left="360"/>
              <w:spacing w:after="0"/>
              <w:rPr>
                <w:sz w:val="20"/>
                <w:szCs w:val="20"/>
                <w:color w:val="auto"/>
              </w:rPr>
            </w:pPr>
            <w:r>
              <w:rPr>
                <w:rFonts w:ascii="Arial" w:cs="Arial" w:eastAsia="Arial" w:hAnsi="Arial"/>
                <w:sz w:val="16"/>
                <w:szCs w:val="16"/>
                <w:color w:val="auto"/>
              </w:rPr>
              <w:t>Municipal securities</w:t>
            </w:r>
          </w:p>
        </w:tc>
        <w:tc>
          <w:tcPr>
            <w:tcW w:w="1600" w:type="dxa"/>
            <w:vAlign w:val="bottom"/>
          </w:tcPr>
          <w:p>
            <w:pPr>
              <w:jc w:val="right"/>
              <w:ind w:right="160"/>
              <w:spacing w:after="0"/>
              <w:rPr>
                <w:sz w:val="20"/>
                <w:szCs w:val="20"/>
                <w:color w:val="auto"/>
              </w:rPr>
            </w:pPr>
            <w:r>
              <w:rPr>
                <w:rFonts w:ascii="Arial" w:cs="Arial" w:eastAsia="Arial" w:hAnsi="Arial"/>
                <w:sz w:val="16"/>
                <w:szCs w:val="16"/>
                <w:color w:val="auto"/>
              </w:rPr>
              <w:t>222</w:t>
            </w:r>
          </w:p>
        </w:tc>
        <w:tc>
          <w:tcPr>
            <w:tcW w:w="1640" w:type="dxa"/>
            <w:vAlign w:val="bottom"/>
          </w:tcPr>
          <w:p>
            <w:pPr>
              <w:jc w:val="right"/>
              <w:ind w:right="141"/>
              <w:spacing w:after="0"/>
              <w:rPr>
                <w:sz w:val="20"/>
                <w:szCs w:val="20"/>
                <w:color w:val="auto"/>
              </w:rPr>
            </w:pPr>
            <w:r>
              <w:rPr>
                <w:rFonts w:ascii="Arial" w:cs="Arial" w:eastAsia="Arial" w:hAnsi="Arial"/>
                <w:sz w:val="16"/>
                <w:szCs w:val="16"/>
                <w:color w:val="auto"/>
              </w:rPr>
              <w:t>0</w:t>
            </w:r>
          </w:p>
        </w:tc>
        <w:tc>
          <w:tcPr>
            <w:tcW w:w="1720" w:type="dxa"/>
            <w:vAlign w:val="bottom"/>
          </w:tcPr>
          <w:p>
            <w:pPr>
              <w:jc w:val="right"/>
              <w:ind w:right="221"/>
              <w:spacing w:after="0"/>
              <w:rPr>
                <w:sz w:val="20"/>
                <w:szCs w:val="20"/>
                <w:color w:val="auto"/>
              </w:rPr>
            </w:pPr>
            <w:r>
              <w:rPr>
                <w:rFonts w:ascii="Arial" w:cs="Arial" w:eastAsia="Arial" w:hAnsi="Arial"/>
                <w:sz w:val="16"/>
                <w:szCs w:val="16"/>
                <w:color w:val="auto"/>
              </w:rPr>
              <w:t>222</w:t>
            </w: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0</w:t>
            </w:r>
          </w:p>
        </w:tc>
      </w:tr>
      <w:tr>
        <w:trPr>
          <w:trHeight w:val="203"/>
        </w:trPr>
        <w:tc>
          <w:tcPr>
            <w:tcW w:w="5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U.S. corporate debt – non-financial</w:t>
            </w:r>
          </w:p>
        </w:tc>
        <w:tc>
          <w:tcPr>
            <w:tcW w:w="16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78</w:t>
            </w:r>
          </w:p>
        </w:tc>
        <w:tc>
          <w:tcPr>
            <w:tcW w:w="16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0</w:t>
            </w:r>
          </w:p>
        </w:tc>
        <w:tc>
          <w:tcPr>
            <w:tcW w:w="172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78</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w:t>
            </w:r>
          </w:p>
        </w:tc>
      </w:tr>
      <w:tr>
        <w:trPr>
          <w:trHeight w:val="203"/>
        </w:trPr>
        <w:tc>
          <w:tcPr>
            <w:tcW w:w="5000" w:type="dxa"/>
            <w:vAlign w:val="bottom"/>
          </w:tcPr>
          <w:p>
            <w:pPr>
              <w:ind w:left="360"/>
              <w:spacing w:after="0"/>
              <w:rPr>
                <w:sz w:val="20"/>
                <w:szCs w:val="20"/>
                <w:color w:val="auto"/>
              </w:rPr>
            </w:pPr>
            <w:r>
              <w:rPr>
                <w:rFonts w:ascii="Arial" w:cs="Arial" w:eastAsia="Arial" w:hAnsi="Arial"/>
                <w:sz w:val="16"/>
                <w:szCs w:val="16"/>
                <w:color w:val="auto"/>
              </w:rPr>
              <w:t>U.S. corporate debt – financial</w:t>
            </w:r>
          </w:p>
        </w:tc>
        <w:tc>
          <w:tcPr>
            <w:tcW w:w="1600" w:type="dxa"/>
            <w:vAlign w:val="bottom"/>
          </w:tcPr>
          <w:p>
            <w:pPr>
              <w:jc w:val="right"/>
              <w:ind w:right="160"/>
              <w:spacing w:after="0"/>
              <w:rPr>
                <w:sz w:val="20"/>
                <w:szCs w:val="20"/>
                <w:color w:val="auto"/>
              </w:rPr>
            </w:pPr>
            <w:r>
              <w:rPr>
                <w:rFonts w:ascii="Arial" w:cs="Arial" w:eastAsia="Arial" w:hAnsi="Arial"/>
                <w:sz w:val="16"/>
                <w:szCs w:val="16"/>
                <w:color w:val="auto"/>
              </w:rPr>
              <w:t>107</w:t>
            </w:r>
          </w:p>
        </w:tc>
        <w:tc>
          <w:tcPr>
            <w:tcW w:w="1640" w:type="dxa"/>
            <w:vAlign w:val="bottom"/>
          </w:tcPr>
          <w:p>
            <w:pPr>
              <w:jc w:val="right"/>
              <w:ind w:right="141"/>
              <w:spacing w:after="0"/>
              <w:rPr>
                <w:sz w:val="20"/>
                <w:szCs w:val="20"/>
                <w:color w:val="auto"/>
              </w:rPr>
            </w:pPr>
            <w:r>
              <w:rPr>
                <w:rFonts w:ascii="Arial" w:cs="Arial" w:eastAsia="Arial" w:hAnsi="Arial"/>
                <w:sz w:val="16"/>
                <w:szCs w:val="16"/>
                <w:color w:val="auto"/>
              </w:rPr>
              <w:t>0</w:t>
            </w:r>
          </w:p>
        </w:tc>
        <w:tc>
          <w:tcPr>
            <w:tcW w:w="1720" w:type="dxa"/>
            <w:vAlign w:val="bottom"/>
          </w:tcPr>
          <w:p>
            <w:pPr>
              <w:jc w:val="right"/>
              <w:ind w:right="221"/>
              <w:spacing w:after="0"/>
              <w:rPr>
                <w:sz w:val="20"/>
                <w:szCs w:val="20"/>
                <w:color w:val="auto"/>
              </w:rPr>
            </w:pPr>
            <w:r>
              <w:rPr>
                <w:rFonts w:ascii="Arial" w:cs="Arial" w:eastAsia="Arial" w:hAnsi="Arial"/>
                <w:sz w:val="16"/>
                <w:szCs w:val="16"/>
                <w:color w:val="auto"/>
              </w:rPr>
              <w:t>107</w:t>
            </w: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0</w:t>
            </w:r>
          </w:p>
        </w:tc>
      </w:tr>
      <w:tr>
        <w:trPr>
          <w:trHeight w:val="203"/>
        </w:trPr>
        <w:tc>
          <w:tcPr>
            <w:tcW w:w="5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corporate debt – non-financial</w:t>
            </w:r>
          </w:p>
        </w:tc>
        <w:tc>
          <w:tcPr>
            <w:tcW w:w="16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21</w:t>
            </w:r>
          </w:p>
        </w:tc>
        <w:tc>
          <w:tcPr>
            <w:tcW w:w="16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0</w:t>
            </w:r>
          </w:p>
        </w:tc>
        <w:tc>
          <w:tcPr>
            <w:tcW w:w="172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21</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w:t>
            </w:r>
          </w:p>
        </w:tc>
      </w:tr>
      <w:tr>
        <w:trPr>
          <w:trHeight w:val="203"/>
        </w:trPr>
        <w:tc>
          <w:tcPr>
            <w:tcW w:w="5000" w:type="dxa"/>
            <w:vAlign w:val="bottom"/>
          </w:tcPr>
          <w:p>
            <w:pPr>
              <w:ind w:left="360"/>
              <w:spacing w:after="0"/>
              <w:rPr>
                <w:sz w:val="20"/>
                <w:szCs w:val="20"/>
                <w:color w:val="auto"/>
              </w:rPr>
            </w:pPr>
            <w:r>
              <w:rPr>
                <w:rFonts w:ascii="Arial" w:cs="Arial" w:eastAsia="Arial" w:hAnsi="Arial"/>
                <w:sz w:val="16"/>
                <w:szCs w:val="16"/>
                <w:color w:val="auto"/>
              </w:rPr>
              <w:t>Foreign corporate debt – financial</w:t>
            </w:r>
          </w:p>
        </w:tc>
        <w:tc>
          <w:tcPr>
            <w:tcW w:w="1600" w:type="dxa"/>
            <w:vAlign w:val="bottom"/>
          </w:tcPr>
          <w:p>
            <w:pPr>
              <w:jc w:val="right"/>
              <w:ind w:right="160"/>
              <w:spacing w:after="0"/>
              <w:rPr>
                <w:sz w:val="20"/>
                <w:szCs w:val="20"/>
                <w:color w:val="auto"/>
              </w:rPr>
            </w:pPr>
            <w:r>
              <w:rPr>
                <w:rFonts w:ascii="Arial" w:cs="Arial" w:eastAsia="Arial" w:hAnsi="Arial"/>
                <w:sz w:val="16"/>
                <w:szCs w:val="16"/>
                <w:color w:val="auto"/>
              </w:rPr>
              <w:t>30</w:t>
            </w:r>
          </w:p>
        </w:tc>
        <w:tc>
          <w:tcPr>
            <w:tcW w:w="1640" w:type="dxa"/>
            <w:vAlign w:val="bottom"/>
          </w:tcPr>
          <w:p>
            <w:pPr>
              <w:jc w:val="right"/>
              <w:ind w:right="141"/>
              <w:spacing w:after="0"/>
              <w:rPr>
                <w:sz w:val="20"/>
                <w:szCs w:val="20"/>
                <w:color w:val="auto"/>
              </w:rPr>
            </w:pPr>
            <w:r>
              <w:rPr>
                <w:rFonts w:ascii="Arial" w:cs="Arial" w:eastAsia="Arial" w:hAnsi="Arial"/>
                <w:sz w:val="16"/>
                <w:szCs w:val="16"/>
                <w:color w:val="auto"/>
              </w:rPr>
              <w:t>0</w:t>
            </w:r>
          </w:p>
        </w:tc>
        <w:tc>
          <w:tcPr>
            <w:tcW w:w="1720" w:type="dxa"/>
            <w:vAlign w:val="bottom"/>
          </w:tcPr>
          <w:p>
            <w:pPr>
              <w:jc w:val="right"/>
              <w:ind w:right="221"/>
              <w:spacing w:after="0"/>
              <w:rPr>
                <w:sz w:val="20"/>
                <w:szCs w:val="20"/>
                <w:color w:val="auto"/>
              </w:rPr>
            </w:pPr>
            <w:r>
              <w:rPr>
                <w:rFonts w:ascii="Arial" w:cs="Arial" w:eastAsia="Arial" w:hAnsi="Arial"/>
                <w:sz w:val="16"/>
                <w:szCs w:val="16"/>
                <w:color w:val="auto"/>
              </w:rPr>
              <w:t>30</w:t>
            </w: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0</w:t>
            </w:r>
          </w:p>
        </w:tc>
      </w:tr>
      <w:tr>
        <w:trPr>
          <w:trHeight w:val="203"/>
        </w:trPr>
        <w:tc>
          <w:tcPr>
            <w:tcW w:w="5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Structured securities:</w:t>
            </w:r>
          </w:p>
        </w:tc>
        <w:tc>
          <w:tcPr>
            <w:tcW w:w="16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3"/>
        </w:trPr>
        <w:tc>
          <w:tcPr>
            <w:tcW w:w="5000" w:type="dxa"/>
            <w:vAlign w:val="bottom"/>
          </w:tcPr>
          <w:p>
            <w:pPr>
              <w:ind w:left="540"/>
              <w:spacing w:after="0"/>
              <w:rPr>
                <w:sz w:val="20"/>
                <w:szCs w:val="20"/>
                <w:color w:val="auto"/>
              </w:rPr>
            </w:pPr>
            <w:r>
              <w:rPr>
                <w:rFonts w:ascii="Arial" w:cs="Arial" w:eastAsia="Arial" w:hAnsi="Arial"/>
                <w:sz w:val="16"/>
                <w:szCs w:val="16"/>
                <w:color w:val="auto"/>
              </w:rPr>
              <w:t>Asset-backed securities – auto loans</w:t>
            </w:r>
          </w:p>
        </w:tc>
        <w:tc>
          <w:tcPr>
            <w:tcW w:w="1600" w:type="dxa"/>
            <w:vAlign w:val="bottom"/>
          </w:tcPr>
          <w:p>
            <w:pPr>
              <w:jc w:val="right"/>
              <w:ind w:right="160"/>
              <w:spacing w:after="0"/>
              <w:rPr>
                <w:sz w:val="20"/>
                <w:szCs w:val="20"/>
                <w:color w:val="auto"/>
              </w:rPr>
            </w:pPr>
            <w:r>
              <w:rPr>
                <w:rFonts w:ascii="Arial" w:cs="Arial" w:eastAsia="Arial" w:hAnsi="Arial"/>
                <w:sz w:val="16"/>
                <w:szCs w:val="16"/>
                <w:color w:val="auto"/>
              </w:rPr>
              <w:t>12</w:t>
            </w:r>
          </w:p>
        </w:tc>
        <w:tc>
          <w:tcPr>
            <w:tcW w:w="1640" w:type="dxa"/>
            <w:vAlign w:val="bottom"/>
          </w:tcPr>
          <w:p>
            <w:pPr>
              <w:jc w:val="right"/>
              <w:ind w:right="141"/>
              <w:spacing w:after="0"/>
              <w:rPr>
                <w:sz w:val="20"/>
                <w:szCs w:val="20"/>
                <w:color w:val="auto"/>
              </w:rPr>
            </w:pPr>
            <w:r>
              <w:rPr>
                <w:rFonts w:ascii="Arial" w:cs="Arial" w:eastAsia="Arial" w:hAnsi="Arial"/>
                <w:sz w:val="16"/>
                <w:szCs w:val="16"/>
                <w:color w:val="auto"/>
              </w:rPr>
              <w:t>0</w:t>
            </w:r>
          </w:p>
        </w:tc>
        <w:tc>
          <w:tcPr>
            <w:tcW w:w="1720" w:type="dxa"/>
            <w:vAlign w:val="bottom"/>
          </w:tcPr>
          <w:p>
            <w:pPr>
              <w:jc w:val="right"/>
              <w:ind w:right="221"/>
              <w:spacing w:after="0"/>
              <w:rPr>
                <w:sz w:val="20"/>
                <w:szCs w:val="20"/>
                <w:color w:val="auto"/>
              </w:rPr>
            </w:pPr>
            <w:r>
              <w:rPr>
                <w:rFonts w:ascii="Arial" w:cs="Arial" w:eastAsia="Arial" w:hAnsi="Arial"/>
                <w:sz w:val="16"/>
                <w:szCs w:val="16"/>
                <w:color w:val="auto"/>
              </w:rPr>
              <w:t>12</w:t>
            </w: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0</w:t>
            </w:r>
          </w:p>
        </w:tc>
      </w:tr>
      <w:tr>
        <w:trPr>
          <w:trHeight w:val="203"/>
        </w:trPr>
        <w:tc>
          <w:tcPr>
            <w:tcW w:w="50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Collateralized debt obligations</w:t>
            </w:r>
          </w:p>
        </w:tc>
        <w:tc>
          <w:tcPr>
            <w:tcW w:w="16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4</w:t>
            </w:r>
          </w:p>
        </w:tc>
        <w:tc>
          <w:tcPr>
            <w:tcW w:w="16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0</w:t>
            </w:r>
          </w:p>
        </w:tc>
        <w:tc>
          <w:tcPr>
            <w:tcW w:w="172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0</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r>
      <w:tr>
        <w:trPr>
          <w:trHeight w:val="203"/>
        </w:trPr>
        <w:tc>
          <w:tcPr>
            <w:tcW w:w="50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Commercial mortgage-backed</w:t>
            </w:r>
          </w:p>
        </w:tc>
        <w:tc>
          <w:tcPr>
            <w:tcW w:w="16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20</w:t>
            </w:r>
          </w:p>
        </w:tc>
        <w:tc>
          <w:tcPr>
            <w:tcW w:w="16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0</w:t>
            </w:r>
          </w:p>
        </w:tc>
        <w:tc>
          <w:tcPr>
            <w:tcW w:w="17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20</w:t>
            </w:r>
          </w:p>
        </w:tc>
        <w:tc>
          <w:tcPr>
            <w:tcW w:w="14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0</w:t>
            </w:r>
          </w:p>
        </w:tc>
      </w:tr>
      <w:tr>
        <w:trPr>
          <w:trHeight w:val="196"/>
        </w:trPr>
        <w:tc>
          <w:tcPr>
            <w:tcW w:w="5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fixed maturities</w:t>
            </w:r>
          </w:p>
        </w:tc>
        <w:tc>
          <w:tcPr>
            <w:tcW w:w="16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513</w:t>
            </w:r>
          </w:p>
        </w:tc>
        <w:tc>
          <w:tcPr>
            <w:tcW w:w="16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0</w:t>
            </w:r>
          </w:p>
        </w:tc>
        <w:tc>
          <w:tcPr>
            <w:tcW w:w="172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509</w:t>
            </w:r>
          </w:p>
        </w:tc>
        <w:tc>
          <w:tcPr>
            <w:tcW w:w="14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r>
      <w:tr>
        <w:trPr>
          <w:trHeight w:val="183"/>
        </w:trPr>
        <w:tc>
          <w:tcPr>
            <w:tcW w:w="5000" w:type="dxa"/>
            <w:vAlign w:val="bottom"/>
          </w:tcPr>
          <w:p>
            <w:pPr>
              <w:ind w:left="180"/>
              <w:spacing w:after="0" w:line="183" w:lineRule="exact"/>
              <w:rPr>
                <w:sz w:val="20"/>
                <w:szCs w:val="20"/>
                <w:color w:val="auto"/>
              </w:rPr>
            </w:pPr>
            <w:r>
              <w:rPr>
                <w:rFonts w:ascii="Arial" w:cs="Arial" w:eastAsia="Arial" w:hAnsi="Arial"/>
                <w:sz w:val="16"/>
                <w:szCs w:val="16"/>
                <w:color w:val="auto"/>
              </w:rPr>
              <w:t>Equity securities:</w:t>
            </w:r>
          </w:p>
        </w:tc>
        <w:tc>
          <w:tcPr>
            <w:tcW w:w="16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03"/>
        </w:trPr>
        <w:tc>
          <w:tcPr>
            <w:tcW w:w="5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U.S. nonredeemable preferred securities:</w:t>
            </w:r>
          </w:p>
        </w:tc>
        <w:tc>
          <w:tcPr>
            <w:tcW w:w="16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3"/>
        </w:trPr>
        <w:tc>
          <w:tcPr>
            <w:tcW w:w="5000" w:type="dxa"/>
            <w:vAlign w:val="bottom"/>
          </w:tcPr>
          <w:p>
            <w:pPr>
              <w:ind w:left="720"/>
              <w:spacing w:after="0"/>
              <w:rPr>
                <w:sz w:val="20"/>
                <w:szCs w:val="20"/>
                <w:color w:val="auto"/>
              </w:rPr>
            </w:pPr>
            <w:r>
              <w:rPr>
                <w:rFonts w:ascii="Arial" w:cs="Arial" w:eastAsia="Arial" w:hAnsi="Arial"/>
                <w:sz w:val="16"/>
                <w:szCs w:val="16"/>
                <w:color w:val="auto"/>
              </w:rPr>
              <w:t>Financial</w:t>
            </w:r>
          </w:p>
        </w:tc>
        <w:tc>
          <w:tcPr>
            <w:tcW w:w="1600" w:type="dxa"/>
            <w:vAlign w:val="bottom"/>
          </w:tcPr>
          <w:p>
            <w:pPr>
              <w:jc w:val="right"/>
              <w:ind w:right="160"/>
              <w:spacing w:after="0"/>
              <w:rPr>
                <w:sz w:val="20"/>
                <w:szCs w:val="20"/>
                <w:color w:val="auto"/>
              </w:rPr>
            </w:pPr>
            <w:r>
              <w:rPr>
                <w:rFonts w:ascii="Arial" w:cs="Arial" w:eastAsia="Arial" w:hAnsi="Arial"/>
                <w:sz w:val="16"/>
                <w:szCs w:val="16"/>
                <w:color w:val="auto"/>
              </w:rPr>
              <w:t>9</w:t>
            </w:r>
          </w:p>
        </w:tc>
        <w:tc>
          <w:tcPr>
            <w:tcW w:w="1640" w:type="dxa"/>
            <w:vAlign w:val="bottom"/>
          </w:tcPr>
          <w:p>
            <w:pPr>
              <w:jc w:val="right"/>
              <w:ind w:right="141"/>
              <w:spacing w:after="0"/>
              <w:rPr>
                <w:sz w:val="20"/>
                <w:szCs w:val="20"/>
                <w:color w:val="auto"/>
              </w:rPr>
            </w:pPr>
            <w:r>
              <w:rPr>
                <w:rFonts w:ascii="Arial" w:cs="Arial" w:eastAsia="Arial" w:hAnsi="Arial"/>
                <w:sz w:val="16"/>
                <w:szCs w:val="16"/>
                <w:color w:val="auto"/>
              </w:rPr>
              <w:t>5</w:t>
            </w:r>
          </w:p>
        </w:tc>
        <w:tc>
          <w:tcPr>
            <w:tcW w:w="1720" w:type="dxa"/>
            <w:vAlign w:val="bottom"/>
          </w:tcPr>
          <w:p>
            <w:pPr>
              <w:jc w:val="right"/>
              <w:ind w:right="221"/>
              <w:spacing w:after="0"/>
              <w:rPr>
                <w:sz w:val="20"/>
                <w:szCs w:val="20"/>
                <w:color w:val="auto"/>
              </w:rPr>
            </w:pPr>
            <w:r>
              <w:rPr>
                <w:rFonts w:ascii="Arial" w:cs="Arial" w:eastAsia="Arial" w:hAnsi="Arial"/>
                <w:sz w:val="16"/>
                <w:szCs w:val="16"/>
                <w:color w:val="auto"/>
              </w:rPr>
              <w:t>4</w:t>
            </w: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0</w:t>
            </w:r>
          </w:p>
        </w:tc>
      </w:tr>
      <w:tr>
        <w:trPr>
          <w:trHeight w:val="203"/>
        </w:trPr>
        <w:tc>
          <w:tcPr>
            <w:tcW w:w="50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Non-financial</w:t>
            </w:r>
          </w:p>
        </w:tc>
        <w:tc>
          <w:tcPr>
            <w:tcW w:w="16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12</w:t>
            </w:r>
          </w:p>
        </w:tc>
        <w:tc>
          <w:tcPr>
            <w:tcW w:w="16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6</w:t>
            </w:r>
          </w:p>
        </w:tc>
        <w:tc>
          <w:tcPr>
            <w:tcW w:w="172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6</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w:t>
            </w:r>
          </w:p>
        </w:tc>
      </w:tr>
      <w:tr>
        <w:trPr>
          <w:trHeight w:val="226"/>
        </w:trPr>
        <w:tc>
          <w:tcPr>
            <w:tcW w:w="50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Foreign nonredeemable preferred securities:</w:t>
            </w:r>
          </w:p>
        </w:tc>
        <w:tc>
          <w:tcPr>
            <w:tcW w:w="16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r>
    </w:tbl>
    <w:p>
      <w:pPr>
        <w:sectPr>
          <w:pgSz w:w="11900" w:h="16900" w:orient="portrait"/>
          <w:cols w:equalWidth="0" w:num="1">
            <w:col w:w="11420"/>
          </w:cols>
          <w:pgMar w:left="240" w:top="346"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Non-financial</w:t>
            </w:r>
          </w:p>
        </w:tc>
        <w:tc>
          <w:tcPr>
            <w:tcW w:w="208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1</w:t>
            </w:r>
          </w:p>
        </w:tc>
        <w:tc>
          <w:tcPr>
            <w:tcW w:w="160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0</w:t>
            </w:r>
          </w:p>
        </w:tc>
        <w:tc>
          <w:tcPr>
            <w:tcW w:w="172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1</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w:t>
            </w:r>
          </w:p>
        </w:tc>
      </w:tr>
      <w:tr>
        <w:trPr>
          <w:trHeight w:val="196"/>
        </w:trPr>
        <w:tc>
          <w:tcPr>
            <w:tcW w:w="50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equity securities</w:t>
            </w:r>
          </w:p>
        </w:tc>
        <w:tc>
          <w:tcPr>
            <w:tcW w:w="20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22</w:t>
            </w:r>
          </w:p>
        </w:tc>
        <w:tc>
          <w:tcPr>
            <w:tcW w:w="16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11</w:t>
            </w:r>
          </w:p>
        </w:tc>
        <w:tc>
          <w:tcPr>
            <w:tcW w:w="17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11</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w:t>
            </w:r>
          </w:p>
        </w:tc>
      </w:tr>
      <w:tr>
        <w:trPr>
          <w:trHeight w:val="196"/>
        </w:trPr>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Total available-for-sale securities</w:t>
            </w:r>
          </w:p>
        </w:tc>
        <w:tc>
          <w:tcPr>
            <w:tcW w:w="208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535</w:t>
            </w:r>
          </w:p>
        </w:tc>
        <w:tc>
          <w:tcPr>
            <w:tcW w:w="160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11</w:t>
            </w:r>
          </w:p>
        </w:tc>
        <w:tc>
          <w:tcPr>
            <w:tcW w:w="172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520</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183"/>
        </w:trPr>
        <w:tc>
          <w:tcPr>
            <w:tcW w:w="5000" w:type="dxa"/>
            <w:vAlign w:val="bottom"/>
          </w:tcPr>
          <w:p>
            <w:pPr>
              <w:spacing w:after="0" w:line="183" w:lineRule="exact"/>
              <w:rPr>
                <w:sz w:val="20"/>
                <w:szCs w:val="20"/>
                <w:color w:val="auto"/>
              </w:rPr>
            </w:pPr>
            <w:r>
              <w:rPr>
                <w:rFonts w:ascii="Arial" w:cs="Arial" w:eastAsia="Arial" w:hAnsi="Arial"/>
                <w:sz w:val="16"/>
                <w:szCs w:val="16"/>
                <w:color w:val="auto"/>
              </w:rPr>
              <w:t>Trading securities:</w:t>
            </w:r>
          </w:p>
        </w:tc>
        <w:tc>
          <w:tcPr>
            <w:tcW w:w="20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3"/>
        </w:trPr>
        <w:tc>
          <w:tcPr>
            <w:tcW w:w="5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w:t>
            </w:r>
          </w:p>
        </w:tc>
        <w:tc>
          <w:tcPr>
            <w:tcW w:w="208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29</w:t>
            </w:r>
          </w:p>
        </w:tc>
        <w:tc>
          <w:tcPr>
            <w:tcW w:w="160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29</w:t>
            </w:r>
          </w:p>
        </w:tc>
        <w:tc>
          <w:tcPr>
            <w:tcW w:w="172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w:t>
            </w:r>
          </w:p>
        </w:tc>
      </w:tr>
      <w:tr>
        <w:trPr>
          <w:trHeight w:val="196"/>
        </w:trPr>
        <w:tc>
          <w:tcPr>
            <w:tcW w:w="5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trading securities</w:t>
            </w:r>
          </w:p>
        </w:tc>
        <w:tc>
          <w:tcPr>
            <w:tcW w:w="20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29</w:t>
            </w:r>
          </w:p>
        </w:tc>
        <w:tc>
          <w:tcPr>
            <w:tcW w:w="16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29</w:t>
            </w:r>
          </w:p>
        </w:tc>
        <w:tc>
          <w:tcPr>
            <w:tcW w:w="17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w:t>
            </w:r>
          </w:p>
        </w:tc>
      </w:tr>
      <w:tr>
        <w:trPr>
          <w:trHeight w:val="203"/>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 Indemnity</w:t>
            </w:r>
          </w:p>
        </w:tc>
        <w:tc>
          <w:tcPr>
            <w:tcW w:w="208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$564</w:t>
            </w:r>
          </w:p>
        </w:tc>
        <w:tc>
          <w:tcPr>
            <w:tcW w:w="160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$40</w:t>
            </w:r>
          </w:p>
        </w:tc>
        <w:tc>
          <w:tcPr>
            <w:tcW w:w="172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$520</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left="4880"/>
        <w:spacing w:after="0"/>
        <w:rPr>
          <w:sz w:val="20"/>
          <w:szCs w:val="20"/>
          <w:color w:val="auto"/>
        </w:rPr>
      </w:pPr>
      <w:r>
        <w:rPr>
          <w:rFonts w:ascii="Arial" w:cs="Arial" w:eastAsia="Arial" w:hAnsi="Arial"/>
          <w:sz w:val="16"/>
          <w:szCs w:val="16"/>
          <w:color w:val="auto"/>
        </w:rPr>
        <w:t>Erie Insurance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17780</wp:posOffset>
            </wp:positionV>
            <wp:extent cx="40132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12" w:lineRule="exact"/>
        <w:rPr>
          <w:sz w:val="20"/>
          <w:szCs w:val="20"/>
          <w:color w:val="auto"/>
        </w:rPr>
      </w:pPr>
    </w:p>
    <w:p>
      <w:pPr>
        <w:jc w:val="center"/>
        <w:ind w:left="4880"/>
        <w:spacing w:after="0"/>
        <w:rPr>
          <w:sz w:val="20"/>
          <w:szCs w:val="20"/>
          <w:color w:val="auto"/>
        </w:rPr>
      </w:pPr>
      <w:r>
        <w:rPr>
          <w:rFonts w:ascii="Arial" w:cs="Arial" w:eastAsia="Arial" w:hAnsi="Arial"/>
          <w:sz w:val="16"/>
          <w:szCs w:val="16"/>
          <w:color w:val="auto"/>
        </w:rPr>
        <w:t>March 31, 2011</w:t>
      </w:r>
    </w:p>
    <w:tbl>
      <w:tblPr>
        <w:tblLayout w:type="fixed"/>
        <w:tblInd w:w="0" w:type="dxa"/>
        <w:tblCellMar>
          <w:top w:w="0" w:type="dxa"/>
          <w:left w:w="0" w:type="dxa"/>
          <w:bottom w:w="0" w:type="dxa"/>
          <w:right w:w="0" w:type="dxa"/>
        </w:tblCellMar>
      </w:tblPr>
      <w:tr>
        <w:trPr>
          <w:trHeight w:val="158"/>
        </w:trPr>
        <w:tc>
          <w:tcPr>
            <w:tcW w:w="3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560" w:type="dxa"/>
            <w:vAlign w:val="bottom"/>
            <w:gridSpan w:val="3"/>
          </w:tcPr>
          <w:p>
            <w:pPr>
              <w:jc w:val="right"/>
              <w:ind w:right="197"/>
              <w:spacing w:after="0" w:line="158" w:lineRule="exact"/>
              <w:rPr>
                <w:sz w:val="20"/>
                <w:szCs w:val="20"/>
                <w:color w:val="auto"/>
              </w:rPr>
            </w:pPr>
            <w:r>
              <w:rPr>
                <w:rFonts w:ascii="Arial" w:cs="Arial" w:eastAsia="Arial" w:hAnsi="Arial"/>
                <w:sz w:val="14"/>
                <w:szCs w:val="14"/>
                <w:color w:val="auto"/>
              </w:rPr>
              <w:t>Fair value measurements using:</w:t>
            </w: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9"/>
        </w:trPr>
        <w:tc>
          <w:tcPr>
            <w:tcW w:w="3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40" w:type="dxa"/>
            <w:vAlign w:val="bottom"/>
            <w:gridSpan w:val="2"/>
          </w:tcPr>
          <w:p>
            <w:pPr>
              <w:jc w:val="center"/>
              <w:ind w:right="337"/>
              <w:spacing w:after="0" w:line="149" w:lineRule="exact"/>
              <w:rPr>
                <w:sz w:val="20"/>
                <w:szCs w:val="20"/>
                <w:color w:val="auto"/>
              </w:rPr>
            </w:pPr>
            <w:r>
              <w:rPr>
                <w:rFonts w:ascii="Arial" w:cs="Arial" w:eastAsia="Arial" w:hAnsi="Arial"/>
                <w:sz w:val="14"/>
                <w:szCs w:val="14"/>
                <w:color w:val="auto"/>
                <w:w w:val="94"/>
              </w:rPr>
              <w:t>Quoted prices in</w:t>
            </w: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80" w:type="dxa"/>
            <w:vAlign w:val="bottom"/>
          </w:tcPr>
          <w:p>
            <w:pPr>
              <w:jc w:val="center"/>
              <w:ind w:right="319"/>
              <w:spacing w:after="0" w:line="149" w:lineRule="exact"/>
              <w:rPr>
                <w:sz w:val="20"/>
                <w:szCs w:val="20"/>
                <w:color w:val="auto"/>
              </w:rPr>
            </w:pPr>
            <w:r>
              <w:rPr>
                <w:rFonts w:ascii="Arial" w:cs="Arial" w:eastAsia="Arial" w:hAnsi="Arial"/>
                <w:sz w:val="14"/>
                <w:szCs w:val="14"/>
                <w:color w:val="auto"/>
                <w:w w:val="95"/>
              </w:rPr>
              <w:t>Significant</w:t>
            </w:r>
          </w:p>
        </w:tc>
        <w:tc>
          <w:tcPr>
            <w:tcW w:w="40" w:type="dxa"/>
            <w:vAlign w:val="bottom"/>
          </w:tcPr>
          <w:p>
            <w:pPr>
              <w:spacing w:after="0"/>
              <w:rPr>
                <w:sz w:val="12"/>
                <w:szCs w:val="12"/>
                <w:color w:val="auto"/>
              </w:rPr>
            </w:pPr>
          </w:p>
        </w:tc>
      </w:tr>
      <w:tr>
        <w:trPr>
          <w:trHeight w:val="149"/>
        </w:trPr>
        <w:tc>
          <w:tcPr>
            <w:tcW w:w="3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40" w:type="dxa"/>
            <w:vAlign w:val="bottom"/>
            <w:gridSpan w:val="2"/>
          </w:tcPr>
          <w:p>
            <w:pPr>
              <w:jc w:val="center"/>
              <w:ind w:right="337"/>
              <w:spacing w:after="0" w:line="149" w:lineRule="exact"/>
              <w:rPr>
                <w:sz w:val="20"/>
                <w:szCs w:val="20"/>
                <w:color w:val="auto"/>
              </w:rPr>
            </w:pPr>
            <w:r>
              <w:rPr>
                <w:rFonts w:ascii="Arial" w:cs="Arial" w:eastAsia="Arial" w:hAnsi="Arial"/>
                <w:sz w:val="14"/>
                <w:szCs w:val="14"/>
                <w:color w:val="auto"/>
                <w:w w:val="94"/>
              </w:rPr>
              <w:t>active markets for</w:t>
            </w:r>
          </w:p>
        </w:tc>
        <w:tc>
          <w:tcPr>
            <w:tcW w:w="1020" w:type="dxa"/>
            <w:vAlign w:val="bottom"/>
          </w:tcPr>
          <w:p>
            <w:pPr>
              <w:jc w:val="center"/>
              <w:ind w:left="217"/>
              <w:spacing w:after="0" w:line="149" w:lineRule="exact"/>
              <w:rPr>
                <w:sz w:val="20"/>
                <w:szCs w:val="20"/>
                <w:color w:val="auto"/>
              </w:rPr>
            </w:pPr>
            <w:r>
              <w:rPr>
                <w:rFonts w:ascii="Arial" w:cs="Arial" w:eastAsia="Arial" w:hAnsi="Arial"/>
                <w:sz w:val="14"/>
                <w:szCs w:val="14"/>
                <w:color w:val="auto"/>
                <w:w w:val="99"/>
              </w:rPr>
              <w:t>Significant</w:t>
            </w:r>
          </w:p>
        </w:tc>
        <w:tc>
          <w:tcPr>
            <w:tcW w:w="900" w:type="dxa"/>
            <w:vAlign w:val="bottom"/>
          </w:tcPr>
          <w:p>
            <w:pPr>
              <w:spacing w:after="0"/>
              <w:rPr>
                <w:sz w:val="12"/>
                <w:szCs w:val="12"/>
                <w:color w:val="auto"/>
              </w:rPr>
            </w:pPr>
          </w:p>
        </w:tc>
        <w:tc>
          <w:tcPr>
            <w:tcW w:w="1180" w:type="dxa"/>
            <w:vAlign w:val="bottom"/>
          </w:tcPr>
          <w:p>
            <w:pPr>
              <w:jc w:val="center"/>
              <w:ind w:right="319"/>
              <w:spacing w:after="0" w:line="149" w:lineRule="exact"/>
              <w:rPr>
                <w:sz w:val="20"/>
                <w:szCs w:val="20"/>
                <w:color w:val="auto"/>
              </w:rPr>
            </w:pPr>
            <w:r>
              <w:rPr>
                <w:rFonts w:ascii="Arial" w:cs="Arial" w:eastAsia="Arial" w:hAnsi="Arial"/>
                <w:sz w:val="14"/>
                <w:szCs w:val="14"/>
                <w:color w:val="auto"/>
                <w:w w:val="92"/>
              </w:rPr>
              <w:t>unobservable</w:t>
            </w:r>
          </w:p>
        </w:tc>
        <w:tc>
          <w:tcPr>
            <w:tcW w:w="40" w:type="dxa"/>
            <w:vAlign w:val="bottom"/>
          </w:tcPr>
          <w:p>
            <w:pPr>
              <w:spacing w:after="0"/>
              <w:rPr>
                <w:sz w:val="12"/>
                <w:szCs w:val="12"/>
                <w:color w:val="auto"/>
              </w:rPr>
            </w:pPr>
          </w:p>
        </w:tc>
      </w:tr>
      <w:tr>
        <w:trPr>
          <w:trHeight w:val="149"/>
        </w:trPr>
        <w:tc>
          <w:tcPr>
            <w:tcW w:w="3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0" w:type="dxa"/>
            <w:vAlign w:val="bottom"/>
          </w:tcPr>
          <w:p>
            <w:pPr>
              <w:jc w:val="center"/>
              <w:ind w:left="18"/>
              <w:spacing w:after="0" w:line="149" w:lineRule="exact"/>
              <w:rPr>
                <w:sz w:val="20"/>
                <w:szCs w:val="20"/>
                <w:color w:val="auto"/>
              </w:rPr>
            </w:pPr>
            <w:r>
              <w:rPr>
                <w:rFonts w:ascii="Arial" w:cs="Arial" w:eastAsia="Arial" w:hAnsi="Arial"/>
                <w:sz w:val="14"/>
                <w:szCs w:val="14"/>
                <w:color w:val="auto"/>
                <w:w w:val="89"/>
              </w:rPr>
              <w:t>identical assets</w:t>
            </w:r>
          </w:p>
        </w:tc>
        <w:tc>
          <w:tcPr>
            <w:tcW w:w="540" w:type="dxa"/>
            <w:vAlign w:val="bottom"/>
          </w:tcPr>
          <w:p>
            <w:pPr>
              <w:spacing w:after="0"/>
              <w:rPr>
                <w:sz w:val="12"/>
                <w:szCs w:val="12"/>
                <w:color w:val="auto"/>
              </w:rPr>
            </w:pPr>
          </w:p>
        </w:tc>
        <w:tc>
          <w:tcPr>
            <w:tcW w:w="1920" w:type="dxa"/>
            <w:vAlign w:val="bottom"/>
            <w:gridSpan w:val="2"/>
          </w:tcPr>
          <w:p>
            <w:pPr>
              <w:jc w:val="center"/>
              <w:ind w:right="517"/>
              <w:spacing w:after="0" w:line="149" w:lineRule="exact"/>
              <w:rPr>
                <w:sz w:val="20"/>
                <w:szCs w:val="20"/>
                <w:color w:val="auto"/>
              </w:rPr>
            </w:pPr>
            <w:r>
              <w:rPr>
                <w:rFonts w:ascii="Arial" w:cs="Arial" w:eastAsia="Arial" w:hAnsi="Arial"/>
                <w:sz w:val="14"/>
                <w:szCs w:val="14"/>
                <w:color w:val="auto"/>
                <w:w w:val="91"/>
              </w:rPr>
              <w:t>observable inputs</w:t>
            </w:r>
          </w:p>
        </w:tc>
        <w:tc>
          <w:tcPr>
            <w:tcW w:w="1180" w:type="dxa"/>
            <w:vAlign w:val="bottom"/>
          </w:tcPr>
          <w:p>
            <w:pPr>
              <w:jc w:val="center"/>
              <w:ind w:right="319"/>
              <w:spacing w:after="0" w:line="149" w:lineRule="exact"/>
              <w:rPr>
                <w:sz w:val="20"/>
                <w:szCs w:val="20"/>
                <w:color w:val="auto"/>
              </w:rPr>
            </w:pPr>
            <w:r>
              <w:rPr>
                <w:rFonts w:ascii="Arial" w:cs="Arial" w:eastAsia="Arial" w:hAnsi="Arial"/>
                <w:sz w:val="14"/>
                <w:szCs w:val="14"/>
                <w:color w:val="auto"/>
                <w:w w:val="90"/>
              </w:rPr>
              <w:t>inputs</w:t>
            </w:r>
          </w:p>
        </w:tc>
        <w:tc>
          <w:tcPr>
            <w:tcW w:w="40" w:type="dxa"/>
            <w:vAlign w:val="bottom"/>
          </w:tcPr>
          <w:p>
            <w:pPr>
              <w:spacing w:after="0"/>
              <w:rPr>
                <w:sz w:val="12"/>
                <w:szCs w:val="12"/>
                <w:color w:val="auto"/>
              </w:rPr>
            </w:pPr>
          </w:p>
        </w:tc>
      </w:tr>
      <w:tr>
        <w:trPr>
          <w:trHeight w:val="167"/>
        </w:trPr>
        <w:tc>
          <w:tcPr>
            <w:tcW w:w="338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millions)</w:t>
            </w:r>
          </w:p>
        </w:tc>
        <w:tc>
          <w:tcPr>
            <w:tcW w:w="13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9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color w:val="auto"/>
                <w:w w:val="97"/>
              </w:rPr>
              <w:t>Level 1</w:t>
            </w: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left="217"/>
              <w:spacing w:after="0"/>
              <w:rPr>
                <w:sz w:val="20"/>
                <w:szCs w:val="20"/>
                <w:color w:val="auto"/>
              </w:rPr>
            </w:pPr>
            <w:r>
              <w:rPr>
                <w:rFonts w:ascii="Arial" w:cs="Arial" w:eastAsia="Arial" w:hAnsi="Arial"/>
                <w:sz w:val="14"/>
                <w:szCs w:val="14"/>
                <w:color w:val="auto"/>
                <w:w w:val="97"/>
              </w:rPr>
              <w:t>Level 2</w:t>
            </w:r>
          </w:p>
        </w:tc>
        <w:tc>
          <w:tcPr>
            <w:tcW w:w="9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319"/>
              <w:spacing w:after="0"/>
              <w:rPr>
                <w:sz w:val="20"/>
                <w:szCs w:val="20"/>
                <w:color w:val="auto"/>
              </w:rPr>
            </w:pPr>
            <w:r>
              <w:rPr>
                <w:rFonts w:ascii="Arial" w:cs="Arial" w:eastAsia="Arial" w:hAnsi="Arial"/>
                <w:sz w:val="14"/>
                <w:szCs w:val="14"/>
                <w:color w:val="auto"/>
                <w:w w:val="92"/>
              </w:rPr>
              <w:t>Level 3</w:t>
            </w:r>
          </w:p>
        </w:tc>
        <w:tc>
          <w:tcPr>
            <w:tcW w:w="40" w:type="dxa"/>
            <w:vAlign w:val="bottom"/>
          </w:tcPr>
          <w:p>
            <w:pPr>
              <w:spacing w:after="0"/>
              <w:rPr>
                <w:sz w:val="14"/>
                <w:szCs w:val="14"/>
                <w:color w:val="auto"/>
              </w:rPr>
            </w:pPr>
          </w:p>
        </w:tc>
      </w:tr>
      <w:tr>
        <w:trPr>
          <w:trHeight w:val="183"/>
        </w:trPr>
        <w:tc>
          <w:tcPr>
            <w:tcW w:w="338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Exchange</w:t>
            </w:r>
          </w:p>
        </w:tc>
        <w:tc>
          <w:tcPr>
            <w:tcW w:w="1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338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3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Fixed maturities:</w:t>
            </w: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3380" w:type="dxa"/>
            <w:vAlign w:val="bottom"/>
          </w:tcPr>
          <w:p>
            <w:pPr>
              <w:ind w:left="360"/>
              <w:spacing w:after="0"/>
              <w:rPr>
                <w:sz w:val="20"/>
                <w:szCs w:val="20"/>
                <w:color w:val="auto"/>
              </w:rPr>
            </w:pPr>
            <w:r>
              <w:rPr>
                <w:rFonts w:ascii="Arial" w:cs="Arial" w:eastAsia="Arial" w:hAnsi="Arial"/>
                <w:sz w:val="16"/>
                <w:szCs w:val="16"/>
                <w:color w:val="auto"/>
              </w:rPr>
              <w:t>U.S. treasuries and government agencies</w:t>
            </w: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color w:val="auto"/>
              </w:rPr>
              <w:t>$   11</w:t>
            </w:r>
          </w:p>
        </w:tc>
        <w:tc>
          <w:tcPr>
            <w:tcW w:w="100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17"/>
              <w:spacing w:after="0"/>
              <w:rPr>
                <w:sz w:val="20"/>
                <w:szCs w:val="20"/>
                <w:color w:val="auto"/>
              </w:rPr>
            </w:pPr>
            <w:r>
              <w:rPr>
                <w:rFonts w:ascii="Arial" w:cs="Arial" w:eastAsia="Arial" w:hAnsi="Arial"/>
                <w:sz w:val="16"/>
                <w:szCs w:val="16"/>
                <w:color w:val="auto"/>
              </w:rPr>
              <w:t>11</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97"/>
              <w:spacing w:after="0"/>
              <w:rPr>
                <w:sz w:val="20"/>
                <w:szCs w:val="20"/>
                <w:color w:val="auto"/>
              </w:rPr>
            </w:pPr>
            <w:r>
              <w:rPr>
                <w:rFonts w:ascii="Arial" w:cs="Arial" w:eastAsia="Arial" w:hAnsi="Arial"/>
                <w:sz w:val="16"/>
                <w:szCs w:val="16"/>
                <w:color w:val="auto"/>
              </w:rPr>
              <w:t>0</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$ 0</w:t>
            </w:r>
          </w:p>
        </w:tc>
        <w:tc>
          <w:tcPr>
            <w:tcW w:w="40" w:type="dxa"/>
            <w:vAlign w:val="bottom"/>
          </w:tcPr>
          <w:p>
            <w:pPr>
              <w:spacing w:after="0"/>
              <w:rPr>
                <w:sz w:val="17"/>
                <w:szCs w:val="17"/>
                <w:color w:val="auto"/>
              </w:rPr>
            </w:pPr>
          </w:p>
        </w:tc>
      </w:tr>
      <w:tr>
        <w:trPr>
          <w:trHeight w:val="203"/>
        </w:trPr>
        <w:tc>
          <w:tcPr>
            <w:tcW w:w="3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U.S. government sponsored enterprises</w:t>
            </w: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70</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217"/>
              <w:spacing w:after="0"/>
              <w:rPr>
                <w:sz w:val="20"/>
                <w:szCs w:val="20"/>
                <w:color w:val="auto"/>
              </w:rPr>
            </w:pPr>
            <w:r>
              <w:rPr>
                <w:rFonts w:ascii="Arial" w:cs="Arial" w:eastAsia="Arial" w:hAnsi="Arial"/>
                <w:sz w:val="16"/>
                <w:szCs w:val="16"/>
                <w:color w:val="auto"/>
              </w:rPr>
              <w:t>0</w:t>
            </w: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97"/>
              <w:spacing w:after="0"/>
              <w:rPr>
                <w:sz w:val="20"/>
                <w:szCs w:val="20"/>
                <w:color w:val="auto"/>
              </w:rPr>
            </w:pPr>
            <w:r>
              <w:rPr>
                <w:rFonts w:ascii="Arial" w:cs="Arial" w:eastAsia="Arial" w:hAnsi="Arial"/>
                <w:sz w:val="16"/>
                <w:szCs w:val="16"/>
                <w:color w:val="auto"/>
              </w:rPr>
              <w:t>70</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7"/>
                <w:szCs w:val="17"/>
                <w:color w:val="auto"/>
              </w:rPr>
            </w:pPr>
          </w:p>
        </w:tc>
      </w:tr>
      <w:tr>
        <w:trPr>
          <w:trHeight w:val="203"/>
        </w:trPr>
        <w:tc>
          <w:tcPr>
            <w:tcW w:w="3380" w:type="dxa"/>
            <w:vAlign w:val="bottom"/>
          </w:tcPr>
          <w:p>
            <w:pPr>
              <w:ind w:left="360"/>
              <w:spacing w:after="0"/>
              <w:rPr>
                <w:sz w:val="20"/>
                <w:szCs w:val="20"/>
                <w:color w:val="auto"/>
              </w:rPr>
            </w:pPr>
            <w:r>
              <w:rPr>
                <w:rFonts w:ascii="Arial" w:cs="Arial" w:eastAsia="Arial" w:hAnsi="Arial"/>
                <w:sz w:val="16"/>
                <w:szCs w:val="16"/>
                <w:color w:val="auto"/>
              </w:rPr>
              <w:t>Foreign government</w:t>
            </w: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color w:val="auto"/>
              </w:rPr>
              <w:t>21</w:t>
            </w:r>
          </w:p>
        </w:tc>
        <w:tc>
          <w:tcPr>
            <w:tcW w:w="1000" w:type="dxa"/>
            <w:vAlign w:val="bottom"/>
          </w:tcPr>
          <w:p>
            <w:pPr>
              <w:spacing w:after="0"/>
              <w:rPr>
                <w:sz w:val="17"/>
                <w:szCs w:val="17"/>
                <w:color w:val="auto"/>
              </w:rPr>
            </w:pPr>
          </w:p>
        </w:tc>
        <w:tc>
          <w:tcPr>
            <w:tcW w:w="540" w:type="dxa"/>
            <w:vAlign w:val="bottom"/>
          </w:tcPr>
          <w:p>
            <w:pPr>
              <w:jc w:val="right"/>
              <w:ind w:right="217"/>
              <w:spacing w:after="0"/>
              <w:rPr>
                <w:sz w:val="20"/>
                <w:szCs w:val="20"/>
                <w:color w:val="auto"/>
              </w:rPr>
            </w:pPr>
            <w:r>
              <w:rPr>
                <w:rFonts w:ascii="Arial" w:cs="Arial" w:eastAsia="Arial" w:hAnsi="Arial"/>
                <w:sz w:val="16"/>
                <w:szCs w:val="16"/>
                <w:color w:val="auto"/>
              </w:rPr>
              <w:t>0</w:t>
            </w:r>
          </w:p>
        </w:tc>
        <w:tc>
          <w:tcPr>
            <w:tcW w:w="1020" w:type="dxa"/>
            <w:vAlign w:val="bottom"/>
          </w:tcPr>
          <w:p>
            <w:pPr>
              <w:spacing w:after="0"/>
              <w:rPr>
                <w:sz w:val="17"/>
                <w:szCs w:val="17"/>
                <w:color w:val="auto"/>
              </w:rPr>
            </w:pPr>
          </w:p>
        </w:tc>
        <w:tc>
          <w:tcPr>
            <w:tcW w:w="900" w:type="dxa"/>
            <w:vAlign w:val="bottom"/>
          </w:tcPr>
          <w:p>
            <w:pPr>
              <w:jc w:val="right"/>
              <w:ind w:right="497"/>
              <w:spacing w:after="0"/>
              <w:rPr>
                <w:sz w:val="20"/>
                <w:szCs w:val="20"/>
                <w:color w:val="auto"/>
              </w:rPr>
            </w:pPr>
            <w:r>
              <w:rPr>
                <w:rFonts w:ascii="Arial" w:cs="Arial" w:eastAsia="Arial" w:hAnsi="Arial"/>
                <w:sz w:val="16"/>
                <w:szCs w:val="16"/>
                <w:color w:val="auto"/>
              </w:rPr>
              <w:t>21</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7"/>
                <w:szCs w:val="17"/>
                <w:color w:val="auto"/>
              </w:rPr>
            </w:pPr>
          </w:p>
        </w:tc>
      </w:tr>
      <w:tr>
        <w:trPr>
          <w:trHeight w:val="203"/>
        </w:trPr>
        <w:tc>
          <w:tcPr>
            <w:tcW w:w="3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Municipal securities</w:t>
            </w: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1,436</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217"/>
              <w:spacing w:after="0"/>
              <w:rPr>
                <w:sz w:val="20"/>
                <w:szCs w:val="20"/>
                <w:color w:val="auto"/>
              </w:rPr>
            </w:pPr>
            <w:r>
              <w:rPr>
                <w:rFonts w:ascii="Arial" w:cs="Arial" w:eastAsia="Arial" w:hAnsi="Arial"/>
                <w:sz w:val="16"/>
                <w:szCs w:val="16"/>
                <w:color w:val="auto"/>
              </w:rPr>
              <w:t>0</w:t>
            </w:r>
          </w:p>
        </w:tc>
        <w:tc>
          <w:tcPr>
            <w:tcW w:w="1920" w:type="dxa"/>
            <w:vAlign w:val="bottom"/>
            <w:gridSpan w:val="2"/>
            <w:shd w:val="clear" w:color="auto" w:fill="CCEEFF"/>
          </w:tcPr>
          <w:p>
            <w:pPr>
              <w:jc w:val="right"/>
              <w:ind w:right="497"/>
              <w:spacing w:after="0"/>
              <w:rPr>
                <w:sz w:val="20"/>
                <w:szCs w:val="20"/>
                <w:color w:val="auto"/>
              </w:rPr>
            </w:pPr>
            <w:r>
              <w:rPr>
                <w:rFonts w:ascii="Arial" w:cs="Arial" w:eastAsia="Arial" w:hAnsi="Arial"/>
                <w:sz w:val="16"/>
                <w:szCs w:val="16"/>
                <w:color w:val="auto"/>
              </w:rPr>
              <w:t>1,432</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17"/>
                <w:szCs w:val="17"/>
                <w:color w:val="auto"/>
              </w:rPr>
            </w:pPr>
          </w:p>
        </w:tc>
      </w:tr>
      <w:tr>
        <w:trPr>
          <w:trHeight w:val="203"/>
        </w:trPr>
        <w:tc>
          <w:tcPr>
            <w:tcW w:w="3380" w:type="dxa"/>
            <w:vAlign w:val="bottom"/>
          </w:tcPr>
          <w:p>
            <w:pPr>
              <w:ind w:left="360"/>
              <w:spacing w:after="0"/>
              <w:rPr>
                <w:sz w:val="20"/>
                <w:szCs w:val="20"/>
                <w:color w:val="auto"/>
              </w:rPr>
            </w:pPr>
            <w:r>
              <w:rPr>
                <w:rFonts w:ascii="Arial" w:cs="Arial" w:eastAsia="Arial" w:hAnsi="Arial"/>
                <w:sz w:val="16"/>
                <w:szCs w:val="16"/>
                <w:color w:val="auto"/>
              </w:rPr>
              <w:t>U.S. corporate debt – non-financial</w:t>
            </w: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color w:val="auto"/>
              </w:rPr>
              <w:t>2,452</w:t>
            </w:r>
          </w:p>
        </w:tc>
        <w:tc>
          <w:tcPr>
            <w:tcW w:w="1000" w:type="dxa"/>
            <w:vAlign w:val="bottom"/>
          </w:tcPr>
          <w:p>
            <w:pPr>
              <w:spacing w:after="0"/>
              <w:rPr>
                <w:sz w:val="17"/>
                <w:szCs w:val="17"/>
                <w:color w:val="auto"/>
              </w:rPr>
            </w:pPr>
          </w:p>
        </w:tc>
        <w:tc>
          <w:tcPr>
            <w:tcW w:w="540" w:type="dxa"/>
            <w:vAlign w:val="bottom"/>
          </w:tcPr>
          <w:p>
            <w:pPr>
              <w:jc w:val="right"/>
              <w:ind w:right="217"/>
              <w:spacing w:after="0"/>
              <w:rPr>
                <w:sz w:val="20"/>
                <w:szCs w:val="20"/>
                <w:color w:val="auto"/>
              </w:rPr>
            </w:pPr>
            <w:r>
              <w:rPr>
                <w:rFonts w:ascii="Arial" w:cs="Arial" w:eastAsia="Arial" w:hAnsi="Arial"/>
                <w:sz w:val="16"/>
                <w:szCs w:val="16"/>
                <w:color w:val="auto"/>
              </w:rPr>
              <w:t>6</w:t>
            </w:r>
          </w:p>
        </w:tc>
        <w:tc>
          <w:tcPr>
            <w:tcW w:w="1920" w:type="dxa"/>
            <w:vAlign w:val="bottom"/>
            <w:gridSpan w:val="2"/>
          </w:tcPr>
          <w:p>
            <w:pPr>
              <w:jc w:val="right"/>
              <w:ind w:right="497"/>
              <w:spacing w:after="0"/>
              <w:rPr>
                <w:sz w:val="20"/>
                <w:szCs w:val="20"/>
                <w:color w:val="auto"/>
              </w:rPr>
            </w:pPr>
            <w:r>
              <w:rPr>
                <w:rFonts w:ascii="Arial" w:cs="Arial" w:eastAsia="Arial" w:hAnsi="Arial"/>
                <w:sz w:val="16"/>
                <w:szCs w:val="16"/>
                <w:color w:val="auto"/>
              </w:rPr>
              <w:t>2,437</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40" w:type="dxa"/>
            <w:vAlign w:val="bottom"/>
          </w:tcPr>
          <w:p>
            <w:pPr>
              <w:spacing w:after="0"/>
              <w:rPr>
                <w:sz w:val="17"/>
                <w:szCs w:val="17"/>
                <w:color w:val="auto"/>
              </w:rPr>
            </w:pPr>
          </w:p>
        </w:tc>
      </w:tr>
      <w:tr>
        <w:trPr>
          <w:trHeight w:val="203"/>
        </w:trPr>
        <w:tc>
          <w:tcPr>
            <w:tcW w:w="3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U.S. corporate debt – financial</w:t>
            </w: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1,934</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217"/>
              <w:spacing w:after="0"/>
              <w:rPr>
                <w:sz w:val="20"/>
                <w:szCs w:val="20"/>
                <w:color w:val="auto"/>
              </w:rPr>
            </w:pPr>
            <w:r>
              <w:rPr>
                <w:rFonts w:ascii="Arial" w:cs="Arial" w:eastAsia="Arial" w:hAnsi="Arial"/>
                <w:sz w:val="16"/>
                <w:szCs w:val="16"/>
                <w:color w:val="auto"/>
              </w:rPr>
              <w:t>6</w:t>
            </w:r>
          </w:p>
        </w:tc>
        <w:tc>
          <w:tcPr>
            <w:tcW w:w="1920" w:type="dxa"/>
            <w:vAlign w:val="bottom"/>
            <w:gridSpan w:val="2"/>
            <w:shd w:val="clear" w:color="auto" w:fill="CCEEFF"/>
          </w:tcPr>
          <w:p>
            <w:pPr>
              <w:jc w:val="right"/>
              <w:ind w:right="497"/>
              <w:spacing w:after="0"/>
              <w:rPr>
                <w:sz w:val="20"/>
                <w:szCs w:val="20"/>
                <w:color w:val="auto"/>
              </w:rPr>
            </w:pPr>
            <w:r>
              <w:rPr>
                <w:rFonts w:ascii="Arial" w:cs="Arial" w:eastAsia="Arial" w:hAnsi="Arial"/>
                <w:sz w:val="16"/>
                <w:szCs w:val="16"/>
                <w:color w:val="auto"/>
              </w:rPr>
              <w:t>1,926</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17"/>
                <w:szCs w:val="17"/>
                <w:color w:val="auto"/>
              </w:rPr>
            </w:pPr>
          </w:p>
        </w:tc>
      </w:tr>
      <w:tr>
        <w:trPr>
          <w:trHeight w:val="203"/>
        </w:trPr>
        <w:tc>
          <w:tcPr>
            <w:tcW w:w="3380" w:type="dxa"/>
            <w:vAlign w:val="bottom"/>
          </w:tcPr>
          <w:p>
            <w:pPr>
              <w:ind w:left="360"/>
              <w:spacing w:after="0"/>
              <w:rPr>
                <w:sz w:val="20"/>
                <w:szCs w:val="20"/>
                <w:color w:val="auto"/>
              </w:rPr>
            </w:pPr>
            <w:r>
              <w:rPr>
                <w:rFonts w:ascii="Arial" w:cs="Arial" w:eastAsia="Arial" w:hAnsi="Arial"/>
                <w:sz w:val="16"/>
                <w:szCs w:val="16"/>
                <w:color w:val="auto"/>
              </w:rPr>
              <w:t>Foreign corporate debt – non-financial</w:t>
            </w: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color w:val="auto"/>
              </w:rPr>
              <w:t>530</w:t>
            </w:r>
          </w:p>
        </w:tc>
        <w:tc>
          <w:tcPr>
            <w:tcW w:w="1000" w:type="dxa"/>
            <w:vAlign w:val="bottom"/>
          </w:tcPr>
          <w:p>
            <w:pPr>
              <w:spacing w:after="0"/>
              <w:rPr>
                <w:sz w:val="17"/>
                <w:szCs w:val="17"/>
                <w:color w:val="auto"/>
              </w:rPr>
            </w:pPr>
          </w:p>
        </w:tc>
        <w:tc>
          <w:tcPr>
            <w:tcW w:w="540" w:type="dxa"/>
            <w:vAlign w:val="bottom"/>
          </w:tcPr>
          <w:p>
            <w:pPr>
              <w:jc w:val="right"/>
              <w:ind w:right="217"/>
              <w:spacing w:after="0"/>
              <w:rPr>
                <w:sz w:val="20"/>
                <w:szCs w:val="20"/>
                <w:color w:val="auto"/>
              </w:rPr>
            </w:pPr>
            <w:r>
              <w:rPr>
                <w:rFonts w:ascii="Arial" w:cs="Arial" w:eastAsia="Arial" w:hAnsi="Arial"/>
                <w:sz w:val="16"/>
                <w:szCs w:val="16"/>
                <w:color w:val="auto"/>
              </w:rPr>
              <w:t>0</w:t>
            </w:r>
          </w:p>
        </w:tc>
        <w:tc>
          <w:tcPr>
            <w:tcW w:w="1020" w:type="dxa"/>
            <w:vAlign w:val="bottom"/>
          </w:tcPr>
          <w:p>
            <w:pPr>
              <w:spacing w:after="0"/>
              <w:rPr>
                <w:sz w:val="17"/>
                <w:szCs w:val="17"/>
                <w:color w:val="auto"/>
              </w:rPr>
            </w:pPr>
          </w:p>
        </w:tc>
        <w:tc>
          <w:tcPr>
            <w:tcW w:w="900" w:type="dxa"/>
            <w:vAlign w:val="bottom"/>
          </w:tcPr>
          <w:p>
            <w:pPr>
              <w:jc w:val="right"/>
              <w:ind w:right="497"/>
              <w:spacing w:after="0"/>
              <w:rPr>
                <w:sz w:val="20"/>
                <w:szCs w:val="20"/>
                <w:color w:val="auto"/>
              </w:rPr>
            </w:pPr>
            <w:r>
              <w:rPr>
                <w:rFonts w:ascii="Arial" w:cs="Arial" w:eastAsia="Arial" w:hAnsi="Arial"/>
                <w:sz w:val="16"/>
                <w:szCs w:val="16"/>
                <w:color w:val="auto"/>
              </w:rPr>
              <w:t>530</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7"/>
                <w:szCs w:val="17"/>
                <w:color w:val="auto"/>
              </w:rPr>
            </w:pPr>
          </w:p>
        </w:tc>
      </w:tr>
      <w:tr>
        <w:trPr>
          <w:trHeight w:val="203"/>
        </w:trPr>
        <w:tc>
          <w:tcPr>
            <w:tcW w:w="3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corporate debt – financial</w:t>
            </w: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365</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217"/>
              <w:spacing w:after="0"/>
              <w:rPr>
                <w:sz w:val="20"/>
                <w:szCs w:val="20"/>
                <w:color w:val="auto"/>
              </w:rPr>
            </w:pPr>
            <w:r>
              <w:rPr>
                <w:rFonts w:ascii="Arial" w:cs="Arial" w:eastAsia="Arial" w:hAnsi="Arial"/>
                <w:sz w:val="16"/>
                <w:szCs w:val="16"/>
                <w:color w:val="auto"/>
              </w:rPr>
              <w:t>0</w:t>
            </w: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97"/>
              <w:spacing w:after="0"/>
              <w:rPr>
                <w:sz w:val="20"/>
                <w:szCs w:val="20"/>
                <w:color w:val="auto"/>
              </w:rPr>
            </w:pPr>
            <w:r>
              <w:rPr>
                <w:rFonts w:ascii="Arial" w:cs="Arial" w:eastAsia="Arial" w:hAnsi="Arial"/>
                <w:sz w:val="16"/>
                <w:szCs w:val="16"/>
                <w:color w:val="auto"/>
              </w:rPr>
              <w:t>365</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7"/>
                <w:szCs w:val="17"/>
                <w:color w:val="auto"/>
              </w:rPr>
            </w:pPr>
          </w:p>
        </w:tc>
      </w:tr>
      <w:tr>
        <w:trPr>
          <w:trHeight w:val="203"/>
        </w:trPr>
        <w:tc>
          <w:tcPr>
            <w:tcW w:w="3380" w:type="dxa"/>
            <w:vAlign w:val="bottom"/>
          </w:tcPr>
          <w:p>
            <w:pPr>
              <w:ind w:left="360"/>
              <w:spacing w:after="0"/>
              <w:rPr>
                <w:sz w:val="20"/>
                <w:szCs w:val="20"/>
                <w:color w:val="auto"/>
              </w:rPr>
            </w:pPr>
            <w:r>
              <w:rPr>
                <w:rFonts w:ascii="Arial" w:cs="Arial" w:eastAsia="Arial" w:hAnsi="Arial"/>
                <w:sz w:val="16"/>
                <w:szCs w:val="16"/>
                <w:color w:val="auto"/>
              </w:rPr>
              <w:t>Structured securities:</w:t>
            </w: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33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Asset-backed securities – auto loans</w:t>
            </w: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36</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217"/>
              <w:spacing w:after="0"/>
              <w:rPr>
                <w:sz w:val="20"/>
                <w:szCs w:val="20"/>
                <w:color w:val="auto"/>
              </w:rPr>
            </w:pPr>
            <w:r>
              <w:rPr>
                <w:rFonts w:ascii="Arial" w:cs="Arial" w:eastAsia="Arial" w:hAnsi="Arial"/>
                <w:sz w:val="16"/>
                <w:szCs w:val="16"/>
                <w:color w:val="auto"/>
              </w:rPr>
              <w:t>0</w:t>
            </w: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97"/>
              <w:spacing w:after="0"/>
              <w:rPr>
                <w:sz w:val="20"/>
                <w:szCs w:val="20"/>
                <w:color w:val="auto"/>
              </w:rPr>
            </w:pPr>
            <w:r>
              <w:rPr>
                <w:rFonts w:ascii="Arial" w:cs="Arial" w:eastAsia="Arial" w:hAnsi="Arial"/>
                <w:sz w:val="16"/>
                <w:szCs w:val="16"/>
                <w:color w:val="auto"/>
              </w:rPr>
              <w:t>36</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7"/>
                <w:szCs w:val="17"/>
                <w:color w:val="auto"/>
              </w:rPr>
            </w:pPr>
          </w:p>
        </w:tc>
      </w:tr>
      <w:tr>
        <w:trPr>
          <w:trHeight w:val="203"/>
        </w:trPr>
        <w:tc>
          <w:tcPr>
            <w:tcW w:w="3380" w:type="dxa"/>
            <w:vAlign w:val="bottom"/>
          </w:tcPr>
          <w:p>
            <w:pPr>
              <w:ind w:left="540"/>
              <w:spacing w:after="0"/>
              <w:rPr>
                <w:sz w:val="20"/>
                <w:szCs w:val="20"/>
                <w:color w:val="auto"/>
              </w:rPr>
            </w:pPr>
            <w:r>
              <w:rPr>
                <w:rFonts w:ascii="Arial" w:cs="Arial" w:eastAsia="Arial" w:hAnsi="Arial"/>
                <w:sz w:val="16"/>
                <w:szCs w:val="16"/>
                <w:color w:val="auto"/>
              </w:rPr>
              <w:t>Asset-backed securities – other</w:t>
            </w: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color w:val="auto"/>
              </w:rPr>
              <w:t>14</w:t>
            </w:r>
          </w:p>
        </w:tc>
        <w:tc>
          <w:tcPr>
            <w:tcW w:w="1000" w:type="dxa"/>
            <w:vAlign w:val="bottom"/>
          </w:tcPr>
          <w:p>
            <w:pPr>
              <w:spacing w:after="0"/>
              <w:rPr>
                <w:sz w:val="17"/>
                <w:szCs w:val="17"/>
                <w:color w:val="auto"/>
              </w:rPr>
            </w:pPr>
          </w:p>
        </w:tc>
        <w:tc>
          <w:tcPr>
            <w:tcW w:w="540" w:type="dxa"/>
            <w:vAlign w:val="bottom"/>
          </w:tcPr>
          <w:p>
            <w:pPr>
              <w:jc w:val="right"/>
              <w:ind w:right="217"/>
              <w:spacing w:after="0"/>
              <w:rPr>
                <w:sz w:val="20"/>
                <w:szCs w:val="20"/>
                <w:color w:val="auto"/>
              </w:rPr>
            </w:pPr>
            <w:r>
              <w:rPr>
                <w:rFonts w:ascii="Arial" w:cs="Arial" w:eastAsia="Arial" w:hAnsi="Arial"/>
                <w:sz w:val="16"/>
                <w:szCs w:val="16"/>
                <w:color w:val="auto"/>
              </w:rPr>
              <w:t>0</w:t>
            </w:r>
          </w:p>
        </w:tc>
        <w:tc>
          <w:tcPr>
            <w:tcW w:w="1020" w:type="dxa"/>
            <w:vAlign w:val="bottom"/>
          </w:tcPr>
          <w:p>
            <w:pPr>
              <w:spacing w:after="0"/>
              <w:rPr>
                <w:sz w:val="17"/>
                <w:szCs w:val="17"/>
                <w:color w:val="auto"/>
              </w:rPr>
            </w:pPr>
          </w:p>
        </w:tc>
        <w:tc>
          <w:tcPr>
            <w:tcW w:w="900" w:type="dxa"/>
            <w:vAlign w:val="bottom"/>
          </w:tcPr>
          <w:p>
            <w:pPr>
              <w:jc w:val="right"/>
              <w:ind w:right="497"/>
              <w:spacing w:after="0"/>
              <w:rPr>
                <w:sz w:val="20"/>
                <w:szCs w:val="20"/>
                <w:color w:val="auto"/>
              </w:rPr>
            </w:pPr>
            <w:r>
              <w:rPr>
                <w:rFonts w:ascii="Arial" w:cs="Arial" w:eastAsia="Arial" w:hAnsi="Arial"/>
                <w:sz w:val="16"/>
                <w:szCs w:val="16"/>
                <w:color w:val="auto"/>
              </w:rPr>
              <w:t>9</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17"/>
                <w:szCs w:val="17"/>
                <w:color w:val="auto"/>
              </w:rPr>
            </w:pPr>
          </w:p>
        </w:tc>
      </w:tr>
      <w:tr>
        <w:trPr>
          <w:trHeight w:val="203"/>
        </w:trPr>
        <w:tc>
          <w:tcPr>
            <w:tcW w:w="33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Collateralized debt obligations</w:t>
            </w: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71</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217"/>
              <w:spacing w:after="0"/>
              <w:rPr>
                <w:sz w:val="20"/>
                <w:szCs w:val="20"/>
                <w:color w:val="auto"/>
              </w:rPr>
            </w:pPr>
            <w:r>
              <w:rPr>
                <w:rFonts w:ascii="Arial" w:cs="Arial" w:eastAsia="Arial" w:hAnsi="Arial"/>
                <w:sz w:val="16"/>
                <w:szCs w:val="16"/>
                <w:color w:val="auto"/>
              </w:rPr>
              <w:t>0</w:t>
            </w: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97"/>
              <w:spacing w:after="0"/>
              <w:rPr>
                <w:sz w:val="20"/>
                <w:szCs w:val="20"/>
                <w:color w:val="auto"/>
              </w:rPr>
            </w:pPr>
            <w:r>
              <w:rPr>
                <w:rFonts w:ascii="Arial" w:cs="Arial" w:eastAsia="Arial" w:hAnsi="Arial"/>
                <w:sz w:val="16"/>
                <w:szCs w:val="16"/>
                <w:color w:val="auto"/>
              </w:rPr>
              <w:t>41</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40" w:type="dxa"/>
            <w:vAlign w:val="bottom"/>
          </w:tcPr>
          <w:p>
            <w:pPr>
              <w:spacing w:after="0"/>
              <w:rPr>
                <w:sz w:val="17"/>
                <w:szCs w:val="17"/>
                <w:color w:val="auto"/>
              </w:rPr>
            </w:pPr>
          </w:p>
        </w:tc>
      </w:tr>
      <w:tr>
        <w:trPr>
          <w:trHeight w:val="203"/>
        </w:trPr>
        <w:tc>
          <w:tcPr>
            <w:tcW w:w="3380" w:type="dxa"/>
            <w:vAlign w:val="bottom"/>
          </w:tcPr>
          <w:p>
            <w:pPr>
              <w:ind w:left="540"/>
              <w:spacing w:after="0"/>
              <w:rPr>
                <w:sz w:val="20"/>
                <w:szCs w:val="20"/>
                <w:color w:val="auto"/>
              </w:rPr>
            </w:pPr>
            <w:r>
              <w:rPr>
                <w:rFonts w:ascii="Arial" w:cs="Arial" w:eastAsia="Arial" w:hAnsi="Arial"/>
                <w:sz w:val="16"/>
                <w:szCs w:val="16"/>
                <w:color w:val="auto"/>
              </w:rPr>
              <w:t>Commercial mortgage-backed</w:t>
            </w: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color w:val="auto"/>
              </w:rPr>
              <w:t>81</w:t>
            </w:r>
          </w:p>
        </w:tc>
        <w:tc>
          <w:tcPr>
            <w:tcW w:w="1000" w:type="dxa"/>
            <w:vAlign w:val="bottom"/>
          </w:tcPr>
          <w:p>
            <w:pPr>
              <w:spacing w:after="0"/>
              <w:rPr>
                <w:sz w:val="17"/>
                <w:szCs w:val="17"/>
                <w:color w:val="auto"/>
              </w:rPr>
            </w:pPr>
          </w:p>
        </w:tc>
        <w:tc>
          <w:tcPr>
            <w:tcW w:w="540" w:type="dxa"/>
            <w:vAlign w:val="bottom"/>
          </w:tcPr>
          <w:p>
            <w:pPr>
              <w:jc w:val="right"/>
              <w:ind w:right="217"/>
              <w:spacing w:after="0"/>
              <w:rPr>
                <w:sz w:val="20"/>
                <w:szCs w:val="20"/>
                <w:color w:val="auto"/>
              </w:rPr>
            </w:pPr>
            <w:r>
              <w:rPr>
                <w:rFonts w:ascii="Arial" w:cs="Arial" w:eastAsia="Arial" w:hAnsi="Arial"/>
                <w:sz w:val="16"/>
                <w:szCs w:val="16"/>
                <w:color w:val="auto"/>
              </w:rPr>
              <w:t>0</w:t>
            </w:r>
          </w:p>
        </w:tc>
        <w:tc>
          <w:tcPr>
            <w:tcW w:w="1020" w:type="dxa"/>
            <w:vAlign w:val="bottom"/>
          </w:tcPr>
          <w:p>
            <w:pPr>
              <w:spacing w:after="0"/>
              <w:rPr>
                <w:sz w:val="17"/>
                <w:szCs w:val="17"/>
                <w:color w:val="auto"/>
              </w:rPr>
            </w:pPr>
          </w:p>
        </w:tc>
        <w:tc>
          <w:tcPr>
            <w:tcW w:w="900" w:type="dxa"/>
            <w:vAlign w:val="bottom"/>
          </w:tcPr>
          <w:p>
            <w:pPr>
              <w:jc w:val="right"/>
              <w:ind w:right="497"/>
              <w:spacing w:after="0"/>
              <w:rPr>
                <w:sz w:val="20"/>
                <w:szCs w:val="20"/>
                <w:color w:val="auto"/>
              </w:rPr>
            </w:pPr>
            <w:r>
              <w:rPr>
                <w:rFonts w:ascii="Arial" w:cs="Arial" w:eastAsia="Arial" w:hAnsi="Arial"/>
                <w:sz w:val="16"/>
                <w:szCs w:val="16"/>
                <w:color w:val="auto"/>
              </w:rPr>
              <w:t>81</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7"/>
                <w:szCs w:val="17"/>
                <w:color w:val="auto"/>
              </w:rPr>
            </w:pPr>
          </w:p>
        </w:tc>
      </w:tr>
      <w:tr>
        <w:trPr>
          <w:trHeight w:val="203"/>
        </w:trPr>
        <w:tc>
          <w:tcPr>
            <w:tcW w:w="3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Residential mortgage-backed:</w:t>
            </w: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3380" w:type="dxa"/>
            <w:vAlign w:val="bottom"/>
          </w:tcPr>
          <w:p>
            <w:pPr>
              <w:ind w:left="540"/>
              <w:spacing w:after="0"/>
              <w:rPr>
                <w:sz w:val="20"/>
                <w:szCs w:val="20"/>
                <w:color w:val="auto"/>
              </w:rPr>
            </w:pPr>
            <w:r>
              <w:rPr>
                <w:rFonts w:ascii="Arial" w:cs="Arial" w:eastAsia="Arial" w:hAnsi="Arial"/>
                <w:sz w:val="16"/>
                <w:szCs w:val="16"/>
                <w:color w:val="auto"/>
              </w:rPr>
              <w:t>Government sponsored enterprises</w:t>
            </w: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color w:val="auto"/>
              </w:rPr>
              <w:t>216</w:t>
            </w:r>
          </w:p>
        </w:tc>
        <w:tc>
          <w:tcPr>
            <w:tcW w:w="1000" w:type="dxa"/>
            <w:vAlign w:val="bottom"/>
          </w:tcPr>
          <w:p>
            <w:pPr>
              <w:spacing w:after="0"/>
              <w:rPr>
                <w:sz w:val="17"/>
                <w:szCs w:val="17"/>
                <w:color w:val="auto"/>
              </w:rPr>
            </w:pPr>
          </w:p>
        </w:tc>
        <w:tc>
          <w:tcPr>
            <w:tcW w:w="540" w:type="dxa"/>
            <w:vAlign w:val="bottom"/>
          </w:tcPr>
          <w:p>
            <w:pPr>
              <w:jc w:val="right"/>
              <w:ind w:right="217"/>
              <w:spacing w:after="0"/>
              <w:rPr>
                <w:sz w:val="20"/>
                <w:szCs w:val="20"/>
                <w:color w:val="auto"/>
              </w:rPr>
            </w:pPr>
            <w:r>
              <w:rPr>
                <w:rFonts w:ascii="Arial" w:cs="Arial" w:eastAsia="Arial" w:hAnsi="Arial"/>
                <w:sz w:val="16"/>
                <w:szCs w:val="16"/>
                <w:color w:val="auto"/>
              </w:rPr>
              <w:t>0</w:t>
            </w:r>
          </w:p>
        </w:tc>
        <w:tc>
          <w:tcPr>
            <w:tcW w:w="1020" w:type="dxa"/>
            <w:vAlign w:val="bottom"/>
          </w:tcPr>
          <w:p>
            <w:pPr>
              <w:spacing w:after="0"/>
              <w:rPr>
                <w:sz w:val="17"/>
                <w:szCs w:val="17"/>
                <w:color w:val="auto"/>
              </w:rPr>
            </w:pPr>
          </w:p>
        </w:tc>
        <w:tc>
          <w:tcPr>
            <w:tcW w:w="900" w:type="dxa"/>
            <w:vAlign w:val="bottom"/>
          </w:tcPr>
          <w:p>
            <w:pPr>
              <w:jc w:val="right"/>
              <w:ind w:right="497"/>
              <w:spacing w:after="0"/>
              <w:rPr>
                <w:sz w:val="20"/>
                <w:szCs w:val="20"/>
                <w:color w:val="auto"/>
              </w:rPr>
            </w:pPr>
            <w:r>
              <w:rPr>
                <w:rFonts w:ascii="Arial" w:cs="Arial" w:eastAsia="Arial" w:hAnsi="Arial"/>
                <w:sz w:val="16"/>
                <w:szCs w:val="16"/>
                <w:color w:val="auto"/>
              </w:rPr>
              <w:t>216</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7"/>
                <w:szCs w:val="17"/>
                <w:color w:val="auto"/>
              </w:rPr>
            </w:pPr>
          </w:p>
        </w:tc>
      </w:tr>
      <w:tr>
        <w:trPr>
          <w:trHeight w:val="203"/>
        </w:trPr>
        <w:tc>
          <w:tcPr>
            <w:tcW w:w="33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Non-government sponsored enterprises</w:t>
            </w: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17</w:t>
            </w:r>
          </w:p>
        </w:tc>
        <w:tc>
          <w:tcPr>
            <w:tcW w:w="10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497"/>
              <w:spacing w:after="0"/>
              <w:rPr>
                <w:sz w:val="20"/>
                <w:szCs w:val="20"/>
                <w:color w:val="auto"/>
              </w:rPr>
            </w:pPr>
            <w:r>
              <w:rPr>
                <w:rFonts w:ascii="Arial" w:cs="Arial" w:eastAsia="Arial" w:hAnsi="Arial"/>
                <w:sz w:val="16"/>
                <w:szCs w:val="16"/>
                <w:color w:val="auto"/>
              </w:rPr>
              <w:t>17</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7"/>
                <w:szCs w:val="17"/>
                <w:color w:val="auto"/>
              </w:rPr>
            </w:pPr>
          </w:p>
        </w:tc>
      </w:tr>
      <w:tr>
        <w:trPr>
          <w:trHeight w:val="196"/>
        </w:trPr>
        <w:tc>
          <w:tcPr>
            <w:tcW w:w="33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fixed maturities</w:t>
            </w:r>
          </w:p>
        </w:tc>
        <w:tc>
          <w:tcPr>
            <w:tcW w:w="13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7,254</w:t>
            </w:r>
          </w:p>
        </w:tc>
        <w:tc>
          <w:tcPr>
            <w:tcW w:w="10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17"/>
              <w:spacing w:after="0"/>
              <w:rPr>
                <w:sz w:val="20"/>
                <w:szCs w:val="20"/>
                <w:color w:val="auto"/>
              </w:rPr>
            </w:pPr>
            <w:r>
              <w:rPr>
                <w:rFonts w:ascii="Arial" w:cs="Arial" w:eastAsia="Arial" w:hAnsi="Arial"/>
                <w:sz w:val="16"/>
                <w:szCs w:val="16"/>
                <w:color w:val="auto"/>
              </w:rPr>
              <w:t>23</w:t>
            </w:r>
          </w:p>
        </w:tc>
        <w:tc>
          <w:tcPr>
            <w:tcW w:w="1920" w:type="dxa"/>
            <w:vAlign w:val="bottom"/>
            <w:tcBorders>
              <w:bottom w:val="single" w:sz="8" w:color="auto"/>
            </w:tcBorders>
            <w:gridSpan w:val="2"/>
          </w:tcPr>
          <w:p>
            <w:pPr>
              <w:jc w:val="right"/>
              <w:ind w:right="497"/>
              <w:spacing w:after="0"/>
              <w:rPr>
                <w:sz w:val="20"/>
                <w:szCs w:val="20"/>
                <w:color w:val="auto"/>
              </w:rPr>
            </w:pPr>
            <w:r>
              <w:rPr>
                <w:rFonts w:ascii="Arial" w:cs="Arial" w:eastAsia="Arial" w:hAnsi="Arial"/>
                <w:sz w:val="16"/>
                <w:szCs w:val="16"/>
                <w:color w:val="auto"/>
              </w:rPr>
              <w:t>7,181</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w:t>
            </w:r>
          </w:p>
        </w:tc>
        <w:tc>
          <w:tcPr>
            <w:tcW w:w="40" w:type="dxa"/>
            <w:vAlign w:val="bottom"/>
          </w:tcPr>
          <w:p>
            <w:pPr>
              <w:spacing w:after="0"/>
              <w:rPr>
                <w:sz w:val="17"/>
                <w:szCs w:val="17"/>
                <w:color w:val="auto"/>
              </w:rPr>
            </w:pPr>
          </w:p>
        </w:tc>
      </w:tr>
      <w:tr>
        <w:trPr>
          <w:trHeight w:val="183"/>
        </w:trPr>
        <w:tc>
          <w:tcPr>
            <w:tcW w:w="3380" w:type="dxa"/>
            <w:vAlign w:val="bottom"/>
            <w:shd w:val="clear" w:color="auto" w:fill="CCEEFF"/>
          </w:tcPr>
          <w:p>
            <w:pPr>
              <w:ind w:left="180"/>
              <w:spacing w:after="0" w:line="183" w:lineRule="exact"/>
              <w:rPr>
                <w:sz w:val="20"/>
                <w:szCs w:val="20"/>
                <w:color w:val="auto"/>
              </w:rPr>
            </w:pPr>
            <w:r>
              <w:rPr>
                <w:rFonts w:ascii="Arial" w:cs="Arial" w:eastAsia="Arial" w:hAnsi="Arial"/>
                <w:sz w:val="16"/>
                <w:szCs w:val="16"/>
                <w:color w:val="auto"/>
              </w:rPr>
              <w:t>Equity securities:</w:t>
            </w:r>
          </w:p>
        </w:tc>
        <w:tc>
          <w:tcPr>
            <w:tcW w:w="1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3380" w:type="dxa"/>
            <w:vAlign w:val="bottom"/>
          </w:tcPr>
          <w:p>
            <w:pPr>
              <w:ind w:left="360"/>
              <w:spacing w:after="0"/>
              <w:rPr>
                <w:sz w:val="20"/>
                <w:szCs w:val="20"/>
                <w:color w:val="auto"/>
              </w:rPr>
            </w:pPr>
            <w:r>
              <w:rPr>
                <w:rFonts w:ascii="Arial" w:cs="Arial" w:eastAsia="Arial" w:hAnsi="Arial"/>
                <w:sz w:val="16"/>
                <w:szCs w:val="16"/>
                <w:color w:val="auto"/>
              </w:rPr>
              <w:t>U.S. nonredeemable preferred securities:</w:t>
            </w: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33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Financial</w:t>
            </w: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391</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217"/>
              <w:spacing w:after="0"/>
              <w:rPr>
                <w:sz w:val="20"/>
                <w:szCs w:val="20"/>
                <w:color w:val="auto"/>
              </w:rPr>
            </w:pPr>
            <w:r>
              <w:rPr>
                <w:rFonts w:ascii="Arial" w:cs="Arial" w:eastAsia="Arial" w:hAnsi="Arial"/>
                <w:sz w:val="16"/>
                <w:szCs w:val="16"/>
                <w:color w:val="auto"/>
                <w:w w:val="82"/>
              </w:rPr>
              <w:t>107</w:t>
            </w: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97"/>
              <w:spacing w:after="0"/>
              <w:rPr>
                <w:sz w:val="20"/>
                <w:szCs w:val="20"/>
                <w:color w:val="auto"/>
              </w:rPr>
            </w:pPr>
            <w:r>
              <w:rPr>
                <w:rFonts w:ascii="Arial" w:cs="Arial" w:eastAsia="Arial" w:hAnsi="Arial"/>
                <w:sz w:val="16"/>
                <w:szCs w:val="16"/>
                <w:color w:val="auto"/>
              </w:rPr>
              <w:t>276</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40" w:type="dxa"/>
            <w:vAlign w:val="bottom"/>
          </w:tcPr>
          <w:p>
            <w:pPr>
              <w:spacing w:after="0"/>
              <w:rPr>
                <w:sz w:val="17"/>
                <w:szCs w:val="17"/>
                <w:color w:val="auto"/>
              </w:rPr>
            </w:pPr>
          </w:p>
        </w:tc>
      </w:tr>
      <w:tr>
        <w:trPr>
          <w:trHeight w:val="203"/>
        </w:trPr>
        <w:tc>
          <w:tcPr>
            <w:tcW w:w="3380" w:type="dxa"/>
            <w:vAlign w:val="bottom"/>
          </w:tcPr>
          <w:p>
            <w:pPr>
              <w:ind w:left="720"/>
              <w:spacing w:after="0"/>
              <w:rPr>
                <w:sz w:val="20"/>
                <w:szCs w:val="20"/>
                <w:color w:val="auto"/>
              </w:rPr>
            </w:pPr>
            <w:r>
              <w:rPr>
                <w:rFonts w:ascii="Arial" w:cs="Arial" w:eastAsia="Arial" w:hAnsi="Arial"/>
                <w:sz w:val="16"/>
                <w:szCs w:val="16"/>
                <w:color w:val="auto"/>
              </w:rPr>
              <w:t>Non-financial</w:t>
            </w: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color w:val="auto"/>
              </w:rPr>
              <w:t>144</w:t>
            </w:r>
          </w:p>
        </w:tc>
        <w:tc>
          <w:tcPr>
            <w:tcW w:w="1000" w:type="dxa"/>
            <w:vAlign w:val="bottom"/>
          </w:tcPr>
          <w:p>
            <w:pPr>
              <w:spacing w:after="0"/>
              <w:rPr>
                <w:sz w:val="17"/>
                <w:szCs w:val="17"/>
                <w:color w:val="auto"/>
              </w:rPr>
            </w:pPr>
          </w:p>
        </w:tc>
        <w:tc>
          <w:tcPr>
            <w:tcW w:w="540" w:type="dxa"/>
            <w:vAlign w:val="bottom"/>
          </w:tcPr>
          <w:p>
            <w:pPr>
              <w:jc w:val="right"/>
              <w:ind w:right="217"/>
              <w:spacing w:after="0"/>
              <w:rPr>
                <w:sz w:val="20"/>
                <w:szCs w:val="20"/>
                <w:color w:val="auto"/>
              </w:rPr>
            </w:pPr>
            <w:r>
              <w:rPr>
                <w:rFonts w:ascii="Arial" w:cs="Arial" w:eastAsia="Arial" w:hAnsi="Arial"/>
                <w:sz w:val="16"/>
                <w:szCs w:val="16"/>
                <w:color w:val="auto"/>
              </w:rPr>
              <w:t>48</w:t>
            </w:r>
          </w:p>
        </w:tc>
        <w:tc>
          <w:tcPr>
            <w:tcW w:w="1020" w:type="dxa"/>
            <w:vAlign w:val="bottom"/>
          </w:tcPr>
          <w:p>
            <w:pPr>
              <w:spacing w:after="0"/>
              <w:rPr>
                <w:sz w:val="17"/>
                <w:szCs w:val="17"/>
                <w:color w:val="auto"/>
              </w:rPr>
            </w:pPr>
          </w:p>
        </w:tc>
        <w:tc>
          <w:tcPr>
            <w:tcW w:w="900" w:type="dxa"/>
            <w:vAlign w:val="bottom"/>
          </w:tcPr>
          <w:p>
            <w:pPr>
              <w:jc w:val="right"/>
              <w:ind w:right="497"/>
              <w:spacing w:after="0"/>
              <w:rPr>
                <w:sz w:val="20"/>
                <w:szCs w:val="20"/>
                <w:color w:val="auto"/>
              </w:rPr>
            </w:pPr>
            <w:r>
              <w:rPr>
                <w:rFonts w:ascii="Arial" w:cs="Arial" w:eastAsia="Arial" w:hAnsi="Arial"/>
                <w:sz w:val="16"/>
                <w:szCs w:val="16"/>
                <w:color w:val="auto"/>
              </w:rPr>
              <w:t>96</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7"/>
                <w:szCs w:val="17"/>
                <w:color w:val="auto"/>
              </w:rPr>
            </w:pPr>
          </w:p>
        </w:tc>
      </w:tr>
      <w:tr>
        <w:trPr>
          <w:trHeight w:val="203"/>
        </w:trPr>
        <w:tc>
          <w:tcPr>
            <w:tcW w:w="33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Government sponsored enterprises</w:t>
            </w: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217"/>
              <w:spacing w:after="0"/>
              <w:rPr>
                <w:sz w:val="20"/>
                <w:szCs w:val="20"/>
                <w:color w:val="auto"/>
              </w:rPr>
            </w:pPr>
            <w:r>
              <w:rPr>
                <w:rFonts w:ascii="Arial" w:cs="Arial" w:eastAsia="Arial" w:hAnsi="Arial"/>
                <w:sz w:val="16"/>
                <w:szCs w:val="16"/>
                <w:color w:val="auto"/>
              </w:rPr>
              <w:t>1</w:t>
            </w: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97"/>
              <w:spacing w:after="0"/>
              <w:rPr>
                <w:sz w:val="20"/>
                <w:szCs w:val="20"/>
                <w:color w:val="auto"/>
              </w:rPr>
            </w:pPr>
            <w:r>
              <w:rPr>
                <w:rFonts w:ascii="Arial" w:cs="Arial" w:eastAsia="Arial" w:hAnsi="Arial"/>
                <w:sz w:val="16"/>
                <w:szCs w:val="16"/>
                <w:color w:val="auto"/>
              </w:rPr>
              <w:t>0</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7"/>
                <w:szCs w:val="17"/>
                <w:color w:val="auto"/>
              </w:rPr>
            </w:pPr>
          </w:p>
        </w:tc>
      </w:tr>
      <w:tr>
        <w:trPr>
          <w:trHeight w:val="203"/>
        </w:trPr>
        <w:tc>
          <w:tcPr>
            <w:tcW w:w="3380" w:type="dxa"/>
            <w:vAlign w:val="bottom"/>
          </w:tcPr>
          <w:p>
            <w:pPr>
              <w:ind w:left="360"/>
              <w:spacing w:after="0"/>
              <w:rPr>
                <w:sz w:val="20"/>
                <w:szCs w:val="20"/>
                <w:color w:val="auto"/>
              </w:rPr>
            </w:pPr>
            <w:r>
              <w:rPr>
                <w:rFonts w:ascii="Arial" w:cs="Arial" w:eastAsia="Arial" w:hAnsi="Arial"/>
                <w:sz w:val="16"/>
                <w:szCs w:val="16"/>
                <w:color w:val="auto"/>
                <w:w w:val="95"/>
              </w:rPr>
              <w:t>Foreign nonredeemable preferred securities:</w:t>
            </w: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33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Financial</w:t>
            </w: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58</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217"/>
              <w:spacing w:after="0"/>
              <w:rPr>
                <w:sz w:val="20"/>
                <w:szCs w:val="20"/>
                <w:color w:val="auto"/>
              </w:rPr>
            </w:pPr>
            <w:r>
              <w:rPr>
                <w:rFonts w:ascii="Arial" w:cs="Arial" w:eastAsia="Arial" w:hAnsi="Arial"/>
                <w:sz w:val="16"/>
                <w:szCs w:val="16"/>
                <w:color w:val="auto"/>
              </w:rPr>
              <w:t>17</w:t>
            </w: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97"/>
              <w:spacing w:after="0"/>
              <w:rPr>
                <w:sz w:val="20"/>
                <w:szCs w:val="20"/>
                <w:color w:val="auto"/>
              </w:rPr>
            </w:pPr>
            <w:r>
              <w:rPr>
                <w:rFonts w:ascii="Arial" w:cs="Arial" w:eastAsia="Arial" w:hAnsi="Arial"/>
                <w:sz w:val="16"/>
                <w:szCs w:val="16"/>
                <w:color w:val="auto"/>
              </w:rPr>
              <w:t>41</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7"/>
                <w:szCs w:val="17"/>
                <w:color w:val="auto"/>
              </w:rPr>
            </w:pPr>
          </w:p>
        </w:tc>
      </w:tr>
      <w:tr>
        <w:trPr>
          <w:trHeight w:val="203"/>
        </w:trPr>
        <w:tc>
          <w:tcPr>
            <w:tcW w:w="338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Non-financial</w:t>
            </w:r>
          </w:p>
        </w:tc>
        <w:tc>
          <w:tcPr>
            <w:tcW w:w="13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9</w:t>
            </w:r>
          </w:p>
        </w:tc>
        <w:tc>
          <w:tcPr>
            <w:tcW w:w="10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17"/>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7"/>
              <w:spacing w:after="0"/>
              <w:rPr>
                <w:sz w:val="20"/>
                <w:szCs w:val="20"/>
                <w:color w:val="auto"/>
              </w:rPr>
            </w:pPr>
            <w:r>
              <w:rPr>
                <w:rFonts w:ascii="Arial" w:cs="Arial" w:eastAsia="Arial" w:hAnsi="Arial"/>
                <w:sz w:val="16"/>
                <w:szCs w:val="16"/>
                <w:color w:val="auto"/>
              </w:rPr>
              <w:t>9</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7"/>
                <w:szCs w:val="17"/>
                <w:color w:val="auto"/>
              </w:rPr>
            </w:pPr>
          </w:p>
        </w:tc>
      </w:tr>
      <w:tr>
        <w:trPr>
          <w:trHeight w:val="196"/>
        </w:trPr>
        <w:tc>
          <w:tcPr>
            <w:tcW w:w="3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equity securities</w:t>
            </w: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603</w:t>
            </w:r>
          </w:p>
        </w:tc>
        <w:tc>
          <w:tcPr>
            <w:tcW w:w="10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6"/>
                <w:szCs w:val="16"/>
                <w:color w:val="auto"/>
                <w:w w:val="82"/>
              </w:rPr>
              <w:t>173</w:t>
            </w:r>
          </w:p>
        </w:tc>
        <w:tc>
          <w:tcPr>
            <w:tcW w:w="10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497"/>
              <w:spacing w:after="0"/>
              <w:rPr>
                <w:sz w:val="20"/>
                <w:szCs w:val="20"/>
                <w:color w:val="auto"/>
              </w:rPr>
            </w:pPr>
            <w:r>
              <w:rPr>
                <w:rFonts w:ascii="Arial" w:cs="Arial" w:eastAsia="Arial" w:hAnsi="Arial"/>
                <w:sz w:val="16"/>
                <w:szCs w:val="16"/>
                <w:color w:val="auto"/>
              </w:rPr>
              <w:t>422</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40" w:type="dxa"/>
            <w:vAlign w:val="bottom"/>
          </w:tcPr>
          <w:p>
            <w:pPr>
              <w:spacing w:after="0"/>
              <w:rPr>
                <w:sz w:val="17"/>
                <w:szCs w:val="17"/>
                <w:color w:val="auto"/>
              </w:rPr>
            </w:pPr>
          </w:p>
        </w:tc>
      </w:tr>
      <w:tr>
        <w:trPr>
          <w:trHeight w:val="196"/>
        </w:trPr>
        <w:tc>
          <w:tcPr>
            <w:tcW w:w="33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available-for-sale securities</w:t>
            </w:r>
          </w:p>
        </w:tc>
        <w:tc>
          <w:tcPr>
            <w:tcW w:w="13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7,857</w:t>
            </w:r>
          </w:p>
        </w:tc>
        <w:tc>
          <w:tcPr>
            <w:tcW w:w="10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17"/>
              <w:spacing w:after="0"/>
              <w:rPr>
                <w:sz w:val="20"/>
                <w:szCs w:val="20"/>
                <w:color w:val="auto"/>
              </w:rPr>
            </w:pPr>
            <w:r>
              <w:rPr>
                <w:rFonts w:ascii="Arial" w:cs="Arial" w:eastAsia="Arial" w:hAnsi="Arial"/>
                <w:sz w:val="16"/>
                <w:szCs w:val="16"/>
                <w:color w:val="auto"/>
                <w:w w:val="82"/>
              </w:rPr>
              <w:t>196</w:t>
            </w:r>
          </w:p>
        </w:tc>
        <w:tc>
          <w:tcPr>
            <w:tcW w:w="1920" w:type="dxa"/>
            <w:vAlign w:val="bottom"/>
            <w:tcBorders>
              <w:bottom w:val="single" w:sz="8" w:color="auto"/>
            </w:tcBorders>
            <w:gridSpan w:val="2"/>
          </w:tcPr>
          <w:p>
            <w:pPr>
              <w:jc w:val="right"/>
              <w:ind w:right="497"/>
              <w:spacing w:after="0"/>
              <w:rPr>
                <w:sz w:val="20"/>
                <w:szCs w:val="20"/>
                <w:color w:val="auto"/>
              </w:rPr>
            </w:pPr>
            <w:r>
              <w:rPr>
                <w:rFonts w:ascii="Arial" w:cs="Arial" w:eastAsia="Arial" w:hAnsi="Arial"/>
                <w:sz w:val="16"/>
                <w:szCs w:val="16"/>
                <w:color w:val="auto"/>
              </w:rPr>
              <w:t>7,603</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w:t>
            </w:r>
          </w:p>
        </w:tc>
        <w:tc>
          <w:tcPr>
            <w:tcW w:w="40" w:type="dxa"/>
            <w:vAlign w:val="bottom"/>
          </w:tcPr>
          <w:p>
            <w:pPr>
              <w:spacing w:after="0"/>
              <w:rPr>
                <w:sz w:val="17"/>
                <w:szCs w:val="17"/>
                <w:color w:val="auto"/>
              </w:rPr>
            </w:pPr>
          </w:p>
        </w:tc>
      </w:tr>
      <w:tr>
        <w:trPr>
          <w:trHeight w:val="183"/>
        </w:trPr>
        <w:tc>
          <w:tcPr>
            <w:tcW w:w="33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Trading securities:</w:t>
            </w:r>
          </w:p>
        </w:tc>
        <w:tc>
          <w:tcPr>
            <w:tcW w:w="1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33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Common stock</w:t>
            </w:r>
          </w:p>
        </w:tc>
        <w:tc>
          <w:tcPr>
            <w:tcW w:w="13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2,462</w:t>
            </w:r>
          </w:p>
        </w:tc>
        <w:tc>
          <w:tcPr>
            <w:tcW w:w="1540" w:type="dxa"/>
            <w:vAlign w:val="bottom"/>
            <w:tcBorders>
              <w:bottom w:val="single" w:sz="8" w:color="auto"/>
            </w:tcBorders>
            <w:gridSpan w:val="2"/>
          </w:tcPr>
          <w:p>
            <w:pPr>
              <w:jc w:val="right"/>
              <w:ind w:right="217"/>
              <w:spacing w:after="0"/>
              <w:rPr>
                <w:sz w:val="20"/>
                <w:szCs w:val="20"/>
                <w:color w:val="auto"/>
              </w:rPr>
            </w:pPr>
            <w:r>
              <w:rPr>
                <w:rFonts w:ascii="Arial" w:cs="Arial" w:eastAsia="Arial" w:hAnsi="Arial"/>
                <w:sz w:val="16"/>
                <w:szCs w:val="16"/>
                <w:color w:val="auto"/>
              </w:rPr>
              <w:t>2,449</w:t>
            </w:r>
          </w:p>
        </w:tc>
        <w:tc>
          <w:tcPr>
            <w:tcW w:w="10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7"/>
              <w:spacing w:after="0"/>
              <w:rPr>
                <w:sz w:val="20"/>
                <w:szCs w:val="20"/>
                <w:color w:val="auto"/>
              </w:rPr>
            </w:pPr>
            <w:r>
              <w:rPr>
                <w:rFonts w:ascii="Arial" w:cs="Arial" w:eastAsia="Arial" w:hAnsi="Arial"/>
                <w:sz w:val="16"/>
                <w:szCs w:val="16"/>
                <w:color w:val="auto"/>
              </w:rPr>
              <w:t>0</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w:t>
            </w:r>
          </w:p>
        </w:tc>
        <w:tc>
          <w:tcPr>
            <w:tcW w:w="40" w:type="dxa"/>
            <w:vAlign w:val="bottom"/>
          </w:tcPr>
          <w:p>
            <w:pPr>
              <w:spacing w:after="0"/>
              <w:rPr>
                <w:sz w:val="17"/>
                <w:szCs w:val="17"/>
                <w:color w:val="auto"/>
              </w:rPr>
            </w:pPr>
          </w:p>
        </w:tc>
      </w:tr>
      <w:tr>
        <w:trPr>
          <w:trHeight w:val="196"/>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Total trading securities</w:t>
            </w: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2,462</w:t>
            </w:r>
          </w:p>
        </w:tc>
        <w:tc>
          <w:tcPr>
            <w:tcW w:w="1540" w:type="dxa"/>
            <w:vAlign w:val="bottom"/>
            <w:tcBorders>
              <w:bottom w:val="single" w:sz="8" w:color="auto"/>
            </w:tcBorders>
            <w:gridSpan w:val="2"/>
            <w:shd w:val="clear" w:color="auto" w:fill="CCEEFF"/>
          </w:tcPr>
          <w:p>
            <w:pPr>
              <w:jc w:val="right"/>
              <w:ind w:right="217"/>
              <w:spacing w:after="0"/>
              <w:rPr>
                <w:sz w:val="20"/>
                <w:szCs w:val="20"/>
                <w:color w:val="auto"/>
              </w:rPr>
            </w:pPr>
            <w:r>
              <w:rPr>
                <w:rFonts w:ascii="Arial" w:cs="Arial" w:eastAsia="Arial" w:hAnsi="Arial"/>
                <w:sz w:val="16"/>
                <w:szCs w:val="16"/>
                <w:color w:val="auto"/>
              </w:rPr>
              <w:t>2,449</w:t>
            </w:r>
          </w:p>
        </w:tc>
        <w:tc>
          <w:tcPr>
            <w:tcW w:w="10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497"/>
              <w:spacing w:after="0"/>
              <w:rPr>
                <w:sz w:val="20"/>
                <w:szCs w:val="20"/>
                <w:color w:val="auto"/>
              </w:rPr>
            </w:pPr>
            <w:r>
              <w:rPr>
                <w:rFonts w:ascii="Arial" w:cs="Arial" w:eastAsia="Arial" w:hAnsi="Arial"/>
                <w:sz w:val="16"/>
                <w:szCs w:val="16"/>
                <w:color w:val="auto"/>
              </w:rPr>
              <w:t>0</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40" w:type="dxa"/>
            <w:vAlign w:val="bottom"/>
          </w:tcPr>
          <w:p>
            <w:pPr>
              <w:spacing w:after="0"/>
              <w:rPr>
                <w:sz w:val="17"/>
                <w:szCs w:val="17"/>
                <w:color w:val="auto"/>
              </w:rPr>
            </w:pPr>
          </w:p>
        </w:tc>
      </w:tr>
      <w:tr>
        <w:trPr>
          <w:trHeight w:val="203"/>
        </w:trPr>
        <w:tc>
          <w:tcPr>
            <w:tcW w:w="33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 Exchange</w:t>
            </w:r>
          </w:p>
        </w:tc>
        <w:tc>
          <w:tcPr>
            <w:tcW w:w="13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6"/>
              </w:rPr>
              <w:t>$10,319</w:t>
            </w:r>
          </w:p>
        </w:tc>
        <w:tc>
          <w:tcPr>
            <w:tcW w:w="1540" w:type="dxa"/>
            <w:vAlign w:val="bottom"/>
            <w:tcBorders>
              <w:bottom w:val="single" w:sz="8" w:color="auto"/>
            </w:tcBorders>
            <w:gridSpan w:val="2"/>
          </w:tcPr>
          <w:p>
            <w:pPr>
              <w:jc w:val="right"/>
              <w:ind w:right="217"/>
              <w:spacing w:after="0"/>
              <w:rPr>
                <w:sz w:val="20"/>
                <w:szCs w:val="20"/>
                <w:color w:val="auto"/>
              </w:rPr>
            </w:pPr>
            <w:r>
              <w:rPr>
                <w:rFonts w:ascii="Arial" w:cs="Arial" w:eastAsia="Arial" w:hAnsi="Arial"/>
                <w:sz w:val="16"/>
                <w:szCs w:val="16"/>
                <w:color w:val="auto"/>
              </w:rPr>
              <w:t>$2,645</w:t>
            </w:r>
          </w:p>
        </w:tc>
        <w:tc>
          <w:tcPr>
            <w:tcW w:w="1920" w:type="dxa"/>
            <w:vAlign w:val="bottom"/>
            <w:tcBorders>
              <w:bottom w:val="single" w:sz="8" w:color="auto"/>
            </w:tcBorders>
            <w:gridSpan w:val="2"/>
          </w:tcPr>
          <w:p>
            <w:pPr>
              <w:jc w:val="right"/>
              <w:ind w:right="497"/>
              <w:spacing w:after="0"/>
              <w:rPr>
                <w:sz w:val="20"/>
                <w:szCs w:val="20"/>
                <w:color w:val="auto"/>
              </w:rPr>
            </w:pPr>
            <w:r>
              <w:rPr>
                <w:rFonts w:ascii="Arial" w:cs="Arial" w:eastAsia="Arial" w:hAnsi="Arial"/>
                <w:sz w:val="16"/>
                <w:szCs w:val="16"/>
                <w:color w:val="auto"/>
              </w:rPr>
              <w:t>$7,603</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w:t>
            </w:r>
          </w:p>
        </w:tc>
        <w:tc>
          <w:tcPr>
            <w:tcW w:w="40" w:type="dxa"/>
            <w:vAlign w:val="bottom"/>
          </w:tcPr>
          <w:p>
            <w:pPr>
              <w:spacing w:after="0"/>
              <w:rPr>
                <w:sz w:val="17"/>
                <w:szCs w:val="17"/>
                <w:color w:val="auto"/>
              </w:rPr>
            </w:pPr>
          </w:p>
        </w:tc>
      </w:tr>
      <w:tr>
        <w:trPr>
          <w:trHeight w:val="210"/>
        </w:trPr>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 Erie Insurance Group</w:t>
            </w:r>
          </w:p>
        </w:tc>
        <w:tc>
          <w:tcPr>
            <w:tcW w:w="13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6"/>
              </w:rPr>
              <w:t>$10,883</w:t>
            </w:r>
          </w:p>
        </w:tc>
        <w:tc>
          <w:tcPr>
            <w:tcW w:w="1540" w:type="dxa"/>
            <w:vAlign w:val="bottom"/>
            <w:tcBorders>
              <w:bottom w:val="single" w:sz="8" w:color="auto"/>
            </w:tcBorders>
            <w:gridSpan w:val="2"/>
            <w:shd w:val="clear" w:color="auto" w:fill="CCEEFF"/>
          </w:tcPr>
          <w:p>
            <w:pPr>
              <w:jc w:val="right"/>
              <w:ind w:right="217"/>
              <w:spacing w:after="0"/>
              <w:rPr>
                <w:sz w:val="20"/>
                <w:szCs w:val="20"/>
                <w:color w:val="auto"/>
              </w:rPr>
            </w:pPr>
            <w:r>
              <w:rPr>
                <w:rFonts w:ascii="Arial" w:cs="Arial" w:eastAsia="Arial" w:hAnsi="Arial"/>
                <w:sz w:val="16"/>
                <w:szCs w:val="16"/>
                <w:color w:val="auto"/>
              </w:rPr>
              <w:t>$2,685</w:t>
            </w:r>
          </w:p>
        </w:tc>
        <w:tc>
          <w:tcPr>
            <w:tcW w:w="1920" w:type="dxa"/>
            <w:vAlign w:val="bottom"/>
            <w:tcBorders>
              <w:bottom w:val="single" w:sz="8" w:color="auto"/>
            </w:tcBorders>
            <w:gridSpan w:val="2"/>
            <w:shd w:val="clear" w:color="auto" w:fill="CCEEFF"/>
          </w:tcPr>
          <w:p>
            <w:pPr>
              <w:jc w:val="right"/>
              <w:ind w:right="497"/>
              <w:spacing w:after="0"/>
              <w:rPr>
                <w:sz w:val="20"/>
                <w:szCs w:val="20"/>
                <w:color w:val="auto"/>
              </w:rPr>
            </w:pPr>
            <w:r>
              <w:rPr>
                <w:rFonts w:ascii="Arial" w:cs="Arial" w:eastAsia="Arial" w:hAnsi="Arial"/>
                <w:sz w:val="16"/>
                <w:szCs w:val="16"/>
                <w:color w:val="auto"/>
              </w:rPr>
              <w:t>$8,123</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40" w:type="dxa"/>
            <w:vAlign w:val="bottom"/>
          </w:tcPr>
          <w:p>
            <w:pPr>
              <w:spacing w:after="0"/>
              <w:rPr>
                <w:sz w:val="18"/>
                <w:szCs w:val="18"/>
                <w:color w:val="auto"/>
              </w:rPr>
            </w:pPr>
          </w:p>
        </w:tc>
      </w:tr>
      <w:tr>
        <w:trPr>
          <w:trHeight w:val="432"/>
        </w:trPr>
        <w:tc>
          <w:tcPr>
            <w:tcW w:w="3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38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3380" w:type="dxa"/>
            <w:vAlign w:val="bottom"/>
          </w:tcPr>
          <w:p>
            <w:pPr>
              <w:spacing w:after="0"/>
              <w:rPr>
                <w:sz w:val="20"/>
                <w:szCs w:val="20"/>
                <w:color w:val="auto"/>
              </w:rPr>
            </w:pPr>
            <w:r>
              <w:rPr>
                <w:rFonts w:ascii="Arial" w:cs="Arial" w:eastAsia="Arial" w:hAnsi="Arial"/>
                <w:sz w:val="18"/>
                <w:szCs w:val="18"/>
                <w:color w:val="auto"/>
              </w:rPr>
              <w:t>Level 3 Assets – Quarterly Change:</w:t>
            </w: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338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8"/>
                <w:szCs w:val="18"/>
                <w:color w:val="auto"/>
              </w:rPr>
              <w:t>Erie Insurance Group</w:t>
            </w:r>
          </w:p>
        </w:tc>
        <w:tc>
          <w:tcPr>
            <w:tcW w:w="10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89"/>
        </w:trPr>
        <w:tc>
          <w:tcPr>
            <w:tcW w:w="3380" w:type="dxa"/>
            <w:vAlign w:val="bottom"/>
          </w:tcPr>
          <w:p>
            <w:pPr>
              <w:spacing w:after="0"/>
              <w:rPr>
                <w:sz w:val="24"/>
                <w:szCs w:val="24"/>
                <w:color w:val="auto"/>
              </w:rPr>
            </w:pPr>
          </w:p>
        </w:tc>
        <w:tc>
          <w:tcPr>
            <w:tcW w:w="1300" w:type="dxa"/>
            <w:vAlign w:val="bottom"/>
          </w:tcPr>
          <w:p>
            <w:pPr>
              <w:jc w:val="center"/>
              <w:ind w:right="54"/>
              <w:spacing w:after="0"/>
              <w:rPr>
                <w:sz w:val="20"/>
                <w:szCs w:val="20"/>
                <w:color w:val="auto"/>
              </w:rPr>
            </w:pPr>
            <w:r>
              <w:rPr>
                <w:rFonts w:ascii="Arial" w:cs="Arial" w:eastAsia="Arial" w:hAnsi="Arial"/>
                <w:sz w:val="16"/>
                <w:szCs w:val="16"/>
                <w:color w:val="auto"/>
                <w:w w:val="95"/>
              </w:rPr>
              <w:t>Beginning</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jc w:val="center"/>
              <w:ind w:left="179"/>
              <w:spacing w:after="0"/>
              <w:rPr>
                <w:sz w:val="20"/>
                <w:szCs w:val="20"/>
                <w:color w:val="auto"/>
              </w:rPr>
            </w:pPr>
            <w:r>
              <w:rPr>
                <w:rFonts w:ascii="Arial" w:cs="Arial" w:eastAsia="Arial" w:hAnsi="Arial"/>
                <w:sz w:val="16"/>
                <w:szCs w:val="16"/>
                <w:color w:val="auto"/>
                <w:w w:val="92"/>
              </w:rPr>
              <w:t>Included</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jc w:val="center"/>
              <w:ind w:right="37"/>
              <w:spacing w:after="0"/>
              <w:rPr>
                <w:sz w:val="20"/>
                <w:szCs w:val="20"/>
                <w:color w:val="auto"/>
              </w:rPr>
            </w:pPr>
            <w:r>
              <w:rPr>
                <w:rFonts w:ascii="Arial" w:cs="Arial" w:eastAsia="Arial" w:hAnsi="Arial"/>
                <w:sz w:val="16"/>
                <w:szCs w:val="16"/>
                <w:color w:val="auto"/>
                <w:w w:val="91"/>
              </w:rPr>
              <w:t>Transfers</w:t>
            </w:r>
          </w:p>
        </w:tc>
        <w:tc>
          <w:tcPr>
            <w:tcW w:w="1180" w:type="dxa"/>
            <w:vAlign w:val="bottom"/>
          </w:tcPr>
          <w:p>
            <w:pPr>
              <w:jc w:val="center"/>
              <w:spacing w:after="0"/>
              <w:rPr>
                <w:sz w:val="20"/>
                <w:szCs w:val="20"/>
                <w:color w:val="auto"/>
              </w:rPr>
            </w:pPr>
            <w:r>
              <w:rPr>
                <w:rFonts w:ascii="Arial" w:cs="Arial" w:eastAsia="Arial" w:hAnsi="Arial"/>
                <w:sz w:val="16"/>
                <w:szCs w:val="16"/>
                <w:color w:val="auto"/>
                <w:w w:val="92"/>
              </w:rPr>
              <w:t>Ending</w:t>
            </w:r>
          </w:p>
        </w:tc>
        <w:tc>
          <w:tcPr>
            <w:tcW w:w="40" w:type="dxa"/>
            <w:vAlign w:val="bottom"/>
          </w:tcPr>
          <w:p>
            <w:pPr>
              <w:spacing w:after="0"/>
              <w:rPr>
                <w:sz w:val="24"/>
                <w:szCs w:val="24"/>
                <w:color w:val="auto"/>
              </w:rPr>
            </w:pPr>
          </w:p>
        </w:tc>
      </w:tr>
      <w:tr>
        <w:trPr>
          <w:trHeight w:val="203"/>
        </w:trPr>
        <w:tc>
          <w:tcPr>
            <w:tcW w:w="3380" w:type="dxa"/>
            <w:vAlign w:val="bottom"/>
          </w:tcPr>
          <w:p>
            <w:pPr>
              <w:spacing w:after="0"/>
              <w:rPr>
                <w:sz w:val="17"/>
                <w:szCs w:val="17"/>
                <w:color w:val="auto"/>
              </w:rPr>
            </w:pPr>
          </w:p>
        </w:tc>
        <w:tc>
          <w:tcPr>
            <w:tcW w:w="1300" w:type="dxa"/>
            <w:vAlign w:val="bottom"/>
          </w:tcPr>
          <w:p>
            <w:pPr>
              <w:jc w:val="center"/>
              <w:ind w:right="54"/>
              <w:spacing w:after="0"/>
              <w:rPr>
                <w:sz w:val="20"/>
                <w:szCs w:val="20"/>
                <w:color w:val="auto"/>
              </w:rPr>
            </w:pPr>
            <w:r>
              <w:rPr>
                <w:rFonts w:ascii="Arial" w:cs="Arial" w:eastAsia="Arial" w:hAnsi="Arial"/>
                <w:sz w:val="16"/>
                <w:szCs w:val="16"/>
                <w:color w:val="auto"/>
                <w:w w:val="86"/>
              </w:rPr>
              <w:t>balance at</w:t>
            </w:r>
          </w:p>
        </w:tc>
        <w:tc>
          <w:tcPr>
            <w:tcW w:w="1160" w:type="dxa"/>
            <w:vAlign w:val="bottom"/>
            <w:gridSpan w:val="2"/>
          </w:tcPr>
          <w:p>
            <w:pPr>
              <w:jc w:val="center"/>
              <w:ind w:right="83"/>
              <w:spacing w:after="0"/>
              <w:rPr>
                <w:sz w:val="20"/>
                <w:szCs w:val="20"/>
                <w:color w:val="auto"/>
              </w:rPr>
            </w:pPr>
            <w:r>
              <w:rPr>
                <w:rFonts w:ascii="Arial" w:cs="Arial" w:eastAsia="Arial" w:hAnsi="Arial"/>
                <w:sz w:val="16"/>
                <w:szCs w:val="16"/>
                <w:color w:val="auto"/>
                <w:w w:val="92"/>
              </w:rPr>
              <w:t>Included</w:t>
            </w:r>
          </w:p>
        </w:tc>
        <w:tc>
          <w:tcPr>
            <w:tcW w:w="940" w:type="dxa"/>
            <w:vAlign w:val="bottom"/>
          </w:tcPr>
          <w:p>
            <w:pPr>
              <w:jc w:val="center"/>
              <w:ind w:left="199"/>
              <w:spacing w:after="0"/>
              <w:rPr>
                <w:sz w:val="20"/>
                <w:szCs w:val="20"/>
                <w:color w:val="auto"/>
              </w:rPr>
            </w:pPr>
            <w:r>
              <w:rPr>
                <w:rFonts w:ascii="Arial" w:cs="Arial" w:eastAsia="Arial" w:hAnsi="Arial"/>
                <w:sz w:val="16"/>
                <w:szCs w:val="16"/>
                <w:color w:val="auto"/>
                <w:w w:val="93"/>
              </w:rPr>
              <w:t>in other</w:t>
            </w: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jc w:val="center"/>
              <w:ind w:right="37"/>
              <w:spacing w:after="0"/>
              <w:rPr>
                <w:sz w:val="20"/>
                <w:szCs w:val="20"/>
                <w:color w:val="auto"/>
              </w:rPr>
            </w:pPr>
            <w:r>
              <w:rPr>
                <w:rFonts w:ascii="Arial" w:cs="Arial" w:eastAsia="Arial" w:hAnsi="Arial"/>
                <w:sz w:val="16"/>
                <w:szCs w:val="16"/>
                <w:color w:val="auto"/>
                <w:w w:val="91"/>
              </w:rPr>
              <w:t>in and (out)</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balance at</w:t>
            </w:r>
          </w:p>
        </w:tc>
        <w:tc>
          <w:tcPr>
            <w:tcW w:w="4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1300" w:type="dxa"/>
            <w:vAlign w:val="bottom"/>
          </w:tcPr>
          <w:p>
            <w:pPr>
              <w:jc w:val="center"/>
              <w:ind w:right="54"/>
              <w:spacing w:after="0"/>
              <w:rPr>
                <w:sz w:val="20"/>
                <w:szCs w:val="20"/>
                <w:color w:val="auto"/>
              </w:rPr>
            </w:pPr>
            <w:r>
              <w:rPr>
                <w:rFonts w:ascii="Arial" w:cs="Arial" w:eastAsia="Arial" w:hAnsi="Arial"/>
                <w:sz w:val="16"/>
                <w:szCs w:val="16"/>
                <w:color w:val="auto"/>
                <w:w w:val="91"/>
              </w:rPr>
              <w:t>December 31,</w:t>
            </w:r>
          </w:p>
        </w:tc>
        <w:tc>
          <w:tcPr>
            <w:tcW w:w="320" w:type="dxa"/>
            <w:vAlign w:val="bottom"/>
          </w:tcPr>
          <w:p>
            <w:pPr>
              <w:spacing w:after="0"/>
              <w:rPr>
                <w:sz w:val="17"/>
                <w:szCs w:val="17"/>
                <w:color w:val="auto"/>
              </w:rPr>
            </w:pPr>
          </w:p>
        </w:tc>
        <w:tc>
          <w:tcPr>
            <w:tcW w:w="840" w:type="dxa"/>
            <w:vAlign w:val="bottom"/>
          </w:tcPr>
          <w:p>
            <w:pPr>
              <w:jc w:val="center"/>
              <w:ind w:right="403"/>
              <w:spacing w:after="0"/>
              <w:rPr>
                <w:sz w:val="20"/>
                <w:szCs w:val="20"/>
                <w:color w:val="auto"/>
              </w:rPr>
            </w:pPr>
            <w:r>
              <w:rPr>
                <w:rFonts w:ascii="Arial" w:cs="Arial" w:eastAsia="Arial" w:hAnsi="Arial"/>
                <w:sz w:val="16"/>
                <w:szCs w:val="16"/>
                <w:color w:val="auto"/>
                <w:w w:val="96"/>
              </w:rPr>
              <w:t>in</w:t>
            </w:r>
          </w:p>
        </w:tc>
        <w:tc>
          <w:tcPr>
            <w:tcW w:w="1940" w:type="dxa"/>
            <w:vAlign w:val="bottom"/>
            <w:gridSpan w:val="2"/>
          </w:tcPr>
          <w:p>
            <w:pPr>
              <w:jc w:val="center"/>
              <w:ind w:right="638"/>
              <w:spacing w:after="0"/>
              <w:rPr>
                <w:sz w:val="20"/>
                <w:szCs w:val="20"/>
                <w:color w:val="auto"/>
              </w:rPr>
            </w:pPr>
            <w:r>
              <w:rPr>
                <w:rFonts w:ascii="Arial" w:cs="Arial" w:eastAsia="Arial" w:hAnsi="Arial"/>
                <w:sz w:val="16"/>
                <w:szCs w:val="16"/>
                <w:color w:val="auto"/>
                <w:w w:val="90"/>
              </w:rPr>
              <w:t>comprehensive</w:t>
            </w: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jc w:val="center"/>
              <w:ind w:right="37"/>
              <w:spacing w:after="0"/>
              <w:rPr>
                <w:sz w:val="20"/>
                <w:szCs w:val="20"/>
                <w:color w:val="auto"/>
              </w:rPr>
            </w:pPr>
            <w:r>
              <w:rPr>
                <w:rFonts w:ascii="Arial" w:cs="Arial" w:eastAsia="Arial" w:hAnsi="Arial"/>
                <w:sz w:val="16"/>
                <w:szCs w:val="16"/>
                <w:color w:val="auto"/>
              </w:rPr>
              <w:t>of</w:t>
            </w:r>
          </w:p>
        </w:tc>
        <w:tc>
          <w:tcPr>
            <w:tcW w:w="1180" w:type="dxa"/>
            <w:vAlign w:val="bottom"/>
          </w:tcPr>
          <w:p>
            <w:pPr>
              <w:jc w:val="center"/>
              <w:spacing w:after="0"/>
              <w:rPr>
                <w:sz w:val="20"/>
                <w:szCs w:val="20"/>
                <w:color w:val="auto"/>
              </w:rPr>
            </w:pPr>
            <w:r>
              <w:rPr>
                <w:rFonts w:ascii="Arial" w:cs="Arial" w:eastAsia="Arial" w:hAnsi="Arial"/>
                <w:sz w:val="16"/>
                <w:szCs w:val="16"/>
                <w:color w:val="auto"/>
                <w:w w:val="92"/>
              </w:rPr>
              <w:t>March 31,</w:t>
            </w:r>
          </w:p>
        </w:tc>
        <w:tc>
          <w:tcPr>
            <w:tcW w:w="40" w:type="dxa"/>
            <w:vAlign w:val="bottom"/>
          </w:tcPr>
          <w:p>
            <w:pPr>
              <w:spacing w:after="0"/>
              <w:rPr>
                <w:sz w:val="17"/>
                <w:szCs w:val="17"/>
                <w:color w:val="auto"/>
              </w:rPr>
            </w:pPr>
          </w:p>
        </w:tc>
      </w:tr>
      <w:tr>
        <w:trPr>
          <w:trHeight w:val="212"/>
        </w:trPr>
        <w:tc>
          <w:tcPr>
            <w:tcW w:w="338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millions)</w:t>
            </w:r>
          </w:p>
        </w:tc>
        <w:tc>
          <w:tcPr>
            <w:tcW w:w="130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color w:val="auto"/>
                <w:w w:val="89"/>
              </w:rPr>
              <w:t>2010</w:t>
            </w:r>
          </w:p>
        </w:tc>
        <w:tc>
          <w:tcPr>
            <w:tcW w:w="1160" w:type="dxa"/>
            <w:vAlign w:val="bottom"/>
            <w:tcBorders>
              <w:bottom w:val="single" w:sz="8" w:color="auto"/>
            </w:tcBorders>
            <w:gridSpan w:val="2"/>
          </w:tcPr>
          <w:p>
            <w:pPr>
              <w:jc w:val="center"/>
              <w:ind w:right="83"/>
              <w:spacing w:after="0"/>
              <w:rPr>
                <w:sz w:val="20"/>
                <w:szCs w:val="20"/>
                <w:color w:val="auto"/>
              </w:rPr>
            </w:pPr>
            <w:r>
              <w:rPr>
                <w:rFonts w:ascii="Arial" w:cs="Arial" w:eastAsia="Arial" w:hAnsi="Arial"/>
                <w:sz w:val="16"/>
                <w:szCs w:val="16"/>
                <w:color w:val="auto"/>
                <w:w w:val="92"/>
              </w:rPr>
              <w:t xml:space="preserve">earnings </w:t>
            </w:r>
            <w:r>
              <w:rPr>
                <w:rFonts w:ascii="Arial" w:cs="Arial" w:eastAsia="Arial" w:hAnsi="Arial"/>
                <w:sz w:val="10"/>
                <w:szCs w:val="10"/>
                <w:color w:val="auto"/>
                <w:w w:val="92"/>
              </w:rPr>
              <w:t>(1)</w:t>
            </w:r>
          </w:p>
        </w:tc>
        <w:tc>
          <w:tcPr>
            <w:tcW w:w="94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color w:val="auto"/>
                <w:w w:val="92"/>
              </w:rPr>
              <w:t>income</w:t>
            </w:r>
          </w:p>
        </w:tc>
        <w:tc>
          <w:tcPr>
            <w:tcW w:w="1540" w:type="dxa"/>
            <w:vAlign w:val="bottom"/>
            <w:tcBorders>
              <w:bottom w:val="single" w:sz="8" w:color="auto"/>
            </w:tcBorders>
            <w:gridSpan w:val="2"/>
          </w:tcPr>
          <w:p>
            <w:pPr>
              <w:jc w:val="right"/>
              <w:ind w:right="277"/>
              <w:spacing w:after="0"/>
              <w:rPr>
                <w:sz w:val="20"/>
                <w:szCs w:val="20"/>
                <w:color w:val="auto"/>
              </w:rPr>
            </w:pPr>
            <w:r>
              <w:rPr>
                <w:rFonts w:ascii="Arial" w:cs="Arial" w:eastAsia="Arial" w:hAnsi="Arial"/>
                <w:sz w:val="16"/>
                <w:szCs w:val="16"/>
                <w:color w:val="auto"/>
              </w:rPr>
              <w:t>Purchases</w:t>
            </w: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6"/>
                <w:szCs w:val="16"/>
                <w:color w:val="auto"/>
              </w:rPr>
              <w:t>Sales</w:t>
            </w: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6"/>
                <w:szCs w:val="16"/>
                <w:color w:val="auto"/>
                <w:w w:val="96"/>
              </w:rPr>
              <w:t xml:space="preserve">Level 3 </w:t>
            </w:r>
            <w:r>
              <w:rPr>
                <w:rFonts w:ascii="Arial" w:cs="Arial" w:eastAsia="Arial" w:hAnsi="Arial"/>
                <w:sz w:val="10"/>
                <w:szCs w:val="10"/>
                <w:color w:val="auto"/>
                <w:w w:val="96"/>
              </w:rPr>
              <w:t>(2)</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2011</w:t>
            </w:r>
          </w:p>
        </w:tc>
        <w:tc>
          <w:tcPr>
            <w:tcW w:w="40" w:type="dxa"/>
            <w:vAlign w:val="bottom"/>
          </w:tcPr>
          <w:p>
            <w:pPr>
              <w:spacing w:after="0"/>
              <w:rPr>
                <w:sz w:val="18"/>
                <w:szCs w:val="18"/>
                <w:color w:val="auto"/>
              </w:rPr>
            </w:pPr>
          </w:p>
        </w:tc>
      </w:tr>
      <w:tr>
        <w:trPr>
          <w:trHeight w:val="196"/>
        </w:trPr>
        <w:tc>
          <w:tcPr>
            <w:tcW w:w="3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Indemnity</w:t>
            </w: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maturities:</w:t>
            </w: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80" w:type="dxa"/>
            <w:vAlign w:val="bottom"/>
          </w:tcPr>
          <w:p>
            <w:pPr>
              <w:ind w:left="360"/>
              <w:spacing w:after="0"/>
              <w:rPr>
                <w:sz w:val="20"/>
                <w:szCs w:val="20"/>
                <w:color w:val="auto"/>
              </w:rPr>
            </w:pPr>
            <w:r>
              <w:rPr>
                <w:rFonts w:ascii="Arial" w:cs="Arial" w:eastAsia="Arial" w:hAnsi="Arial"/>
                <w:sz w:val="18"/>
                <w:szCs w:val="18"/>
                <w:color w:val="auto"/>
              </w:rPr>
              <w:t>U.S. corporate debt – financial</w:t>
            </w: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$ 0</w:t>
            </w:r>
          </w:p>
        </w:tc>
        <w:tc>
          <w:tcPr>
            <w:tcW w:w="1160" w:type="dxa"/>
            <w:vAlign w:val="bottom"/>
            <w:gridSpan w:val="2"/>
          </w:tcPr>
          <w:p>
            <w:pPr>
              <w:jc w:val="right"/>
              <w:ind w:right="63"/>
              <w:spacing w:after="0"/>
              <w:rPr>
                <w:sz w:val="20"/>
                <w:szCs w:val="20"/>
                <w:color w:val="auto"/>
              </w:rPr>
            </w:pPr>
            <w:r>
              <w:rPr>
                <w:rFonts w:ascii="Arial" w:cs="Arial" w:eastAsia="Arial" w:hAnsi="Arial"/>
                <w:sz w:val="18"/>
                <w:szCs w:val="18"/>
                <w:color w:val="auto"/>
              </w:rPr>
              <w:t>$0</w:t>
            </w:r>
          </w:p>
        </w:tc>
        <w:tc>
          <w:tcPr>
            <w:tcW w:w="940" w:type="dxa"/>
            <w:vAlign w:val="bottom"/>
          </w:tcPr>
          <w:p>
            <w:pPr>
              <w:spacing w:after="0"/>
              <w:rPr>
                <w:sz w:val="18"/>
                <w:szCs w:val="18"/>
                <w:color w:val="auto"/>
              </w:rPr>
            </w:pPr>
          </w:p>
        </w:tc>
        <w:tc>
          <w:tcPr>
            <w:tcW w:w="1000" w:type="dxa"/>
            <w:vAlign w:val="bottom"/>
          </w:tcPr>
          <w:p>
            <w:pPr>
              <w:jc w:val="right"/>
              <w:ind w:right="61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137"/>
              <w:spacing w:after="0"/>
              <w:rPr>
                <w:sz w:val="20"/>
                <w:szCs w:val="20"/>
                <w:color w:val="auto"/>
              </w:rPr>
            </w:pPr>
            <w:r>
              <w:rPr>
                <w:rFonts w:ascii="Arial" w:cs="Arial" w:eastAsia="Arial" w:hAnsi="Arial"/>
                <w:sz w:val="18"/>
                <w:szCs w:val="18"/>
                <w:color w:val="auto"/>
              </w:rPr>
              <w:t>$0</w:t>
            </w:r>
          </w:p>
        </w:tc>
        <w:tc>
          <w:tcPr>
            <w:tcW w:w="1020" w:type="dxa"/>
            <w:vAlign w:val="bottom"/>
          </w:tcPr>
          <w:p>
            <w:pPr>
              <w:jc w:val="right"/>
              <w:ind w:right="137"/>
              <w:spacing w:after="0"/>
              <w:rPr>
                <w:sz w:val="20"/>
                <w:szCs w:val="20"/>
                <w:color w:val="auto"/>
              </w:rPr>
            </w:pPr>
            <w:r>
              <w:rPr>
                <w:rFonts w:ascii="Arial" w:cs="Arial" w:eastAsia="Arial" w:hAnsi="Arial"/>
                <w:sz w:val="18"/>
                <w:szCs w:val="18"/>
                <w:color w:val="auto"/>
              </w:rPr>
              <w:t>$0</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$ 0</w:t>
            </w:r>
          </w:p>
        </w:tc>
        <w:tc>
          <w:tcPr>
            <w:tcW w:w="40" w:type="dxa"/>
            <w:vAlign w:val="bottom"/>
          </w:tcPr>
          <w:p>
            <w:pPr>
              <w:spacing w:after="0"/>
              <w:rPr>
                <w:sz w:val="18"/>
                <w:szCs w:val="18"/>
                <w:color w:val="auto"/>
              </w:rPr>
            </w:pPr>
          </w:p>
        </w:tc>
      </w:tr>
      <w:tr>
        <w:trPr>
          <w:trHeight w:val="216"/>
        </w:trPr>
        <w:tc>
          <w:tcPr>
            <w:tcW w:w="3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Collateralized debt obligations</w:t>
            </w:r>
          </w:p>
        </w:tc>
        <w:tc>
          <w:tcPr>
            <w:tcW w:w="13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w:t>
            </w:r>
          </w:p>
        </w:tc>
        <w:tc>
          <w:tcPr>
            <w:tcW w:w="1160" w:type="dxa"/>
            <w:vAlign w:val="bottom"/>
            <w:tcBorders>
              <w:bottom w:val="single" w:sz="8" w:color="auto"/>
            </w:tcBorders>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0</w:t>
            </w:r>
          </w:p>
        </w:tc>
        <w:tc>
          <w:tcPr>
            <w:tcW w:w="9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18"/>
              <w:spacing w:after="0"/>
              <w:rPr>
                <w:sz w:val="20"/>
                <w:szCs w:val="20"/>
                <w:color w:val="auto"/>
              </w:rPr>
            </w:pPr>
            <w:r>
              <w:rPr>
                <w:rFonts w:ascii="Arial" w:cs="Arial" w:eastAsia="Arial" w:hAnsi="Arial"/>
                <w:sz w:val="18"/>
                <w:szCs w:val="18"/>
                <w:color w:val="auto"/>
              </w:rPr>
              <w:t>0</w:t>
            </w:r>
          </w:p>
        </w:tc>
        <w:tc>
          <w:tcPr>
            <w:tcW w:w="5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0</w:t>
            </w:r>
          </w:p>
        </w:tc>
        <w:tc>
          <w:tcPr>
            <w:tcW w:w="10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r>
      <w:tr>
        <w:trPr>
          <w:trHeight w:val="210"/>
        </w:trPr>
        <w:tc>
          <w:tcPr>
            <w:tcW w:w="3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fixed maturities</w:t>
            </w:r>
          </w:p>
        </w:tc>
        <w:tc>
          <w:tcPr>
            <w:tcW w:w="13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w:t>
            </w:r>
          </w:p>
        </w:tc>
        <w:tc>
          <w:tcPr>
            <w:tcW w:w="116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8"/>
                <w:szCs w:val="18"/>
                <w:color w:val="auto"/>
              </w:rPr>
              <w:t>0</w:t>
            </w:r>
          </w:p>
        </w:tc>
        <w:tc>
          <w:tcPr>
            <w:tcW w:w="9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18"/>
              <w:spacing w:after="0"/>
              <w:rPr>
                <w:sz w:val="20"/>
                <w:szCs w:val="20"/>
                <w:color w:val="auto"/>
              </w:rPr>
            </w:pPr>
            <w:r>
              <w:rPr>
                <w:rFonts w:ascii="Arial" w:cs="Arial" w:eastAsia="Arial" w:hAnsi="Arial"/>
                <w:sz w:val="18"/>
                <w:szCs w:val="18"/>
                <w:color w:val="auto"/>
              </w:rPr>
              <w:t>0</w:t>
            </w: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0</w:t>
            </w:r>
          </w:p>
        </w:tc>
        <w:tc>
          <w:tcPr>
            <w:tcW w:w="10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r>
      <w:tr>
        <w:trPr>
          <w:trHeight w:val="196"/>
        </w:trPr>
        <w:tc>
          <w:tcPr>
            <w:tcW w:w="338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Equity securities:</w:t>
            </w: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U.S. nonredeemable – financial</w:t>
            </w:r>
          </w:p>
        </w:tc>
        <w:tc>
          <w:tcPr>
            <w:tcW w:w="13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0</w:t>
            </w:r>
          </w:p>
        </w:tc>
        <w:tc>
          <w:tcPr>
            <w:tcW w:w="116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8"/>
                <w:szCs w:val="18"/>
                <w:color w:val="auto"/>
              </w:rPr>
              <w:t>0</w:t>
            </w:r>
          </w:p>
        </w:tc>
        <w:tc>
          <w:tcPr>
            <w:tcW w:w="9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18"/>
              <w:spacing w:after="0"/>
              <w:rPr>
                <w:sz w:val="20"/>
                <w:szCs w:val="20"/>
                <w:color w:val="auto"/>
              </w:rPr>
            </w:pPr>
            <w:r>
              <w:rPr>
                <w:rFonts w:ascii="Arial" w:cs="Arial" w:eastAsia="Arial" w:hAnsi="Arial"/>
                <w:sz w:val="18"/>
                <w:szCs w:val="18"/>
                <w:color w:val="auto"/>
              </w:rPr>
              <w:t>0</w:t>
            </w: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0</w:t>
            </w:r>
          </w:p>
        </w:tc>
        <w:tc>
          <w:tcPr>
            <w:tcW w:w="10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r>
      <w:tr>
        <w:trPr>
          <w:trHeight w:val="21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equity securities</w:t>
            </w:r>
          </w:p>
        </w:tc>
        <w:tc>
          <w:tcPr>
            <w:tcW w:w="13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0</w:t>
            </w:r>
          </w:p>
        </w:tc>
        <w:tc>
          <w:tcPr>
            <w:tcW w:w="1160" w:type="dxa"/>
            <w:vAlign w:val="bottom"/>
            <w:tcBorders>
              <w:bottom w:val="single" w:sz="8" w:color="auto"/>
            </w:tcBorders>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0</w:t>
            </w:r>
          </w:p>
        </w:tc>
        <w:tc>
          <w:tcPr>
            <w:tcW w:w="9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18"/>
              <w:spacing w:after="0"/>
              <w:rPr>
                <w:sz w:val="20"/>
                <w:szCs w:val="20"/>
                <w:color w:val="auto"/>
              </w:rPr>
            </w:pPr>
            <w:r>
              <w:rPr>
                <w:rFonts w:ascii="Arial" w:cs="Arial" w:eastAsia="Arial" w:hAnsi="Arial"/>
                <w:sz w:val="18"/>
                <w:szCs w:val="18"/>
                <w:color w:val="auto"/>
              </w:rPr>
              <w:t>0</w:t>
            </w:r>
          </w:p>
        </w:tc>
        <w:tc>
          <w:tcPr>
            <w:tcW w:w="5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0</w:t>
            </w:r>
          </w:p>
        </w:tc>
        <w:tc>
          <w:tcPr>
            <w:tcW w:w="10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Total Level 3 assets – Indemnity</w:t>
            </w: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$ 4</w:t>
            </w:r>
          </w:p>
        </w:tc>
        <w:tc>
          <w:tcPr>
            <w:tcW w:w="1160" w:type="dxa"/>
            <w:vAlign w:val="bottom"/>
            <w:gridSpan w:val="2"/>
          </w:tcPr>
          <w:p>
            <w:pPr>
              <w:jc w:val="right"/>
              <w:ind w:right="63"/>
              <w:spacing w:after="0"/>
              <w:rPr>
                <w:sz w:val="20"/>
                <w:szCs w:val="20"/>
                <w:color w:val="auto"/>
              </w:rPr>
            </w:pPr>
            <w:r>
              <w:rPr>
                <w:rFonts w:ascii="Arial" w:cs="Arial" w:eastAsia="Arial" w:hAnsi="Arial"/>
                <w:sz w:val="18"/>
                <w:szCs w:val="18"/>
                <w:color w:val="auto"/>
              </w:rPr>
              <w:t>$0</w:t>
            </w:r>
          </w:p>
        </w:tc>
        <w:tc>
          <w:tcPr>
            <w:tcW w:w="940" w:type="dxa"/>
            <w:vAlign w:val="bottom"/>
          </w:tcPr>
          <w:p>
            <w:pPr>
              <w:spacing w:after="0"/>
              <w:rPr>
                <w:sz w:val="19"/>
                <w:szCs w:val="19"/>
                <w:color w:val="auto"/>
              </w:rPr>
            </w:pPr>
          </w:p>
        </w:tc>
        <w:tc>
          <w:tcPr>
            <w:tcW w:w="1000" w:type="dxa"/>
            <w:vAlign w:val="bottom"/>
          </w:tcPr>
          <w:p>
            <w:pPr>
              <w:jc w:val="right"/>
              <w:ind w:right="61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137"/>
              <w:spacing w:after="0"/>
              <w:rPr>
                <w:sz w:val="20"/>
                <w:szCs w:val="20"/>
                <w:color w:val="auto"/>
              </w:rPr>
            </w:pPr>
            <w:r>
              <w:rPr>
                <w:rFonts w:ascii="Arial" w:cs="Arial" w:eastAsia="Arial" w:hAnsi="Arial"/>
                <w:sz w:val="18"/>
                <w:szCs w:val="18"/>
                <w:color w:val="auto"/>
              </w:rPr>
              <w:t>$0</w:t>
            </w:r>
          </w:p>
        </w:tc>
        <w:tc>
          <w:tcPr>
            <w:tcW w:w="1020" w:type="dxa"/>
            <w:vAlign w:val="bottom"/>
          </w:tcPr>
          <w:p>
            <w:pPr>
              <w:jc w:val="right"/>
              <w:ind w:right="137"/>
              <w:spacing w:after="0"/>
              <w:rPr>
                <w:sz w:val="20"/>
                <w:szCs w:val="20"/>
                <w:color w:val="auto"/>
              </w:rPr>
            </w:pPr>
            <w:r>
              <w:rPr>
                <w:rFonts w:ascii="Arial" w:cs="Arial" w:eastAsia="Arial" w:hAnsi="Arial"/>
                <w:sz w:val="18"/>
                <w:szCs w:val="18"/>
                <w:color w:val="auto"/>
              </w:rPr>
              <w:t>$0</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$ 4</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-2857500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-2857500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Exchange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44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4450"/>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sectPr>
      </w:pPr>
    </w:p>
    <w:bookmarkStart w:id="9" w:name="page10"/>
    <w:bookmarkEnd w:id="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maturities:</w:t>
            </w:r>
          </w:p>
        </w:tc>
        <w:tc>
          <w:tcPr>
            <w:tcW w:w="1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3380" w:type="dxa"/>
            <w:vAlign w:val="bottom"/>
          </w:tcPr>
          <w:p>
            <w:pPr>
              <w:ind w:left="360"/>
              <w:spacing w:after="0"/>
              <w:rPr>
                <w:sz w:val="20"/>
                <w:szCs w:val="20"/>
                <w:color w:val="auto"/>
              </w:rPr>
            </w:pPr>
            <w:r>
              <w:rPr>
                <w:rFonts w:ascii="Arial" w:cs="Arial" w:eastAsia="Arial" w:hAnsi="Arial"/>
                <w:sz w:val="18"/>
                <w:szCs w:val="18"/>
                <w:color w:val="auto"/>
              </w:rPr>
              <w:t>Municipal Securities</w:t>
            </w:r>
          </w:p>
        </w:tc>
        <w:tc>
          <w:tcPr>
            <w:tcW w:w="1640" w:type="dxa"/>
            <w:vAlign w:val="bottom"/>
          </w:tcPr>
          <w:p>
            <w:pPr>
              <w:jc w:val="right"/>
              <w:ind w:right="390"/>
              <w:spacing w:after="0"/>
              <w:rPr>
                <w:sz w:val="20"/>
                <w:szCs w:val="20"/>
                <w:color w:val="auto"/>
              </w:rPr>
            </w:pPr>
            <w:r>
              <w:rPr>
                <w:rFonts w:ascii="Arial" w:cs="Arial" w:eastAsia="Arial" w:hAnsi="Arial"/>
                <w:sz w:val="18"/>
                <w:szCs w:val="18"/>
                <w:color w:val="auto"/>
              </w:rPr>
              <w:t>$ 4</w:t>
            </w:r>
          </w:p>
        </w:tc>
        <w:tc>
          <w:tcPr>
            <w:tcW w:w="1280" w:type="dxa"/>
            <w:vAlign w:val="bottom"/>
          </w:tcPr>
          <w:p>
            <w:pPr>
              <w:jc w:val="right"/>
              <w:ind w:right="510"/>
              <w:spacing w:after="0"/>
              <w:rPr>
                <w:sz w:val="20"/>
                <w:szCs w:val="20"/>
                <w:color w:val="auto"/>
              </w:rPr>
            </w:pPr>
            <w:r>
              <w:rPr>
                <w:rFonts w:ascii="Arial" w:cs="Arial" w:eastAsia="Arial" w:hAnsi="Arial"/>
                <w:sz w:val="18"/>
                <w:szCs w:val="18"/>
                <w:color w:val="auto"/>
              </w:rPr>
              <w:t>$0</w:t>
            </w: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$0</w:t>
            </w: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$0</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$ 4</w:t>
            </w:r>
          </w:p>
        </w:tc>
      </w:tr>
      <w:tr>
        <w:trPr>
          <w:trHeight w:val="216"/>
        </w:trPr>
        <w:tc>
          <w:tcPr>
            <w:tcW w:w="3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corporate debt – non-financial</w:t>
            </w:r>
          </w:p>
        </w:tc>
        <w:tc>
          <w:tcPr>
            <w:tcW w:w="1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w:t>
            </w:r>
          </w:p>
        </w:tc>
        <w:tc>
          <w:tcPr>
            <w:tcW w:w="12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0</w:t>
            </w:r>
          </w:p>
        </w:tc>
        <w:tc>
          <w:tcPr>
            <w:tcW w:w="12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0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w:t>
            </w:r>
          </w:p>
        </w:tc>
        <w:tc>
          <w:tcPr>
            <w:tcW w:w="10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16"/>
        </w:trPr>
        <w:tc>
          <w:tcPr>
            <w:tcW w:w="3380" w:type="dxa"/>
            <w:vAlign w:val="bottom"/>
          </w:tcPr>
          <w:p>
            <w:pPr>
              <w:ind w:left="360"/>
              <w:spacing w:after="0"/>
              <w:rPr>
                <w:sz w:val="20"/>
                <w:szCs w:val="20"/>
                <w:color w:val="auto"/>
              </w:rPr>
            </w:pPr>
            <w:r>
              <w:rPr>
                <w:rFonts w:ascii="Arial" w:cs="Arial" w:eastAsia="Arial" w:hAnsi="Arial"/>
                <w:sz w:val="18"/>
                <w:szCs w:val="18"/>
                <w:color w:val="auto"/>
              </w:rPr>
              <w:t>U.S. corporate debt – financial</w:t>
            </w:r>
          </w:p>
        </w:tc>
        <w:tc>
          <w:tcPr>
            <w:tcW w:w="1640" w:type="dxa"/>
            <w:vAlign w:val="bottom"/>
          </w:tcPr>
          <w:p>
            <w:pPr>
              <w:jc w:val="right"/>
              <w:ind w:right="390"/>
              <w:spacing w:after="0"/>
              <w:rPr>
                <w:sz w:val="20"/>
                <w:szCs w:val="20"/>
                <w:color w:val="auto"/>
              </w:rPr>
            </w:pPr>
            <w:r>
              <w:rPr>
                <w:rFonts w:ascii="Arial" w:cs="Arial" w:eastAsia="Arial" w:hAnsi="Arial"/>
                <w:sz w:val="18"/>
                <w:szCs w:val="18"/>
                <w:color w:val="auto"/>
              </w:rPr>
              <w:t>2</w:t>
            </w:r>
          </w:p>
        </w:tc>
        <w:tc>
          <w:tcPr>
            <w:tcW w:w="1280" w:type="dxa"/>
            <w:vAlign w:val="bottom"/>
          </w:tcPr>
          <w:p>
            <w:pPr>
              <w:jc w:val="right"/>
              <w:ind w:right="510"/>
              <w:spacing w:after="0"/>
              <w:rPr>
                <w:sz w:val="20"/>
                <w:szCs w:val="20"/>
                <w:color w:val="auto"/>
              </w:rPr>
            </w:pPr>
            <w:r>
              <w:rPr>
                <w:rFonts w:ascii="Arial" w:cs="Arial" w:eastAsia="Arial" w:hAnsi="Arial"/>
                <w:sz w:val="18"/>
                <w:szCs w:val="18"/>
                <w:color w:val="auto"/>
              </w:rPr>
              <w:t>0</w:t>
            </w: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0</w:t>
            </w: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0</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3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Asset-backed securities – other</w:t>
            </w:r>
          </w:p>
        </w:tc>
        <w:tc>
          <w:tcPr>
            <w:tcW w:w="1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10</w:t>
            </w:r>
          </w:p>
        </w:tc>
        <w:tc>
          <w:tcPr>
            <w:tcW w:w="12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0</w:t>
            </w:r>
          </w:p>
        </w:tc>
        <w:tc>
          <w:tcPr>
            <w:tcW w:w="12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0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w:t>
            </w:r>
          </w:p>
        </w:tc>
        <w:tc>
          <w:tcPr>
            <w:tcW w:w="10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16"/>
        </w:trPr>
        <w:tc>
          <w:tcPr>
            <w:tcW w:w="3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Collateralized debt obligations</w:t>
            </w:r>
          </w:p>
        </w:tc>
        <w:tc>
          <w:tcPr>
            <w:tcW w:w="16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30</w:t>
            </w: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0</w:t>
            </w: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w:t>
            </w: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w:t>
            </w: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0</w:t>
            </w: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0</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r>
      <w:tr>
        <w:trPr>
          <w:trHeight w:val="21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fixed maturities</w:t>
            </w:r>
          </w:p>
        </w:tc>
        <w:tc>
          <w:tcPr>
            <w:tcW w:w="16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55</w:t>
            </w:r>
          </w:p>
        </w:tc>
        <w:tc>
          <w:tcPr>
            <w:tcW w:w="12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0</w:t>
            </w:r>
          </w:p>
        </w:tc>
        <w:tc>
          <w:tcPr>
            <w:tcW w:w="12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0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0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5</w:t>
            </w:r>
          </w:p>
        </w:tc>
        <w:tc>
          <w:tcPr>
            <w:tcW w:w="10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0</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196"/>
        </w:trPr>
        <w:tc>
          <w:tcPr>
            <w:tcW w:w="3380" w:type="dxa"/>
            <w:vAlign w:val="bottom"/>
          </w:tcPr>
          <w:p>
            <w:pPr>
              <w:ind w:left="180"/>
              <w:spacing w:after="0" w:line="196" w:lineRule="exact"/>
              <w:rPr>
                <w:sz w:val="20"/>
                <w:szCs w:val="20"/>
                <w:color w:val="auto"/>
              </w:rPr>
            </w:pPr>
            <w:r>
              <w:rPr>
                <w:rFonts w:ascii="Arial" w:cs="Arial" w:eastAsia="Arial" w:hAnsi="Arial"/>
                <w:sz w:val="18"/>
                <w:szCs w:val="18"/>
                <w:color w:val="auto"/>
              </w:rPr>
              <w:t>Equity securities:</w:t>
            </w:r>
          </w:p>
        </w:tc>
        <w:tc>
          <w:tcPr>
            <w:tcW w:w="1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6"/>
        </w:trPr>
        <w:tc>
          <w:tcPr>
            <w:tcW w:w="3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nonredeemable – financial</w:t>
            </w:r>
          </w:p>
        </w:tc>
        <w:tc>
          <w:tcPr>
            <w:tcW w:w="16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7</w:t>
            </w:r>
          </w:p>
        </w:tc>
        <w:tc>
          <w:tcPr>
            <w:tcW w:w="12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0</w:t>
            </w:r>
          </w:p>
        </w:tc>
        <w:tc>
          <w:tcPr>
            <w:tcW w:w="12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w:t>
            </w:r>
          </w:p>
        </w:tc>
        <w:tc>
          <w:tcPr>
            <w:tcW w:w="10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0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0</w:t>
            </w:r>
          </w:p>
        </w:tc>
        <w:tc>
          <w:tcPr>
            <w:tcW w:w="10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0</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10"/>
        </w:trPr>
        <w:tc>
          <w:tcPr>
            <w:tcW w:w="3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equity securities</w:t>
            </w:r>
          </w:p>
        </w:tc>
        <w:tc>
          <w:tcPr>
            <w:tcW w:w="16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7</w:t>
            </w: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0</w:t>
            </w: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w:t>
            </w: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w:t>
            </w: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0</w:t>
            </w: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0</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r>
      <w:tr>
        <w:trPr>
          <w:trHeight w:val="196"/>
        </w:trPr>
        <w:tc>
          <w:tcPr>
            <w:tcW w:w="3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Trading securities:</w:t>
            </w:r>
          </w:p>
        </w:tc>
        <w:tc>
          <w:tcPr>
            <w:tcW w:w="16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6"/>
        </w:trPr>
        <w:tc>
          <w:tcPr>
            <w:tcW w:w="3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Common stock</w:t>
            </w:r>
          </w:p>
        </w:tc>
        <w:tc>
          <w:tcPr>
            <w:tcW w:w="16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12</w:t>
            </w: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w:t>
            </w: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w:t>
            </w: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w:t>
            </w: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0</w:t>
            </w: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0</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Total Trading securities</w:t>
            </w:r>
          </w:p>
        </w:tc>
        <w:tc>
          <w:tcPr>
            <w:tcW w:w="16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12</w:t>
            </w:r>
          </w:p>
        </w:tc>
        <w:tc>
          <w:tcPr>
            <w:tcW w:w="12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w:t>
            </w:r>
          </w:p>
        </w:tc>
        <w:tc>
          <w:tcPr>
            <w:tcW w:w="12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0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0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0</w:t>
            </w:r>
          </w:p>
        </w:tc>
        <w:tc>
          <w:tcPr>
            <w:tcW w:w="10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0</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17"/>
        </w:trPr>
        <w:tc>
          <w:tcPr>
            <w:tcW w:w="3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Level 3 assets – Exchange</w:t>
            </w:r>
          </w:p>
        </w:tc>
        <w:tc>
          <w:tcPr>
            <w:tcW w:w="16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$74</w:t>
            </w: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w:t>
            </w: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w:t>
            </w: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w:t>
            </w: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$5</w:t>
            </w: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$0</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w:t>
            </w:r>
          </w:p>
        </w:tc>
      </w:tr>
      <w:tr>
        <w:trPr>
          <w:trHeight w:val="223"/>
        </w:trPr>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Total Level 3 assets – Erie Insurance Group</w:t>
            </w:r>
          </w:p>
        </w:tc>
        <w:tc>
          <w:tcPr>
            <w:tcW w:w="16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$78</w:t>
            </w:r>
          </w:p>
        </w:tc>
        <w:tc>
          <w:tcPr>
            <w:tcW w:w="12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w:t>
            </w:r>
          </w:p>
        </w:tc>
        <w:tc>
          <w:tcPr>
            <w:tcW w:w="12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w:t>
            </w:r>
          </w:p>
        </w:tc>
        <w:tc>
          <w:tcPr>
            <w:tcW w:w="10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0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$5</w:t>
            </w:r>
          </w:p>
        </w:tc>
        <w:tc>
          <w:tcPr>
            <w:tcW w:w="10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$0</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bl>
    <w:p>
      <w:pPr>
        <w:spacing w:after="0" w:line="197" w:lineRule="exact"/>
        <w:rPr>
          <w:sz w:val="20"/>
          <w:szCs w:val="20"/>
          <w:color w:val="auto"/>
        </w:rPr>
      </w:pPr>
    </w:p>
    <w:p>
      <w:pPr>
        <w:ind w:left="500" w:right="480" w:hanging="330"/>
        <w:spacing w:after="0" w:line="253" w:lineRule="auto"/>
        <w:tabs>
          <w:tab w:leader="none" w:pos="452" w:val="left"/>
        </w:tabs>
        <w:numPr>
          <w:ilvl w:val="0"/>
          <w:numId w:val="1"/>
        </w:numPr>
        <w:rPr>
          <w:rFonts w:ascii="Arial" w:cs="Arial" w:eastAsia="Arial" w:hAnsi="Arial"/>
          <w:sz w:val="14"/>
          <w:szCs w:val="14"/>
          <w:i w:val="1"/>
          <w:iCs w:val="1"/>
          <w:color w:val="auto"/>
        </w:rPr>
      </w:pPr>
      <w:r>
        <w:rPr>
          <w:rFonts w:ascii="Arial" w:cs="Arial" w:eastAsia="Arial" w:hAnsi="Arial"/>
          <w:sz w:val="14"/>
          <w:szCs w:val="14"/>
          <w:i w:val="1"/>
          <w:iCs w:val="1"/>
          <w:color w:val="auto"/>
        </w:rPr>
        <w:t>Includes losses as a result of other-than-temporary impairments and accrual of discount and amortization of premium. These amounts are reported in the Consolidated Statements of Operations. There was $1 million in unrealized gains included in earnings for the three months ended March 31, 2011 on Level 3 securities.</w:t>
      </w:r>
    </w:p>
    <w:p>
      <w:pPr>
        <w:spacing w:after="0" w:line="106" w:lineRule="exact"/>
        <w:rPr>
          <w:rFonts w:ascii="Arial" w:cs="Arial" w:eastAsia="Arial" w:hAnsi="Arial"/>
          <w:sz w:val="14"/>
          <w:szCs w:val="14"/>
          <w:i w:val="1"/>
          <w:iCs w:val="1"/>
          <w:color w:val="auto"/>
        </w:rPr>
      </w:pPr>
    </w:p>
    <w:p>
      <w:pPr>
        <w:ind w:left="500" w:right="440" w:hanging="330"/>
        <w:spacing w:after="0" w:line="253" w:lineRule="auto"/>
        <w:tabs>
          <w:tab w:leader="none" w:pos="452" w:val="left"/>
        </w:tabs>
        <w:numPr>
          <w:ilvl w:val="0"/>
          <w:numId w:val="1"/>
        </w:numPr>
        <w:rPr>
          <w:rFonts w:ascii="Arial" w:cs="Arial" w:eastAsia="Arial" w:hAnsi="Arial"/>
          <w:sz w:val="14"/>
          <w:szCs w:val="14"/>
          <w:i w:val="1"/>
          <w:iCs w:val="1"/>
          <w:color w:val="auto"/>
        </w:rPr>
      </w:pPr>
      <w:r>
        <w:rPr>
          <w:rFonts w:ascii="Arial" w:cs="Arial" w:eastAsia="Arial" w:hAnsi="Arial"/>
          <w:sz w:val="14"/>
          <w:szCs w:val="14"/>
          <w:i w:val="1"/>
          <w:iCs w:val="1"/>
          <w:color w:val="auto"/>
        </w:rPr>
        <w:t>Transfers in and out of Level 3 are attributable to changes in the availability of market observable information for individual securities within the respective categories. There were no significant transfers in and out of Level 3. Transfers in and out of levels are recognized at the end of the period.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transfers between levels 1 and 2 for the three months ended March 31, 2011.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represents the fair value measurements on a recurring basis for our consolidated available-for-sale and trading securities by asset class and level of input at December 31, 2010: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tcPr>
          <w:p>
            <w:pPr>
              <w:jc w:val="right"/>
              <w:ind w:right="402"/>
              <w:spacing w:after="0"/>
              <w:rPr>
                <w:sz w:val="20"/>
                <w:szCs w:val="20"/>
                <w:color w:val="auto"/>
              </w:rPr>
            </w:pPr>
            <w:r>
              <w:rPr>
                <w:rFonts w:ascii="Arial" w:cs="Arial" w:eastAsia="Arial" w:hAnsi="Arial"/>
                <w:sz w:val="16"/>
                <w:szCs w:val="16"/>
                <w:color w:val="auto"/>
              </w:rPr>
              <w:t>Erie Insurance Group</w:t>
            </w:r>
          </w:p>
        </w:tc>
        <w:tc>
          <w:tcPr>
            <w:tcW w:w="5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r>
      <w:tr>
        <w:trPr>
          <w:trHeight w:val="180"/>
        </w:trPr>
        <w:tc>
          <w:tcPr>
            <w:tcW w:w="5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780" w:type="dxa"/>
            <w:vAlign w:val="bottom"/>
            <w:gridSpan w:val="3"/>
          </w:tcPr>
          <w:p>
            <w:pPr>
              <w:jc w:val="right"/>
              <w:ind w:right="62"/>
              <w:spacing w:after="0" w:line="181" w:lineRule="exact"/>
              <w:rPr>
                <w:sz w:val="20"/>
                <w:szCs w:val="20"/>
                <w:color w:val="auto"/>
              </w:rPr>
            </w:pPr>
            <w:r>
              <w:rPr>
                <w:rFonts w:ascii="Arial" w:cs="Arial" w:eastAsia="Arial" w:hAnsi="Arial"/>
                <w:sz w:val="16"/>
                <w:szCs w:val="16"/>
                <w:color w:val="auto"/>
              </w:rPr>
              <w:t>Fair value measurements using:</w:t>
            </w:r>
          </w:p>
        </w:tc>
        <w:tc>
          <w:tcPr>
            <w:tcW w:w="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9"/>
        </w:trPr>
        <w:tc>
          <w:tcPr>
            <w:tcW w:w="5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60" w:type="dxa"/>
            <w:vAlign w:val="bottom"/>
          </w:tcPr>
          <w:p>
            <w:pPr>
              <w:jc w:val="center"/>
              <w:ind w:left="143"/>
              <w:spacing w:after="0" w:line="149" w:lineRule="exact"/>
              <w:rPr>
                <w:sz w:val="20"/>
                <w:szCs w:val="20"/>
                <w:color w:val="auto"/>
              </w:rPr>
            </w:pPr>
            <w:r>
              <w:rPr>
                <w:rFonts w:ascii="Arial" w:cs="Arial" w:eastAsia="Arial" w:hAnsi="Arial"/>
                <w:sz w:val="14"/>
                <w:szCs w:val="14"/>
                <w:color w:val="auto"/>
                <w:w w:val="94"/>
              </w:rPr>
              <w:t>Quoted prices in</w:t>
            </w: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60" w:type="dxa"/>
            <w:vAlign w:val="bottom"/>
          </w:tcPr>
          <w:p>
            <w:pPr>
              <w:jc w:val="center"/>
              <w:ind w:left="3"/>
              <w:spacing w:after="0" w:line="149" w:lineRule="exact"/>
              <w:rPr>
                <w:sz w:val="20"/>
                <w:szCs w:val="20"/>
                <w:color w:val="auto"/>
              </w:rPr>
            </w:pPr>
            <w:r>
              <w:rPr>
                <w:rFonts w:ascii="Arial" w:cs="Arial" w:eastAsia="Arial" w:hAnsi="Arial"/>
                <w:sz w:val="14"/>
                <w:szCs w:val="14"/>
                <w:color w:val="auto"/>
                <w:w w:val="95"/>
              </w:rPr>
              <w:t>Significant</w:t>
            </w:r>
          </w:p>
        </w:tc>
        <w:tc>
          <w:tcPr>
            <w:tcW w:w="200" w:type="dxa"/>
            <w:vAlign w:val="bottom"/>
          </w:tcPr>
          <w:p>
            <w:pPr>
              <w:spacing w:after="0"/>
              <w:rPr>
                <w:sz w:val="12"/>
                <w:szCs w:val="12"/>
                <w:color w:val="auto"/>
              </w:rPr>
            </w:pPr>
          </w:p>
        </w:tc>
      </w:tr>
      <w:tr>
        <w:trPr>
          <w:trHeight w:val="149"/>
        </w:trPr>
        <w:tc>
          <w:tcPr>
            <w:tcW w:w="5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60" w:type="dxa"/>
            <w:vAlign w:val="bottom"/>
          </w:tcPr>
          <w:p>
            <w:pPr>
              <w:jc w:val="center"/>
              <w:ind w:left="143"/>
              <w:spacing w:after="0" w:line="149" w:lineRule="exact"/>
              <w:rPr>
                <w:sz w:val="20"/>
                <w:szCs w:val="20"/>
                <w:color w:val="auto"/>
              </w:rPr>
            </w:pPr>
            <w:r>
              <w:rPr>
                <w:rFonts w:ascii="Arial" w:cs="Arial" w:eastAsia="Arial" w:hAnsi="Arial"/>
                <w:sz w:val="14"/>
                <w:szCs w:val="14"/>
                <w:color w:val="auto"/>
                <w:w w:val="94"/>
              </w:rPr>
              <w:t>active markets for</w:t>
            </w:r>
          </w:p>
        </w:tc>
        <w:tc>
          <w:tcPr>
            <w:tcW w:w="380" w:type="dxa"/>
            <w:vAlign w:val="bottom"/>
          </w:tcPr>
          <w:p>
            <w:pPr>
              <w:spacing w:after="0"/>
              <w:rPr>
                <w:sz w:val="12"/>
                <w:szCs w:val="12"/>
                <w:color w:val="auto"/>
              </w:rPr>
            </w:pPr>
          </w:p>
        </w:tc>
        <w:tc>
          <w:tcPr>
            <w:tcW w:w="1140" w:type="dxa"/>
            <w:vAlign w:val="bottom"/>
          </w:tcPr>
          <w:p>
            <w:pPr>
              <w:jc w:val="right"/>
              <w:ind w:right="2"/>
              <w:spacing w:after="0" w:line="149" w:lineRule="exact"/>
              <w:rPr>
                <w:sz w:val="20"/>
                <w:szCs w:val="20"/>
                <w:color w:val="auto"/>
              </w:rPr>
            </w:pPr>
            <w:r>
              <w:rPr>
                <w:rFonts w:ascii="Arial" w:cs="Arial" w:eastAsia="Arial" w:hAnsi="Arial"/>
                <w:sz w:val="14"/>
                <w:szCs w:val="14"/>
                <w:color w:val="auto"/>
              </w:rPr>
              <w:t>Significant</w:t>
            </w:r>
          </w:p>
        </w:tc>
        <w:tc>
          <w:tcPr>
            <w:tcW w:w="580" w:type="dxa"/>
            <w:vAlign w:val="bottom"/>
          </w:tcPr>
          <w:p>
            <w:pPr>
              <w:spacing w:after="0"/>
              <w:rPr>
                <w:sz w:val="12"/>
                <w:szCs w:val="12"/>
                <w:color w:val="auto"/>
              </w:rPr>
            </w:pPr>
          </w:p>
        </w:tc>
        <w:tc>
          <w:tcPr>
            <w:tcW w:w="1260" w:type="dxa"/>
            <w:vAlign w:val="bottom"/>
          </w:tcPr>
          <w:p>
            <w:pPr>
              <w:jc w:val="center"/>
              <w:ind w:left="3"/>
              <w:spacing w:after="0" w:line="149" w:lineRule="exact"/>
              <w:rPr>
                <w:sz w:val="20"/>
                <w:szCs w:val="20"/>
                <w:color w:val="auto"/>
              </w:rPr>
            </w:pPr>
            <w:r>
              <w:rPr>
                <w:rFonts w:ascii="Arial" w:cs="Arial" w:eastAsia="Arial" w:hAnsi="Arial"/>
                <w:sz w:val="14"/>
                <w:szCs w:val="14"/>
                <w:color w:val="auto"/>
                <w:w w:val="92"/>
              </w:rPr>
              <w:t>unobservable</w:t>
            </w:r>
          </w:p>
        </w:tc>
        <w:tc>
          <w:tcPr>
            <w:tcW w:w="200" w:type="dxa"/>
            <w:vAlign w:val="bottom"/>
          </w:tcPr>
          <w:p>
            <w:pPr>
              <w:spacing w:after="0"/>
              <w:rPr>
                <w:sz w:val="12"/>
                <w:szCs w:val="12"/>
                <w:color w:val="auto"/>
              </w:rPr>
            </w:pPr>
          </w:p>
        </w:tc>
      </w:tr>
      <w:tr>
        <w:trPr>
          <w:trHeight w:val="149"/>
        </w:trPr>
        <w:tc>
          <w:tcPr>
            <w:tcW w:w="5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60" w:type="dxa"/>
            <w:vAlign w:val="bottom"/>
          </w:tcPr>
          <w:p>
            <w:pPr>
              <w:jc w:val="center"/>
              <w:ind w:left="123"/>
              <w:spacing w:after="0" w:line="149" w:lineRule="exact"/>
              <w:rPr>
                <w:sz w:val="20"/>
                <w:szCs w:val="20"/>
                <w:color w:val="auto"/>
              </w:rPr>
            </w:pPr>
            <w:r>
              <w:rPr>
                <w:rFonts w:ascii="Arial" w:cs="Arial" w:eastAsia="Arial" w:hAnsi="Arial"/>
                <w:sz w:val="14"/>
                <w:szCs w:val="14"/>
                <w:color w:val="auto"/>
                <w:w w:val="89"/>
              </w:rPr>
              <w:t>identical assets</w:t>
            </w:r>
          </w:p>
        </w:tc>
        <w:tc>
          <w:tcPr>
            <w:tcW w:w="380" w:type="dxa"/>
            <w:vAlign w:val="bottom"/>
          </w:tcPr>
          <w:p>
            <w:pPr>
              <w:spacing w:after="0"/>
              <w:rPr>
                <w:sz w:val="12"/>
                <w:szCs w:val="12"/>
                <w:color w:val="auto"/>
              </w:rPr>
            </w:pPr>
          </w:p>
        </w:tc>
        <w:tc>
          <w:tcPr>
            <w:tcW w:w="1720" w:type="dxa"/>
            <w:vAlign w:val="bottom"/>
            <w:gridSpan w:val="2"/>
          </w:tcPr>
          <w:p>
            <w:pPr>
              <w:jc w:val="right"/>
              <w:ind w:right="399"/>
              <w:spacing w:after="0" w:line="149" w:lineRule="exact"/>
              <w:rPr>
                <w:sz w:val="20"/>
                <w:szCs w:val="20"/>
                <w:color w:val="auto"/>
              </w:rPr>
            </w:pPr>
            <w:r>
              <w:rPr>
                <w:rFonts w:ascii="Arial" w:cs="Arial" w:eastAsia="Arial" w:hAnsi="Arial"/>
                <w:sz w:val="14"/>
                <w:szCs w:val="14"/>
                <w:color w:val="auto"/>
              </w:rPr>
              <w:t>observable inputs</w:t>
            </w:r>
          </w:p>
        </w:tc>
        <w:tc>
          <w:tcPr>
            <w:tcW w:w="1260" w:type="dxa"/>
            <w:vAlign w:val="bottom"/>
          </w:tcPr>
          <w:p>
            <w:pPr>
              <w:jc w:val="center"/>
              <w:ind w:left="3"/>
              <w:spacing w:after="0" w:line="149" w:lineRule="exact"/>
              <w:rPr>
                <w:sz w:val="20"/>
                <w:szCs w:val="20"/>
                <w:color w:val="auto"/>
              </w:rPr>
            </w:pPr>
            <w:r>
              <w:rPr>
                <w:rFonts w:ascii="Arial" w:cs="Arial" w:eastAsia="Arial" w:hAnsi="Arial"/>
                <w:sz w:val="14"/>
                <w:szCs w:val="14"/>
                <w:color w:val="auto"/>
                <w:w w:val="90"/>
              </w:rPr>
              <w:t>inputs</w:t>
            </w:r>
          </w:p>
        </w:tc>
        <w:tc>
          <w:tcPr>
            <w:tcW w:w="200" w:type="dxa"/>
            <w:vAlign w:val="bottom"/>
          </w:tcPr>
          <w:p>
            <w:pPr>
              <w:spacing w:after="0"/>
              <w:rPr>
                <w:sz w:val="12"/>
                <w:szCs w:val="12"/>
                <w:color w:val="auto"/>
              </w:rPr>
            </w:pPr>
          </w:p>
        </w:tc>
      </w:tr>
      <w:tr>
        <w:trPr>
          <w:trHeight w:val="167"/>
        </w:trPr>
        <w:tc>
          <w:tcPr>
            <w:tcW w:w="500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millions)</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color w:val="auto"/>
              </w:rPr>
              <w:t>Total</w:t>
            </w:r>
          </w:p>
        </w:tc>
        <w:tc>
          <w:tcPr>
            <w:tcW w:w="6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left="143"/>
              <w:spacing w:after="0"/>
              <w:rPr>
                <w:sz w:val="20"/>
                <w:szCs w:val="20"/>
                <w:color w:val="auto"/>
              </w:rPr>
            </w:pPr>
            <w:r>
              <w:rPr>
                <w:rFonts w:ascii="Arial" w:cs="Arial" w:eastAsia="Arial" w:hAnsi="Arial"/>
                <w:sz w:val="14"/>
                <w:szCs w:val="14"/>
                <w:color w:val="auto"/>
                <w:w w:val="97"/>
              </w:rPr>
              <w:t>Level 1</w:t>
            </w: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color w:val="auto"/>
              </w:rPr>
              <w:t>Level 2</w:t>
            </w:r>
          </w:p>
        </w:tc>
        <w:tc>
          <w:tcPr>
            <w:tcW w:w="5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left="3"/>
              <w:spacing w:after="0"/>
              <w:rPr>
                <w:sz w:val="20"/>
                <w:szCs w:val="20"/>
                <w:color w:val="auto"/>
              </w:rPr>
            </w:pPr>
            <w:r>
              <w:rPr>
                <w:rFonts w:ascii="Arial" w:cs="Arial" w:eastAsia="Arial" w:hAnsi="Arial"/>
                <w:sz w:val="14"/>
                <w:szCs w:val="14"/>
                <w:color w:val="auto"/>
                <w:w w:val="92"/>
              </w:rPr>
              <w:t>Level 3</w:t>
            </w:r>
          </w:p>
        </w:tc>
        <w:tc>
          <w:tcPr>
            <w:tcW w:w="200" w:type="dxa"/>
            <w:vAlign w:val="bottom"/>
            <w:tcBorders>
              <w:bottom w:val="single" w:sz="8" w:color="auto"/>
            </w:tcBorders>
          </w:tcPr>
          <w:p>
            <w:pPr>
              <w:spacing w:after="0"/>
              <w:rPr>
                <w:sz w:val="14"/>
                <w:szCs w:val="14"/>
                <w:color w:val="auto"/>
              </w:rPr>
            </w:pPr>
          </w:p>
        </w:tc>
      </w:tr>
      <w:tr>
        <w:trPr>
          <w:trHeight w:val="183"/>
        </w:trPr>
        <w:tc>
          <w:tcPr>
            <w:tcW w:w="500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Indemnity</w:t>
            </w:r>
          </w:p>
        </w:tc>
        <w:tc>
          <w:tcPr>
            <w:tcW w:w="9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03"/>
        </w:trPr>
        <w:tc>
          <w:tcPr>
            <w:tcW w:w="500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5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Fixed maturities:</w:t>
            </w: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5000" w:type="dxa"/>
            <w:vAlign w:val="bottom"/>
          </w:tcPr>
          <w:p>
            <w:pPr>
              <w:ind w:left="360"/>
              <w:spacing w:after="0"/>
              <w:rPr>
                <w:sz w:val="20"/>
                <w:szCs w:val="20"/>
                <w:color w:val="auto"/>
              </w:rPr>
            </w:pPr>
            <w:r>
              <w:rPr>
                <w:rFonts w:ascii="Arial" w:cs="Arial" w:eastAsia="Arial" w:hAnsi="Arial"/>
                <w:sz w:val="16"/>
                <w:szCs w:val="16"/>
                <w:color w:val="auto"/>
              </w:rPr>
              <w:t>U.S. treasuries and government agencies</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25</w:t>
            </w:r>
          </w:p>
        </w:tc>
        <w:tc>
          <w:tcPr>
            <w:tcW w:w="126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w w:val="78"/>
              </w:rPr>
              <w:t>25</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19"/>
              <w:spacing w:after="0"/>
              <w:rPr>
                <w:sz w:val="20"/>
                <w:szCs w:val="20"/>
                <w:color w:val="auto"/>
              </w:rPr>
            </w:pPr>
            <w:r>
              <w:rPr>
                <w:rFonts w:ascii="Arial" w:cs="Arial" w:eastAsia="Arial" w:hAnsi="Arial"/>
                <w:sz w:val="16"/>
                <w:szCs w:val="16"/>
                <w:color w:val="auto"/>
              </w:rPr>
              <w:t>0</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0</w:t>
            </w:r>
          </w:p>
        </w:tc>
      </w:tr>
      <w:tr>
        <w:trPr>
          <w:trHeight w:val="203"/>
        </w:trPr>
        <w:tc>
          <w:tcPr>
            <w:tcW w:w="5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Municipal securities</w:t>
            </w: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197</w:t>
            </w: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w:t>
            </w:r>
          </w:p>
        </w:tc>
        <w:tc>
          <w:tcPr>
            <w:tcW w:w="11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97"/>
              </w:rPr>
              <w:t>197</w:t>
            </w: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0</w:t>
            </w:r>
          </w:p>
        </w:tc>
      </w:tr>
      <w:tr>
        <w:trPr>
          <w:trHeight w:val="203"/>
        </w:trPr>
        <w:tc>
          <w:tcPr>
            <w:tcW w:w="5000" w:type="dxa"/>
            <w:vAlign w:val="bottom"/>
          </w:tcPr>
          <w:p>
            <w:pPr>
              <w:ind w:left="360"/>
              <w:spacing w:after="0"/>
              <w:rPr>
                <w:sz w:val="20"/>
                <w:szCs w:val="20"/>
                <w:color w:val="auto"/>
              </w:rPr>
            </w:pPr>
            <w:r>
              <w:rPr>
                <w:rFonts w:ascii="Arial" w:cs="Arial" w:eastAsia="Arial" w:hAnsi="Arial"/>
                <w:sz w:val="16"/>
                <w:szCs w:val="16"/>
                <w:color w:val="auto"/>
              </w:rPr>
              <w:t>U.S. corporate debt – non-financial</w:t>
            </w:r>
          </w:p>
        </w:tc>
        <w:tc>
          <w:tcPr>
            <w:tcW w:w="960" w:type="dxa"/>
            <w:vAlign w:val="bottom"/>
          </w:tcPr>
          <w:p>
            <w:pPr>
              <w:spacing w:after="0"/>
              <w:rPr>
                <w:sz w:val="17"/>
                <w:szCs w:val="17"/>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12</w:t>
            </w:r>
          </w:p>
        </w:tc>
        <w:tc>
          <w:tcPr>
            <w:tcW w:w="1260" w:type="dxa"/>
            <w:vAlign w:val="bottom"/>
          </w:tcPr>
          <w:p>
            <w:pPr>
              <w:spacing w:after="0"/>
              <w:rPr>
                <w:sz w:val="17"/>
                <w:szCs w:val="17"/>
                <w:color w:val="auto"/>
              </w:rPr>
            </w:pP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1140" w:type="dxa"/>
            <w:vAlign w:val="bottom"/>
          </w:tcPr>
          <w:p>
            <w:pPr>
              <w:spacing w:after="0"/>
              <w:rPr>
                <w:sz w:val="17"/>
                <w:szCs w:val="17"/>
                <w:color w:val="auto"/>
              </w:rPr>
            </w:pPr>
          </w:p>
        </w:tc>
        <w:tc>
          <w:tcPr>
            <w:tcW w:w="580" w:type="dxa"/>
            <w:vAlign w:val="bottom"/>
          </w:tcPr>
          <w:p>
            <w:pPr>
              <w:jc w:val="right"/>
              <w:ind w:right="219"/>
              <w:spacing w:after="0"/>
              <w:rPr>
                <w:sz w:val="20"/>
                <w:szCs w:val="20"/>
                <w:color w:val="auto"/>
              </w:rPr>
            </w:pPr>
            <w:r>
              <w:rPr>
                <w:rFonts w:ascii="Arial" w:cs="Arial" w:eastAsia="Arial" w:hAnsi="Arial"/>
                <w:sz w:val="16"/>
                <w:szCs w:val="16"/>
                <w:color w:val="auto"/>
              </w:rPr>
              <w:t>12</w:t>
            </w:r>
          </w:p>
        </w:tc>
        <w:tc>
          <w:tcPr>
            <w:tcW w:w="126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0</w:t>
            </w:r>
          </w:p>
        </w:tc>
      </w:tr>
      <w:tr>
        <w:trPr>
          <w:trHeight w:val="203"/>
        </w:trPr>
        <w:tc>
          <w:tcPr>
            <w:tcW w:w="5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U.S. corporate debt – financial</w:t>
            </w: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26</w:t>
            </w: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w:t>
            </w:r>
          </w:p>
        </w:tc>
        <w:tc>
          <w:tcPr>
            <w:tcW w:w="11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26</w:t>
            </w: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0</w:t>
            </w:r>
          </w:p>
        </w:tc>
      </w:tr>
      <w:tr>
        <w:trPr>
          <w:trHeight w:val="203"/>
        </w:trPr>
        <w:tc>
          <w:tcPr>
            <w:tcW w:w="5000" w:type="dxa"/>
            <w:vAlign w:val="bottom"/>
          </w:tcPr>
          <w:p>
            <w:pPr>
              <w:ind w:left="360"/>
              <w:spacing w:after="0"/>
              <w:rPr>
                <w:sz w:val="20"/>
                <w:szCs w:val="20"/>
                <w:color w:val="auto"/>
              </w:rPr>
            </w:pPr>
            <w:r>
              <w:rPr>
                <w:rFonts w:ascii="Arial" w:cs="Arial" w:eastAsia="Arial" w:hAnsi="Arial"/>
                <w:sz w:val="16"/>
                <w:szCs w:val="16"/>
                <w:color w:val="auto"/>
              </w:rPr>
              <w:t>Structured securities:</w:t>
            </w: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50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Collateralized debt obligations</w:t>
            </w:r>
          </w:p>
        </w:tc>
        <w:tc>
          <w:tcPr>
            <w:tcW w:w="9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w:t>
            </w:r>
          </w:p>
        </w:tc>
        <w:tc>
          <w:tcPr>
            <w:tcW w:w="12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0</w:t>
            </w:r>
          </w:p>
        </w:tc>
        <w:tc>
          <w:tcPr>
            <w:tcW w:w="12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4</w:t>
            </w:r>
          </w:p>
        </w:tc>
      </w:tr>
      <w:tr>
        <w:trPr>
          <w:trHeight w:val="196"/>
        </w:trPr>
        <w:tc>
          <w:tcPr>
            <w:tcW w:w="50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fixed maturities</w:t>
            </w:r>
          </w:p>
        </w:tc>
        <w:tc>
          <w:tcPr>
            <w:tcW w:w="9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264</w:t>
            </w:r>
          </w:p>
        </w:tc>
        <w:tc>
          <w:tcPr>
            <w:tcW w:w="12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78"/>
              </w:rPr>
              <w:t>25</w:t>
            </w:r>
          </w:p>
        </w:tc>
        <w:tc>
          <w:tcPr>
            <w:tcW w:w="1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97"/>
              </w:rPr>
              <w:t>235</w:t>
            </w:r>
          </w:p>
        </w:tc>
        <w:tc>
          <w:tcPr>
            <w:tcW w:w="1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4</w:t>
            </w:r>
          </w:p>
        </w:tc>
      </w:tr>
      <w:tr>
        <w:trPr>
          <w:trHeight w:val="183"/>
        </w:trPr>
        <w:tc>
          <w:tcPr>
            <w:tcW w:w="5000" w:type="dxa"/>
            <w:vAlign w:val="bottom"/>
            <w:shd w:val="clear" w:color="auto" w:fill="CCEEFF"/>
          </w:tcPr>
          <w:p>
            <w:pPr>
              <w:ind w:left="180"/>
              <w:spacing w:after="0" w:line="183" w:lineRule="exact"/>
              <w:rPr>
                <w:sz w:val="20"/>
                <w:szCs w:val="20"/>
                <w:color w:val="auto"/>
              </w:rPr>
            </w:pPr>
            <w:r>
              <w:rPr>
                <w:rFonts w:ascii="Arial" w:cs="Arial" w:eastAsia="Arial" w:hAnsi="Arial"/>
                <w:sz w:val="16"/>
                <w:szCs w:val="16"/>
                <w:color w:val="auto"/>
              </w:rPr>
              <w:t>Equity securities:</w:t>
            </w:r>
          </w:p>
        </w:tc>
        <w:tc>
          <w:tcPr>
            <w:tcW w:w="9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03"/>
        </w:trPr>
        <w:tc>
          <w:tcPr>
            <w:tcW w:w="5000" w:type="dxa"/>
            <w:vAlign w:val="bottom"/>
          </w:tcPr>
          <w:p>
            <w:pPr>
              <w:ind w:left="360"/>
              <w:spacing w:after="0"/>
              <w:rPr>
                <w:sz w:val="20"/>
                <w:szCs w:val="20"/>
                <w:color w:val="auto"/>
              </w:rPr>
            </w:pPr>
            <w:r>
              <w:rPr>
                <w:rFonts w:ascii="Arial" w:cs="Arial" w:eastAsia="Arial" w:hAnsi="Arial"/>
                <w:sz w:val="16"/>
                <w:szCs w:val="16"/>
                <w:color w:val="auto"/>
              </w:rPr>
              <w:t>U.S. nonredeemable preferred securities:</w:t>
            </w: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50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Financial</w:t>
            </w: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w:t>
            </w: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w:t>
            </w:r>
          </w:p>
        </w:tc>
        <w:tc>
          <w:tcPr>
            <w:tcW w:w="11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6</w:t>
            </w: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0</w:t>
            </w:r>
          </w:p>
        </w:tc>
      </w:tr>
      <w:tr>
        <w:trPr>
          <w:trHeight w:val="203"/>
        </w:trPr>
        <w:tc>
          <w:tcPr>
            <w:tcW w:w="5000" w:type="dxa"/>
            <w:vAlign w:val="bottom"/>
          </w:tcPr>
          <w:p>
            <w:pPr>
              <w:ind w:left="540"/>
              <w:spacing w:after="0"/>
              <w:rPr>
                <w:sz w:val="20"/>
                <w:szCs w:val="20"/>
                <w:color w:val="auto"/>
              </w:rPr>
            </w:pPr>
            <w:r>
              <w:rPr>
                <w:rFonts w:ascii="Arial" w:cs="Arial" w:eastAsia="Arial" w:hAnsi="Arial"/>
                <w:sz w:val="16"/>
                <w:szCs w:val="16"/>
                <w:color w:val="auto"/>
              </w:rPr>
              <w:t>Non-financial</w:t>
            </w:r>
          </w:p>
        </w:tc>
        <w:tc>
          <w:tcPr>
            <w:tcW w:w="960" w:type="dxa"/>
            <w:vAlign w:val="bottom"/>
          </w:tcPr>
          <w:p>
            <w:pPr>
              <w:spacing w:after="0"/>
              <w:rPr>
                <w:sz w:val="17"/>
                <w:szCs w:val="17"/>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12</w:t>
            </w:r>
          </w:p>
        </w:tc>
        <w:tc>
          <w:tcPr>
            <w:tcW w:w="1260" w:type="dxa"/>
            <w:vAlign w:val="bottom"/>
          </w:tcPr>
          <w:p>
            <w:pPr>
              <w:spacing w:after="0"/>
              <w:rPr>
                <w:sz w:val="17"/>
                <w:szCs w:val="17"/>
                <w:color w:val="auto"/>
              </w:rPr>
            </w:pP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6</w:t>
            </w:r>
          </w:p>
        </w:tc>
        <w:tc>
          <w:tcPr>
            <w:tcW w:w="1140" w:type="dxa"/>
            <w:vAlign w:val="bottom"/>
          </w:tcPr>
          <w:p>
            <w:pPr>
              <w:spacing w:after="0"/>
              <w:rPr>
                <w:sz w:val="17"/>
                <w:szCs w:val="17"/>
                <w:color w:val="auto"/>
              </w:rPr>
            </w:pPr>
          </w:p>
        </w:tc>
        <w:tc>
          <w:tcPr>
            <w:tcW w:w="580" w:type="dxa"/>
            <w:vAlign w:val="bottom"/>
          </w:tcPr>
          <w:p>
            <w:pPr>
              <w:jc w:val="right"/>
              <w:ind w:right="219"/>
              <w:spacing w:after="0"/>
              <w:rPr>
                <w:sz w:val="20"/>
                <w:szCs w:val="20"/>
                <w:color w:val="auto"/>
              </w:rPr>
            </w:pPr>
            <w:r>
              <w:rPr>
                <w:rFonts w:ascii="Arial" w:cs="Arial" w:eastAsia="Arial" w:hAnsi="Arial"/>
                <w:sz w:val="16"/>
                <w:szCs w:val="16"/>
                <w:color w:val="auto"/>
              </w:rPr>
              <w:t>6</w:t>
            </w:r>
          </w:p>
        </w:tc>
        <w:tc>
          <w:tcPr>
            <w:tcW w:w="126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0</w:t>
            </w:r>
          </w:p>
        </w:tc>
      </w:tr>
      <w:tr>
        <w:trPr>
          <w:trHeight w:val="203"/>
        </w:trPr>
        <w:tc>
          <w:tcPr>
            <w:tcW w:w="5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nonredeemable preferred securities:</w:t>
            </w: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50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Non-financial</w:t>
            </w:r>
          </w:p>
        </w:tc>
        <w:tc>
          <w:tcPr>
            <w:tcW w:w="9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w:t>
            </w:r>
          </w:p>
        </w:tc>
        <w:tc>
          <w:tcPr>
            <w:tcW w:w="12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w:t>
            </w:r>
          </w:p>
        </w:tc>
        <w:tc>
          <w:tcPr>
            <w:tcW w:w="1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0</w:t>
            </w:r>
          </w:p>
        </w:tc>
      </w:tr>
      <w:tr>
        <w:trPr>
          <w:trHeight w:val="196"/>
        </w:trPr>
        <w:tc>
          <w:tcPr>
            <w:tcW w:w="5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equity securities</w:t>
            </w:r>
          </w:p>
        </w:tc>
        <w:tc>
          <w:tcPr>
            <w:tcW w:w="9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24</w:t>
            </w:r>
          </w:p>
        </w:tc>
        <w:tc>
          <w:tcPr>
            <w:tcW w:w="12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78"/>
              </w:rPr>
              <w:t>11</w:t>
            </w:r>
          </w:p>
        </w:tc>
        <w:tc>
          <w:tcPr>
            <w:tcW w:w="1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13</w:t>
            </w:r>
          </w:p>
        </w:tc>
        <w:tc>
          <w:tcPr>
            <w:tcW w:w="12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0</w:t>
            </w:r>
          </w:p>
        </w:tc>
      </w:tr>
      <w:tr>
        <w:trPr>
          <w:trHeight w:val="196"/>
        </w:trPr>
        <w:tc>
          <w:tcPr>
            <w:tcW w:w="50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available-for-sale securities</w:t>
            </w:r>
          </w:p>
        </w:tc>
        <w:tc>
          <w:tcPr>
            <w:tcW w:w="9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288</w:t>
            </w:r>
          </w:p>
        </w:tc>
        <w:tc>
          <w:tcPr>
            <w:tcW w:w="12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78"/>
              </w:rPr>
              <w:t>36</w:t>
            </w:r>
          </w:p>
        </w:tc>
        <w:tc>
          <w:tcPr>
            <w:tcW w:w="1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97"/>
              </w:rPr>
              <w:t>248</w:t>
            </w:r>
          </w:p>
        </w:tc>
        <w:tc>
          <w:tcPr>
            <w:tcW w:w="1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4</w:t>
            </w:r>
          </w:p>
        </w:tc>
      </w:tr>
      <w:tr>
        <w:trPr>
          <w:trHeight w:val="183"/>
        </w:trPr>
        <w:tc>
          <w:tcPr>
            <w:tcW w:w="50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Trading securities:</w:t>
            </w:r>
          </w:p>
        </w:tc>
        <w:tc>
          <w:tcPr>
            <w:tcW w:w="9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03"/>
        </w:trPr>
        <w:tc>
          <w:tcPr>
            <w:tcW w:w="50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Common stock</w:t>
            </w:r>
          </w:p>
        </w:tc>
        <w:tc>
          <w:tcPr>
            <w:tcW w:w="9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28</w:t>
            </w:r>
          </w:p>
        </w:tc>
        <w:tc>
          <w:tcPr>
            <w:tcW w:w="12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78"/>
              </w:rPr>
              <w:t>28</w:t>
            </w:r>
          </w:p>
        </w:tc>
        <w:tc>
          <w:tcPr>
            <w:tcW w:w="1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0</w:t>
            </w:r>
          </w:p>
        </w:tc>
        <w:tc>
          <w:tcPr>
            <w:tcW w:w="1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0</w:t>
            </w:r>
          </w:p>
        </w:tc>
      </w:tr>
      <w:tr>
        <w:trPr>
          <w:trHeight w:val="196"/>
        </w:trPr>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Total trading securities</w:t>
            </w:r>
          </w:p>
        </w:tc>
        <w:tc>
          <w:tcPr>
            <w:tcW w:w="9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28</w:t>
            </w:r>
          </w:p>
        </w:tc>
        <w:tc>
          <w:tcPr>
            <w:tcW w:w="12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78"/>
              </w:rPr>
              <w:t>28</w:t>
            </w:r>
          </w:p>
        </w:tc>
        <w:tc>
          <w:tcPr>
            <w:tcW w:w="1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0</w:t>
            </w:r>
          </w:p>
        </w:tc>
        <w:tc>
          <w:tcPr>
            <w:tcW w:w="12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0</w:t>
            </w:r>
          </w:p>
        </w:tc>
      </w:tr>
      <w:tr>
        <w:trPr>
          <w:trHeight w:val="203"/>
        </w:trPr>
        <w:tc>
          <w:tcPr>
            <w:tcW w:w="5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 Indemnity</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316</w:t>
            </w:r>
          </w:p>
        </w:tc>
        <w:tc>
          <w:tcPr>
            <w:tcW w:w="126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78"/>
              </w:rPr>
              <w:t>64</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97"/>
              </w:rPr>
              <w:t>248</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4</w:t>
            </w:r>
          </w:p>
        </w:tc>
      </w:tr>
      <w:tr>
        <w:trPr>
          <w:trHeight w:val="189"/>
        </w:trPr>
        <w:tc>
          <w:tcPr>
            <w:tcW w:w="5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Exchange</w:t>
            </w:r>
          </w:p>
        </w:tc>
        <w:tc>
          <w:tcPr>
            <w:tcW w:w="9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03"/>
        </w:trPr>
        <w:tc>
          <w:tcPr>
            <w:tcW w:w="500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5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Fixed maturities:</w:t>
            </w: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5000" w:type="dxa"/>
            <w:vAlign w:val="bottom"/>
          </w:tcPr>
          <w:p>
            <w:pPr>
              <w:ind w:left="360"/>
              <w:spacing w:after="0"/>
              <w:rPr>
                <w:sz w:val="20"/>
                <w:szCs w:val="20"/>
                <w:color w:val="auto"/>
              </w:rPr>
            </w:pPr>
            <w:r>
              <w:rPr>
                <w:rFonts w:ascii="Arial" w:cs="Arial" w:eastAsia="Arial" w:hAnsi="Arial"/>
                <w:sz w:val="16"/>
                <w:szCs w:val="16"/>
                <w:color w:val="auto"/>
              </w:rPr>
              <w:t>U.S. treasuries and government agencies</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12</w:t>
            </w:r>
          </w:p>
        </w:tc>
        <w:tc>
          <w:tcPr>
            <w:tcW w:w="126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w w:val="78"/>
              </w:rPr>
              <w:t>12</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19"/>
              <w:spacing w:after="0"/>
              <w:rPr>
                <w:sz w:val="20"/>
                <w:szCs w:val="20"/>
                <w:color w:val="auto"/>
              </w:rPr>
            </w:pPr>
            <w:r>
              <w:rPr>
                <w:rFonts w:ascii="Arial" w:cs="Arial" w:eastAsia="Arial" w:hAnsi="Arial"/>
                <w:sz w:val="16"/>
                <w:szCs w:val="16"/>
                <w:color w:val="auto"/>
              </w:rPr>
              <w:t>0</w:t>
            </w: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0</w:t>
            </w:r>
          </w:p>
        </w:tc>
      </w:tr>
      <w:tr>
        <w:trPr>
          <w:trHeight w:val="203"/>
        </w:trPr>
        <w:tc>
          <w:tcPr>
            <w:tcW w:w="5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U.S. government sponsored enterprises</w:t>
            </w: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75</w:t>
            </w: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w:t>
            </w:r>
          </w:p>
        </w:tc>
        <w:tc>
          <w:tcPr>
            <w:tcW w:w="11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75</w:t>
            </w: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0</w:t>
            </w:r>
          </w:p>
        </w:tc>
      </w:tr>
      <w:tr>
        <w:trPr>
          <w:trHeight w:val="203"/>
        </w:trPr>
        <w:tc>
          <w:tcPr>
            <w:tcW w:w="5000" w:type="dxa"/>
            <w:vAlign w:val="bottom"/>
          </w:tcPr>
          <w:p>
            <w:pPr>
              <w:ind w:left="360"/>
              <w:spacing w:after="0"/>
              <w:rPr>
                <w:sz w:val="20"/>
                <w:szCs w:val="20"/>
                <w:color w:val="auto"/>
              </w:rPr>
            </w:pPr>
            <w:r>
              <w:rPr>
                <w:rFonts w:ascii="Arial" w:cs="Arial" w:eastAsia="Arial" w:hAnsi="Arial"/>
                <w:sz w:val="16"/>
                <w:szCs w:val="16"/>
                <w:color w:val="auto"/>
              </w:rPr>
              <w:t>Foreign government</w:t>
            </w:r>
          </w:p>
        </w:tc>
        <w:tc>
          <w:tcPr>
            <w:tcW w:w="960" w:type="dxa"/>
            <w:vAlign w:val="bottom"/>
          </w:tcPr>
          <w:p>
            <w:pPr>
              <w:spacing w:after="0"/>
              <w:rPr>
                <w:sz w:val="17"/>
                <w:szCs w:val="17"/>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21</w:t>
            </w:r>
          </w:p>
        </w:tc>
        <w:tc>
          <w:tcPr>
            <w:tcW w:w="1260" w:type="dxa"/>
            <w:vAlign w:val="bottom"/>
          </w:tcPr>
          <w:p>
            <w:pPr>
              <w:spacing w:after="0"/>
              <w:rPr>
                <w:sz w:val="17"/>
                <w:szCs w:val="17"/>
                <w:color w:val="auto"/>
              </w:rPr>
            </w:pP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1140" w:type="dxa"/>
            <w:vAlign w:val="bottom"/>
          </w:tcPr>
          <w:p>
            <w:pPr>
              <w:spacing w:after="0"/>
              <w:rPr>
                <w:sz w:val="17"/>
                <w:szCs w:val="17"/>
                <w:color w:val="auto"/>
              </w:rPr>
            </w:pPr>
          </w:p>
        </w:tc>
        <w:tc>
          <w:tcPr>
            <w:tcW w:w="580" w:type="dxa"/>
            <w:vAlign w:val="bottom"/>
          </w:tcPr>
          <w:p>
            <w:pPr>
              <w:jc w:val="right"/>
              <w:ind w:right="219"/>
              <w:spacing w:after="0"/>
              <w:rPr>
                <w:sz w:val="20"/>
                <w:szCs w:val="20"/>
                <w:color w:val="auto"/>
              </w:rPr>
            </w:pPr>
            <w:r>
              <w:rPr>
                <w:rFonts w:ascii="Arial" w:cs="Arial" w:eastAsia="Arial" w:hAnsi="Arial"/>
                <w:sz w:val="16"/>
                <w:szCs w:val="16"/>
                <w:color w:val="auto"/>
              </w:rPr>
              <w:t>21</w:t>
            </w:r>
          </w:p>
        </w:tc>
        <w:tc>
          <w:tcPr>
            <w:tcW w:w="126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0</w:t>
            </w:r>
          </w:p>
        </w:tc>
      </w:tr>
      <w:tr>
        <w:trPr>
          <w:trHeight w:val="203"/>
        </w:trPr>
        <w:tc>
          <w:tcPr>
            <w:tcW w:w="5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Municipal securities</w:t>
            </w: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4"/>
              </w:rPr>
              <w:t>1,471</w:t>
            </w: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w:t>
            </w:r>
          </w:p>
        </w:tc>
        <w:tc>
          <w:tcPr>
            <w:tcW w:w="172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1,467</w:t>
            </w: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4</w:t>
            </w:r>
          </w:p>
        </w:tc>
      </w:tr>
      <w:tr>
        <w:trPr>
          <w:trHeight w:val="203"/>
        </w:trPr>
        <w:tc>
          <w:tcPr>
            <w:tcW w:w="5000" w:type="dxa"/>
            <w:vAlign w:val="bottom"/>
          </w:tcPr>
          <w:p>
            <w:pPr>
              <w:ind w:left="360"/>
              <w:spacing w:after="0"/>
              <w:rPr>
                <w:sz w:val="20"/>
                <w:szCs w:val="20"/>
                <w:color w:val="auto"/>
              </w:rPr>
            </w:pPr>
            <w:r>
              <w:rPr>
                <w:rFonts w:ascii="Arial" w:cs="Arial" w:eastAsia="Arial" w:hAnsi="Arial"/>
                <w:sz w:val="16"/>
                <w:szCs w:val="16"/>
                <w:color w:val="auto"/>
              </w:rPr>
              <w:t>U.S. corporate debt – non-financial</w:t>
            </w:r>
          </w:p>
        </w:tc>
        <w:tc>
          <w:tcPr>
            <w:tcW w:w="960" w:type="dxa"/>
            <w:vAlign w:val="bottom"/>
          </w:tcPr>
          <w:p>
            <w:pPr>
              <w:spacing w:after="0"/>
              <w:rPr>
                <w:sz w:val="17"/>
                <w:szCs w:val="17"/>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color w:val="auto"/>
                <w:w w:val="94"/>
              </w:rPr>
              <w:t>2,535</w:t>
            </w:r>
          </w:p>
        </w:tc>
        <w:tc>
          <w:tcPr>
            <w:tcW w:w="1260" w:type="dxa"/>
            <w:vAlign w:val="bottom"/>
          </w:tcPr>
          <w:p>
            <w:pPr>
              <w:spacing w:after="0"/>
              <w:rPr>
                <w:sz w:val="17"/>
                <w:szCs w:val="17"/>
                <w:color w:val="auto"/>
              </w:rPr>
            </w:pP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6</w:t>
            </w:r>
          </w:p>
        </w:tc>
        <w:tc>
          <w:tcPr>
            <w:tcW w:w="1720" w:type="dxa"/>
            <w:vAlign w:val="bottom"/>
            <w:gridSpan w:val="2"/>
          </w:tcPr>
          <w:p>
            <w:pPr>
              <w:jc w:val="right"/>
              <w:ind w:right="219"/>
              <w:spacing w:after="0"/>
              <w:rPr>
                <w:sz w:val="20"/>
                <w:szCs w:val="20"/>
                <w:color w:val="auto"/>
              </w:rPr>
            </w:pPr>
            <w:r>
              <w:rPr>
                <w:rFonts w:ascii="Arial" w:cs="Arial" w:eastAsia="Arial" w:hAnsi="Arial"/>
                <w:sz w:val="16"/>
                <w:szCs w:val="16"/>
                <w:color w:val="auto"/>
              </w:rPr>
              <w:t>2,520</w:t>
            </w:r>
          </w:p>
        </w:tc>
        <w:tc>
          <w:tcPr>
            <w:tcW w:w="126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9</w:t>
            </w:r>
          </w:p>
        </w:tc>
      </w:tr>
      <w:tr>
        <w:trPr>
          <w:trHeight w:val="203"/>
        </w:trPr>
        <w:tc>
          <w:tcPr>
            <w:tcW w:w="5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U.S. corporate debt – financial</w:t>
            </w: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4"/>
              </w:rPr>
              <w:t>1,897</w:t>
            </w: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w:t>
            </w:r>
          </w:p>
        </w:tc>
        <w:tc>
          <w:tcPr>
            <w:tcW w:w="172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1,889</w:t>
            </w: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2</w:t>
            </w:r>
          </w:p>
        </w:tc>
      </w:tr>
      <w:tr>
        <w:trPr>
          <w:trHeight w:val="203"/>
        </w:trPr>
        <w:tc>
          <w:tcPr>
            <w:tcW w:w="5000" w:type="dxa"/>
            <w:vAlign w:val="bottom"/>
          </w:tcPr>
          <w:p>
            <w:pPr>
              <w:ind w:left="360"/>
              <w:spacing w:after="0"/>
              <w:rPr>
                <w:sz w:val="20"/>
                <w:szCs w:val="20"/>
                <w:color w:val="auto"/>
              </w:rPr>
            </w:pPr>
            <w:r>
              <w:rPr>
                <w:rFonts w:ascii="Arial" w:cs="Arial" w:eastAsia="Arial" w:hAnsi="Arial"/>
                <w:sz w:val="16"/>
                <w:szCs w:val="16"/>
                <w:color w:val="auto"/>
              </w:rPr>
              <w:t>Foreign corporate debt – non-financial</w:t>
            </w:r>
          </w:p>
        </w:tc>
        <w:tc>
          <w:tcPr>
            <w:tcW w:w="960" w:type="dxa"/>
            <w:vAlign w:val="bottom"/>
          </w:tcPr>
          <w:p>
            <w:pPr>
              <w:spacing w:after="0"/>
              <w:rPr>
                <w:sz w:val="17"/>
                <w:szCs w:val="17"/>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449</w:t>
            </w:r>
          </w:p>
        </w:tc>
        <w:tc>
          <w:tcPr>
            <w:tcW w:w="1260" w:type="dxa"/>
            <w:vAlign w:val="bottom"/>
          </w:tcPr>
          <w:p>
            <w:pPr>
              <w:spacing w:after="0"/>
              <w:rPr>
                <w:sz w:val="17"/>
                <w:szCs w:val="17"/>
                <w:color w:val="auto"/>
              </w:rPr>
            </w:pP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1140" w:type="dxa"/>
            <w:vAlign w:val="bottom"/>
          </w:tcPr>
          <w:p>
            <w:pPr>
              <w:spacing w:after="0"/>
              <w:rPr>
                <w:sz w:val="17"/>
                <w:szCs w:val="17"/>
                <w:color w:val="auto"/>
              </w:rPr>
            </w:pPr>
          </w:p>
        </w:tc>
        <w:tc>
          <w:tcPr>
            <w:tcW w:w="580" w:type="dxa"/>
            <w:vAlign w:val="bottom"/>
          </w:tcPr>
          <w:p>
            <w:pPr>
              <w:jc w:val="right"/>
              <w:ind w:right="219"/>
              <w:spacing w:after="0"/>
              <w:rPr>
                <w:sz w:val="20"/>
                <w:szCs w:val="20"/>
                <w:color w:val="auto"/>
              </w:rPr>
            </w:pPr>
            <w:r>
              <w:rPr>
                <w:rFonts w:ascii="Arial" w:cs="Arial" w:eastAsia="Arial" w:hAnsi="Arial"/>
                <w:sz w:val="16"/>
                <w:szCs w:val="16"/>
                <w:color w:val="auto"/>
                <w:w w:val="97"/>
              </w:rPr>
              <w:t>449</w:t>
            </w:r>
          </w:p>
        </w:tc>
        <w:tc>
          <w:tcPr>
            <w:tcW w:w="126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0</w:t>
            </w:r>
          </w:p>
        </w:tc>
      </w:tr>
      <w:tr>
        <w:trPr>
          <w:trHeight w:val="203"/>
        </w:trPr>
        <w:tc>
          <w:tcPr>
            <w:tcW w:w="5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corporate debt – financial</w:t>
            </w: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382</w:t>
            </w: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w:t>
            </w:r>
          </w:p>
        </w:tc>
        <w:tc>
          <w:tcPr>
            <w:tcW w:w="11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97"/>
              </w:rPr>
              <w:t>382</w:t>
            </w: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0</w:t>
            </w:r>
          </w:p>
        </w:tc>
      </w:tr>
      <w:tr>
        <w:trPr>
          <w:trHeight w:val="203"/>
        </w:trPr>
        <w:tc>
          <w:tcPr>
            <w:tcW w:w="5000" w:type="dxa"/>
            <w:vAlign w:val="bottom"/>
          </w:tcPr>
          <w:p>
            <w:pPr>
              <w:ind w:left="360"/>
              <w:spacing w:after="0"/>
              <w:rPr>
                <w:sz w:val="20"/>
                <w:szCs w:val="20"/>
                <w:color w:val="auto"/>
              </w:rPr>
            </w:pPr>
            <w:r>
              <w:rPr>
                <w:rFonts w:ascii="Arial" w:cs="Arial" w:eastAsia="Arial" w:hAnsi="Arial"/>
                <w:sz w:val="16"/>
                <w:szCs w:val="16"/>
                <w:color w:val="auto"/>
              </w:rPr>
              <w:t>Structured securities:</w:t>
            </w: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50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Asset-backed securities – auto loans</w:t>
            </w: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38</w:t>
            </w: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w:t>
            </w:r>
          </w:p>
        </w:tc>
        <w:tc>
          <w:tcPr>
            <w:tcW w:w="11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38</w:t>
            </w: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0</w:t>
            </w:r>
          </w:p>
        </w:tc>
      </w:tr>
      <w:tr>
        <w:trPr>
          <w:trHeight w:val="203"/>
        </w:trPr>
        <w:tc>
          <w:tcPr>
            <w:tcW w:w="5000" w:type="dxa"/>
            <w:vAlign w:val="bottom"/>
          </w:tcPr>
          <w:p>
            <w:pPr>
              <w:ind w:left="540"/>
              <w:spacing w:after="0"/>
              <w:rPr>
                <w:sz w:val="20"/>
                <w:szCs w:val="20"/>
                <w:color w:val="auto"/>
              </w:rPr>
            </w:pPr>
            <w:r>
              <w:rPr>
                <w:rFonts w:ascii="Arial" w:cs="Arial" w:eastAsia="Arial" w:hAnsi="Arial"/>
                <w:sz w:val="16"/>
                <w:szCs w:val="16"/>
                <w:color w:val="auto"/>
              </w:rPr>
              <w:t>Asset-backed securities – other</w:t>
            </w:r>
          </w:p>
        </w:tc>
        <w:tc>
          <w:tcPr>
            <w:tcW w:w="960" w:type="dxa"/>
            <w:vAlign w:val="bottom"/>
          </w:tcPr>
          <w:p>
            <w:pPr>
              <w:spacing w:after="0"/>
              <w:rPr>
                <w:sz w:val="17"/>
                <w:szCs w:val="17"/>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19</w:t>
            </w:r>
          </w:p>
        </w:tc>
        <w:tc>
          <w:tcPr>
            <w:tcW w:w="1260" w:type="dxa"/>
            <w:vAlign w:val="bottom"/>
          </w:tcPr>
          <w:p>
            <w:pPr>
              <w:spacing w:after="0"/>
              <w:rPr>
                <w:sz w:val="17"/>
                <w:szCs w:val="17"/>
                <w:color w:val="auto"/>
              </w:rPr>
            </w:pP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1140" w:type="dxa"/>
            <w:vAlign w:val="bottom"/>
          </w:tcPr>
          <w:p>
            <w:pPr>
              <w:spacing w:after="0"/>
              <w:rPr>
                <w:sz w:val="17"/>
                <w:szCs w:val="17"/>
                <w:color w:val="auto"/>
              </w:rPr>
            </w:pPr>
          </w:p>
        </w:tc>
        <w:tc>
          <w:tcPr>
            <w:tcW w:w="580" w:type="dxa"/>
            <w:vAlign w:val="bottom"/>
          </w:tcPr>
          <w:p>
            <w:pPr>
              <w:jc w:val="right"/>
              <w:ind w:right="219"/>
              <w:spacing w:after="0"/>
              <w:rPr>
                <w:sz w:val="20"/>
                <w:szCs w:val="20"/>
                <w:color w:val="auto"/>
              </w:rPr>
            </w:pPr>
            <w:r>
              <w:rPr>
                <w:rFonts w:ascii="Arial" w:cs="Arial" w:eastAsia="Arial" w:hAnsi="Arial"/>
                <w:sz w:val="16"/>
                <w:szCs w:val="16"/>
                <w:color w:val="auto"/>
              </w:rPr>
              <w:t>9</w:t>
            </w:r>
          </w:p>
        </w:tc>
        <w:tc>
          <w:tcPr>
            <w:tcW w:w="1460" w:type="dxa"/>
            <w:vAlign w:val="bottom"/>
            <w:gridSpan w:val="2"/>
          </w:tcPr>
          <w:p>
            <w:pPr>
              <w:jc w:val="right"/>
              <w:ind w:right="19"/>
              <w:spacing w:after="0"/>
              <w:rPr>
                <w:sz w:val="20"/>
                <w:szCs w:val="20"/>
                <w:color w:val="auto"/>
              </w:rPr>
            </w:pPr>
            <w:r>
              <w:rPr>
                <w:rFonts w:ascii="Arial" w:cs="Arial" w:eastAsia="Arial" w:hAnsi="Arial"/>
                <w:sz w:val="16"/>
                <w:szCs w:val="16"/>
                <w:color w:val="auto"/>
              </w:rPr>
              <w:t>10</w:t>
            </w:r>
          </w:p>
        </w:tc>
      </w:tr>
      <w:tr>
        <w:trPr>
          <w:trHeight w:val="203"/>
        </w:trPr>
        <w:tc>
          <w:tcPr>
            <w:tcW w:w="50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Collateralized debt obligations</w:t>
            </w: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70</w:t>
            </w: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w:t>
            </w:r>
          </w:p>
        </w:tc>
        <w:tc>
          <w:tcPr>
            <w:tcW w:w="11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40</w:t>
            </w:r>
          </w:p>
        </w:tc>
        <w:tc>
          <w:tcPr>
            <w:tcW w:w="146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r>
      <w:tr>
        <w:trPr>
          <w:trHeight w:val="203"/>
        </w:trPr>
        <w:tc>
          <w:tcPr>
            <w:tcW w:w="5000" w:type="dxa"/>
            <w:vAlign w:val="bottom"/>
          </w:tcPr>
          <w:p>
            <w:pPr>
              <w:ind w:left="540"/>
              <w:spacing w:after="0"/>
              <w:rPr>
                <w:sz w:val="20"/>
                <w:szCs w:val="20"/>
                <w:color w:val="auto"/>
              </w:rPr>
            </w:pPr>
            <w:r>
              <w:rPr>
                <w:rFonts w:ascii="Arial" w:cs="Arial" w:eastAsia="Arial" w:hAnsi="Arial"/>
                <w:sz w:val="16"/>
                <w:szCs w:val="16"/>
                <w:color w:val="auto"/>
              </w:rPr>
              <w:t>Commercial mortgage-backed</w:t>
            </w:r>
          </w:p>
        </w:tc>
        <w:tc>
          <w:tcPr>
            <w:tcW w:w="960" w:type="dxa"/>
            <w:vAlign w:val="bottom"/>
          </w:tcPr>
          <w:p>
            <w:pPr>
              <w:spacing w:after="0"/>
              <w:rPr>
                <w:sz w:val="17"/>
                <w:szCs w:val="17"/>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86</w:t>
            </w:r>
          </w:p>
        </w:tc>
        <w:tc>
          <w:tcPr>
            <w:tcW w:w="1260" w:type="dxa"/>
            <w:vAlign w:val="bottom"/>
          </w:tcPr>
          <w:p>
            <w:pPr>
              <w:spacing w:after="0"/>
              <w:rPr>
                <w:sz w:val="17"/>
                <w:szCs w:val="17"/>
                <w:color w:val="auto"/>
              </w:rPr>
            </w:pP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1140" w:type="dxa"/>
            <w:vAlign w:val="bottom"/>
          </w:tcPr>
          <w:p>
            <w:pPr>
              <w:spacing w:after="0"/>
              <w:rPr>
                <w:sz w:val="17"/>
                <w:szCs w:val="17"/>
                <w:color w:val="auto"/>
              </w:rPr>
            </w:pPr>
          </w:p>
        </w:tc>
        <w:tc>
          <w:tcPr>
            <w:tcW w:w="580" w:type="dxa"/>
            <w:vAlign w:val="bottom"/>
          </w:tcPr>
          <w:p>
            <w:pPr>
              <w:jc w:val="right"/>
              <w:ind w:right="219"/>
              <w:spacing w:after="0"/>
              <w:rPr>
                <w:sz w:val="20"/>
                <w:szCs w:val="20"/>
                <w:color w:val="auto"/>
              </w:rPr>
            </w:pPr>
            <w:r>
              <w:rPr>
                <w:rFonts w:ascii="Arial" w:cs="Arial" w:eastAsia="Arial" w:hAnsi="Arial"/>
                <w:sz w:val="16"/>
                <w:szCs w:val="16"/>
                <w:color w:val="auto"/>
              </w:rPr>
              <w:t>86</w:t>
            </w:r>
          </w:p>
        </w:tc>
        <w:tc>
          <w:tcPr>
            <w:tcW w:w="126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0</w:t>
            </w:r>
          </w:p>
        </w:tc>
      </w:tr>
      <w:tr>
        <w:trPr>
          <w:trHeight w:val="203"/>
        </w:trPr>
        <w:tc>
          <w:tcPr>
            <w:tcW w:w="5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Residential mortgage-backed:</w:t>
            </w: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5000" w:type="dxa"/>
            <w:vAlign w:val="bottom"/>
          </w:tcPr>
          <w:p>
            <w:pPr>
              <w:ind w:left="540"/>
              <w:spacing w:after="0"/>
              <w:rPr>
                <w:sz w:val="20"/>
                <w:szCs w:val="20"/>
                <w:color w:val="auto"/>
              </w:rPr>
            </w:pPr>
            <w:r>
              <w:rPr>
                <w:rFonts w:ascii="Arial" w:cs="Arial" w:eastAsia="Arial" w:hAnsi="Arial"/>
                <w:sz w:val="16"/>
                <w:szCs w:val="16"/>
                <w:color w:val="auto"/>
              </w:rPr>
              <w:t>Government sponsored enterprises</w:t>
            </w:r>
          </w:p>
        </w:tc>
        <w:tc>
          <w:tcPr>
            <w:tcW w:w="960" w:type="dxa"/>
            <w:vAlign w:val="bottom"/>
          </w:tcPr>
          <w:p>
            <w:pPr>
              <w:spacing w:after="0"/>
              <w:rPr>
                <w:sz w:val="17"/>
                <w:szCs w:val="17"/>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205</w:t>
            </w:r>
          </w:p>
        </w:tc>
        <w:tc>
          <w:tcPr>
            <w:tcW w:w="1260" w:type="dxa"/>
            <w:vAlign w:val="bottom"/>
          </w:tcPr>
          <w:p>
            <w:pPr>
              <w:spacing w:after="0"/>
              <w:rPr>
                <w:sz w:val="17"/>
                <w:szCs w:val="17"/>
                <w:color w:val="auto"/>
              </w:rPr>
            </w:pP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1140" w:type="dxa"/>
            <w:vAlign w:val="bottom"/>
          </w:tcPr>
          <w:p>
            <w:pPr>
              <w:spacing w:after="0"/>
              <w:rPr>
                <w:sz w:val="17"/>
                <w:szCs w:val="17"/>
                <w:color w:val="auto"/>
              </w:rPr>
            </w:pPr>
          </w:p>
        </w:tc>
        <w:tc>
          <w:tcPr>
            <w:tcW w:w="580" w:type="dxa"/>
            <w:vAlign w:val="bottom"/>
          </w:tcPr>
          <w:p>
            <w:pPr>
              <w:jc w:val="right"/>
              <w:ind w:right="219"/>
              <w:spacing w:after="0"/>
              <w:rPr>
                <w:sz w:val="20"/>
                <w:szCs w:val="20"/>
                <w:color w:val="auto"/>
              </w:rPr>
            </w:pPr>
            <w:r>
              <w:rPr>
                <w:rFonts w:ascii="Arial" w:cs="Arial" w:eastAsia="Arial" w:hAnsi="Arial"/>
                <w:sz w:val="16"/>
                <w:szCs w:val="16"/>
                <w:color w:val="auto"/>
                <w:w w:val="97"/>
              </w:rPr>
              <w:t>205</w:t>
            </w:r>
          </w:p>
        </w:tc>
        <w:tc>
          <w:tcPr>
            <w:tcW w:w="126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0</w:t>
            </w:r>
          </w:p>
        </w:tc>
      </w:tr>
      <w:tr>
        <w:trPr>
          <w:trHeight w:val="203"/>
        </w:trPr>
        <w:tc>
          <w:tcPr>
            <w:tcW w:w="50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Non-government sponsored enterprises</w:t>
            </w:r>
          </w:p>
        </w:tc>
        <w:tc>
          <w:tcPr>
            <w:tcW w:w="9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19</w:t>
            </w:r>
          </w:p>
        </w:tc>
        <w:tc>
          <w:tcPr>
            <w:tcW w:w="12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19</w:t>
            </w:r>
          </w:p>
        </w:tc>
        <w:tc>
          <w:tcPr>
            <w:tcW w:w="12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0</w:t>
            </w:r>
          </w:p>
        </w:tc>
      </w:tr>
      <w:tr>
        <w:trPr>
          <w:trHeight w:val="196"/>
        </w:trPr>
        <w:tc>
          <w:tcPr>
            <w:tcW w:w="50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fixed maturities</w:t>
            </w:r>
          </w:p>
        </w:tc>
        <w:tc>
          <w:tcPr>
            <w:tcW w:w="9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94"/>
              </w:rPr>
              <w:t>7,279</w:t>
            </w:r>
          </w:p>
        </w:tc>
        <w:tc>
          <w:tcPr>
            <w:tcW w:w="12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78"/>
              </w:rPr>
              <w:t>24</w:t>
            </w:r>
          </w:p>
        </w:tc>
        <w:tc>
          <w:tcPr>
            <w:tcW w:w="172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6"/>
                <w:szCs w:val="16"/>
                <w:color w:val="auto"/>
              </w:rPr>
              <w:t>7,200</w:t>
            </w:r>
          </w:p>
        </w:tc>
        <w:tc>
          <w:tcPr>
            <w:tcW w:w="14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55</w:t>
            </w:r>
          </w:p>
        </w:tc>
      </w:tr>
      <w:tr>
        <w:trPr>
          <w:trHeight w:val="172"/>
        </w:trPr>
        <w:tc>
          <w:tcPr>
            <w:tcW w:w="5000" w:type="dxa"/>
            <w:vAlign w:val="bottom"/>
            <w:shd w:val="clear" w:color="auto" w:fill="CCEEFF"/>
          </w:tcPr>
          <w:p>
            <w:pPr>
              <w:ind w:left="180"/>
              <w:spacing w:after="0" w:line="171" w:lineRule="exact"/>
              <w:rPr>
                <w:sz w:val="20"/>
                <w:szCs w:val="20"/>
                <w:color w:val="auto"/>
              </w:rPr>
            </w:pPr>
            <w:r>
              <w:rPr>
                <w:rFonts w:ascii="Arial" w:cs="Arial" w:eastAsia="Arial" w:hAnsi="Arial"/>
                <w:sz w:val="16"/>
                <w:szCs w:val="16"/>
                <w:color w:val="auto"/>
              </w:rPr>
              <w:t>Equity securities:</w:t>
            </w:r>
          </w:p>
        </w:tc>
        <w:tc>
          <w:tcPr>
            <w:tcW w:w="9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bl>
    <w:p>
      <w:pPr>
        <w:sectPr>
          <w:pgSz w:w="11900" w:h="16900" w:orient="portrait"/>
          <w:cols w:equalWidth="0" w:num="1">
            <w:col w:w="11420"/>
          </w:cols>
          <w:pgMar w:left="240" w:top="140" w:right="239" w:bottom="0" w:gutter="0" w:footer="0" w:header="0"/>
        </w:sectPr>
      </w:pPr>
    </w:p>
    <w:bookmarkStart w:id="10" w:name="page11"/>
    <w:bookmarkEnd w:id="10"/>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00" w:type="dxa"/>
            <w:vAlign w:val="bottom"/>
          </w:tcPr>
          <w:p>
            <w:pPr>
              <w:ind w:left="360"/>
              <w:spacing w:after="0"/>
              <w:rPr>
                <w:sz w:val="20"/>
                <w:szCs w:val="20"/>
                <w:color w:val="auto"/>
              </w:rPr>
            </w:pPr>
            <w:r>
              <w:rPr>
                <w:rFonts w:ascii="Arial" w:cs="Arial" w:eastAsia="Arial" w:hAnsi="Arial"/>
                <w:sz w:val="16"/>
                <w:szCs w:val="16"/>
                <w:color w:val="auto"/>
              </w:rPr>
              <w:t>U.S. nonredeemable preferred securities:</w:t>
            </w:r>
          </w:p>
        </w:tc>
        <w:tc>
          <w:tcPr>
            <w:tcW w:w="19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6"/>
        </w:trPr>
        <w:tc>
          <w:tcPr>
            <w:tcW w:w="50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Financial</w:t>
            </w:r>
          </w:p>
        </w:tc>
        <w:tc>
          <w:tcPr>
            <w:tcW w:w="198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373</w:t>
            </w:r>
          </w:p>
        </w:tc>
        <w:tc>
          <w:tcPr>
            <w:tcW w:w="164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102</w:t>
            </w:r>
          </w:p>
        </w:tc>
        <w:tc>
          <w:tcPr>
            <w:tcW w:w="174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264</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03"/>
        </w:trPr>
        <w:tc>
          <w:tcPr>
            <w:tcW w:w="5000" w:type="dxa"/>
            <w:vAlign w:val="bottom"/>
          </w:tcPr>
          <w:p>
            <w:pPr>
              <w:ind w:left="720"/>
              <w:spacing w:after="0"/>
              <w:rPr>
                <w:sz w:val="20"/>
                <w:szCs w:val="20"/>
                <w:color w:val="auto"/>
              </w:rPr>
            </w:pPr>
            <w:r>
              <w:rPr>
                <w:rFonts w:ascii="Arial" w:cs="Arial" w:eastAsia="Arial" w:hAnsi="Arial"/>
                <w:sz w:val="16"/>
                <w:szCs w:val="16"/>
                <w:color w:val="auto"/>
              </w:rPr>
              <w:t>Non-financial</w:t>
            </w:r>
          </w:p>
        </w:tc>
        <w:tc>
          <w:tcPr>
            <w:tcW w:w="1980" w:type="dxa"/>
            <w:vAlign w:val="bottom"/>
          </w:tcPr>
          <w:p>
            <w:pPr>
              <w:jc w:val="right"/>
              <w:ind w:right="539"/>
              <w:spacing w:after="0"/>
              <w:rPr>
                <w:sz w:val="20"/>
                <w:szCs w:val="20"/>
                <w:color w:val="auto"/>
              </w:rPr>
            </w:pPr>
            <w:r>
              <w:rPr>
                <w:rFonts w:ascii="Arial" w:cs="Arial" w:eastAsia="Arial" w:hAnsi="Arial"/>
                <w:sz w:val="16"/>
                <w:szCs w:val="16"/>
                <w:color w:val="auto"/>
              </w:rPr>
              <w:t>133</w:t>
            </w:r>
          </w:p>
        </w:tc>
        <w:tc>
          <w:tcPr>
            <w:tcW w:w="1640" w:type="dxa"/>
            <w:vAlign w:val="bottom"/>
          </w:tcPr>
          <w:p>
            <w:pPr>
              <w:jc w:val="right"/>
              <w:ind w:right="519"/>
              <w:spacing w:after="0"/>
              <w:rPr>
                <w:sz w:val="20"/>
                <w:szCs w:val="20"/>
                <w:color w:val="auto"/>
              </w:rPr>
            </w:pPr>
            <w:r>
              <w:rPr>
                <w:rFonts w:ascii="Arial" w:cs="Arial" w:eastAsia="Arial" w:hAnsi="Arial"/>
                <w:sz w:val="16"/>
                <w:szCs w:val="16"/>
                <w:color w:val="auto"/>
              </w:rPr>
              <w:t>48</w:t>
            </w:r>
          </w:p>
        </w:tc>
        <w:tc>
          <w:tcPr>
            <w:tcW w:w="1740" w:type="dxa"/>
            <w:vAlign w:val="bottom"/>
          </w:tcPr>
          <w:p>
            <w:pPr>
              <w:jc w:val="right"/>
              <w:ind w:right="619"/>
              <w:spacing w:after="0"/>
              <w:rPr>
                <w:sz w:val="20"/>
                <w:szCs w:val="20"/>
                <w:color w:val="auto"/>
              </w:rPr>
            </w:pPr>
            <w:r>
              <w:rPr>
                <w:rFonts w:ascii="Arial" w:cs="Arial" w:eastAsia="Arial" w:hAnsi="Arial"/>
                <w:sz w:val="16"/>
                <w:szCs w:val="16"/>
                <w:color w:val="auto"/>
              </w:rPr>
              <w:t>85</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w:t>
            </w:r>
          </w:p>
        </w:tc>
      </w:tr>
      <w:tr>
        <w:trPr>
          <w:trHeight w:val="203"/>
        </w:trPr>
        <w:tc>
          <w:tcPr>
            <w:tcW w:w="50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Government sponsored enterprises</w:t>
            </w:r>
          </w:p>
        </w:tc>
        <w:tc>
          <w:tcPr>
            <w:tcW w:w="198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0</w:t>
            </w:r>
          </w:p>
        </w:tc>
        <w:tc>
          <w:tcPr>
            <w:tcW w:w="164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0</w:t>
            </w:r>
          </w:p>
        </w:tc>
        <w:tc>
          <w:tcPr>
            <w:tcW w:w="174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0</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w:t>
            </w:r>
          </w:p>
        </w:tc>
      </w:tr>
      <w:tr>
        <w:trPr>
          <w:trHeight w:val="203"/>
        </w:trPr>
        <w:tc>
          <w:tcPr>
            <w:tcW w:w="5000" w:type="dxa"/>
            <w:vAlign w:val="bottom"/>
          </w:tcPr>
          <w:p>
            <w:pPr>
              <w:ind w:left="360"/>
              <w:spacing w:after="0"/>
              <w:rPr>
                <w:sz w:val="20"/>
                <w:szCs w:val="20"/>
                <w:color w:val="auto"/>
              </w:rPr>
            </w:pPr>
            <w:r>
              <w:rPr>
                <w:rFonts w:ascii="Arial" w:cs="Arial" w:eastAsia="Arial" w:hAnsi="Arial"/>
                <w:sz w:val="16"/>
                <w:szCs w:val="16"/>
                <w:color w:val="auto"/>
              </w:rPr>
              <w:t>Foreign nonredeemable preferred securities:</w:t>
            </w:r>
          </w:p>
        </w:tc>
        <w:tc>
          <w:tcPr>
            <w:tcW w:w="19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0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Financial</w:t>
            </w:r>
          </w:p>
        </w:tc>
        <w:tc>
          <w:tcPr>
            <w:tcW w:w="198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55</w:t>
            </w:r>
          </w:p>
        </w:tc>
        <w:tc>
          <w:tcPr>
            <w:tcW w:w="164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16</w:t>
            </w:r>
          </w:p>
        </w:tc>
        <w:tc>
          <w:tcPr>
            <w:tcW w:w="174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39</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w:t>
            </w:r>
          </w:p>
        </w:tc>
      </w:tr>
      <w:tr>
        <w:trPr>
          <w:trHeight w:val="203"/>
        </w:trPr>
        <w:tc>
          <w:tcPr>
            <w:tcW w:w="500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Non-financial</w:t>
            </w:r>
          </w:p>
        </w:tc>
        <w:tc>
          <w:tcPr>
            <w:tcW w:w="19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9</w:t>
            </w:r>
          </w:p>
        </w:tc>
        <w:tc>
          <w:tcPr>
            <w:tcW w:w="16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0</w:t>
            </w:r>
          </w:p>
        </w:tc>
        <w:tc>
          <w:tcPr>
            <w:tcW w:w="17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9</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w:t>
            </w:r>
          </w:p>
        </w:tc>
      </w:tr>
      <w:tr>
        <w:trPr>
          <w:trHeight w:val="196"/>
        </w:trPr>
        <w:tc>
          <w:tcPr>
            <w:tcW w:w="5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equity securities</w:t>
            </w:r>
          </w:p>
        </w:tc>
        <w:tc>
          <w:tcPr>
            <w:tcW w:w="198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570</w:t>
            </w:r>
          </w:p>
        </w:tc>
        <w:tc>
          <w:tcPr>
            <w:tcW w:w="164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166</w:t>
            </w:r>
          </w:p>
        </w:tc>
        <w:tc>
          <w:tcPr>
            <w:tcW w:w="174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397</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03"/>
        </w:trPr>
        <w:tc>
          <w:tcPr>
            <w:tcW w:w="5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available-for-sale securities</w:t>
            </w:r>
          </w:p>
        </w:tc>
        <w:tc>
          <w:tcPr>
            <w:tcW w:w="19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7,849</w:t>
            </w:r>
          </w:p>
        </w:tc>
        <w:tc>
          <w:tcPr>
            <w:tcW w:w="16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190</w:t>
            </w:r>
          </w:p>
        </w:tc>
        <w:tc>
          <w:tcPr>
            <w:tcW w:w="17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7,597</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w:t>
            </w:r>
          </w:p>
        </w:tc>
      </w:tr>
      <w:tr>
        <w:trPr>
          <w:trHeight w:val="189"/>
        </w:trPr>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Trading securities:</w:t>
            </w:r>
          </w:p>
        </w:tc>
        <w:tc>
          <w:tcPr>
            <w:tcW w:w="19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3"/>
        </w:trPr>
        <w:tc>
          <w:tcPr>
            <w:tcW w:w="50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Common stock</w:t>
            </w:r>
          </w:p>
        </w:tc>
        <w:tc>
          <w:tcPr>
            <w:tcW w:w="19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2,306</w:t>
            </w:r>
          </w:p>
        </w:tc>
        <w:tc>
          <w:tcPr>
            <w:tcW w:w="16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2,294</w:t>
            </w:r>
          </w:p>
        </w:tc>
        <w:tc>
          <w:tcPr>
            <w:tcW w:w="17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0</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w:t>
            </w:r>
          </w:p>
        </w:tc>
      </w:tr>
      <w:tr>
        <w:trPr>
          <w:trHeight w:val="196"/>
        </w:trPr>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Total trading securities</w:t>
            </w:r>
          </w:p>
        </w:tc>
        <w:tc>
          <w:tcPr>
            <w:tcW w:w="198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2,306</w:t>
            </w:r>
          </w:p>
        </w:tc>
        <w:tc>
          <w:tcPr>
            <w:tcW w:w="164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2,294</w:t>
            </w:r>
          </w:p>
        </w:tc>
        <w:tc>
          <w:tcPr>
            <w:tcW w:w="174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0</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196"/>
        </w:trPr>
        <w:tc>
          <w:tcPr>
            <w:tcW w:w="5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 Exchange</w:t>
            </w:r>
          </w:p>
        </w:tc>
        <w:tc>
          <w:tcPr>
            <w:tcW w:w="19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$10,155</w:t>
            </w:r>
          </w:p>
        </w:tc>
        <w:tc>
          <w:tcPr>
            <w:tcW w:w="16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$2,484</w:t>
            </w:r>
          </w:p>
        </w:tc>
        <w:tc>
          <w:tcPr>
            <w:tcW w:w="17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$7,597</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w:t>
            </w:r>
          </w:p>
        </w:tc>
      </w:tr>
      <w:tr>
        <w:trPr>
          <w:trHeight w:val="203"/>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 Erie Insurance Group</w:t>
            </w:r>
          </w:p>
        </w:tc>
        <w:tc>
          <w:tcPr>
            <w:tcW w:w="198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$10,471</w:t>
            </w:r>
          </w:p>
        </w:tc>
        <w:tc>
          <w:tcPr>
            <w:tcW w:w="164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$2,548</w:t>
            </w:r>
          </w:p>
        </w:tc>
        <w:tc>
          <w:tcPr>
            <w:tcW w:w="174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$7,845</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Level 3 Assets – Quarterly Change: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3"/>
          </w:tcPr>
          <w:p>
            <w:pPr>
              <w:jc w:val="right"/>
              <w:ind w:right="551"/>
              <w:spacing w:after="0"/>
              <w:rPr>
                <w:sz w:val="20"/>
                <w:szCs w:val="20"/>
                <w:color w:val="auto"/>
              </w:rPr>
            </w:pPr>
            <w:r>
              <w:rPr>
                <w:rFonts w:ascii="Arial" w:cs="Arial" w:eastAsia="Arial" w:hAnsi="Arial"/>
                <w:sz w:val="18"/>
                <w:szCs w:val="18"/>
                <w:color w:val="auto"/>
              </w:rPr>
              <w:t>Erie Insurance Group</w:t>
            </w:r>
          </w:p>
        </w:tc>
        <w:tc>
          <w:tcPr>
            <w:tcW w:w="1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160" w:type="dxa"/>
            <w:vAlign w:val="bottom"/>
          </w:tcPr>
          <w:p>
            <w:pPr>
              <w:spacing w:after="0"/>
              <w:rPr>
                <w:sz w:val="16"/>
                <w:szCs w:val="16"/>
                <w:color w:val="auto"/>
              </w:rPr>
            </w:pPr>
          </w:p>
        </w:tc>
        <w:tc>
          <w:tcPr>
            <w:tcW w:w="1500" w:type="dxa"/>
            <w:vAlign w:val="bottom"/>
          </w:tcPr>
          <w:p>
            <w:pPr>
              <w:jc w:val="center"/>
              <w:ind w:right="12"/>
              <w:spacing w:after="0"/>
              <w:rPr>
                <w:sz w:val="20"/>
                <w:szCs w:val="20"/>
                <w:color w:val="auto"/>
              </w:rPr>
            </w:pPr>
            <w:r>
              <w:rPr>
                <w:rFonts w:ascii="Arial" w:cs="Arial" w:eastAsia="Arial" w:hAnsi="Arial"/>
                <w:sz w:val="16"/>
                <w:szCs w:val="16"/>
                <w:color w:val="auto"/>
                <w:w w:val="95"/>
              </w:rPr>
              <w:t>Beginning</w:t>
            </w: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1500" w:type="dxa"/>
            <w:vAlign w:val="bottom"/>
          </w:tcPr>
          <w:p>
            <w:pPr>
              <w:jc w:val="center"/>
              <w:ind w:right="12"/>
              <w:spacing w:after="0"/>
              <w:rPr>
                <w:sz w:val="20"/>
                <w:szCs w:val="20"/>
                <w:color w:val="auto"/>
              </w:rPr>
            </w:pPr>
            <w:r>
              <w:rPr>
                <w:rFonts w:ascii="Arial" w:cs="Arial" w:eastAsia="Arial" w:hAnsi="Arial"/>
                <w:sz w:val="16"/>
                <w:szCs w:val="16"/>
                <w:color w:val="auto"/>
                <w:w w:val="86"/>
              </w:rPr>
              <w:t>balance at</w:t>
            </w:r>
          </w:p>
        </w:tc>
        <w:tc>
          <w:tcPr>
            <w:tcW w:w="1200" w:type="dxa"/>
            <w:vAlign w:val="bottom"/>
          </w:tcPr>
          <w:p>
            <w:pPr>
              <w:spacing w:after="0"/>
              <w:rPr>
                <w:sz w:val="17"/>
                <w:szCs w:val="17"/>
                <w:color w:val="auto"/>
              </w:rPr>
            </w:pPr>
          </w:p>
        </w:tc>
        <w:tc>
          <w:tcPr>
            <w:tcW w:w="1560" w:type="dxa"/>
            <w:vAlign w:val="bottom"/>
            <w:gridSpan w:val="2"/>
          </w:tcPr>
          <w:p>
            <w:pPr>
              <w:jc w:val="center"/>
              <w:spacing w:after="0"/>
              <w:rPr>
                <w:sz w:val="20"/>
                <w:szCs w:val="20"/>
                <w:color w:val="auto"/>
              </w:rPr>
            </w:pPr>
            <w:r>
              <w:rPr>
                <w:rFonts w:ascii="Arial" w:cs="Arial" w:eastAsia="Arial" w:hAnsi="Arial"/>
                <w:sz w:val="16"/>
                <w:szCs w:val="16"/>
                <w:color w:val="auto"/>
                <w:w w:val="94"/>
              </w:rPr>
              <w:t>Included in other</w:t>
            </w:r>
          </w:p>
        </w:tc>
        <w:tc>
          <w:tcPr>
            <w:tcW w:w="1220" w:type="dxa"/>
            <w:vAlign w:val="bottom"/>
          </w:tcPr>
          <w:p>
            <w:pPr>
              <w:jc w:val="center"/>
              <w:spacing w:after="0"/>
              <w:rPr>
                <w:sz w:val="20"/>
                <w:szCs w:val="20"/>
                <w:color w:val="auto"/>
              </w:rPr>
            </w:pPr>
            <w:r>
              <w:rPr>
                <w:rFonts w:ascii="Arial" w:cs="Arial" w:eastAsia="Arial" w:hAnsi="Arial"/>
                <w:sz w:val="16"/>
                <w:szCs w:val="16"/>
                <w:color w:val="auto"/>
                <w:w w:val="84"/>
              </w:rPr>
              <w:t>Purchases,</w:t>
            </w:r>
          </w:p>
        </w:tc>
        <w:tc>
          <w:tcPr>
            <w:tcW w:w="1220" w:type="dxa"/>
            <w:vAlign w:val="bottom"/>
          </w:tcPr>
          <w:p>
            <w:pPr>
              <w:jc w:val="center"/>
              <w:spacing w:after="0"/>
              <w:rPr>
                <w:sz w:val="20"/>
                <w:szCs w:val="20"/>
                <w:color w:val="auto"/>
              </w:rPr>
            </w:pPr>
            <w:r>
              <w:rPr>
                <w:rFonts w:ascii="Arial" w:cs="Arial" w:eastAsia="Arial" w:hAnsi="Arial"/>
                <w:sz w:val="16"/>
                <w:szCs w:val="16"/>
                <w:color w:val="auto"/>
                <w:w w:val="92"/>
              </w:rPr>
              <w:t>Transfers in</w:t>
            </w:r>
          </w:p>
        </w:tc>
        <w:tc>
          <w:tcPr>
            <w:tcW w:w="1080" w:type="dxa"/>
            <w:vAlign w:val="bottom"/>
          </w:tcPr>
          <w:p>
            <w:pPr>
              <w:jc w:val="center"/>
              <w:ind w:left="273"/>
              <w:spacing w:after="0"/>
              <w:rPr>
                <w:sz w:val="20"/>
                <w:szCs w:val="20"/>
                <w:color w:val="auto"/>
              </w:rPr>
            </w:pPr>
            <w:r>
              <w:rPr>
                <w:rFonts w:ascii="Arial" w:cs="Arial" w:eastAsia="Arial" w:hAnsi="Arial"/>
                <w:sz w:val="16"/>
                <w:szCs w:val="16"/>
                <w:color w:val="auto"/>
                <w:w w:val="96"/>
              </w:rPr>
              <w:t>Ending</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1500" w:type="dxa"/>
            <w:vAlign w:val="bottom"/>
          </w:tcPr>
          <w:p>
            <w:pPr>
              <w:jc w:val="center"/>
              <w:ind w:right="12"/>
              <w:spacing w:after="0"/>
              <w:rPr>
                <w:sz w:val="20"/>
                <w:szCs w:val="20"/>
                <w:color w:val="auto"/>
              </w:rPr>
            </w:pPr>
            <w:r>
              <w:rPr>
                <w:rFonts w:ascii="Arial" w:cs="Arial" w:eastAsia="Arial" w:hAnsi="Arial"/>
                <w:sz w:val="16"/>
                <w:szCs w:val="16"/>
                <w:color w:val="auto"/>
                <w:w w:val="91"/>
              </w:rPr>
              <w:t>December 31,</w:t>
            </w:r>
          </w:p>
        </w:tc>
        <w:tc>
          <w:tcPr>
            <w:tcW w:w="1200" w:type="dxa"/>
            <w:vAlign w:val="bottom"/>
          </w:tcPr>
          <w:p>
            <w:pPr>
              <w:jc w:val="right"/>
              <w:ind w:right="151"/>
              <w:spacing w:after="0"/>
              <w:rPr>
                <w:sz w:val="20"/>
                <w:szCs w:val="20"/>
                <w:color w:val="auto"/>
              </w:rPr>
            </w:pPr>
            <w:r>
              <w:rPr>
                <w:rFonts w:ascii="Arial" w:cs="Arial" w:eastAsia="Arial" w:hAnsi="Arial"/>
                <w:sz w:val="16"/>
                <w:szCs w:val="16"/>
                <w:color w:val="auto"/>
              </w:rPr>
              <w:t>Included in</w:t>
            </w:r>
          </w:p>
        </w:tc>
        <w:tc>
          <w:tcPr>
            <w:tcW w:w="1560" w:type="dxa"/>
            <w:vAlign w:val="bottom"/>
            <w:gridSpan w:val="2"/>
          </w:tcPr>
          <w:p>
            <w:pPr>
              <w:jc w:val="center"/>
              <w:spacing w:after="0"/>
              <w:rPr>
                <w:sz w:val="20"/>
                <w:szCs w:val="20"/>
                <w:color w:val="auto"/>
              </w:rPr>
            </w:pPr>
            <w:r>
              <w:rPr>
                <w:rFonts w:ascii="Arial" w:cs="Arial" w:eastAsia="Arial" w:hAnsi="Arial"/>
                <w:sz w:val="16"/>
                <w:szCs w:val="16"/>
                <w:color w:val="auto"/>
                <w:w w:val="90"/>
              </w:rPr>
              <w:t>comprehensive</w:t>
            </w:r>
          </w:p>
        </w:tc>
        <w:tc>
          <w:tcPr>
            <w:tcW w:w="1220" w:type="dxa"/>
            <w:vAlign w:val="bottom"/>
          </w:tcPr>
          <w:p>
            <w:pPr>
              <w:jc w:val="center"/>
              <w:spacing w:after="0"/>
              <w:rPr>
                <w:sz w:val="20"/>
                <w:szCs w:val="20"/>
                <w:color w:val="auto"/>
              </w:rPr>
            </w:pPr>
            <w:r>
              <w:rPr>
                <w:rFonts w:ascii="Arial" w:cs="Arial" w:eastAsia="Arial" w:hAnsi="Arial"/>
                <w:sz w:val="16"/>
                <w:szCs w:val="16"/>
                <w:color w:val="auto"/>
                <w:w w:val="87"/>
              </w:rPr>
              <w:t>sales and</w:t>
            </w:r>
          </w:p>
        </w:tc>
        <w:tc>
          <w:tcPr>
            <w:tcW w:w="1220" w:type="dxa"/>
            <w:vAlign w:val="bottom"/>
          </w:tcPr>
          <w:p>
            <w:pPr>
              <w:jc w:val="center"/>
              <w:ind w:right="11"/>
              <w:spacing w:after="0"/>
              <w:rPr>
                <w:sz w:val="20"/>
                <w:szCs w:val="20"/>
                <w:color w:val="auto"/>
              </w:rPr>
            </w:pPr>
            <w:r>
              <w:rPr>
                <w:rFonts w:ascii="Arial" w:cs="Arial" w:eastAsia="Arial" w:hAnsi="Arial"/>
                <w:sz w:val="16"/>
                <w:szCs w:val="16"/>
                <w:color w:val="auto"/>
                <w:w w:val="92"/>
              </w:rPr>
              <w:t>and (out) of</w:t>
            </w:r>
          </w:p>
        </w:tc>
        <w:tc>
          <w:tcPr>
            <w:tcW w:w="1080" w:type="dxa"/>
            <w:vAlign w:val="bottom"/>
          </w:tcPr>
          <w:p>
            <w:pPr>
              <w:jc w:val="center"/>
              <w:ind w:left="273"/>
              <w:spacing w:after="0"/>
              <w:rPr>
                <w:sz w:val="20"/>
                <w:szCs w:val="20"/>
                <w:color w:val="auto"/>
              </w:rPr>
            </w:pPr>
            <w:r>
              <w:rPr>
                <w:rFonts w:ascii="Arial" w:cs="Arial" w:eastAsia="Arial" w:hAnsi="Arial"/>
                <w:sz w:val="16"/>
                <w:szCs w:val="16"/>
                <w:color w:val="auto"/>
                <w:w w:val="86"/>
              </w:rPr>
              <w:t>balance at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6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500" w:type="dxa"/>
            <w:vAlign w:val="bottom"/>
          </w:tcPr>
          <w:p>
            <w:pPr>
              <w:jc w:val="center"/>
              <w:ind w:right="12"/>
              <w:spacing w:after="0"/>
              <w:rPr>
                <w:sz w:val="20"/>
                <w:szCs w:val="20"/>
                <w:color w:val="auto"/>
              </w:rPr>
            </w:pPr>
            <w:r>
              <w:rPr>
                <w:rFonts w:ascii="Arial" w:cs="Arial" w:eastAsia="Arial" w:hAnsi="Arial"/>
                <w:sz w:val="16"/>
                <w:szCs w:val="16"/>
                <w:color w:val="auto"/>
                <w:w w:val="89"/>
              </w:rPr>
              <w:t>2009</w:t>
            </w:r>
          </w:p>
        </w:tc>
        <w:tc>
          <w:tcPr>
            <w:tcW w:w="1200" w:type="dxa"/>
            <w:vAlign w:val="bottom"/>
          </w:tcPr>
          <w:p>
            <w:pPr>
              <w:jc w:val="right"/>
              <w:ind w:right="151"/>
              <w:spacing w:after="0"/>
              <w:rPr>
                <w:sz w:val="20"/>
                <w:szCs w:val="20"/>
                <w:color w:val="auto"/>
              </w:rPr>
            </w:pPr>
            <w:r>
              <w:rPr>
                <w:rFonts w:ascii="Arial" w:cs="Arial" w:eastAsia="Arial" w:hAnsi="Arial"/>
                <w:sz w:val="16"/>
                <w:szCs w:val="16"/>
                <w:color w:val="auto"/>
              </w:rPr>
              <w:t xml:space="preserve">earnings </w:t>
            </w:r>
            <w:r>
              <w:rPr>
                <w:rFonts w:ascii="Arial" w:cs="Arial" w:eastAsia="Arial" w:hAnsi="Arial"/>
                <w:sz w:val="10"/>
                <w:szCs w:val="10"/>
                <w:color w:val="auto"/>
              </w:rPr>
              <w:t>(1)</w:t>
            </w:r>
          </w:p>
        </w:tc>
        <w:tc>
          <w:tcPr>
            <w:tcW w:w="1200" w:type="dxa"/>
            <w:vAlign w:val="bottom"/>
          </w:tcPr>
          <w:p>
            <w:pPr>
              <w:jc w:val="center"/>
              <w:ind w:left="273"/>
              <w:spacing w:after="0"/>
              <w:rPr>
                <w:sz w:val="20"/>
                <w:szCs w:val="20"/>
                <w:color w:val="auto"/>
              </w:rPr>
            </w:pPr>
            <w:r>
              <w:rPr>
                <w:rFonts w:ascii="Arial" w:cs="Arial" w:eastAsia="Arial" w:hAnsi="Arial"/>
                <w:sz w:val="16"/>
                <w:szCs w:val="16"/>
                <w:color w:val="auto"/>
                <w:w w:val="92"/>
              </w:rPr>
              <w:t>income</w:t>
            </w:r>
          </w:p>
        </w:tc>
        <w:tc>
          <w:tcPr>
            <w:tcW w:w="3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0"/>
              </w:rPr>
              <w:t>adjustments</w:t>
            </w:r>
          </w:p>
        </w:tc>
        <w:tc>
          <w:tcPr>
            <w:tcW w:w="1220" w:type="dxa"/>
            <w:vAlign w:val="bottom"/>
          </w:tcPr>
          <w:p>
            <w:pPr>
              <w:jc w:val="center"/>
              <w:spacing w:after="0"/>
              <w:rPr>
                <w:sz w:val="20"/>
                <w:szCs w:val="20"/>
                <w:color w:val="auto"/>
              </w:rPr>
            </w:pPr>
            <w:r>
              <w:rPr>
                <w:rFonts w:ascii="Arial" w:cs="Arial" w:eastAsia="Arial" w:hAnsi="Arial"/>
                <w:sz w:val="16"/>
                <w:szCs w:val="16"/>
                <w:color w:val="auto"/>
                <w:w w:val="96"/>
              </w:rPr>
              <w:t xml:space="preserve">Level 3 </w:t>
            </w:r>
            <w:r>
              <w:rPr>
                <w:rFonts w:ascii="Arial" w:cs="Arial" w:eastAsia="Arial" w:hAnsi="Arial"/>
                <w:sz w:val="10"/>
                <w:szCs w:val="10"/>
                <w:color w:val="auto"/>
                <w:w w:val="96"/>
              </w:rPr>
              <w:t>(2)</w:t>
            </w:r>
          </w:p>
        </w:tc>
        <w:tc>
          <w:tcPr>
            <w:tcW w:w="1540" w:type="dxa"/>
            <w:vAlign w:val="bottom"/>
            <w:gridSpan w:val="3"/>
          </w:tcPr>
          <w:p>
            <w:pPr>
              <w:jc w:val="center"/>
              <w:ind w:right="100"/>
              <w:spacing w:after="0"/>
              <w:rPr>
                <w:sz w:val="20"/>
                <w:szCs w:val="20"/>
                <w:color w:val="auto"/>
              </w:rPr>
            </w:pPr>
            <w:r>
              <w:rPr>
                <w:rFonts w:ascii="Arial" w:cs="Arial" w:eastAsia="Arial" w:hAnsi="Arial"/>
                <w:sz w:val="16"/>
                <w:szCs w:val="16"/>
                <w:color w:val="auto"/>
                <w:w w:val="93"/>
              </w:rPr>
              <w:t>March 31, 2010</w:t>
            </w:r>
          </w:p>
        </w:tc>
        <w:tc>
          <w:tcPr>
            <w:tcW w:w="0" w:type="dxa"/>
            <w:vAlign w:val="bottom"/>
          </w:tcPr>
          <w:p>
            <w:pPr>
              <w:spacing w:after="0"/>
              <w:rPr>
                <w:sz w:val="1"/>
                <w:szCs w:val="1"/>
                <w:color w:val="auto"/>
              </w:rPr>
            </w:pPr>
          </w:p>
        </w:tc>
      </w:tr>
      <w:tr>
        <w:trPr>
          <w:trHeight w:val="196"/>
        </w:trPr>
        <w:tc>
          <w:tcPr>
            <w:tcW w:w="3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Indemnity</w:t>
            </w:r>
          </w:p>
        </w:tc>
        <w:tc>
          <w:tcPr>
            <w:tcW w:w="15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maturities:</w:t>
            </w:r>
          </w:p>
        </w:tc>
        <w:tc>
          <w:tcPr>
            <w:tcW w:w="1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360"/>
              <w:spacing w:after="0"/>
              <w:rPr>
                <w:sz w:val="20"/>
                <w:szCs w:val="20"/>
                <w:color w:val="auto"/>
              </w:rPr>
            </w:pPr>
            <w:r>
              <w:rPr>
                <w:rFonts w:ascii="Arial" w:cs="Arial" w:eastAsia="Arial" w:hAnsi="Arial"/>
                <w:sz w:val="18"/>
                <w:szCs w:val="18"/>
                <w:color w:val="auto"/>
              </w:rPr>
              <w:t>U.S. corporate debt – financial</w:t>
            </w: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$ 2</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$0</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220" w:type="dxa"/>
            <w:vAlign w:val="bottom"/>
          </w:tcPr>
          <w:p>
            <w:pPr>
              <w:jc w:val="right"/>
              <w:ind w:right="171"/>
              <w:spacing w:after="0"/>
              <w:rPr>
                <w:sz w:val="20"/>
                <w:szCs w:val="20"/>
                <w:color w:val="auto"/>
              </w:rPr>
            </w:pPr>
            <w:r>
              <w:rPr>
                <w:rFonts w:ascii="Arial" w:cs="Arial" w:eastAsia="Arial" w:hAnsi="Arial"/>
                <w:sz w:val="18"/>
                <w:szCs w:val="18"/>
                <w:color w:val="auto"/>
              </w:rPr>
              <w:t>$ 0</w:t>
            </w: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$ 0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Collateralized debt obligations</w:t>
            </w:r>
          </w:p>
        </w:tc>
        <w:tc>
          <w:tcPr>
            <w:tcW w:w="15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8</w:t>
            </w:r>
          </w:p>
        </w:tc>
        <w:tc>
          <w:tcPr>
            <w:tcW w:w="12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0</w:t>
            </w:r>
          </w:p>
        </w:tc>
        <w:tc>
          <w:tcPr>
            <w:tcW w:w="12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2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0</w:t>
            </w:r>
          </w:p>
        </w:tc>
        <w:tc>
          <w:tcPr>
            <w:tcW w:w="12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0</w:t>
            </w:r>
          </w:p>
        </w:tc>
        <w:tc>
          <w:tcPr>
            <w:tcW w:w="10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fixed maturities</w:t>
            </w:r>
          </w:p>
        </w:tc>
        <w:tc>
          <w:tcPr>
            <w:tcW w:w="15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10</w:t>
            </w: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0</w:t>
            </w:r>
          </w:p>
        </w:tc>
        <w:tc>
          <w:tcPr>
            <w:tcW w:w="1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w:t>
            </w:r>
          </w:p>
        </w:tc>
        <w:tc>
          <w:tcPr>
            <w:tcW w:w="12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0</w:t>
            </w:r>
          </w:p>
        </w:tc>
        <w:tc>
          <w:tcPr>
            <w:tcW w:w="12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0</w:t>
            </w: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11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16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Equity securities:</w:t>
            </w:r>
          </w:p>
        </w:tc>
        <w:tc>
          <w:tcPr>
            <w:tcW w:w="1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U.S. nonredeemable – financial</w:t>
            </w:r>
          </w:p>
        </w:tc>
        <w:tc>
          <w:tcPr>
            <w:tcW w:w="15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w:t>
            </w: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0</w:t>
            </w:r>
          </w:p>
        </w:tc>
        <w:tc>
          <w:tcPr>
            <w:tcW w:w="1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w:t>
            </w:r>
          </w:p>
        </w:tc>
        <w:tc>
          <w:tcPr>
            <w:tcW w:w="12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0</w:t>
            </w:r>
          </w:p>
        </w:tc>
        <w:tc>
          <w:tcPr>
            <w:tcW w:w="12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0</w:t>
            </w: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equity securities</w:t>
            </w:r>
          </w:p>
        </w:tc>
        <w:tc>
          <w:tcPr>
            <w:tcW w:w="15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c>
          <w:tcPr>
            <w:tcW w:w="12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0</w:t>
            </w:r>
          </w:p>
        </w:tc>
        <w:tc>
          <w:tcPr>
            <w:tcW w:w="12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2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0</w:t>
            </w:r>
          </w:p>
        </w:tc>
        <w:tc>
          <w:tcPr>
            <w:tcW w:w="12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0</w:t>
            </w:r>
          </w:p>
        </w:tc>
        <w:tc>
          <w:tcPr>
            <w:tcW w:w="10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Level 3 assets – Indemnity</w:t>
            </w:r>
          </w:p>
        </w:tc>
        <w:tc>
          <w:tcPr>
            <w:tcW w:w="15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$11</w:t>
            </w: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w:t>
            </w:r>
          </w:p>
        </w:tc>
        <w:tc>
          <w:tcPr>
            <w:tcW w:w="12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$ 0</w:t>
            </w:r>
          </w:p>
        </w:tc>
        <w:tc>
          <w:tcPr>
            <w:tcW w:w="12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$ 0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13</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16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Exchange</w:t>
            </w:r>
          </w:p>
        </w:tc>
        <w:tc>
          <w:tcPr>
            <w:tcW w:w="15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maturities:</w:t>
            </w:r>
          </w:p>
        </w:tc>
        <w:tc>
          <w:tcPr>
            <w:tcW w:w="1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360"/>
              <w:spacing w:after="0"/>
              <w:rPr>
                <w:sz w:val="20"/>
                <w:szCs w:val="20"/>
                <w:color w:val="auto"/>
              </w:rPr>
            </w:pPr>
            <w:r>
              <w:rPr>
                <w:rFonts w:ascii="Arial" w:cs="Arial" w:eastAsia="Arial" w:hAnsi="Arial"/>
                <w:sz w:val="18"/>
                <w:szCs w:val="18"/>
                <w:color w:val="auto"/>
                <w:w w:val="99"/>
              </w:rPr>
              <w:t>U.S. corporate debt – non-financial</w:t>
            </w: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$17</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$0</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$(7)</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 backed securities – other</w:t>
            </w:r>
          </w:p>
        </w:tc>
        <w:tc>
          <w:tcPr>
            <w:tcW w:w="15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2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0</w:t>
            </w:r>
          </w:p>
        </w:tc>
        <w:tc>
          <w:tcPr>
            <w:tcW w:w="12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Collateralized debt obligations</w:t>
            </w:r>
          </w:p>
        </w:tc>
        <w:tc>
          <w:tcPr>
            <w:tcW w:w="15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49</w:t>
            </w: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w:t>
            </w:r>
          </w:p>
        </w:tc>
        <w:tc>
          <w:tcPr>
            <w:tcW w:w="1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w:t>
            </w:r>
          </w:p>
        </w:tc>
        <w:tc>
          <w:tcPr>
            <w:tcW w:w="12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0</w:t>
            </w:r>
          </w:p>
        </w:tc>
        <w:tc>
          <w:tcPr>
            <w:tcW w:w="12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13</w:t>
            </w: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70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fixed maturities</w:t>
            </w:r>
          </w:p>
        </w:tc>
        <w:tc>
          <w:tcPr>
            <w:tcW w:w="15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71</w:t>
            </w:r>
          </w:p>
        </w:tc>
        <w:tc>
          <w:tcPr>
            <w:tcW w:w="12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w:t>
            </w:r>
          </w:p>
        </w:tc>
        <w:tc>
          <w:tcPr>
            <w:tcW w:w="12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12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(7)</w:t>
            </w:r>
          </w:p>
        </w:tc>
        <w:tc>
          <w:tcPr>
            <w:tcW w:w="12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12</w:t>
            </w:r>
          </w:p>
        </w:tc>
        <w:tc>
          <w:tcPr>
            <w:tcW w:w="10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9"/>
              </w:rPr>
              <w:t>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160" w:type="dxa"/>
            <w:vAlign w:val="bottom"/>
          </w:tcPr>
          <w:p>
            <w:pPr>
              <w:ind w:left="180"/>
              <w:spacing w:after="0" w:line="196" w:lineRule="exact"/>
              <w:rPr>
                <w:sz w:val="20"/>
                <w:szCs w:val="20"/>
                <w:color w:val="auto"/>
              </w:rPr>
            </w:pPr>
            <w:r>
              <w:rPr>
                <w:rFonts w:ascii="Arial" w:cs="Arial" w:eastAsia="Arial" w:hAnsi="Arial"/>
                <w:sz w:val="18"/>
                <w:szCs w:val="18"/>
                <w:color w:val="auto"/>
              </w:rPr>
              <w:t>Equity securities:</w:t>
            </w: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nonredeemable – financial</w:t>
            </w:r>
          </w:p>
        </w:tc>
        <w:tc>
          <w:tcPr>
            <w:tcW w:w="15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w:t>
            </w:r>
          </w:p>
        </w:tc>
        <w:tc>
          <w:tcPr>
            <w:tcW w:w="12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0</w:t>
            </w:r>
          </w:p>
        </w:tc>
        <w:tc>
          <w:tcPr>
            <w:tcW w:w="12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2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0</w:t>
            </w:r>
          </w:p>
        </w:tc>
        <w:tc>
          <w:tcPr>
            <w:tcW w:w="12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0</w:t>
            </w:r>
          </w:p>
        </w:tc>
        <w:tc>
          <w:tcPr>
            <w:tcW w:w="10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equity securities</w:t>
            </w:r>
          </w:p>
        </w:tc>
        <w:tc>
          <w:tcPr>
            <w:tcW w:w="15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w:t>
            </w: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0</w:t>
            </w:r>
          </w:p>
        </w:tc>
        <w:tc>
          <w:tcPr>
            <w:tcW w:w="1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w:t>
            </w:r>
          </w:p>
        </w:tc>
        <w:tc>
          <w:tcPr>
            <w:tcW w:w="12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0</w:t>
            </w:r>
          </w:p>
        </w:tc>
        <w:tc>
          <w:tcPr>
            <w:tcW w:w="12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0</w:t>
            </w: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Trading securities:</w:t>
            </w:r>
          </w:p>
        </w:tc>
        <w:tc>
          <w:tcPr>
            <w:tcW w:w="1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Common stock</w:t>
            </w:r>
          </w:p>
        </w:tc>
        <w:tc>
          <w:tcPr>
            <w:tcW w:w="15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9</w:t>
            </w: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w:t>
            </w:r>
          </w:p>
        </w:tc>
        <w:tc>
          <w:tcPr>
            <w:tcW w:w="1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w:t>
            </w:r>
          </w:p>
        </w:tc>
        <w:tc>
          <w:tcPr>
            <w:tcW w:w="12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0</w:t>
            </w:r>
          </w:p>
        </w:tc>
        <w:tc>
          <w:tcPr>
            <w:tcW w:w="12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0</w:t>
            </w: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10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trading securities</w:t>
            </w:r>
          </w:p>
        </w:tc>
        <w:tc>
          <w:tcPr>
            <w:tcW w:w="15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9</w:t>
            </w:r>
          </w:p>
        </w:tc>
        <w:tc>
          <w:tcPr>
            <w:tcW w:w="12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w:t>
            </w:r>
          </w:p>
        </w:tc>
        <w:tc>
          <w:tcPr>
            <w:tcW w:w="12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2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0</w:t>
            </w:r>
          </w:p>
        </w:tc>
        <w:tc>
          <w:tcPr>
            <w:tcW w:w="12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0</w:t>
            </w:r>
          </w:p>
        </w:tc>
        <w:tc>
          <w:tcPr>
            <w:tcW w:w="10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9"/>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Level 3 assets – Exchange</w:t>
            </w:r>
          </w:p>
        </w:tc>
        <w:tc>
          <w:tcPr>
            <w:tcW w:w="15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$84</w:t>
            </w: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w:t>
            </w: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w:t>
            </w:r>
          </w:p>
        </w:tc>
        <w:tc>
          <w:tcPr>
            <w:tcW w:w="12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99</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316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Total Level 3 assets – Erie Insurance</w:t>
            </w:r>
          </w:p>
        </w:tc>
        <w:tc>
          <w:tcPr>
            <w:tcW w:w="150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$95</w:t>
            </w:r>
          </w:p>
        </w:tc>
        <w:tc>
          <w:tcPr>
            <w:tcW w:w="120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$2</w:t>
            </w:r>
          </w:p>
        </w:tc>
        <w:tc>
          <w:tcPr>
            <w:tcW w:w="156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22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$(7)</w:t>
            </w:r>
          </w:p>
        </w:tc>
        <w:tc>
          <w:tcPr>
            <w:tcW w:w="1220" w:type="dxa"/>
            <w:vAlign w:val="bottom"/>
            <w:vMerge w:val="restart"/>
            <w:shd w:val="clear" w:color="auto" w:fill="CCEEFF"/>
          </w:tcPr>
          <w:p>
            <w:pPr>
              <w:jc w:val="right"/>
              <w:ind w:right="191"/>
              <w:spacing w:after="0"/>
              <w:rPr>
                <w:sz w:val="20"/>
                <w:szCs w:val="20"/>
                <w:color w:val="auto"/>
              </w:rPr>
            </w:pPr>
            <w:r>
              <w:rPr>
                <w:rFonts w:ascii="Arial" w:cs="Arial" w:eastAsia="Arial" w:hAnsi="Arial"/>
                <w:sz w:val="18"/>
                <w:szCs w:val="18"/>
                <w:color w:val="auto"/>
              </w:rPr>
              <w:t>$12</w:t>
            </w:r>
          </w:p>
        </w:tc>
        <w:tc>
          <w:tcPr>
            <w:tcW w:w="142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Group</w:t>
            </w:r>
          </w:p>
        </w:tc>
        <w:tc>
          <w:tcPr>
            <w:tcW w:w="150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560" w:type="dxa"/>
            <w:vAlign w:val="bottom"/>
            <w:tcBorders>
              <w:bottom w:val="single" w:sz="8" w:color="auto"/>
            </w:tcBorders>
            <w:gridSpan w:val="2"/>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42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20" w:right="340" w:hanging="444"/>
        <w:spacing w:after="0" w:line="253" w:lineRule="auto"/>
        <w:tabs>
          <w:tab w:leader="none" w:pos="620"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Includes losses as a result of other-than-temporary impairments and accrual of discount and amortization of premium. These amounts are reported in the Consolidated Statements of Operations. There was $1 million in unrealized gains included in earnings for the three months ended March 31, 2010 on Level 3 securities.</w:t>
      </w:r>
    </w:p>
    <w:p>
      <w:pPr>
        <w:spacing w:after="0" w:line="106" w:lineRule="exact"/>
        <w:rPr>
          <w:rFonts w:ascii="Arial" w:cs="Arial" w:eastAsia="Arial" w:hAnsi="Arial"/>
          <w:sz w:val="14"/>
          <w:szCs w:val="14"/>
          <w:i w:val="1"/>
          <w:iCs w:val="1"/>
          <w:color w:val="auto"/>
        </w:rPr>
      </w:pPr>
    </w:p>
    <w:p>
      <w:pPr>
        <w:ind w:left="620" w:right="260" w:hanging="444"/>
        <w:spacing w:after="0" w:line="253" w:lineRule="auto"/>
        <w:tabs>
          <w:tab w:leader="none" w:pos="620"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Transfers in and out of Level 3 are attributable to changes in the availability of market observable information for individual securities within the respective categories. There were no significant transfers in and out of Level 3. Transfers in and out of levels are recognized at the end of the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transfers between levels 1 and 2 for the three months ended March 31, 2010.</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Estimates of fair values for our investment portfolio are obtained primarily from a nationally recognized pricing service. Our Level 1 category includes those securities valued using an exchange traded price provided by the pricing service. The methodologies used by the pricing service that support a Level 2 classification of a financial instrument include multiple verifiable, observable inputs including benchmark yields, reported trades, broker/dealer quotes, issuer spreads, two-sided markets, benchmark securities, bids, offers and reference data. Pricing service valuations for Level 3 securities are based on proprietary models and are used when observable inputs are not available in illiquid markets. In limited circumstances we adjust the price received from the pricing service when, in our judgment, a better reflection of fair value is available based on corroborating information and our knowledge and monitoring of market conditions. At March 31, 2011, we adjusted some prices received by the pricing service to reflect an alternate fair market value based on observable market data such as a disparity in price of comparable securities and/or non-binding broker quotes.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displays the number and values of these adjustments for the three months ended March 31, 2011:</w:t>
      </w:r>
    </w:p>
    <w:p>
      <w:pPr>
        <w:spacing w:after="0" w:line="221" w:lineRule="exact"/>
        <w:rPr>
          <w:sz w:val="20"/>
          <w:szCs w:val="20"/>
          <w:color w:val="auto"/>
        </w:rPr>
      </w:pPr>
    </w:p>
    <w:p>
      <w:pPr>
        <w:spacing w:after="0"/>
        <w:tabs>
          <w:tab w:leader="none" w:pos="3700" w:val="left"/>
          <w:tab w:leader="none" w:pos="5380" w:val="left"/>
          <w:tab w:leader="none" w:pos="7120" w:val="left"/>
        </w:tabs>
        <w:rPr>
          <w:sz w:val="20"/>
          <w:szCs w:val="20"/>
          <w:color w:val="auto"/>
        </w:rPr>
      </w:pPr>
      <w:r>
        <w:rPr>
          <w:rFonts w:ascii="Arial" w:cs="Arial" w:eastAsia="Arial" w:hAnsi="Arial"/>
          <w:sz w:val="28"/>
          <w:szCs w:val="28"/>
          <w:i w:val="1"/>
          <w:iCs w:val="1"/>
          <w:color w:val="auto"/>
          <w:vertAlign w:val="superscript"/>
        </w:rPr>
        <w:t>(dollars in millions)</w:t>
      </w:r>
      <w:r>
        <w:rPr>
          <w:sz w:val="20"/>
          <w:szCs w:val="20"/>
          <w:color w:val="auto"/>
        </w:rPr>
        <w:tab/>
      </w:r>
      <w:r>
        <w:rPr>
          <w:rFonts w:ascii="Arial" w:cs="Arial" w:eastAsia="Arial" w:hAnsi="Arial"/>
          <w:sz w:val="18"/>
          <w:szCs w:val="18"/>
          <w:color w:val="auto"/>
        </w:rPr>
        <w:t>Number of</w:t>
      </w:r>
      <w:r>
        <w:rPr>
          <w:sz w:val="20"/>
          <w:szCs w:val="20"/>
          <w:color w:val="auto"/>
        </w:rPr>
        <w:tab/>
      </w:r>
      <w:r>
        <w:rPr>
          <w:rFonts w:ascii="Arial" w:cs="Arial" w:eastAsia="Arial" w:hAnsi="Arial"/>
          <w:sz w:val="18"/>
          <w:szCs w:val="18"/>
          <w:color w:val="auto"/>
        </w:rPr>
        <w:t>Value of</w:t>
      </w:r>
      <w:r>
        <w:rPr>
          <w:sz w:val="20"/>
          <w:szCs w:val="20"/>
          <w:color w:val="auto"/>
        </w:rPr>
        <w:tab/>
      </w:r>
      <w:r>
        <w:rPr>
          <w:rFonts w:ascii="Arial" w:cs="Arial" w:eastAsia="Arial" w:hAnsi="Arial"/>
          <w:sz w:val="16"/>
          <w:szCs w:val="16"/>
          <w:color w:val="auto"/>
        </w:rPr>
        <w:t>Value of</w:t>
      </w:r>
    </w:p>
    <w:p>
      <w:pPr>
        <w:sectPr>
          <w:pgSz w:w="11900" w:h="16890" w:orient="portrait"/>
          <w:cols w:equalWidth="0" w:num="1">
            <w:col w:w="11420"/>
          </w:cols>
          <w:pgMar w:left="240" w:top="130" w:right="239"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000" w:type="dxa"/>
            <w:vAlign w:val="bottom"/>
          </w:tcPr>
          <w:p>
            <w:pPr>
              <w:jc w:val="center"/>
              <w:ind w:left="50"/>
              <w:spacing w:after="0"/>
              <w:rPr>
                <w:sz w:val="20"/>
                <w:szCs w:val="20"/>
                <w:color w:val="auto"/>
              </w:rPr>
            </w:pPr>
            <w:r>
              <w:rPr>
                <w:rFonts w:ascii="Arial" w:cs="Arial" w:eastAsia="Arial" w:hAnsi="Arial"/>
                <w:sz w:val="18"/>
                <w:szCs w:val="18"/>
                <w:color w:val="auto"/>
                <w:w w:val="92"/>
              </w:rPr>
              <w:t>holdings</w:t>
            </w:r>
          </w:p>
        </w:tc>
        <w:tc>
          <w:tcPr>
            <w:tcW w:w="1460" w:type="dxa"/>
            <w:vAlign w:val="bottom"/>
          </w:tcPr>
          <w:p>
            <w:pPr>
              <w:jc w:val="center"/>
              <w:ind w:right="50"/>
              <w:spacing w:after="0"/>
              <w:rPr>
                <w:sz w:val="20"/>
                <w:szCs w:val="20"/>
                <w:color w:val="auto"/>
              </w:rPr>
            </w:pPr>
            <w:r>
              <w:rPr>
                <w:rFonts w:ascii="Arial" w:cs="Arial" w:eastAsia="Arial" w:hAnsi="Arial"/>
                <w:sz w:val="18"/>
                <w:szCs w:val="18"/>
                <w:color w:val="auto"/>
                <w:w w:val="89"/>
              </w:rPr>
              <w:t>securities</w:t>
            </w:r>
          </w:p>
        </w:tc>
        <w:tc>
          <w:tcPr>
            <w:tcW w:w="1860" w:type="dxa"/>
            <w:vAlign w:val="bottom"/>
            <w:gridSpan w:val="2"/>
          </w:tcPr>
          <w:p>
            <w:pPr>
              <w:jc w:val="center"/>
              <w:spacing w:after="0"/>
              <w:rPr>
                <w:sz w:val="20"/>
                <w:szCs w:val="20"/>
                <w:color w:val="auto"/>
              </w:rPr>
            </w:pPr>
            <w:r>
              <w:rPr>
                <w:rFonts w:ascii="Arial" w:cs="Arial" w:eastAsia="Arial" w:hAnsi="Arial"/>
                <w:sz w:val="18"/>
                <w:szCs w:val="18"/>
                <w:color w:val="auto"/>
                <w:w w:val="89"/>
              </w:rPr>
              <w:t>securities used in</w:t>
            </w:r>
          </w:p>
        </w:tc>
      </w:tr>
      <w:tr>
        <w:trPr>
          <w:trHeight w:val="216"/>
        </w:trPr>
        <w:tc>
          <w:tcPr>
            <w:tcW w:w="30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color w:val="auto"/>
                <w:w w:val="92"/>
              </w:rPr>
              <w:t>using pricing</w:t>
            </w:r>
          </w:p>
        </w:tc>
        <w:tc>
          <w:tcPr>
            <w:tcW w:w="1860" w:type="dxa"/>
            <w:vAlign w:val="bottom"/>
            <w:gridSpan w:val="2"/>
          </w:tcPr>
          <w:p>
            <w:pPr>
              <w:jc w:val="center"/>
              <w:spacing w:after="0"/>
              <w:rPr>
                <w:sz w:val="20"/>
                <w:szCs w:val="20"/>
                <w:color w:val="auto"/>
              </w:rPr>
            </w:pPr>
            <w:r>
              <w:rPr>
                <w:rFonts w:ascii="Arial" w:cs="Arial" w:eastAsia="Arial" w:hAnsi="Arial"/>
                <w:sz w:val="18"/>
                <w:szCs w:val="18"/>
                <w:color w:val="auto"/>
                <w:w w:val="93"/>
              </w:rPr>
              <w:t>the financial</w:t>
            </w:r>
          </w:p>
        </w:tc>
      </w:tr>
      <w:tr>
        <w:trPr>
          <w:trHeight w:val="230"/>
        </w:trPr>
        <w:tc>
          <w:tcPr>
            <w:tcW w:w="30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color w:val="auto"/>
                <w:w w:val="87"/>
              </w:rPr>
              <w:t>service</w:t>
            </w:r>
          </w:p>
        </w:tc>
        <w:tc>
          <w:tcPr>
            <w:tcW w:w="1860" w:type="dxa"/>
            <w:vAlign w:val="bottom"/>
            <w:gridSpan w:val="2"/>
          </w:tcPr>
          <w:p>
            <w:pPr>
              <w:jc w:val="center"/>
              <w:spacing w:after="0"/>
              <w:rPr>
                <w:sz w:val="20"/>
                <w:szCs w:val="20"/>
                <w:color w:val="auto"/>
              </w:rPr>
            </w:pPr>
            <w:r>
              <w:rPr>
                <w:rFonts w:ascii="Arial" w:cs="Arial" w:eastAsia="Arial" w:hAnsi="Arial"/>
                <w:sz w:val="18"/>
                <w:szCs w:val="18"/>
                <w:color w:val="auto"/>
                <w:w w:val="86"/>
              </w:rPr>
              <w:t>statements</w:t>
            </w:r>
          </w:p>
        </w:tc>
      </w:tr>
      <w:tr>
        <w:trPr>
          <w:trHeight w:val="210"/>
        </w:trPr>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Exchange</w:t>
            </w:r>
          </w:p>
        </w:tc>
        <w:tc>
          <w:tcPr>
            <w:tcW w:w="200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10</w:t>
            </w:r>
          </w:p>
        </w:tc>
        <w:tc>
          <w:tcPr>
            <w:tcW w:w="146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$21</w:t>
            </w:r>
          </w:p>
        </w:tc>
        <w:tc>
          <w:tcPr>
            <w:tcW w:w="174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0"/>
        </w:trPr>
        <w:tc>
          <w:tcPr>
            <w:tcW w:w="3040" w:type="dxa"/>
            <w:vAlign w:val="bottom"/>
          </w:tcPr>
          <w:p>
            <w:pPr>
              <w:ind w:left="180"/>
              <w:spacing w:after="0"/>
              <w:rPr>
                <w:sz w:val="20"/>
                <w:szCs w:val="20"/>
                <w:color w:val="auto"/>
              </w:rPr>
            </w:pPr>
            <w:r>
              <w:rPr>
                <w:rFonts w:ascii="Arial" w:cs="Arial" w:eastAsia="Arial" w:hAnsi="Arial"/>
                <w:sz w:val="18"/>
                <w:szCs w:val="18"/>
                <w:color w:val="auto"/>
              </w:rPr>
              <w:t>Total – Erie Insurance Group</w:t>
            </w:r>
          </w:p>
        </w:tc>
        <w:tc>
          <w:tcPr>
            <w:tcW w:w="2000" w:type="dxa"/>
            <w:vAlign w:val="bottom"/>
          </w:tcPr>
          <w:p>
            <w:pPr>
              <w:spacing w:after="0"/>
              <w:rPr>
                <w:sz w:val="18"/>
                <w:szCs w:val="18"/>
                <w:color w:val="auto"/>
              </w:rPr>
            </w:pPr>
          </w:p>
        </w:tc>
        <w:tc>
          <w:tcPr>
            <w:tcW w:w="14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$21</w:t>
            </w:r>
          </w:p>
        </w:tc>
        <w:tc>
          <w:tcPr>
            <w:tcW w:w="1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r>
      <w:tr>
        <w:trPr>
          <w:trHeight w:val="20"/>
        </w:trPr>
        <w:tc>
          <w:tcPr>
            <w:tcW w:w="30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perform continuous reviews of the prices obtained from the pricing service. This includes evaluating the methodology and inputs used by the pricing service to ensure we determine the proper level classification of the financial instrument. Price variances, including large periodic changes, are investigated and corroborated by market data. We have reviewed the pricing methodologies of our pricing service and believe that their prices adequately consider market activity in determining fair value.</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When a price from the pricing service is not available, values are determined by obtaining non-binding broker quotes and/or market comparables. When available, we obtain multiple quotes for the same security. The ultimate value for these securities is determined based on our best estimate of fair value using corroborating market information. Our evaluation includes the consideration of benchmark yields, reported trades, issuer spreads, two-sided markets, benchmark securities, bids, offers and reference data.</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certain structured securities in an illiquid market, there may be no prices available from a pricing service and no comparable market quotes available. In these situations, we value the security using an internally-developed risk-adjusted discounted cash flow model.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fair value of the consolidated fixed maturity and preferred and common stock securities by pricing source: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w w:val="89"/>
              </w:rPr>
              <w:t>Erie Insurance Group</w:t>
            </w:r>
          </w:p>
        </w:tc>
        <w:tc>
          <w:tcPr>
            <w:tcW w:w="7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6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March 31, 2011</w:t>
            </w: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millions)</w:t>
            </w:r>
          </w:p>
        </w:tc>
        <w:tc>
          <w:tcPr>
            <w:tcW w:w="142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Level 1</w:t>
            </w:r>
          </w:p>
        </w:tc>
        <w:tc>
          <w:tcPr>
            <w:tcW w:w="1460" w:type="dxa"/>
            <w:vAlign w:val="bottom"/>
            <w:tcBorders>
              <w:bottom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92"/>
              </w:rPr>
              <w:t>Level 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3</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Indemnity</w:t>
            </w:r>
          </w:p>
        </w:tc>
        <w:tc>
          <w:tcPr>
            <w:tcW w:w="5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Fixed maturity securities:</w:t>
            </w: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Priced via pricing services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499</w:t>
            </w:r>
          </w:p>
        </w:tc>
        <w:tc>
          <w:tcPr>
            <w:tcW w:w="680" w:type="dxa"/>
            <w:vAlign w:val="bottom"/>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499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Priced via market comparables/non-binding broker quote </w:t>
            </w:r>
            <w:r>
              <w:rPr>
                <w:rFonts w:ascii="Arial" w:cs="Arial" w:eastAsia="Arial" w:hAnsi="Arial"/>
                <w:sz w:val="23"/>
                <w:szCs w:val="23"/>
                <w:color w:val="auto"/>
                <w:vertAlign w:val="superscript"/>
              </w:rPr>
              <w:t>(1)</w:t>
            </w:r>
          </w:p>
        </w:tc>
        <w:tc>
          <w:tcPr>
            <w:tcW w:w="580" w:type="dxa"/>
            <w:vAlign w:val="bottom"/>
          </w:tcPr>
          <w:p>
            <w:pPr>
              <w:spacing w:after="0"/>
              <w:rPr>
                <w:sz w:val="18"/>
                <w:szCs w:val="18"/>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68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18"/>
                <w:szCs w:val="18"/>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920" w:type="dxa"/>
            <w:vAlign w:val="bottom"/>
          </w:tcPr>
          <w:p>
            <w:pPr>
              <w:spacing w:after="0"/>
              <w:rPr>
                <w:sz w:val="18"/>
                <w:szCs w:val="18"/>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Priced via internal modeling </w:t>
            </w:r>
            <w:r>
              <w:rPr>
                <w:rFonts w:ascii="Arial" w:cs="Arial" w:eastAsia="Arial" w:hAnsi="Arial"/>
                <w:sz w:val="23"/>
                <w:szCs w:val="23"/>
                <w:color w:val="auto"/>
                <w:vertAlign w:val="superscript"/>
              </w:rPr>
              <w:t>(2)</w:t>
            </w:r>
          </w:p>
        </w:tc>
        <w:tc>
          <w:tcPr>
            <w:tcW w:w="5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14</w:t>
            </w:r>
          </w:p>
        </w:tc>
        <w:tc>
          <w:tcPr>
            <w:tcW w:w="6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7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10</w:t>
            </w:r>
          </w:p>
        </w:tc>
        <w:tc>
          <w:tcPr>
            <w:tcW w:w="9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fixed maturity securities</w:t>
            </w:r>
          </w:p>
        </w:tc>
        <w:tc>
          <w:tcPr>
            <w:tcW w:w="5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513</w:t>
            </w:r>
          </w:p>
        </w:tc>
        <w:tc>
          <w:tcPr>
            <w:tcW w:w="6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7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509</w:t>
            </w: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Preferred stock securities:</w:t>
            </w:r>
          </w:p>
        </w:tc>
        <w:tc>
          <w:tcPr>
            <w:tcW w:w="5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Priced via pricing services</w:t>
            </w:r>
          </w:p>
        </w:tc>
        <w:tc>
          <w:tcPr>
            <w:tcW w:w="580" w:type="dxa"/>
            <w:vAlign w:val="bottom"/>
          </w:tcPr>
          <w:p>
            <w:pPr>
              <w:spacing w:after="0"/>
              <w:rPr>
                <w:sz w:val="18"/>
                <w:szCs w:val="18"/>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11</w:t>
            </w:r>
          </w:p>
        </w:tc>
        <w:tc>
          <w:tcPr>
            <w:tcW w:w="700" w:type="dxa"/>
            <w:vAlign w:val="bottom"/>
          </w:tcPr>
          <w:p>
            <w:pPr>
              <w:spacing w:after="0"/>
              <w:rPr>
                <w:sz w:val="18"/>
                <w:szCs w:val="18"/>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9</w:t>
            </w:r>
          </w:p>
        </w:tc>
        <w:tc>
          <w:tcPr>
            <w:tcW w:w="920" w:type="dxa"/>
            <w:vAlign w:val="bottom"/>
          </w:tcPr>
          <w:p>
            <w:pPr>
              <w:spacing w:after="0"/>
              <w:rPr>
                <w:sz w:val="18"/>
                <w:szCs w:val="18"/>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Priced via market comparables/non-binding broker quote </w:t>
            </w:r>
            <w:r>
              <w:rPr>
                <w:rFonts w:ascii="Arial" w:cs="Arial" w:eastAsia="Arial" w:hAnsi="Arial"/>
                <w:sz w:val="23"/>
                <w:szCs w:val="23"/>
                <w:color w:val="auto"/>
                <w:vertAlign w:val="superscript"/>
              </w:rPr>
              <w:t>(1)</w:t>
            </w: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Borders>
              <w:bottom w:val="single" w:sz="8" w:color="CCEEFF"/>
            </w:tcBorders>
          </w:tcPr>
          <w:p>
            <w:pPr>
              <w:ind w:left="180"/>
              <w:spacing w:after="0" w:line="216" w:lineRule="exact"/>
              <w:rPr>
                <w:sz w:val="20"/>
                <w:szCs w:val="20"/>
                <w:color w:val="auto"/>
              </w:rPr>
            </w:pPr>
            <w:r>
              <w:rPr>
                <w:rFonts w:ascii="Arial" w:cs="Arial" w:eastAsia="Arial" w:hAnsi="Arial"/>
                <w:sz w:val="18"/>
                <w:szCs w:val="18"/>
                <w:color w:val="auto"/>
              </w:rPr>
              <w:t xml:space="preserve">Priced via internal modeling </w:t>
            </w:r>
            <w:r>
              <w:rPr>
                <w:rFonts w:ascii="Arial" w:cs="Arial" w:eastAsia="Arial" w:hAnsi="Arial"/>
                <w:sz w:val="23"/>
                <w:szCs w:val="23"/>
                <w:color w:val="auto"/>
                <w:vertAlign w:val="superscript"/>
              </w:rPr>
              <w:t>(2)</w:t>
            </w:r>
          </w:p>
        </w:tc>
        <w:tc>
          <w:tcPr>
            <w:tcW w:w="5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w:t>
            </w:r>
          </w:p>
        </w:tc>
        <w:tc>
          <w:tcPr>
            <w:tcW w:w="6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7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w:t>
            </w: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preferred stock securities</w:t>
            </w:r>
          </w:p>
        </w:tc>
        <w:tc>
          <w:tcPr>
            <w:tcW w:w="5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22</w:t>
            </w:r>
          </w:p>
        </w:tc>
        <w:tc>
          <w:tcPr>
            <w:tcW w:w="6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11</w:t>
            </w:r>
          </w:p>
        </w:tc>
        <w:tc>
          <w:tcPr>
            <w:tcW w:w="7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11</w:t>
            </w:r>
          </w:p>
        </w:tc>
        <w:tc>
          <w:tcPr>
            <w:tcW w:w="9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740" w:type="dxa"/>
            <w:vAlign w:val="bottom"/>
          </w:tcPr>
          <w:p>
            <w:pPr>
              <w:spacing w:after="0" w:line="196" w:lineRule="exact"/>
              <w:rPr>
                <w:sz w:val="20"/>
                <w:szCs w:val="20"/>
                <w:color w:val="auto"/>
              </w:rPr>
            </w:pPr>
            <w:r>
              <w:rPr>
                <w:rFonts w:ascii="Arial" w:cs="Arial" w:eastAsia="Arial" w:hAnsi="Arial"/>
                <w:sz w:val="18"/>
                <w:szCs w:val="18"/>
                <w:color w:val="auto"/>
              </w:rPr>
              <w:t>Common stock securities:</w:t>
            </w: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Priced via pricing services</w:t>
            </w: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29</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29</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Priced via market comparables/non-binding broker quote </w:t>
            </w:r>
            <w:r>
              <w:rPr>
                <w:rFonts w:ascii="Arial" w:cs="Arial" w:eastAsia="Arial" w:hAnsi="Arial"/>
                <w:sz w:val="23"/>
                <w:szCs w:val="23"/>
                <w:color w:val="auto"/>
                <w:vertAlign w:val="superscript"/>
              </w:rPr>
              <w:t>(1)</w:t>
            </w:r>
          </w:p>
        </w:tc>
        <w:tc>
          <w:tcPr>
            <w:tcW w:w="580" w:type="dxa"/>
            <w:vAlign w:val="bottom"/>
          </w:tcPr>
          <w:p>
            <w:pPr>
              <w:spacing w:after="0"/>
              <w:rPr>
                <w:sz w:val="18"/>
                <w:szCs w:val="18"/>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68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18"/>
                <w:szCs w:val="18"/>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920" w:type="dxa"/>
            <w:vAlign w:val="bottom"/>
          </w:tcPr>
          <w:p>
            <w:pPr>
              <w:spacing w:after="0"/>
              <w:rPr>
                <w:sz w:val="18"/>
                <w:szCs w:val="18"/>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Priced via internal modeling </w:t>
            </w:r>
            <w:r>
              <w:rPr>
                <w:rFonts w:ascii="Arial" w:cs="Arial" w:eastAsia="Arial" w:hAnsi="Arial"/>
                <w:sz w:val="23"/>
                <w:szCs w:val="23"/>
                <w:color w:val="auto"/>
                <w:vertAlign w:val="superscript"/>
              </w:rPr>
              <w:t>(2)</w:t>
            </w:r>
          </w:p>
        </w:tc>
        <w:tc>
          <w:tcPr>
            <w:tcW w:w="5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0</w:t>
            </w:r>
          </w:p>
        </w:tc>
        <w:tc>
          <w:tcPr>
            <w:tcW w:w="6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7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0</w:t>
            </w:r>
          </w:p>
        </w:tc>
        <w:tc>
          <w:tcPr>
            <w:tcW w:w="9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common stock securities</w:t>
            </w:r>
          </w:p>
        </w:tc>
        <w:tc>
          <w:tcPr>
            <w:tcW w:w="5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29</w:t>
            </w:r>
          </w:p>
        </w:tc>
        <w:tc>
          <w:tcPr>
            <w:tcW w:w="6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29</w:t>
            </w:r>
          </w:p>
        </w:tc>
        <w:tc>
          <w:tcPr>
            <w:tcW w:w="7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w:t>
            </w: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available-for-sale/trading securities – Indemnity</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564</w:t>
            </w:r>
          </w:p>
        </w:tc>
        <w:tc>
          <w:tcPr>
            <w:tcW w:w="6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40</w:t>
            </w:r>
          </w:p>
        </w:tc>
        <w:tc>
          <w:tcPr>
            <w:tcW w:w="700" w:type="dxa"/>
            <w:vAlign w:val="bottom"/>
            <w:tcBorders>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520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b w:val="1"/>
                <w:bCs w:val="1"/>
                <w:color w:val="auto"/>
              </w:rPr>
              <w:t>Exchange</w:t>
            </w: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Fixed maturity securities:</w:t>
            </w: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Priced via pricing services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7,097</w:t>
            </w:r>
          </w:p>
        </w:tc>
        <w:tc>
          <w:tcPr>
            <w:tcW w:w="680" w:type="dxa"/>
            <w:vAlign w:val="bottom"/>
          </w:tcPr>
          <w:p>
            <w:pPr>
              <w:ind w:left="60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23</w:t>
            </w:r>
          </w:p>
        </w:tc>
        <w:tc>
          <w:tcPr>
            <w:tcW w:w="1460" w:type="dxa"/>
            <w:vAlign w:val="bottom"/>
            <w:gridSpan w:val="2"/>
          </w:tcPr>
          <w:p>
            <w:pPr>
              <w:jc w:val="right"/>
              <w:ind w:right="270"/>
              <w:spacing w:after="0"/>
              <w:rPr>
                <w:sz w:val="20"/>
                <w:szCs w:val="20"/>
                <w:color w:val="auto"/>
              </w:rPr>
            </w:pPr>
            <w:r>
              <w:rPr>
                <w:rFonts w:ascii="Arial" w:cs="Arial" w:eastAsia="Arial" w:hAnsi="Arial"/>
                <w:sz w:val="18"/>
                <w:szCs w:val="18"/>
                <w:color w:val="auto"/>
              </w:rPr>
              <w:t>$7,074</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Priced via market comparables/non-binding broker quote </w:t>
            </w:r>
            <w:r>
              <w:rPr>
                <w:rFonts w:ascii="Arial" w:cs="Arial" w:eastAsia="Arial" w:hAnsi="Arial"/>
                <w:sz w:val="23"/>
                <w:szCs w:val="23"/>
                <w:color w:val="auto"/>
                <w:vertAlign w:val="superscript"/>
              </w:rPr>
              <w:t>(1)</w:t>
            </w: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107</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107</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Borders>
              <w:bottom w:val="single" w:sz="8" w:color="CCEEFF"/>
            </w:tcBorders>
          </w:tcPr>
          <w:p>
            <w:pPr>
              <w:ind w:left="180"/>
              <w:spacing w:after="0" w:line="216" w:lineRule="exact"/>
              <w:rPr>
                <w:sz w:val="20"/>
                <w:szCs w:val="20"/>
                <w:color w:val="auto"/>
              </w:rPr>
            </w:pPr>
            <w:r>
              <w:rPr>
                <w:rFonts w:ascii="Arial" w:cs="Arial" w:eastAsia="Arial" w:hAnsi="Arial"/>
                <w:sz w:val="18"/>
                <w:szCs w:val="18"/>
                <w:color w:val="auto"/>
              </w:rPr>
              <w:t xml:space="preserve">Priced via internal modeling </w:t>
            </w:r>
            <w:r>
              <w:rPr>
                <w:rFonts w:ascii="Arial" w:cs="Arial" w:eastAsia="Arial" w:hAnsi="Arial"/>
                <w:sz w:val="23"/>
                <w:szCs w:val="23"/>
                <w:color w:val="auto"/>
                <w:vertAlign w:val="superscript"/>
              </w:rPr>
              <w:t>(2)</w:t>
            </w:r>
          </w:p>
        </w:tc>
        <w:tc>
          <w:tcPr>
            <w:tcW w:w="5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50</w:t>
            </w:r>
          </w:p>
        </w:tc>
        <w:tc>
          <w:tcPr>
            <w:tcW w:w="6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7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w:t>
            </w: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50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fixed maturity securities</w:t>
            </w:r>
          </w:p>
        </w:tc>
        <w:tc>
          <w:tcPr>
            <w:tcW w:w="5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7,254</w:t>
            </w:r>
          </w:p>
        </w:tc>
        <w:tc>
          <w:tcPr>
            <w:tcW w:w="6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23</w:t>
            </w:r>
          </w:p>
        </w:tc>
        <w:tc>
          <w:tcPr>
            <w:tcW w:w="7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84"/>
              </w:rPr>
              <w:t>7,181</w:t>
            </w:r>
          </w:p>
        </w:tc>
        <w:tc>
          <w:tcPr>
            <w:tcW w:w="9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740" w:type="dxa"/>
            <w:vAlign w:val="bottom"/>
          </w:tcPr>
          <w:p>
            <w:pPr>
              <w:spacing w:after="0" w:line="196" w:lineRule="exact"/>
              <w:rPr>
                <w:sz w:val="20"/>
                <w:szCs w:val="20"/>
                <w:color w:val="auto"/>
              </w:rPr>
            </w:pPr>
            <w:r>
              <w:rPr>
                <w:rFonts w:ascii="Arial" w:cs="Arial" w:eastAsia="Arial" w:hAnsi="Arial"/>
                <w:sz w:val="18"/>
                <w:szCs w:val="18"/>
                <w:color w:val="auto"/>
              </w:rPr>
              <w:t>Preferred stock securities:</w:t>
            </w: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Priced via pricing services</w:t>
            </w: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574</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173</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401</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Priced via market comparables/non-binding broker quote </w:t>
            </w:r>
            <w:r>
              <w:rPr>
                <w:rFonts w:ascii="Arial" w:cs="Arial" w:eastAsia="Arial" w:hAnsi="Arial"/>
                <w:sz w:val="23"/>
                <w:szCs w:val="23"/>
                <w:color w:val="auto"/>
                <w:vertAlign w:val="superscript"/>
              </w:rPr>
              <w:t>(1)</w:t>
            </w:r>
          </w:p>
        </w:tc>
        <w:tc>
          <w:tcPr>
            <w:tcW w:w="580" w:type="dxa"/>
            <w:vAlign w:val="bottom"/>
          </w:tcPr>
          <w:p>
            <w:pPr>
              <w:spacing w:after="0"/>
              <w:rPr>
                <w:sz w:val="18"/>
                <w:szCs w:val="18"/>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29</w:t>
            </w:r>
          </w:p>
        </w:tc>
        <w:tc>
          <w:tcPr>
            <w:tcW w:w="68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18"/>
                <w:szCs w:val="18"/>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21</w:t>
            </w:r>
          </w:p>
        </w:tc>
        <w:tc>
          <w:tcPr>
            <w:tcW w:w="920" w:type="dxa"/>
            <w:vAlign w:val="bottom"/>
          </w:tcPr>
          <w:p>
            <w:pPr>
              <w:spacing w:after="0"/>
              <w:rPr>
                <w:sz w:val="18"/>
                <w:szCs w:val="18"/>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Priced via internal modeling </w:t>
            </w:r>
            <w:r>
              <w:rPr>
                <w:rFonts w:ascii="Arial" w:cs="Arial" w:eastAsia="Arial" w:hAnsi="Arial"/>
                <w:sz w:val="23"/>
                <w:szCs w:val="23"/>
                <w:color w:val="auto"/>
                <w:vertAlign w:val="superscript"/>
              </w:rPr>
              <w:t>(2)</w:t>
            </w:r>
          </w:p>
        </w:tc>
        <w:tc>
          <w:tcPr>
            <w:tcW w:w="5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0</w:t>
            </w:r>
          </w:p>
        </w:tc>
        <w:tc>
          <w:tcPr>
            <w:tcW w:w="6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7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0</w:t>
            </w:r>
          </w:p>
        </w:tc>
        <w:tc>
          <w:tcPr>
            <w:tcW w:w="9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preferred stock securities</w:t>
            </w:r>
          </w:p>
        </w:tc>
        <w:tc>
          <w:tcPr>
            <w:tcW w:w="5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603</w:t>
            </w:r>
          </w:p>
        </w:tc>
        <w:tc>
          <w:tcPr>
            <w:tcW w:w="6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173</w:t>
            </w:r>
          </w:p>
        </w:tc>
        <w:tc>
          <w:tcPr>
            <w:tcW w:w="7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422</w:t>
            </w: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Common stock securities:</w:t>
            </w:r>
          </w:p>
        </w:tc>
        <w:tc>
          <w:tcPr>
            <w:tcW w:w="5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Priced via pricing services</w:t>
            </w:r>
          </w:p>
        </w:tc>
        <w:tc>
          <w:tcPr>
            <w:tcW w:w="580" w:type="dxa"/>
            <w:vAlign w:val="bottom"/>
          </w:tcPr>
          <w:p>
            <w:pPr>
              <w:spacing w:after="0"/>
              <w:rPr>
                <w:sz w:val="18"/>
                <w:szCs w:val="18"/>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2,449</w:t>
            </w:r>
          </w:p>
        </w:tc>
        <w:tc>
          <w:tcPr>
            <w:tcW w:w="68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w w:val="88"/>
              </w:rPr>
              <w:t>2,449</w:t>
            </w:r>
          </w:p>
        </w:tc>
        <w:tc>
          <w:tcPr>
            <w:tcW w:w="700" w:type="dxa"/>
            <w:vAlign w:val="bottom"/>
          </w:tcPr>
          <w:p>
            <w:pPr>
              <w:spacing w:after="0"/>
              <w:rPr>
                <w:sz w:val="18"/>
                <w:szCs w:val="18"/>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920" w:type="dxa"/>
            <w:vAlign w:val="bottom"/>
          </w:tcPr>
          <w:p>
            <w:pPr>
              <w:spacing w:after="0"/>
              <w:rPr>
                <w:sz w:val="18"/>
                <w:szCs w:val="18"/>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Priced via market comparables/non-binding broker quote </w:t>
            </w:r>
            <w:r>
              <w:rPr>
                <w:rFonts w:ascii="Arial" w:cs="Arial" w:eastAsia="Arial" w:hAnsi="Arial"/>
                <w:sz w:val="23"/>
                <w:szCs w:val="23"/>
                <w:color w:val="auto"/>
                <w:vertAlign w:val="superscript"/>
              </w:rPr>
              <w:t>(1)</w:t>
            </w: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Borders>
              <w:bottom w:val="single" w:sz="8" w:color="CCEEFF"/>
            </w:tcBorders>
          </w:tcPr>
          <w:p>
            <w:pPr>
              <w:ind w:left="180"/>
              <w:spacing w:after="0" w:line="216" w:lineRule="exact"/>
              <w:rPr>
                <w:sz w:val="20"/>
                <w:szCs w:val="20"/>
                <w:color w:val="auto"/>
              </w:rPr>
            </w:pPr>
            <w:r>
              <w:rPr>
                <w:rFonts w:ascii="Arial" w:cs="Arial" w:eastAsia="Arial" w:hAnsi="Arial"/>
                <w:sz w:val="18"/>
                <w:szCs w:val="18"/>
                <w:color w:val="auto"/>
              </w:rPr>
              <w:t xml:space="preserve">Priced via internal modeling </w:t>
            </w:r>
            <w:r>
              <w:rPr>
                <w:rFonts w:ascii="Arial" w:cs="Arial" w:eastAsia="Arial" w:hAnsi="Arial"/>
                <w:sz w:val="23"/>
                <w:szCs w:val="23"/>
                <w:color w:val="auto"/>
                <w:vertAlign w:val="superscript"/>
              </w:rPr>
              <w:t>(2)</w:t>
            </w:r>
          </w:p>
        </w:tc>
        <w:tc>
          <w:tcPr>
            <w:tcW w:w="5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13</w:t>
            </w:r>
          </w:p>
        </w:tc>
        <w:tc>
          <w:tcPr>
            <w:tcW w:w="6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7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w:t>
            </w: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13</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common stock securities</w:t>
            </w:r>
          </w:p>
        </w:tc>
        <w:tc>
          <w:tcPr>
            <w:tcW w:w="5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2,462</w:t>
            </w:r>
          </w:p>
        </w:tc>
        <w:tc>
          <w:tcPr>
            <w:tcW w:w="6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88"/>
              </w:rPr>
              <w:t>2,449</w:t>
            </w:r>
          </w:p>
        </w:tc>
        <w:tc>
          <w:tcPr>
            <w:tcW w:w="7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0</w:t>
            </w:r>
          </w:p>
        </w:tc>
        <w:tc>
          <w:tcPr>
            <w:tcW w:w="9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available-for-sale/trading securities – Exchange</w:t>
            </w:r>
          </w:p>
        </w:tc>
        <w:tc>
          <w:tcPr>
            <w:tcW w:w="5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3"/>
              </w:rPr>
              <w:t>10,319</w:t>
            </w:r>
          </w:p>
        </w:tc>
        <w:tc>
          <w:tcPr>
            <w:tcW w:w="6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8"/>
              </w:rPr>
              <w:t>2,645</w:t>
            </w:r>
          </w:p>
        </w:tc>
        <w:tc>
          <w:tcPr>
            <w:tcW w:w="7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4"/>
              </w:rPr>
              <w:t>7,603</w:t>
            </w:r>
          </w:p>
        </w:tc>
        <w:tc>
          <w:tcPr>
            <w:tcW w:w="9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71</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7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available-for-sale/trading securities – Erie Insurance Group</w:t>
            </w:r>
          </w:p>
        </w:tc>
        <w:tc>
          <w:tcPr>
            <w:tcW w:w="1420" w:type="dxa"/>
            <w:vAlign w:val="bottom"/>
            <w:tcBorders>
              <w:bottom w:val="single" w:sz="8" w:color="auto"/>
            </w:tcBorders>
            <w:gridSpan w:val="2"/>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$10,883</w:t>
            </w:r>
          </w:p>
        </w:tc>
        <w:tc>
          <w:tcPr>
            <w:tcW w:w="1440" w:type="dxa"/>
            <w:vAlign w:val="bottom"/>
            <w:tcBorders>
              <w:bottom w:val="single" w:sz="8" w:color="auto"/>
            </w:tcBorders>
            <w:gridSpan w:val="2"/>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rPr>
              <w:t>$2,685</w:t>
            </w:r>
          </w:p>
        </w:tc>
        <w:tc>
          <w:tcPr>
            <w:tcW w:w="1460" w:type="dxa"/>
            <w:vAlign w:val="bottom"/>
            <w:tcBorders>
              <w:bottom w:val="single" w:sz="8" w:color="auto"/>
            </w:tcBorders>
            <w:gridSpan w:val="2"/>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$8,123</w:t>
            </w:r>
          </w:p>
        </w:tc>
        <w:tc>
          <w:tcPr>
            <w:tcW w:w="1220" w:type="dxa"/>
            <w:vAlign w:val="bottom"/>
            <w:tcBorders>
              <w:bottom w:val="single" w:sz="8" w:color="auto"/>
            </w:tcBorders>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$75</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500" w:hanging="333"/>
        <w:spacing w:after="0"/>
        <w:tabs>
          <w:tab w:leader="none" w:pos="50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All broker quotes obtained for securities were non-binding. When a non-binding broker quote was the only price available, the security was classified as Level 3.</w:t>
      </w:r>
    </w:p>
    <w:p>
      <w:pPr>
        <w:spacing w:after="0" w:line="136" w:lineRule="exact"/>
        <w:rPr>
          <w:rFonts w:ascii="Arial" w:cs="Arial" w:eastAsia="Arial" w:hAnsi="Arial"/>
          <w:sz w:val="14"/>
          <w:szCs w:val="14"/>
          <w:i w:val="1"/>
          <w:iCs w:val="1"/>
          <w:color w:val="auto"/>
        </w:rPr>
      </w:pPr>
    </w:p>
    <w:p>
      <w:pPr>
        <w:ind w:left="500" w:right="280" w:hanging="333"/>
        <w:spacing w:after="0" w:line="253" w:lineRule="auto"/>
        <w:tabs>
          <w:tab w:leader="none" w:pos="50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Internal modeling using a discounted cash flow model was performed on 14 fixed maturities and 3 common equity securities representing less than 0.6% of the total portfolio of the Erie Insurance Group.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have no assets that were measured at fair value on a nonrecurring basis during the three months ended March 31, 2011.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02" w:gutter="0" w:footer="0" w:header="0"/>
        </w:sectPr>
      </w:pPr>
    </w:p>
    <w:bookmarkStart w:id="12" w:name="page13"/>
    <w:bookmarkEnd w:id="12"/>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cost and fair value of our available-for-sale securities at March 31, 2011 and December 31, 2010: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3"/>
          </w:tcPr>
          <w:p>
            <w:pPr>
              <w:jc w:val="center"/>
              <w:ind w:left="246"/>
              <w:spacing w:after="0"/>
              <w:rPr>
                <w:sz w:val="20"/>
                <w:szCs w:val="20"/>
                <w:color w:val="auto"/>
              </w:rPr>
            </w:pPr>
            <w:r>
              <w:rPr>
                <w:rFonts w:ascii="Arial" w:cs="Arial" w:eastAsia="Arial" w:hAnsi="Arial"/>
                <w:sz w:val="14"/>
                <w:szCs w:val="14"/>
                <w:color w:val="auto"/>
                <w:w w:val="93"/>
              </w:rPr>
              <w:t>Erie Insurance Group</w:t>
            </w:r>
          </w:p>
        </w:tc>
        <w:tc>
          <w:tcPr>
            <w:tcW w:w="6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20" w:type="dxa"/>
            <w:vAlign w:val="bottom"/>
            <w:gridSpan w:val="2"/>
          </w:tcPr>
          <w:p>
            <w:pPr>
              <w:jc w:val="center"/>
              <w:ind w:right="723"/>
              <w:spacing w:after="0" w:line="123" w:lineRule="exact"/>
              <w:rPr>
                <w:sz w:val="20"/>
                <w:szCs w:val="20"/>
                <w:color w:val="auto"/>
              </w:rPr>
            </w:pPr>
            <w:r>
              <w:rPr>
                <w:rFonts w:ascii="Arial" w:cs="Arial" w:eastAsia="Arial" w:hAnsi="Arial"/>
                <w:sz w:val="14"/>
                <w:szCs w:val="14"/>
                <w:color w:val="auto"/>
                <w:w w:val="92"/>
              </w:rPr>
              <w:t>March 31, 2011</w:t>
            </w: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(in millions)</w:t>
            </w:r>
          </w:p>
        </w:tc>
        <w:tc>
          <w:tcPr>
            <w:tcW w:w="1500" w:type="dxa"/>
            <w:vAlign w:val="bottom"/>
            <w:gridSpan w:val="2"/>
          </w:tcPr>
          <w:p>
            <w:pPr>
              <w:jc w:val="right"/>
              <w:ind w:right="479"/>
              <w:spacing w:after="0" w:line="149" w:lineRule="exact"/>
              <w:rPr>
                <w:sz w:val="20"/>
                <w:szCs w:val="20"/>
                <w:color w:val="auto"/>
              </w:rPr>
            </w:pPr>
            <w:r>
              <w:rPr>
                <w:rFonts w:ascii="Arial" w:cs="Arial" w:eastAsia="Arial" w:hAnsi="Arial"/>
                <w:sz w:val="14"/>
                <w:szCs w:val="14"/>
                <w:color w:val="auto"/>
              </w:rPr>
              <w:t>Amortized</w:t>
            </w:r>
          </w:p>
        </w:tc>
        <w:tc>
          <w:tcPr>
            <w:tcW w:w="1820" w:type="dxa"/>
            <w:vAlign w:val="bottom"/>
            <w:gridSpan w:val="2"/>
          </w:tcPr>
          <w:p>
            <w:pPr>
              <w:jc w:val="right"/>
              <w:ind w:right="479"/>
              <w:spacing w:after="0" w:line="149" w:lineRule="exact"/>
              <w:rPr>
                <w:sz w:val="20"/>
                <w:szCs w:val="20"/>
                <w:color w:val="auto"/>
              </w:rPr>
            </w:pPr>
            <w:r>
              <w:rPr>
                <w:rFonts w:ascii="Arial" w:cs="Arial" w:eastAsia="Arial" w:hAnsi="Arial"/>
                <w:sz w:val="14"/>
                <w:szCs w:val="14"/>
                <w:color w:val="auto"/>
              </w:rPr>
              <w:t>Gross unrealized</w:t>
            </w:r>
          </w:p>
        </w:tc>
        <w:tc>
          <w:tcPr>
            <w:tcW w:w="1780" w:type="dxa"/>
            <w:vAlign w:val="bottom"/>
            <w:gridSpan w:val="2"/>
          </w:tcPr>
          <w:p>
            <w:pPr>
              <w:jc w:val="right"/>
              <w:ind w:right="519"/>
              <w:spacing w:after="0" w:line="149" w:lineRule="exact"/>
              <w:rPr>
                <w:sz w:val="20"/>
                <w:szCs w:val="20"/>
                <w:color w:val="auto"/>
              </w:rPr>
            </w:pPr>
            <w:r>
              <w:rPr>
                <w:rFonts w:ascii="Arial" w:cs="Arial" w:eastAsia="Arial" w:hAnsi="Arial"/>
                <w:sz w:val="14"/>
                <w:szCs w:val="14"/>
                <w:color w:val="auto"/>
              </w:rPr>
              <w:t>Gross unrealized</w:t>
            </w:r>
          </w:p>
        </w:tc>
        <w:tc>
          <w:tcPr>
            <w:tcW w:w="130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Estimated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Arial" w:cs="Arial" w:eastAsia="Arial" w:hAnsi="Arial"/>
                <w:sz w:val="14"/>
                <w:szCs w:val="14"/>
                <w:color w:val="auto"/>
              </w:rPr>
              <w:t>cost</w:t>
            </w:r>
          </w:p>
        </w:tc>
        <w:tc>
          <w:tcPr>
            <w:tcW w:w="620" w:type="dxa"/>
            <w:vAlign w:val="bottom"/>
          </w:tcPr>
          <w:p>
            <w:pPr>
              <w:spacing w:after="0"/>
              <w:rPr>
                <w:sz w:val="14"/>
                <w:szCs w:val="14"/>
                <w:color w:val="auto"/>
              </w:rPr>
            </w:pPr>
          </w:p>
        </w:tc>
        <w:tc>
          <w:tcPr>
            <w:tcW w:w="1140" w:type="dxa"/>
            <w:vAlign w:val="bottom"/>
          </w:tcPr>
          <w:p>
            <w:pPr>
              <w:ind w:left="620"/>
              <w:spacing w:after="0"/>
              <w:rPr>
                <w:sz w:val="20"/>
                <w:szCs w:val="20"/>
                <w:color w:val="auto"/>
              </w:rPr>
            </w:pPr>
            <w:r>
              <w:rPr>
                <w:rFonts w:ascii="Arial" w:cs="Arial" w:eastAsia="Arial" w:hAnsi="Arial"/>
                <w:sz w:val="14"/>
                <w:szCs w:val="14"/>
                <w:color w:val="auto"/>
              </w:rPr>
              <w:t>gains</w:t>
            </w:r>
          </w:p>
        </w:tc>
        <w:tc>
          <w:tcPr>
            <w:tcW w:w="680" w:type="dxa"/>
            <w:vAlign w:val="bottom"/>
          </w:tcPr>
          <w:p>
            <w:pPr>
              <w:spacing w:after="0"/>
              <w:rPr>
                <w:sz w:val="14"/>
                <w:szCs w:val="14"/>
                <w:color w:val="auto"/>
              </w:rPr>
            </w:pPr>
          </w:p>
        </w:tc>
        <w:tc>
          <w:tcPr>
            <w:tcW w:w="1140" w:type="dxa"/>
            <w:vAlign w:val="bottom"/>
          </w:tcPr>
          <w:p>
            <w:pPr>
              <w:jc w:val="right"/>
              <w:ind w:right="203"/>
              <w:spacing w:after="0"/>
              <w:rPr>
                <w:sz w:val="20"/>
                <w:szCs w:val="20"/>
                <w:color w:val="auto"/>
              </w:rPr>
            </w:pPr>
            <w:r>
              <w:rPr>
                <w:rFonts w:ascii="Arial" w:cs="Arial" w:eastAsia="Arial" w:hAnsi="Arial"/>
                <w:sz w:val="14"/>
                <w:szCs w:val="14"/>
                <w:color w:val="auto"/>
              </w:rPr>
              <w:t>losses</w:t>
            </w:r>
          </w:p>
        </w:tc>
        <w:tc>
          <w:tcPr>
            <w:tcW w:w="640" w:type="dxa"/>
            <w:vAlign w:val="bottom"/>
          </w:tcPr>
          <w:p>
            <w:pPr>
              <w:spacing w:after="0"/>
              <w:rPr>
                <w:sz w:val="14"/>
                <w:szCs w:val="14"/>
                <w:color w:val="auto"/>
              </w:rPr>
            </w:pPr>
          </w:p>
        </w:tc>
        <w:tc>
          <w:tcPr>
            <w:tcW w:w="1300" w:type="dxa"/>
            <w:vAlign w:val="bottom"/>
            <w:gridSpan w:val="3"/>
          </w:tcPr>
          <w:p>
            <w:pPr>
              <w:ind w:left="280"/>
              <w:spacing w:after="0"/>
              <w:rPr>
                <w:sz w:val="20"/>
                <w:szCs w:val="20"/>
                <w:color w:val="auto"/>
              </w:rPr>
            </w:pPr>
            <w:r>
              <w:rPr>
                <w:rFonts w:ascii="Arial" w:cs="Arial" w:eastAsia="Arial" w:hAnsi="Arial"/>
                <w:sz w:val="14"/>
                <w:szCs w:val="14"/>
                <w:color w:val="auto"/>
              </w:rPr>
              <w:t>fair 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020" w:type="dxa"/>
            <w:vAlign w:val="bottom"/>
            <w:tcBorders>
              <w:top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Indemnity</w:t>
            </w:r>
          </w:p>
        </w:tc>
        <w:tc>
          <w:tcPr>
            <w:tcW w:w="8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ind w:left="180"/>
              <w:spacing w:after="0"/>
              <w:rPr>
                <w:sz w:val="20"/>
                <w:szCs w:val="20"/>
                <w:color w:val="auto"/>
              </w:rPr>
            </w:pPr>
            <w:r>
              <w:rPr>
                <w:rFonts w:ascii="Arial" w:cs="Arial" w:eastAsia="Arial" w:hAnsi="Arial"/>
                <w:sz w:val="16"/>
                <w:szCs w:val="16"/>
                <w:color w:val="auto"/>
              </w:rPr>
              <w:t>Fixed maturities:</w:t>
            </w: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U.S. treasuries and government agencies</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10</w:t>
            </w:r>
          </w:p>
        </w:tc>
        <w:tc>
          <w:tcPr>
            <w:tcW w:w="1140" w:type="dxa"/>
            <w:vAlign w:val="bottom"/>
            <w:shd w:val="clear" w:color="auto" w:fill="CCEEFF"/>
          </w:tcPr>
          <w:p>
            <w:pPr>
              <w:ind w:left="106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0</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0</w:t>
            </w:r>
          </w:p>
        </w:tc>
        <w:tc>
          <w:tcPr>
            <w:tcW w:w="760" w:type="dxa"/>
            <w:vAlign w:val="bottom"/>
            <w:shd w:val="clear" w:color="auto" w:fill="CCEEFF"/>
          </w:tcPr>
          <w:p>
            <w:pPr>
              <w:jc w:val="center"/>
              <w:ind w:left="482"/>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ind w:left="540"/>
              <w:spacing w:after="0"/>
              <w:rPr>
                <w:sz w:val="20"/>
                <w:szCs w:val="20"/>
                <w:color w:val="auto"/>
              </w:rPr>
            </w:pPr>
            <w:r>
              <w:rPr>
                <w:rFonts w:ascii="Arial" w:cs="Arial" w:eastAsia="Arial" w:hAnsi="Arial"/>
                <w:sz w:val="16"/>
                <w:szCs w:val="16"/>
                <w:color w:val="auto"/>
              </w:rPr>
              <w:t>U.S. government sponsored enterprises</w:t>
            </w:r>
          </w:p>
        </w:tc>
        <w:tc>
          <w:tcPr>
            <w:tcW w:w="880" w:type="dxa"/>
            <w:vAlign w:val="bottom"/>
          </w:tcPr>
          <w:p>
            <w:pPr>
              <w:spacing w:after="0"/>
              <w:rPr>
                <w:sz w:val="17"/>
                <w:szCs w:val="17"/>
                <w:color w:val="auto"/>
              </w:rPr>
            </w:pPr>
          </w:p>
        </w:tc>
        <w:tc>
          <w:tcPr>
            <w:tcW w:w="620" w:type="dxa"/>
            <w:vAlign w:val="bottom"/>
          </w:tcPr>
          <w:p>
            <w:pPr>
              <w:jc w:val="right"/>
              <w:ind w:right="279"/>
              <w:spacing w:after="0"/>
              <w:rPr>
                <w:sz w:val="20"/>
                <w:szCs w:val="20"/>
                <w:color w:val="auto"/>
              </w:rPr>
            </w:pPr>
            <w:r>
              <w:rPr>
                <w:rFonts w:ascii="Arial" w:cs="Arial" w:eastAsia="Arial" w:hAnsi="Arial"/>
                <w:sz w:val="16"/>
                <w:szCs w:val="16"/>
                <w:color w:val="auto"/>
              </w:rPr>
              <w:t>9</w:t>
            </w:r>
          </w:p>
        </w:tc>
        <w:tc>
          <w:tcPr>
            <w:tcW w:w="1140" w:type="dxa"/>
            <w:vAlign w:val="bottom"/>
          </w:tcPr>
          <w:p>
            <w:pPr>
              <w:spacing w:after="0"/>
              <w:rPr>
                <w:sz w:val="17"/>
                <w:szCs w:val="17"/>
                <w:color w:val="auto"/>
              </w:rPr>
            </w:pPr>
          </w:p>
        </w:tc>
        <w:tc>
          <w:tcPr>
            <w:tcW w:w="680" w:type="dxa"/>
            <w:vAlign w:val="bottom"/>
          </w:tcPr>
          <w:p>
            <w:pPr>
              <w:jc w:val="right"/>
              <w:ind w:right="359"/>
              <w:spacing w:after="0"/>
              <w:rPr>
                <w:sz w:val="20"/>
                <w:szCs w:val="20"/>
                <w:color w:val="auto"/>
              </w:rPr>
            </w:pPr>
            <w:r>
              <w:rPr>
                <w:rFonts w:ascii="Arial" w:cs="Arial" w:eastAsia="Arial" w:hAnsi="Arial"/>
                <w:sz w:val="16"/>
                <w:szCs w:val="16"/>
                <w:color w:val="auto"/>
              </w:rPr>
              <w:t>0</w:t>
            </w:r>
          </w:p>
        </w:tc>
        <w:tc>
          <w:tcPr>
            <w:tcW w:w="1140" w:type="dxa"/>
            <w:vAlign w:val="bottom"/>
          </w:tcPr>
          <w:p>
            <w:pPr>
              <w:spacing w:after="0"/>
              <w:rPr>
                <w:sz w:val="17"/>
                <w:szCs w:val="17"/>
                <w:color w:val="auto"/>
              </w:rPr>
            </w:pPr>
          </w:p>
        </w:tc>
        <w:tc>
          <w:tcPr>
            <w:tcW w:w="640" w:type="dxa"/>
            <w:vAlign w:val="bottom"/>
          </w:tcPr>
          <w:p>
            <w:pPr>
              <w:jc w:val="right"/>
              <w:ind w:right="399"/>
              <w:spacing w:after="0"/>
              <w:rPr>
                <w:sz w:val="20"/>
                <w:szCs w:val="20"/>
                <w:color w:val="auto"/>
              </w:rPr>
            </w:pPr>
            <w:r>
              <w:rPr>
                <w:rFonts w:ascii="Arial" w:cs="Arial" w:eastAsia="Arial" w:hAnsi="Arial"/>
                <w:sz w:val="16"/>
                <w:szCs w:val="16"/>
                <w:color w:val="auto"/>
              </w:rPr>
              <w:t>0</w:t>
            </w:r>
          </w:p>
        </w:tc>
        <w:tc>
          <w:tcPr>
            <w:tcW w:w="760" w:type="dxa"/>
            <w:vAlign w:val="bottom"/>
          </w:tcPr>
          <w:p>
            <w:pPr>
              <w:spacing w:after="0"/>
              <w:rPr>
                <w:sz w:val="17"/>
                <w:szCs w:val="17"/>
                <w:color w:val="auto"/>
              </w:rPr>
            </w:pPr>
          </w:p>
        </w:tc>
        <w:tc>
          <w:tcPr>
            <w:tcW w:w="440" w:type="dxa"/>
            <w:vAlign w:val="bottom"/>
          </w:tcPr>
          <w:p>
            <w:pPr>
              <w:jc w:val="right"/>
              <w:ind w:right="5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Municipal securities</w:t>
            </w: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219</w:t>
            </w: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w:t>
            </w: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2</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ind w:left="540"/>
              <w:spacing w:after="0"/>
              <w:rPr>
                <w:sz w:val="20"/>
                <w:szCs w:val="20"/>
                <w:color w:val="auto"/>
              </w:rPr>
            </w:pPr>
            <w:r>
              <w:rPr>
                <w:rFonts w:ascii="Arial" w:cs="Arial" w:eastAsia="Arial" w:hAnsi="Arial"/>
                <w:sz w:val="16"/>
                <w:szCs w:val="16"/>
                <w:color w:val="auto"/>
              </w:rPr>
              <w:t>U.S. corporate debt – non-financial</w:t>
            </w:r>
          </w:p>
        </w:tc>
        <w:tc>
          <w:tcPr>
            <w:tcW w:w="880" w:type="dxa"/>
            <w:vAlign w:val="bottom"/>
          </w:tcPr>
          <w:p>
            <w:pPr>
              <w:spacing w:after="0"/>
              <w:rPr>
                <w:sz w:val="17"/>
                <w:szCs w:val="17"/>
                <w:color w:val="auto"/>
              </w:rPr>
            </w:pPr>
          </w:p>
        </w:tc>
        <w:tc>
          <w:tcPr>
            <w:tcW w:w="620" w:type="dxa"/>
            <w:vAlign w:val="bottom"/>
          </w:tcPr>
          <w:p>
            <w:pPr>
              <w:jc w:val="right"/>
              <w:ind w:right="279"/>
              <w:spacing w:after="0"/>
              <w:rPr>
                <w:sz w:val="20"/>
                <w:szCs w:val="20"/>
                <w:color w:val="auto"/>
              </w:rPr>
            </w:pPr>
            <w:r>
              <w:rPr>
                <w:rFonts w:ascii="Arial" w:cs="Arial" w:eastAsia="Arial" w:hAnsi="Arial"/>
                <w:sz w:val="16"/>
                <w:szCs w:val="16"/>
                <w:color w:val="auto"/>
              </w:rPr>
              <w:t>77</w:t>
            </w:r>
          </w:p>
        </w:tc>
        <w:tc>
          <w:tcPr>
            <w:tcW w:w="1140" w:type="dxa"/>
            <w:vAlign w:val="bottom"/>
          </w:tcPr>
          <w:p>
            <w:pPr>
              <w:spacing w:after="0"/>
              <w:rPr>
                <w:sz w:val="17"/>
                <w:szCs w:val="17"/>
                <w:color w:val="auto"/>
              </w:rPr>
            </w:pPr>
          </w:p>
        </w:tc>
        <w:tc>
          <w:tcPr>
            <w:tcW w:w="680" w:type="dxa"/>
            <w:vAlign w:val="bottom"/>
          </w:tcPr>
          <w:p>
            <w:pPr>
              <w:jc w:val="right"/>
              <w:ind w:right="359"/>
              <w:spacing w:after="0"/>
              <w:rPr>
                <w:sz w:val="20"/>
                <w:szCs w:val="20"/>
                <w:color w:val="auto"/>
              </w:rPr>
            </w:pPr>
            <w:r>
              <w:rPr>
                <w:rFonts w:ascii="Arial" w:cs="Arial" w:eastAsia="Arial" w:hAnsi="Arial"/>
                <w:sz w:val="16"/>
                <w:szCs w:val="16"/>
                <w:color w:val="auto"/>
              </w:rPr>
              <w:t>1</w:t>
            </w:r>
          </w:p>
        </w:tc>
        <w:tc>
          <w:tcPr>
            <w:tcW w:w="1140" w:type="dxa"/>
            <w:vAlign w:val="bottom"/>
          </w:tcPr>
          <w:p>
            <w:pPr>
              <w:spacing w:after="0"/>
              <w:rPr>
                <w:sz w:val="17"/>
                <w:szCs w:val="17"/>
                <w:color w:val="auto"/>
              </w:rPr>
            </w:pPr>
          </w:p>
        </w:tc>
        <w:tc>
          <w:tcPr>
            <w:tcW w:w="640" w:type="dxa"/>
            <w:vAlign w:val="bottom"/>
          </w:tcPr>
          <w:p>
            <w:pPr>
              <w:jc w:val="right"/>
              <w:ind w:right="399"/>
              <w:spacing w:after="0"/>
              <w:rPr>
                <w:sz w:val="20"/>
                <w:szCs w:val="20"/>
                <w:color w:val="auto"/>
              </w:rPr>
            </w:pPr>
            <w:r>
              <w:rPr>
                <w:rFonts w:ascii="Arial" w:cs="Arial" w:eastAsia="Arial" w:hAnsi="Arial"/>
                <w:sz w:val="16"/>
                <w:szCs w:val="16"/>
                <w:color w:val="auto"/>
              </w:rPr>
              <w:t>0</w:t>
            </w:r>
          </w:p>
        </w:tc>
        <w:tc>
          <w:tcPr>
            <w:tcW w:w="760" w:type="dxa"/>
            <w:vAlign w:val="bottom"/>
          </w:tcPr>
          <w:p>
            <w:pPr>
              <w:spacing w:after="0"/>
              <w:rPr>
                <w:sz w:val="17"/>
                <w:szCs w:val="17"/>
                <w:color w:val="auto"/>
              </w:rPr>
            </w:pPr>
          </w:p>
        </w:tc>
        <w:tc>
          <w:tcPr>
            <w:tcW w:w="440" w:type="dxa"/>
            <w:vAlign w:val="bottom"/>
          </w:tcPr>
          <w:p>
            <w:pPr>
              <w:jc w:val="right"/>
              <w:ind w:right="5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U.S. corporate debt – financial</w:t>
            </w: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104</w:t>
            </w: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w:t>
            </w: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0</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ind w:left="540"/>
              <w:spacing w:after="0"/>
              <w:rPr>
                <w:sz w:val="20"/>
                <w:szCs w:val="20"/>
                <w:color w:val="auto"/>
              </w:rPr>
            </w:pPr>
            <w:r>
              <w:rPr>
                <w:rFonts w:ascii="Arial" w:cs="Arial" w:eastAsia="Arial" w:hAnsi="Arial"/>
                <w:sz w:val="16"/>
                <w:szCs w:val="16"/>
                <w:color w:val="auto"/>
              </w:rPr>
              <w:t>Foreign corporate debt – non-financial</w:t>
            </w:r>
          </w:p>
        </w:tc>
        <w:tc>
          <w:tcPr>
            <w:tcW w:w="880" w:type="dxa"/>
            <w:vAlign w:val="bottom"/>
          </w:tcPr>
          <w:p>
            <w:pPr>
              <w:spacing w:after="0"/>
              <w:rPr>
                <w:sz w:val="17"/>
                <w:szCs w:val="17"/>
                <w:color w:val="auto"/>
              </w:rPr>
            </w:pPr>
          </w:p>
        </w:tc>
        <w:tc>
          <w:tcPr>
            <w:tcW w:w="620" w:type="dxa"/>
            <w:vAlign w:val="bottom"/>
          </w:tcPr>
          <w:p>
            <w:pPr>
              <w:jc w:val="right"/>
              <w:ind w:right="279"/>
              <w:spacing w:after="0"/>
              <w:rPr>
                <w:sz w:val="20"/>
                <w:szCs w:val="20"/>
                <w:color w:val="auto"/>
              </w:rPr>
            </w:pPr>
            <w:r>
              <w:rPr>
                <w:rFonts w:ascii="Arial" w:cs="Arial" w:eastAsia="Arial" w:hAnsi="Arial"/>
                <w:sz w:val="16"/>
                <w:szCs w:val="16"/>
                <w:color w:val="auto"/>
              </w:rPr>
              <w:t>21</w:t>
            </w:r>
          </w:p>
        </w:tc>
        <w:tc>
          <w:tcPr>
            <w:tcW w:w="1140" w:type="dxa"/>
            <w:vAlign w:val="bottom"/>
          </w:tcPr>
          <w:p>
            <w:pPr>
              <w:spacing w:after="0"/>
              <w:rPr>
                <w:sz w:val="17"/>
                <w:szCs w:val="17"/>
                <w:color w:val="auto"/>
              </w:rPr>
            </w:pPr>
          </w:p>
        </w:tc>
        <w:tc>
          <w:tcPr>
            <w:tcW w:w="680" w:type="dxa"/>
            <w:vAlign w:val="bottom"/>
          </w:tcPr>
          <w:p>
            <w:pPr>
              <w:jc w:val="right"/>
              <w:ind w:right="359"/>
              <w:spacing w:after="0"/>
              <w:rPr>
                <w:sz w:val="20"/>
                <w:szCs w:val="20"/>
                <w:color w:val="auto"/>
              </w:rPr>
            </w:pPr>
            <w:r>
              <w:rPr>
                <w:rFonts w:ascii="Arial" w:cs="Arial" w:eastAsia="Arial" w:hAnsi="Arial"/>
                <w:sz w:val="16"/>
                <w:szCs w:val="16"/>
                <w:color w:val="auto"/>
              </w:rPr>
              <w:t>0</w:t>
            </w:r>
          </w:p>
        </w:tc>
        <w:tc>
          <w:tcPr>
            <w:tcW w:w="1140" w:type="dxa"/>
            <w:vAlign w:val="bottom"/>
          </w:tcPr>
          <w:p>
            <w:pPr>
              <w:spacing w:after="0"/>
              <w:rPr>
                <w:sz w:val="17"/>
                <w:szCs w:val="17"/>
                <w:color w:val="auto"/>
              </w:rPr>
            </w:pPr>
          </w:p>
        </w:tc>
        <w:tc>
          <w:tcPr>
            <w:tcW w:w="640" w:type="dxa"/>
            <w:vAlign w:val="bottom"/>
          </w:tcPr>
          <w:p>
            <w:pPr>
              <w:jc w:val="right"/>
              <w:ind w:right="399"/>
              <w:spacing w:after="0"/>
              <w:rPr>
                <w:sz w:val="20"/>
                <w:szCs w:val="20"/>
                <w:color w:val="auto"/>
              </w:rPr>
            </w:pPr>
            <w:r>
              <w:rPr>
                <w:rFonts w:ascii="Arial" w:cs="Arial" w:eastAsia="Arial" w:hAnsi="Arial"/>
                <w:sz w:val="16"/>
                <w:szCs w:val="16"/>
                <w:color w:val="auto"/>
              </w:rPr>
              <w:t>0</w:t>
            </w:r>
          </w:p>
        </w:tc>
        <w:tc>
          <w:tcPr>
            <w:tcW w:w="760" w:type="dxa"/>
            <w:vAlign w:val="bottom"/>
          </w:tcPr>
          <w:p>
            <w:pPr>
              <w:spacing w:after="0"/>
              <w:rPr>
                <w:sz w:val="17"/>
                <w:szCs w:val="17"/>
                <w:color w:val="auto"/>
              </w:rPr>
            </w:pPr>
          </w:p>
        </w:tc>
        <w:tc>
          <w:tcPr>
            <w:tcW w:w="440" w:type="dxa"/>
            <w:vAlign w:val="bottom"/>
          </w:tcPr>
          <w:p>
            <w:pPr>
              <w:jc w:val="right"/>
              <w:ind w:right="5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Foreign corporate debt – financial</w:t>
            </w: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30</w:t>
            </w: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0</w:t>
            </w: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0</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ind w:left="540"/>
              <w:spacing w:after="0"/>
              <w:rPr>
                <w:sz w:val="20"/>
                <w:szCs w:val="20"/>
                <w:color w:val="auto"/>
              </w:rPr>
            </w:pPr>
            <w:r>
              <w:rPr>
                <w:rFonts w:ascii="Arial" w:cs="Arial" w:eastAsia="Arial" w:hAnsi="Arial"/>
                <w:sz w:val="16"/>
                <w:szCs w:val="16"/>
                <w:color w:val="auto"/>
              </w:rPr>
              <w:t>Structured securities:</w:t>
            </w: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Asset-backed securities – auto loans</w:t>
            </w: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12</w:t>
            </w: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0</w:t>
            </w: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0</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ind w:left="720"/>
              <w:spacing w:after="0"/>
              <w:rPr>
                <w:sz w:val="20"/>
                <w:szCs w:val="20"/>
                <w:color w:val="auto"/>
              </w:rPr>
            </w:pPr>
            <w:r>
              <w:rPr>
                <w:rFonts w:ascii="Arial" w:cs="Arial" w:eastAsia="Arial" w:hAnsi="Arial"/>
                <w:sz w:val="16"/>
                <w:szCs w:val="16"/>
                <w:color w:val="auto"/>
              </w:rPr>
              <w:t>Collateralized debt obligations</w:t>
            </w:r>
          </w:p>
        </w:tc>
        <w:tc>
          <w:tcPr>
            <w:tcW w:w="880" w:type="dxa"/>
            <w:vAlign w:val="bottom"/>
          </w:tcPr>
          <w:p>
            <w:pPr>
              <w:spacing w:after="0"/>
              <w:rPr>
                <w:sz w:val="17"/>
                <w:szCs w:val="17"/>
                <w:color w:val="auto"/>
              </w:rPr>
            </w:pPr>
          </w:p>
        </w:tc>
        <w:tc>
          <w:tcPr>
            <w:tcW w:w="620" w:type="dxa"/>
            <w:vAlign w:val="bottom"/>
          </w:tcPr>
          <w:p>
            <w:pPr>
              <w:jc w:val="right"/>
              <w:ind w:right="279"/>
              <w:spacing w:after="0"/>
              <w:rPr>
                <w:sz w:val="20"/>
                <w:szCs w:val="20"/>
                <w:color w:val="auto"/>
              </w:rPr>
            </w:pPr>
            <w:r>
              <w:rPr>
                <w:rFonts w:ascii="Arial" w:cs="Arial" w:eastAsia="Arial" w:hAnsi="Arial"/>
                <w:sz w:val="16"/>
                <w:szCs w:val="16"/>
                <w:color w:val="auto"/>
              </w:rPr>
              <w:t>4</w:t>
            </w:r>
          </w:p>
        </w:tc>
        <w:tc>
          <w:tcPr>
            <w:tcW w:w="1140" w:type="dxa"/>
            <w:vAlign w:val="bottom"/>
          </w:tcPr>
          <w:p>
            <w:pPr>
              <w:spacing w:after="0"/>
              <w:rPr>
                <w:sz w:val="17"/>
                <w:szCs w:val="17"/>
                <w:color w:val="auto"/>
              </w:rPr>
            </w:pPr>
          </w:p>
        </w:tc>
        <w:tc>
          <w:tcPr>
            <w:tcW w:w="680" w:type="dxa"/>
            <w:vAlign w:val="bottom"/>
          </w:tcPr>
          <w:p>
            <w:pPr>
              <w:jc w:val="right"/>
              <w:ind w:right="359"/>
              <w:spacing w:after="0"/>
              <w:rPr>
                <w:sz w:val="20"/>
                <w:szCs w:val="20"/>
                <w:color w:val="auto"/>
              </w:rPr>
            </w:pPr>
            <w:r>
              <w:rPr>
                <w:rFonts w:ascii="Arial" w:cs="Arial" w:eastAsia="Arial" w:hAnsi="Arial"/>
                <w:sz w:val="16"/>
                <w:szCs w:val="16"/>
                <w:color w:val="auto"/>
              </w:rPr>
              <w:t>0</w:t>
            </w:r>
          </w:p>
        </w:tc>
        <w:tc>
          <w:tcPr>
            <w:tcW w:w="1140" w:type="dxa"/>
            <w:vAlign w:val="bottom"/>
          </w:tcPr>
          <w:p>
            <w:pPr>
              <w:spacing w:after="0"/>
              <w:rPr>
                <w:sz w:val="17"/>
                <w:szCs w:val="17"/>
                <w:color w:val="auto"/>
              </w:rPr>
            </w:pPr>
          </w:p>
        </w:tc>
        <w:tc>
          <w:tcPr>
            <w:tcW w:w="640" w:type="dxa"/>
            <w:vAlign w:val="bottom"/>
          </w:tcPr>
          <w:p>
            <w:pPr>
              <w:jc w:val="right"/>
              <w:ind w:right="399"/>
              <w:spacing w:after="0"/>
              <w:rPr>
                <w:sz w:val="20"/>
                <w:szCs w:val="20"/>
                <w:color w:val="auto"/>
              </w:rPr>
            </w:pPr>
            <w:r>
              <w:rPr>
                <w:rFonts w:ascii="Arial" w:cs="Arial" w:eastAsia="Arial" w:hAnsi="Arial"/>
                <w:sz w:val="16"/>
                <w:szCs w:val="16"/>
                <w:color w:val="auto"/>
              </w:rPr>
              <w:t>0</w:t>
            </w:r>
          </w:p>
        </w:tc>
        <w:tc>
          <w:tcPr>
            <w:tcW w:w="760" w:type="dxa"/>
            <w:vAlign w:val="bottom"/>
          </w:tcPr>
          <w:p>
            <w:pPr>
              <w:spacing w:after="0"/>
              <w:rPr>
                <w:sz w:val="17"/>
                <w:szCs w:val="17"/>
                <w:color w:val="auto"/>
              </w:rPr>
            </w:pPr>
          </w:p>
        </w:tc>
        <w:tc>
          <w:tcPr>
            <w:tcW w:w="44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Commercial mortgage-backed</w:t>
            </w:r>
          </w:p>
        </w:tc>
        <w:tc>
          <w:tcPr>
            <w:tcW w:w="8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20</w:t>
            </w:r>
          </w:p>
        </w:tc>
        <w:tc>
          <w:tcPr>
            <w:tcW w:w="1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0</w:t>
            </w:r>
          </w:p>
        </w:tc>
        <w:tc>
          <w:tcPr>
            <w:tcW w:w="7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Total fixed maturities</w:t>
            </w:r>
          </w:p>
        </w:tc>
        <w:tc>
          <w:tcPr>
            <w:tcW w:w="8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506</w:t>
            </w:r>
          </w:p>
        </w:tc>
        <w:tc>
          <w:tcPr>
            <w:tcW w:w="1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9</w:t>
            </w:r>
          </w:p>
        </w:tc>
        <w:tc>
          <w:tcPr>
            <w:tcW w:w="1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w:t>
            </w: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513</w:t>
            </w:r>
          </w:p>
        </w:tc>
        <w:tc>
          <w:tcPr>
            <w:tcW w:w="100" w:type="dxa"/>
            <w:vAlign w:val="bottom"/>
            <w:tcBorders>
              <w:bottom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02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6"/>
                <w:szCs w:val="16"/>
                <w:color w:val="auto"/>
              </w:rPr>
              <w:t>Equity securities:</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ind w:left="540"/>
              <w:spacing w:after="0"/>
              <w:rPr>
                <w:sz w:val="20"/>
                <w:szCs w:val="20"/>
                <w:color w:val="auto"/>
              </w:rPr>
            </w:pPr>
            <w:r>
              <w:rPr>
                <w:rFonts w:ascii="Arial" w:cs="Arial" w:eastAsia="Arial" w:hAnsi="Arial"/>
                <w:sz w:val="16"/>
                <w:szCs w:val="16"/>
                <w:color w:val="auto"/>
              </w:rPr>
              <w:t>U.S. nonredeemable preferred securities:</w:t>
            </w: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Financial</w:t>
            </w: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6</w:t>
            </w: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w:t>
            </w: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0</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ind w:left="720"/>
              <w:spacing w:after="0"/>
              <w:rPr>
                <w:sz w:val="20"/>
                <w:szCs w:val="20"/>
                <w:color w:val="auto"/>
              </w:rPr>
            </w:pPr>
            <w:r>
              <w:rPr>
                <w:rFonts w:ascii="Arial" w:cs="Arial" w:eastAsia="Arial" w:hAnsi="Arial"/>
                <w:sz w:val="16"/>
                <w:szCs w:val="16"/>
                <w:color w:val="auto"/>
              </w:rPr>
              <w:t>Non-financial</w:t>
            </w:r>
          </w:p>
        </w:tc>
        <w:tc>
          <w:tcPr>
            <w:tcW w:w="880" w:type="dxa"/>
            <w:vAlign w:val="bottom"/>
          </w:tcPr>
          <w:p>
            <w:pPr>
              <w:spacing w:after="0"/>
              <w:rPr>
                <w:sz w:val="17"/>
                <w:szCs w:val="17"/>
                <w:color w:val="auto"/>
              </w:rPr>
            </w:pPr>
          </w:p>
        </w:tc>
        <w:tc>
          <w:tcPr>
            <w:tcW w:w="620" w:type="dxa"/>
            <w:vAlign w:val="bottom"/>
          </w:tcPr>
          <w:p>
            <w:pPr>
              <w:jc w:val="right"/>
              <w:ind w:right="279"/>
              <w:spacing w:after="0"/>
              <w:rPr>
                <w:sz w:val="20"/>
                <w:szCs w:val="20"/>
                <w:color w:val="auto"/>
              </w:rPr>
            </w:pPr>
            <w:r>
              <w:rPr>
                <w:rFonts w:ascii="Arial" w:cs="Arial" w:eastAsia="Arial" w:hAnsi="Arial"/>
                <w:sz w:val="16"/>
                <w:szCs w:val="16"/>
                <w:color w:val="auto"/>
              </w:rPr>
              <w:t>11</w:t>
            </w:r>
          </w:p>
        </w:tc>
        <w:tc>
          <w:tcPr>
            <w:tcW w:w="1140" w:type="dxa"/>
            <w:vAlign w:val="bottom"/>
          </w:tcPr>
          <w:p>
            <w:pPr>
              <w:spacing w:after="0"/>
              <w:rPr>
                <w:sz w:val="17"/>
                <w:szCs w:val="17"/>
                <w:color w:val="auto"/>
              </w:rPr>
            </w:pPr>
          </w:p>
        </w:tc>
        <w:tc>
          <w:tcPr>
            <w:tcW w:w="680" w:type="dxa"/>
            <w:vAlign w:val="bottom"/>
          </w:tcPr>
          <w:p>
            <w:pPr>
              <w:jc w:val="right"/>
              <w:ind w:right="359"/>
              <w:spacing w:after="0"/>
              <w:rPr>
                <w:sz w:val="20"/>
                <w:szCs w:val="20"/>
                <w:color w:val="auto"/>
              </w:rPr>
            </w:pPr>
            <w:r>
              <w:rPr>
                <w:rFonts w:ascii="Arial" w:cs="Arial" w:eastAsia="Arial" w:hAnsi="Arial"/>
                <w:sz w:val="16"/>
                <w:szCs w:val="16"/>
                <w:color w:val="auto"/>
              </w:rPr>
              <w:t>1</w:t>
            </w:r>
          </w:p>
        </w:tc>
        <w:tc>
          <w:tcPr>
            <w:tcW w:w="1140" w:type="dxa"/>
            <w:vAlign w:val="bottom"/>
          </w:tcPr>
          <w:p>
            <w:pPr>
              <w:spacing w:after="0"/>
              <w:rPr>
                <w:sz w:val="17"/>
                <w:szCs w:val="17"/>
                <w:color w:val="auto"/>
              </w:rPr>
            </w:pPr>
          </w:p>
        </w:tc>
        <w:tc>
          <w:tcPr>
            <w:tcW w:w="640" w:type="dxa"/>
            <w:vAlign w:val="bottom"/>
          </w:tcPr>
          <w:p>
            <w:pPr>
              <w:jc w:val="right"/>
              <w:ind w:right="399"/>
              <w:spacing w:after="0"/>
              <w:rPr>
                <w:sz w:val="20"/>
                <w:szCs w:val="20"/>
                <w:color w:val="auto"/>
              </w:rPr>
            </w:pPr>
            <w:r>
              <w:rPr>
                <w:rFonts w:ascii="Arial" w:cs="Arial" w:eastAsia="Arial" w:hAnsi="Arial"/>
                <w:sz w:val="16"/>
                <w:szCs w:val="16"/>
                <w:color w:val="auto"/>
              </w:rPr>
              <w:t>0</w:t>
            </w:r>
          </w:p>
        </w:tc>
        <w:tc>
          <w:tcPr>
            <w:tcW w:w="760" w:type="dxa"/>
            <w:vAlign w:val="bottom"/>
          </w:tcPr>
          <w:p>
            <w:pPr>
              <w:spacing w:after="0"/>
              <w:rPr>
                <w:sz w:val="17"/>
                <w:szCs w:val="17"/>
                <w:color w:val="auto"/>
              </w:rPr>
            </w:pPr>
          </w:p>
        </w:tc>
        <w:tc>
          <w:tcPr>
            <w:tcW w:w="440" w:type="dxa"/>
            <w:vAlign w:val="bottom"/>
          </w:tcPr>
          <w:p>
            <w:pPr>
              <w:jc w:val="right"/>
              <w:ind w:right="5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Foreign nonredeemable preferred securities:</w:t>
            </w: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Borders>
              <w:bottom w:val="single" w:sz="8" w:color="CCEEFF"/>
            </w:tcBorders>
            <w:gridSpan w:val="2"/>
          </w:tcPr>
          <w:p>
            <w:pPr>
              <w:ind w:left="720"/>
              <w:spacing w:after="0"/>
              <w:rPr>
                <w:sz w:val="20"/>
                <w:szCs w:val="20"/>
                <w:color w:val="auto"/>
              </w:rPr>
            </w:pPr>
            <w:r>
              <w:rPr>
                <w:rFonts w:ascii="Arial" w:cs="Arial" w:eastAsia="Arial" w:hAnsi="Arial"/>
                <w:sz w:val="16"/>
                <w:szCs w:val="16"/>
                <w:color w:val="auto"/>
              </w:rPr>
              <w:t>Non-financial</w:t>
            </w:r>
          </w:p>
        </w:tc>
        <w:tc>
          <w:tcPr>
            <w:tcW w:w="8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w:t>
            </w:r>
          </w:p>
        </w:tc>
        <w:tc>
          <w:tcPr>
            <w:tcW w:w="1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0</w:t>
            </w: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Total equity securities</w:t>
            </w:r>
          </w:p>
        </w:tc>
        <w:tc>
          <w:tcPr>
            <w:tcW w:w="8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18</w:t>
            </w:r>
          </w:p>
        </w:tc>
        <w:tc>
          <w:tcPr>
            <w:tcW w:w="1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w:t>
            </w:r>
          </w:p>
        </w:tc>
        <w:tc>
          <w:tcPr>
            <w:tcW w:w="1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0</w:t>
            </w:r>
          </w:p>
        </w:tc>
        <w:tc>
          <w:tcPr>
            <w:tcW w:w="7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Total available-for-sale securities – Indemnity</w:t>
            </w: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524</w:t>
            </w:r>
          </w:p>
        </w:tc>
        <w:tc>
          <w:tcPr>
            <w:tcW w:w="1140" w:type="dxa"/>
            <w:vAlign w:val="bottom"/>
            <w:tcBorders>
              <w:bottom w:val="single" w:sz="8" w:color="auto"/>
            </w:tcBorders>
          </w:tcPr>
          <w:p>
            <w:pPr>
              <w:ind w:left="1060"/>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w:t>
            </w:r>
          </w:p>
        </w:tc>
        <w:tc>
          <w:tcPr>
            <w:tcW w:w="760" w:type="dxa"/>
            <w:vAlign w:val="bottom"/>
            <w:tcBorders>
              <w:bottom w:val="single" w:sz="8" w:color="auto"/>
            </w:tcBorders>
          </w:tcPr>
          <w:p>
            <w:pPr>
              <w:jc w:val="center"/>
              <w:ind w:left="48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535</w:t>
            </w:r>
          </w:p>
        </w:tc>
        <w:tc>
          <w:tcPr>
            <w:tcW w:w="100" w:type="dxa"/>
            <w:vAlign w:val="bottom"/>
            <w:tcBorders>
              <w:bottom w:val="single" w:sz="8" w:color="CCEEFF"/>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5020" w:type="dxa"/>
            <w:vAlign w:val="bottom"/>
            <w:gridSpan w:val="2"/>
            <w:shd w:val="clear" w:color="auto" w:fill="CCEEFF"/>
          </w:tcPr>
          <w:p>
            <w:pPr>
              <w:spacing w:after="0" w:line="156" w:lineRule="exact"/>
              <w:rPr>
                <w:sz w:val="20"/>
                <w:szCs w:val="20"/>
                <w:color w:val="auto"/>
              </w:rPr>
            </w:pPr>
            <w:r>
              <w:rPr>
                <w:rFonts w:ascii="Arial" w:cs="Arial" w:eastAsia="Arial" w:hAnsi="Arial"/>
                <w:sz w:val="16"/>
                <w:szCs w:val="16"/>
                <w:b w:val="1"/>
                <w:bCs w:val="1"/>
                <w:color w:val="auto"/>
              </w:rPr>
              <w:t>Exchange</w:t>
            </w:r>
          </w:p>
        </w:tc>
        <w:tc>
          <w:tcPr>
            <w:tcW w:w="8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ind w:left="180"/>
              <w:spacing w:after="0"/>
              <w:rPr>
                <w:sz w:val="20"/>
                <w:szCs w:val="20"/>
                <w:color w:val="auto"/>
              </w:rPr>
            </w:pPr>
            <w:r>
              <w:rPr>
                <w:rFonts w:ascii="Arial" w:cs="Arial" w:eastAsia="Arial" w:hAnsi="Arial"/>
                <w:sz w:val="16"/>
                <w:szCs w:val="16"/>
                <w:color w:val="auto"/>
              </w:rPr>
              <w:t>Fixed maturities:</w:t>
            </w: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U.S. treasuries and government agencies</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10</w:t>
            </w:r>
          </w:p>
        </w:tc>
        <w:tc>
          <w:tcPr>
            <w:tcW w:w="1140" w:type="dxa"/>
            <w:vAlign w:val="bottom"/>
            <w:shd w:val="clear" w:color="auto" w:fill="CCEEFF"/>
          </w:tcPr>
          <w:p>
            <w:pPr>
              <w:ind w:left="106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0</w:t>
            </w:r>
          </w:p>
        </w:tc>
        <w:tc>
          <w:tcPr>
            <w:tcW w:w="760" w:type="dxa"/>
            <w:vAlign w:val="bottom"/>
            <w:shd w:val="clear" w:color="auto" w:fill="CCEEFF"/>
          </w:tcPr>
          <w:p>
            <w:pPr>
              <w:jc w:val="center"/>
              <w:ind w:left="482"/>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ind w:left="540"/>
              <w:spacing w:after="0"/>
              <w:rPr>
                <w:sz w:val="20"/>
                <w:szCs w:val="20"/>
                <w:color w:val="auto"/>
              </w:rPr>
            </w:pPr>
            <w:r>
              <w:rPr>
                <w:rFonts w:ascii="Arial" w:cs="Arial" w:eastAsia="Arial" w:hAnsi="Arial"/>
                <w:sz w:val="16"/>
                <w:szCs w:val="16"/>
                <w:color w:val="auto"/>
              </w:rPr>
              <w:t>U.S. government sponsored enterprises</w:t>
            </w:r>
          </w:p>
        </w:tc>
        <w:tc>
          <w:tcPr>
            <w:tcW w:w="880" w:type="dxa"/>
            <w:vAlign w:val="bottom"/>
          </w:tcPr>
          <w:p>
            <w:pPr>
              <w:spacing w:after="0"/>
              <w:rPr>
                <w:sz w:val="17"/>
                <w:szCs w:val="17"/>
                <w:color w:val="auto"/>
              </w:rPr>
            </w:pPr>
          </w:p>
        </w:tc>
        <w:tc>
          <w:tcPr>
            <w:tcW w:w="620" w:type="dxa"/>
            <w:vAlign w:val="bottom"/>
          </w:tcPr>
          <w:p>
            <w:pPr>
              <w:jc w:val="right"/>
              <w:ind w:right="279"/>
              <w:spacing w:after="0"/>
              <w:rPr>
                <w:sz w:val="20"/>
                <w:szCs w:val="20"/>
                <w:color w:val="auto"/>
              </w:rPr>
            </w:pPr>
            <w:r>
              <w:rPr>
                <w:rFonts w:ascii="Arial" w:cs="Arial" w:eastAsia="Arial" w:hAnsi="Arial"/>
                <w:sz w:val="16"/>
                <w:szCs w:val="16"/>
                <w:color w:val="auto"/>
              </w:rPr>
              <w:t>69</w:t>
            </w:r>
          </w:p>
        </w:tc>
        <w:tc>
          <w:tcPr>
            <w:tcW w:w="1140" w:type="dxa"/>
            <w:vAlign w:val="bottom"/>
          </w:tcPr>
          <w:p>
            <w:pPr>
              <w:spacing w:after="0"/>
              <w:rPr>
                <w:sz w:val="17"/>
                <w:szCs w:val="17"/>
                <w:color w:val="auto"/>
              </w:rPr>
            </w:pPr>
          </w:p>
        </w:tc>
        <w:tc>
          <w:tcPr>
            <w:tcW w:w="680" w:type="dxa"/>
            <w:vAlign w:val="bottom"/>
          </w:tcPr>
          <w:p>
            <w:pPr>
              <w:jc w:val="right"/>
              <w:ind w:right="359"/>
              <w:spacing w:after="0"/>
              <w:rPr>
                <w:sz w:val="20"/>
                <w:szCs w:val="20"/>
                <w:color w:val="auto"/>
              </w:rPr>
            </w:pPr>
            <w:r>
              <w:rPr>
                <w:rFonts w:ascii="Arial" w:cs="Arial" w:eastAsia="Arial" w:hAnsi="Arial"/>
                <w:sz w:val="16"/>
                <w:szCs w:val="16"/>
                <w:color w:val="auto"/>
              </w:rPr>
              <w:t>1</w:t>
            </w:r>
          </w:p>
        </w:tc>
        <w:tc>
          <w:tcPr>
            <w:tcW w:w="1140" w:type="dxa"/>
            <w:vAlign w:val="bottom"/>
          </w:tcPr>
          <w:p>
            <w:pPr>
              <w:spacing w:after="0"/>
              <w:rPr>
                <w:sz w:val="17"/>
                <w:szCs w:val="17"/>
                <w:color w:val="auto"/>
              </w:rPr>
            </w:pPr>
          </w:p>
        </w:tc>
        <w:tc>
          <w:tcPr>
            <w:tcW w:w="640" w:type="dxa"/>
            <w:vAlign w:val="bottom"/>
          </w:tcPr>
          <w:p>
            <w:pPr>
              <w:jc w:val="right"/>
              <w:ind w:right="399"/>
              <w:spacing w:after="0"/>
              <w:rPr>
                <w:sz w:val="20"/>
                <w:szCs w:val="20"/>
                <w:color w:val="auto"/>
              </w:rPr>
            </w:pPr>
            <w:r>
              <w:rPr>
                <w:rFonts w:ascii="Arial" w:cs="Arial" w:eastAsia="Arial" w:hAnsi="Arial"/>
                <w:sz w:val="16"/>
                <w:szCs w:val="16"/>
                <w:color w:val="auto"/>
              </w:rPr>
              <w:t>0</w:t>
            </w:r>
          </w:p>
        </w:tc>
        <w:tc>
          <w:tcPr>
            <w:tcW w:w="760" w:type="dxa"/>
            <w:vAlign w:val="bottom"/>
          </w:tcPr>
          <w:p>
            <w:pPr>
              <w:spacing w:after="0"/>
              <w:rPr>
                <w:sz w:val="17"/>
                <w:szCs w:val="17"/>
                <w:color w:val="auto"/>
              </w:rPr>
            </w:pPr>
          </w:p>
        </w:tc>
        <w:tc>
          <w:tcPr>
            <w:tcW w:w="440" w:type="dxa"/>
            <w:vAlign w:val="bottom"/>
          </w:tcPr>
          <w:p>
            <w:pPr>
              <w:jc w:val="right"/>
              <w:ind w:right="5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Foreign government</w:t>
            </w: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20</w:t>
            </w: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w:t>
            </w: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0</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ind w:left="540"/>
              <w:spacing w:after="0"/>
              <w:rPr>
                <w:sz w:val="20"/>
                <w:szCs w:val="20"/>
                <w:color w:val="auto"/>
              </w:rPr>
            </w:pPr>
            <w:r>
              <w:rPr>
                <w:rFonts w:ascii="Arial" w:cs="Arial" w:eastAsia="Arial" w:hAnsi="Arial"/>
                <w:sz w:val="16"/>
                <w:szCs w:val="16"/>
                <w:color w:val="auto"/>
              </w:rPr>
              <w:t>Municipal securities</w:t>
            </w:r>
          </w:p>
        </w:tc>
        <w:tc>
          <w:tcPr>
            <w:tcW w:w="1500" w:type="dxa"/>
            <w:vAlign w:val="bottom"/>
            <w:gridSpan w:val="2"/>
          </w:tcPr>
          <w:p>
            <w:pPr>
              <w:jc w:val="right"/>
              <w:ind w:right="279"/>
              <w:spacing w:after="0"/>
              <w:rPr>
                <w:sz w:val="20"/>
                <w:szCs w:val="20"/>
                <w:color w:val="auto"/>
              </w:rPr>
            </w:pPr>
            <w:r>
              <w:rPr>
                <w:rFonts w:ascii="Arial" w:cs="Arial" w:eastAsia="Arial" w:hAnsi="Arial"/>
                <w:sz w:val="16"/>
                <w:szCs w:val="16"/>
                <w:color w:val="auto"/>
              </w:rPr>
              <w:t>1,407</w:t>
            </w:r>
          </w:p>
        </w:tc>
        <w:tc>
          <w:tcPr>
            <w:tcW w:w="1140" w:type="dxa"/>
            <w:vAlign w:val="bottom"/>
          </w:tcPr>
          <w:p>
            <w:pPr>
              <w:spacing w:after="0"/>
              <w:rPr>
                <w:sz w:val="17"/>
                <w:szCs w:val="17"/>
                <w:color w:val="auto"/>
              </w:rPr>
            </w:pPr>
          </w:p>
        </w:tc>
        <w:tc>
          <w:tcPr>
            <w:tcW w:w="680" w:type="dxa"/>
            <w:vAlign w:val="bottom"/>
          </w:tcPr>
          <w:p>
            <w:pPr>
              <w:jc w:val="right"/>
              <w:ind w:right="359"/>
              <w:spacing w:after="0"/>
              <w:rPr>
                <w:sz w:val="20"/>
                <w:szCs w:val="20"/>
                <w:color w:val="auto"/>
              </w:rPr>
            </w:pPr>
            <w:r>
              <w:rPr>
                <w:rFonts w:ascii="Arial" w:cs="Arial" w:eastAsia="Arial" w:hAnsi="Arial"/>
                <w:sz w:val="16"/>
                <w:szCs w:val="16"/>
                <w:color w:val="auto"/>
              </w:rPr>
              <w:t>39</w:t>
            </w:r>
          </w:p>
        </w:tc>
        <w:tc>
          <w:tcPr>
            <w:tcW w:w="1140" w:type="dxa"/>
            <w:vAlign w:val="bottom"/>
          </w:tcPr>
          <w:p>
            <w:pPr>
              <w:spacing w:after="0"/>
              <w:rPr>
                <w:sz w:val="17"/>
                <w:szCs w:val="17"/>
                <w:color w:val="auto"/>
              </w:rPr>
            </w:pPr>
          </w:p>
        </w:tc>
        <w:tc>
          <w:tcPr>
            <w:tcW w:w="640" w:type="dxa"/>
            <w:vAlign w:val="bottom"/>
          </w:tcPr>
          <w:p>
            <w:pPr>
              <w:jc w:val="right"/>
              <w:ind w:right="399"/>
              <w:spacing w:after="0"/>
              <w:rPr>
                <w:sz w:val="20"/>
                <w:szCs w:val="20"/>
                <w:color w:val="auto"/>
              </w:rPr>
            </w:pPr>
            <w:r>
              <w:rPr>
                <w:rFonts w:ascii="Arial" w:cs="Arial" w:eastAsia="Arial" w:hAnsi="Arial"/>
                <w:sz w:val="16"/>
                <w:szCs w:val="16"/>
                <w:color w:val="auto"/>
                <w:w w:val="78"/>
              </w:rPr>
              <w:t>10</w:t>
            </w:r>
          </w:p>
        </w:tc>
        <w:tc>
          <w:tcPr>
            <w:tcW w:w="1200" w:type="dxa"/>
            <w:vAlign w:val="bottom"/>
            <w:gridSpan w:val="2"/>
          </w:tcPr>
          <w:p>
            <w:pPr>
              <w:jc w:val="right"/>
              <w:ind w:right="59"/>
              <w:spacing w:after="0"/>
              <w:rPr>
                <w:sz w:val="20"/>
                <w:szCs w:val="20"/>
                <w:color w:val="auto"/>
              </w:rPr>
            </w:pPr>
            <w:r>
              <w:rPr>
                <w:rFonts w:ascii="Arial" w:cs="Arial" w:eastAsia="Arial" w:hAnsi="Arial"/>
                <w:sz w:val="16"/>
                <w:szCs w:val="16"/>
                <w:color w:val="auto"/>
              </w:rPr>
              <w:t>1,436</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U.S. corporate debt – non-financial</w:t>
            </w:r>
          </w:p>
        </w:tc>
        <w:tc>
          <w:tcPr>
            <w:tcW w:w="150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2,287</w:t>
            </w: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2"/>
              </w:rPr>
              <w:t>169</w:t>
            </w: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4</w:t>
            </w:r>
          </w:p>
        </w:tc>
        <w:tc>
          <w:tcPr>
            <w:tcW w:w="12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2,452</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ind w:left="540"/>
              <w:spacing w:after="0"/>
              <w:rPr>
                <w:sz w:val="20"/>
                <w:szCs w:val="20"/>
                <w:color w:val="auto"/>
              </w:rPr>
            </w:pPr>
            <w:r>
              <w:rPr>
                <w:rFonts w:ascii="Arial" w:cs="Arial" w:eastAsia="Arial" w:hAnsi="Arial"/>
                <w:sz w:val="16"/>
                <w:szCs w:val="16"/>
                <w:color w:val="auto"/>
              </w:rPr>
              <w:t>U.S. corporate debt – financial</w:t>
            </w:r>
          </w:p>
        </w:tc>
        <w:tc>
          <w:tcPr>
            <w:tcW w:w="1500" w:type="dxa"/>
            <w:vAlign w:val="bottom"/>
            <w:gridSpan w:val="2"/>
          </w:tcPr>
          <w:p>
            <w:pPr>
              <w:jc w:val="right"/>
              <w:ind w:right="279"/>
              <w:spacing w:after="0"/>
              <w:rPr>
                <w:sz w:val="20"/>
                <w:szCs w:val="20"/>
                <w:color w:val="auto"/>
              </w:rPr>
            </w:pPr>
            <w:r>
              <w:rPr>
                <w:rFonts w:ascii="Arial" w:cs="Arial" w:eastAsia="Arial" w:hAnsi="Arial"/>
                <w:sz w:val="16"/>
                <w:szCs w:val="16"/>
                <w:color w:val="auto"/>
              </w:rPr>
              <w:t>1,800</w:t>
            </w:r>
          </w:p>
        </w:tc>
        <w:tc>
          <w:tcPr>
            <w:tcW w:w="1140" w:type="dxa"/>
            <w:vAlign w:val="bottom"/>
          </w:tcPr>
          <w:p>
            <w:pPr>
              <w:spacing w:after="0"/>
              <w:rPr>
                <w:sz w:val="17"/>
                <w:szCs w:val="17"/>
                <w:color w:val="auto"/>
              </w:rPr>
            </w:pPr>
          </w:p>
        </w:tc>
        <w:tc>
          <w:tcPr>
            <w:tcW w:w="680" w:type="dxa"/>
            <w:vAlign w:val="bottom"/>
          </w:tcPr>
          <w:p>
            <w:pPr>
              <w:jc w:val="right"/>
              <w:ind w:right="359"/>
              <w:spacing w:after="0"/>
              <w:rPr>
                <w:sz w:val="20"/>
                <w:szCs w:val="20"/>
                <w:color w:val="auto"/>
              </w:rPr>
            </w:pPr>
            <w:r>
              <w:rPr>
                <w:rFonts w:ascii="Arial" w:cs="Arial" w:eastAsia="Arial" w:hAnsi="Arial"/>
                <w:sz w:val="16"/>
                <w:szCs w:val="16"/>
                <w:color w:val="auto"/>
                <w:w w:val="82"/>
              </w:rPr>
              <w:t>139</w:t>
            </w:r>
          </w:p>
        </w:tc>
        <w:tc>
          <w:tcPr>
            <w:tcW w:w="1140" w:type="dxa"/>
            <w:vAlign w:val="bottom"/>
          </w:tcPr>
          <w:p>
            <w:pPr>
              <w:spacing w:after="0"/>
              <w:rPr>
                <w:sz w:val="17"/>
                <w:szCs w:val="17"/>
                <w:color w:val="auto"/>
              </w:rPr>
            </w:pPr>
          </w:p>
        </w:tc>
        <w:tc>
          <w:tcPr>
            <w:tcW w:w="640" w:type="dxa"/>
            <w:vAlign w:val="bottom"/>
          </w:tcPr>
          <w:p>
            <w:pPr>
              <w:jc w:val="right"/>
              <w:ind w:right="399"/>
              <w:spacing w:after="0"/>
              <w:rPr>
                <w:sz w:val="20"/>
                <w:szCs w:val="20"/>
                <w:color w:val="auto"/>
              </w:rPr>
            </w:pPr>
            <w:r>
              <w:rPr>
                <w:rFonts w:ascii="Arial" w:cs="Arial" w:eastAsia="Arial" w:hAnsi="Arial"/>
                <w:sz w:val="16"/>
                <w:szCs w:val="16"/>
                <w:color w:val="auto"/>
              </w:rPr>
              <w:t>5</w:t>
            </w:r>
          </w:p>
        </w:tc>
        <w:tc>
          <w:tcPr>
            <w:tcW w:w="1200" w:type="dxa"/>
            <w:vAlign w:val="bottom"/>
            <w:gridSpan w:val="2"/>
          </w:tcPr>
          <w:p>
            <w:pPr>
              <w:jc w:val="right"/>
              <w:ind w:right="59"/>
              <w:spacing w:after="0"/>
              <w:rPr>
                <w:sz w:val="20"/>
                <w:szCs w:val="20"/>
                <w:color w:val="auto"/>
              </w:rPr>
            </w:pPr>
            <w:r>
              <w:rPr>
                <w:rFonts w:ascii="Arial" w:cs="Arial" w:eastAsia="Arial" w:hAnsi="Arial"/>
                <w:sz w:val="16"/>
                <w:szCs w:val="16"/>
                <w:color w:val="auto"/>
              </w:rPr>
              <w:t>1,934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Foreign corporate debt – non-financial</w:t>
            </w: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493</w:t>
            </w: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37</w:t>
            </w: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0</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530</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ind w:left="540"/>
              <w:spacing w:after="0"/>
              <w:rPr>
                <w:sz w:val="20"/>
                <w:szCs w:val="20"/>
                <w:color w:val="auto"/>
              </w:rPr>
            </w:pPr>
            <w:r>
              <w:rPr>
                <w:rFonts w:ascii="Arial" w:cs="Arial" w:eastAsia="Arial" w:hAnsi="Arial"/>
                <w:sz w:val="16"/>
                <w:szCs w:val="16"/>
                <w:color w:val="auto"/>
              </w:rPr>
              <w:t>Foreign corporate debt – financial</w:t>
            </w:r>
          </w:p>
        </w:tc>
        <w:tc>
          <w:tcPr>
            <w:tcW w:w="880" w:type="dxa"/>
            <w:vAlign w:val="bottom"/>
          </w:tcPr>
          <w:p>
            <w:pPr>
              <w:spacing w:after="0"/>
              <w:rPr>
                <w:sz w:val="17"/>
                <w:szCs w:val="17"/>
                <w:color w:val="auto"/>
              </w:rPr>
            </w:pPr>
          </w:p>
        </w:tc>
        <w:tc>
          <w:tcPr>
            <w:tcW w:w="620" w:type="dxa"/>
            <w:vAlign w:val="bottom"/>
          </w:tcPr>
          <w:p>
            <w:pPr>
              <w:jc w:val="right"/>
              <w:ind w:right="279"/>
              <w:spacing w:after="0"/>
              <w:rPr>
                <w:sz w:val="20"/>
                <w:szCs w:val="20"/>
                <w:color w:val="auto"/>
              </w:rPr>
            </w:pPr>
            <w:r>
              <w:rPr>
                <w:rFonts w:ascii="Arial" w:cs="Arial" w:eastAsia="Arial" w:hAnsi="Arial"/>
                <w:sz w:val="16"/>
                <w:szCs w:val="16"/>
                <w:color w:val="auto"/>
                <w:w w:val="89"/>
              </w:rPr>
              <w:t>351</w:t>
            </w:r>
          </w:p>
        </w:tc>
        <w:tc>
          <w:tcPr>
            <w:tcW w:w="1140" w:type="dxa"/>
            <w:vAlign w:val="bottom"/>
          </w:tcPr>
          <w:p>
            <w:pPr>
              <w:spacing w:after="0"/>
              <w:rPr>
                <w:sz w:val="17"/>
                <w:szCs w:val="17"/>
                <w:color w:val="auto"/>
              </w:rPr>
            </w:pPr>
          </w:p>
        </w:tc>
        <w:tc>
          <w:tcPr>
            <w:tcW w:w="680" w:type="dxa"/>
            <w:vAlign w:val="bottom"/>
          </w:tcPr>
          <w:p>
            <w:pPr>
              <w:jc w:val="right"/>
              <w:ind w:right="359"/>
              <w:spacing w:after="0"/>
              <w:rPr>
                <w:sz w:val="20"/>
                <w:szCs w:val="20"/>
                <w:color w:val="auto"/>
              </w:rPr>
            </w:pPr>
            <w:r>
              <w:rPr>
                <w:rFonts w:ascii="Arial" w:cs="Arial" w:eastAsia="Arial" w:hAnsi="Arial"/>
                <w:sz w:val="16"/>
                <w:szCs w:val="16"/>
                <w:color w:val="auto"/>
              </w:rPr>
              <w:t>15</w:t>
            </w:r>
          </w:p>
        </w:tc>
        <w:tc>
          <w:tcPr>
            <w:tcW w:w="1140" w:type="dxa"/>
            <w:vAlign w:val="bottom"/>
          </w:tcPr>
          <w:p>
            <w:pPr>
              <w:spacing w:after="0"/>
              <w:rPr>
                <w:sz w:val="17"/>
                <w:szCs w:val="17"/>
                <w:color w:val="auto"/>
              </w:rPr>
            </w:pPr>
          </w:p>
        </w:tc>
        <w:tc>
          <w:tcPr>
            <w:tcW w:w="640" w:type="dxa"/>
            <w:vAlign w:val="bottom"/>
          </w:tcPr>
          <w:p>
            <w:pPr>
              <w:jc w:val="right"/>
              <w:ind w:right="399"/>
              <w:spacing w:after="0"/>
              <w:rPr>
                <w:sz w:val="20"/>
                <w:szCs w:val="20"/>
                <w:color w:val="auto"/>
              </w:rPr>
            </w:pPr>
            <w:r>
              <w:rPr>
                <w:rFonts w:ascii="Arial" w:cs="Arial" w:eastAsia="Arial" w:hAnsi="Arial"/>
                <w:sz w:val="16"/>
                <w:szCs w:val="16"/>
                <w:color w:val="auto"/>
              </w:rPr>
              <w:t>1</w:t>
            </w:r>
          </w:p>
        </w:tc>
        <w:tc>
          <w:tcPr>
            <w:tcW w:w="760" w:type="dxa"/>
            <w:vAlign w:val="bottom"/>
          </w:tcPr>
          <w:p>
            <w:pPr>
              <w:spacing w:after="0"/>
              <w:rPr>
                <w:sz w:val="17"/>
                <w:szCs w:val="17"/>
                <w:color w:val="auto"/>
              </w:rPr>
            </w:pPr>
          </w:p>
        </w:tc>
        <w:tc>
          <w:tcPr>
            <w:tcW w:w="440" w:type="dxa"/>
            <w:vAlign w:val="bottom"/>
          </w:tcPr>
          <w:p>
            <w:pPr>
              <w:jc w:val="right"/>
              <w:ind w:right="59"/>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Structured securities:</w:t>
            </w: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ind w:left="720"/>
              <w:spacing w:after="0"/>
              <w:rPr>
                <w:sz w:val="20"/>
                <w:szCs w:val="20"/>
                <w:color w:val="auto"/>
              </w:rPr>
            </w:pPr>
            <w:r>
              <w:rPr>
                <w:rFonts w:ascii="Arial" w:cs="Arial" w:eastAsia="Arial" w:hAnsi="Arial"/>
                <w:sz w:val="16"/>
                <w:szCs w:val="16"/>
                <w:color w:val="auto"/>
              </w:rPr>
              <w:t>Asset-backed securities – auto loans</w:t>
            </w:r>
          </w:p>
        </w:tc>
        <w:tc>
          <w:tcPr>
            <w:tcW w:w="880" w:type="dxa"/>
            <w:vAlign w:val="bottom"/>
          </w:tcPr>
          <w:p>
            <w:pPr>
              <w:spacing w:after="0"/>
              <w:rPr>
                <w:sz w:val="17"/>
                <w:szCs w:val="17"/>
                <w:color w:val="auto"/>
              </w:rPr>
            </w:pPr>
          </w:p>
        </w:tc>
        <w:tc>
          <w:tcPr>
            <w:tcW w:w="620" w:type="dxa"/>
            <w:vAlign w:val="bottom"/>
          </w:tcPr>
          <w:p>
            <w:pPr>
              <w:jc w:val="right"/>
              <w:ind w:right="279"/>
              <w:spacing w:after="0"/>
              <w:rPr>
                <w:sz w:val="20"/>
                <w:szCs w:val="20"/>
                <w:color w:val="auto"/>
              </w:rPr>
            </w:pPr>
            <w:r>
              <w:rPr>
                <w:rFonts w:ascii="Arial" w:cs="Arial" w:eastAsia="Arial" w:hAnsi="Arial"/>
                <w:sz w:val="16"/>
                <w:szCs w:val="16"/>
                <w:color w:val="auto"/>
              </w:rPr>
              <w:t>34</w:t>
            </w:r>
          </w:p>
        </w:tc>
        <w:tc>
          <w:tcPr>
            <w:tcW w:w="1140" w:type="dxa"/>
            <w:vAlign w:val="bottom"/>
          </w:tcPr>
          <w:p>
            <w:pPr>
              <w:spacing w:after="0"/>
              <w:rPr>
                <w:sz w:val="17"/>
                <w:szCs w:val="17"/>
                <w:color w:val="auto"/>
              </w:rPr>
            </w:pPr>
          </w:p>
        </w:tc>
        <w:tc>
          <w:tcPr>
            <w:tcW w:w="680" w:type="dxa"/>
            <w:vAlign w:val="bottom"/>
          </w:tcPr>
          <w:p>
            <w:pPr>
              <w:jc w:val="right"/>
              <w:ind w:right="359"/>
              <w:spacing w:after="0"/>
              <w:rPr>
                <w:sz w:val="20"/>
                <w:szCs w:val="20"/>
                <w:color w:val="auto"/>
              </w:rPr>
            </w:pPr>
            <w:r>
              <w:rPr>
                <w:rFonts w:ascii="Arial" w:cs="Arial" w:eastAsia="Arial" w:hAnsi="Arial"/>
                <w:sz w:val="16"/>
                <w:szCs w:val="16"/>
                <w:color w:val="auto"/>
              </w:rPr>
              <w:t>2</w:t>
            </w:r>
          </w:p>
        </w:tc>
        <w:tc>
          <w:tcPr>
            <w:tcW w:w="1140" w:type="dxa"/>
            <w:vAlign w:val="bottom"/>
          </w:tcPr>
          <w:p>
            <w:pPr>
              <w:spacing w:after="0"/>
              <w:rPr>
                <w:sz w:val="17"/>
                <w:szCs w:val="17"/>
                <w:color w:val="auto"/>
              </w:rPr>
            </w:pPr>
          </w:p>
        </w:tc>
        <w:tc>
          <w:tcPr>
            <w:tcW w:w="640" w:type="dxa"/>
            <w:vAlign w:val="bottom"/>
          </w:tcPr>
          <w:p>
            <w:pPr>
              <w:jc w:val="right"/>
              <w:ind w:right="399"/>
              <w:spacing w:after="0"/>
              <w:rPr>
                <w:sz w:val="20"/>
                <w:szCs w:val="20"/>
                <w:color w:val="auto"/>
              </w:rPr>
            </w:pPr>
            <w:r>
              <w:rPr>
                <w:rFonts w:ascii="Arial" w:cs="Arial" w:eastAsia="Arial" w:hAnsi="Arial"/>
                <w:sz w:val="16"/>
                <w:szCs w:val="16"/>
                <w:color w:val="auto"/>
              </w:rPr>
              <w:t>0</w:t>
            </w:r>
          </w:p>
        </w:tc>
        <w:tc>
          <w:tcPr>
            <w:tcW w:w="760" w:type="dxa"/>
            <w:vAlign w:val="bottom"/>
          </w:tcPr>
          <w:p>
            <w:pPr>
              <w:spacing w:after="0"/>
              <w:rPr>
                <w:sz w:val="17"/>
                <w:szCs w:val="17"/>
                <w:color w:val="auto"/>
              </w:rPr>
            </w:pPr>
          </w:p>
        </w:tc>
        <w:tc>
          <w:tcPr>
            <w:tcW w:w="440" w:type="dxa"/>
            <w:vAlign w:val="bottom"/>
          </w:tcPr>
          <w:p>
            <w:pPr>
              <w:jc w:val="right"/>
              <w:ind w:right="5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Asset-backed securities – other</w:t>
            </w: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13</w:t>
            </w: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w:t>
            </w: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0</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ind w:left="720"/>
              <w:spacing w:after="0"/>
              <w:rPr>
                <w:sz w:val="20"/>
                <w:szCs w:val="20"/>
                <w:color w:val="auto"/>
              </w:rPr>
            </w:pPr>
            <w:r>
              <w:rPr>
                <w:rFonts w:ascii="Arial" w:cs="Arial" w:eastAsia="Arial" w:hAnsi="Arial"/>
                <w:sz w:val="16"/>
                <w:szCs w:val="16"/>
                <w:color w:val="auto"/>
              </w:rPr>
              <w:t>Collateralized debt obligations</w:t>
            </w:r>
          </w:p>
        </w:tc>
        <w:tc>
          <w:tcPr>
            <w:tcW w:w="880" w:type="dxa"/>
            <w:vAlign w:val="bottom"/>
          </w:tcPr>
          <w:p>
            <w:pPr>
              <w:spacing w:after="0"/>
              <w:rPr>
                <w:sz w:val="17"/>
                <w:szCs w:val="17"/>
                <w:color w:val="auto"/>
              </w:rPr>
            </w:pPr>
          </w:p>
        </w:tc>
        <w:tc>
          <w:tcPr>
            <w:tcW w:w="620" w:type="dxa"/>
            <w:vAlign w:val="bottom"/>
          </w:tcPr>
          <w:p>
            <w:pPr>
              <w:jc w:val="right"/>
              <w:ind w:right="279"/>
              <w:spacing w:after="0"/>
              <w:rPr>
                <w:sz w:val="20"/>
                <w:szCs w:val="20"/>
                <w:color w:val="auto"/>
              </w:rPr>
            </w:pPr>
            <w:r>
              <w:rPr>
                <w:rFonts w:ascii="Arial" w:cs="Arial" w:eastAsia="Arial" w:hAnsi="Arial"/>
                <w:sz w:val="16"/>
                <w:szCs w:val="16"/>
                <w:color w:val="auto"/>
              </w:rPr>
              <w:t>69</w:t>
            </w:r>
          </w:p>
        </w:tc>
        <w:tc>
          <w:tcPr>
            <w:tcW w:w="1140" w:type="dxa"/>
            <w:vAlign w:val="bottom"/>
          </w:tcPr>
          <w:p>
            <w:pPr>
              <w:spacing w:after="0"/>
              <w:rPr>
                <w:sz w:val="17"/>
                <w:szCs w:val="17"/>
                <w:color w:val="auto"/>
              </w:rPr>
            </w:pPr>
          </w:p>
        </w:tc>
        <w:tc>
          <w:tcPr>
            <w:tcW w:w="680" w:type="dxa"/>
            <w:vAlign w:val="bottom"/>
          </w:tcPr>
          <w:p>
            <w:pPr>
              <w:jc w:val="right"/>
              <w:ind w:right="359"/>
              <w:spacing w:after="0"/>
              <w:rPr>
                <w:sz w:val="20"/>
                <w:szCs w:val="20"/>
                <w:color w:val="auto"/>
              </w:rPr>
            </w:pPr>
            <w:r>
              <w:rPr>
                <w:rFonts w:ascii="Arial" w:cs="Arial" w:eastAsia="Arial" w:hAnsi="Arial"/>
                <w:sz w:val="16"/>
                <w:szCs w:val="16"/>
                <w:color w:val="auto"/>
              </w:rPr>
              <w:t>7</w:t>
            </w:r>
          </w:p>
        </w:tc>
        <w:tc>
          <w:tcPr>
            <w:tcW w:w="1140" w:type="dxa"/>
            <w:vAlign w:val="bottom"/>
          </w:tcPr>
          <w:p>
            <w:pPr>
              <w:spacing w:after="0"/>
              <w:rPr>
                <w:sz w:val="17"/>
                <w:szCs w:val="17"/>
                <w:color w:val="auto"/>
              </w:rPr>
            </w:pPr>
          </w:p>
        </w:tc>
        <w:tc>
          <w:tcPr>
            <w:tcW w:w="640" w:type="dxa"/>
            <w:vAlign w:val="bottom"/>
          </w:tcPr>
          <w:p>
            <w:pPr>
              <w:jc w:val="right"/>
              <w:ind w:right="399"/>
              <w:spacing w:after="0"/>
              <w:rPr>
                <w:sz w:val="20"/>
                <w:szCs w:val="20"/>
                <w:color w:val="auto"/>
              </w:rPr>
            </w:pPr>
            <w:r>
              <w:rPr>
                <w:rFonts w:ascii="Arial" w:cs="Arial" w:eastAsia="Arial" w:hAnsi="Arial"/>
                <w:sz w:val="16"/>
                <w:szCs w:val="16"/>
                <w:color w:val="auto"/>
              </w:rPr>
              <w:t>5</w:t>
            </w:r>
          </w:p>
        </w:tc>
        <w:tc>
          <w:tcPr>
            <w:tcW w:w="760" w:type="dxa"/>
            <w:vAlign w:val="bottom"/>
          </w:tcPr>
          <w:p>
            <w:pPr>
              <w:spacing w:after="0"/>
              <w:rPr>
                <w:sz w:val="17"/>
                <w:szCs w:val="17"/>
                <w:color w:val="auto"/>
              </w:rPr>
            </w:pPr>
          </w:p>
        </w:tc>
        <w:tc>
          <w:tcPr>
            <w:tcW w:w="440" w:type="dxa"/>
            <w:vAlign w:val="bottom"/>
          </w:tcPr>
          <w:p>
            <w:pPr>
              <w:jc w:val="right"/>
              <w:ind w:right="59"/>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Commercial mortgage-backed</w:t>
            </w: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78</w:t>
            </w: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w:t>
            </w: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0</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ind w:left="540"/>
              <w:spacing w:after="0"/>
              <w:rPr>
                <w:sz w:val="20"/>
                <w:szCs w:val="20"/>
                <w:color w:val="auto"/>
              </w:rPr>
            </w:pPr>
            <w:r>
              <w:rPr>
                <w:rFonts w:ascii="Arial" w:cs="Arial" w:eastAsia="Arial" w:hAnsi="Arial"/>
                <w:sz w:val="16"/>
                <w:szCs w:val="16"/>
                <w:color w:val="auto"/>
              </w:rPr>
              <w:t>Residential mortgage-backed:</w:t>
            </w: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Government sponsored enterprises</w:t>
            </w: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209</w:t>
            </w: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w:t>
            </w: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Borders>
              <w:bottom w:val="single" w:sz="8" w:color="CCEEFF"/>
            </w:tcBorders>
            <w:gridSpan w:val="2"/>
          </w:tcPr>
          <w:p>
            <w:pPr>
              <w:ind w:left="720"/>
              <w:spacing w:after="0"/>
              <w:rPr>
                <w:sz w:val="20"/>
                <w:szCs w:val="20"/>
                <w:color w:val="auto"/>
              </w:rPr>
            </w:pPr>
            <w:r>
              <w:rPr>
                <w:rFonts w:ascii="Arial" w:cs="Arial" w:eastAsia="Arial" w:hAnsi="Arial"/>
                <w:sz w:val="16"/>
                <w:szCs w:val="16"/>
                <w:color w:val="auto"/>
              </w:rPr>
              <w:t>Non-government sponsored enterprises</w:t>
            </w:r>
          </w:p>
        </w:tc>
        <w:tc>
          <w:tcPr>
            <w:tcW w:w="8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17</w:t>
            </w:r>
          </w:p>
        </w:tc>
        <w:tc>
          <w:tcPr>
            <w:tcW w:w="1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0</w:t>
            </w: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Total fixed maturities</w:t>
            </w:r>
          </w:p>
        </w:tc>
        <w:tc>
          <w:tcPr>
            <w:tcW w:w="1500" w:type="dxa"/>
            <w:vAlign w:val="bottom"/>
            <w:tcBorders>
              <w:bottom w:val="single" w:sz="8" w:color="auto"/>
            </w:tcBorders>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6,857</w:t>
            </w:r>
          </w:p>
        </w:tc>
        <w:tc>
          <w:tcPr>
            <w:tcW w:w="1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2"/>
              </w:rPr>
              <w:t>423</w:t>
            </w:r>
          </w:p>
        </w:tc>
        <w:tc>
          <w:tcPr>
            <w:tcW w:w="1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78"/>
              </w:rPr>
              <w:t>26</w:t>
            </w:r>
          </w:p>
        </w:tc>
        <w:tc>
          <w:tcPr>
            <w:tcW w:w="1200" w:type="dxa"/>
            <w:vAlign w:val="bottom"/>
            <w:tcBorders>
              <w:bottom w:val="single" w:sz="8" w:color="auto"/>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7,254</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020" w:type="dxa"/>
            <w:vAlign w:val="bottom"/>
            <w:gridSpan w:val="2"/>
          </w:tcPr>
          <w:p>
            <w:pPr>
              <w:ind w:left="180"/>
              <w:spacing w:after="0" w:line="183" w:lineRule="exact"/>
              <w:rPr>
                <w:sz w:val="20"/>
                <w:szCs w:val="20"/>
                <w:color w:val="auto"/>
              </w:rPr>
            </w:pPr>
            <w:r>
              <w:rPr>
                <w:rFonts w:ascii="Arial" w:cs="Arial" w:eastAsia="Arial" w:hAnsi="Arial"/>
                <w:sz w:val="16"/>
                <w:szCs w:val="16"/>
                <w:color w:val="auto"/>
              </w:rPr>
              <w:t>Equity securities:</w:t>
            </w: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U.S. nonredeemable preferred securities:</w:t>
            </w: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ind w:left="720"/>
              <w:spacing w:after="0"/>
              <w:rPr>
                <w:sz w:val="20"/>
                <w:szCs w:val="20"/>
                <w:color w:val="auto"/>
              </w:rPr>
            </w:pPr>
            <w:r>
              <w:rPr>
                <w:rFonts w:ascii="Arial" w:cs="Arial" w:eastAsia="Arial" w:hAnsi="Arial"/>
                <w:sz w:val="16"/>
                <w:szCs w:val="16"/>
                <w:color w:val="auto"/>
              </w:rPr>
              <w:t>Financial</w:t>
            </w:r>
          </w:p>
        </w:tc>
        <w:tc>
          <w:tcPr>
            <w:tcW w:w="880" w:type="dxa"/>
            <w:vAlign w:val="bottom"/>
          </w:tcPr>
          <w:p>
            <w:pPr>
              <w:spacing w:after="0"/>
              <w:rPr>
                <w:sz w:val="17"/>
                <w:szCs w:val="17"/>
                <w:color w:val="auto"/>
              </w:rPr>
            </w:pPr>
          </w:p>
        </w:tc>
        <w:tc>
          <w:tcPr>
            <w:tcW w:w="620" w:type="dxa"/>
            <w:vAlign w:val="bottom"/>
          </w:tcPr>
          <w:p>
            <w:pPr>
              <w:jc w:val="right"/>
              <w:ind w:right="279"/>
              <w:spacing w:after="0"/>
              <w:rPr>
                <w:sz w:val="20"/>
                <w:szCs w:val="20"/>
                <w:color w:val="auto"/>
              </w:rPr>
            </w:pPr>
            <w:r>
              <w:rPr>
                <w:rFonts w:ascii="Arial" w:cs="Arial" w:eastAsia="Arial" w:hAnsi="Arial"/>
                <w:sz w:val="16"/>
                <w:szCs w:val="16"/>
                <w:color w:val="auto"/>
                <w:w w:val="89"/>
              </w:rPr>
              <w:t>325</w:t>
            </w:r>
          </w:p>
        </w:tc>
        <w:tc>
          <w:tcPr>
            <w:tcW w:w="1140" w:type="dxa"/>
            <w:vAlign w:val="bottom"/>
          </w:tcPr>
          <w:p>
            <w:pPr>
              <w:spacing w:after="0"/>
              <w:rPr>
                <w:sz w:val="17"/>
                <w:szCs w:val="17"/>
                <w:color w:val="auto"/>
              </w:rPr>
            </w:pPr>
          </w:p>
        </w:tc>
        <w:tc>
          <w:tcPr>
            <w:tcW w:w="680" w:type="dxa"/>
            <w:vAlign w:val="bottom"/>
          </w:tcPr>
          <w:p>
            <w:pPr>
              <w:jc w:val="right"/>
              <w:ind w:right="359"/>
              <w:spacing w:after="0"/>
              <w:rPr>
                <w:sz w:val="20"/>
                <w:szCs w:val="20"/>
                <w:color w:val="auto"/>
              </w:rPr>
            </w:pPr>
            <w:r>
              <w:rPr>
                <w:rFonts w:ascii="Arial" w:cs="Arial" w:eastAsia="Arial" w:hAnsi="Arial"/>
                <w:sz w:val="16"/>
                <w:szCs w:val="16"/>
                <w:color w:val="auto"/>
              </w:rPr>
              <w:t>67</w:t>
            </w:r>
          </w:p>
        </w:tc>
        <w:tc>
          <w:tcPr>
            <w:tcW w:w="1140" w:type="dxa"/>
            <w:vAlign w:val="bottom"/>
          </w:tcPr>
          <w:p>
            <w:pPr>
              <w:spacing w:after="0"/>
              <w:rPr>
                <w:sz w:val="17"/>
                <w:szCs w:val="17"/>
                <w:color w:val="auto"/>
              </w:rPr>
            </w:pPr>
          </w:p>
        </w:tc>
        <w:tc>
          <w:tcPr>
            <w:tcW w:w="640" w:type="dxa"/>
            <w:vAlign w:val="bottom"/>
          </w:tcPr>
          <w:p>
            <w:pPr>
              <w:jc w:val="right"/>
              <w:ind w:right="399"/>
              <w:spacing w:after="0"/>
              <w:rPr>
                <w:sz w:val="20"/>
                <w:szCs w:val="20"/>
                <w:color w:val="auto"/>
              </w:rPr>
            </w:pPr>
            <w:r>
              <w:rPr>
                <w:rFonts w:ascii="Arial" w:cs="Arial" w:eastAsia="Arial" w:hAnsi="Arial"/>
                <w:sz w:val="16"/>
                <w:szCs w:val="16"/>
                <w:color w:val="auto"/>
              </w:rPr>
              <w:t>1</w:t>
            </w:r>
          </w:p>
        </w:tc>
        <w:tc>
          <w:tcPr>
            <w:tcW w:w="760" w:type="dxa"/>
            <w:vAlign w:val="bottom"/>
          </w:tcPr>
          <w:p>
            <w:pPr>
              <w:spacing w:after="0"/>
              <w:rPr>
                <w:sz w:val="17"/>
                <w:szCs w:val="17"/>
                <w:color w:val="auto"/>
              </w:rPr>
            </w:pPr>
          </w:p>
        </w:tc>
        <w:tc>
          <w:tcPr>
            <w:tcW w:w="440" w:type="dxa"/>
            <w:vAlign w:val="bottom"/>
          </w:tcPr>
          <w:p>
            <w:pPr>
              <w:jc w:val="right"/>
              <w:ind w:right="59"/>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Non-financial</w:t>
            </w: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136</w:t>
            </w: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w:t>
            </w: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ind w:left="720"/>
              <w:spacing w:after="0"/>
              <w:rPr>
                <w:sz w:val="20"/>
                <w:szCs w:val="20"/>
                <w:color w:val="auto"/>
              </w:rPr>
            </w:pPr>
            <w:r>
              <w:rPr>
                <w:rFonts w:ascii="Arial" w:cs="Arial" w:eastAsia="Arial" w:hAnsi="Arial"/>
                <w:sz w:val="16"/>
                <w:szCs w:val="16"/>
                <w:color w:val="auto"/>
              </w:rPr>
              <w:t>Government sponsored enterprises</w:t>
            </w:r>
          </w:p>
        </w:tc>
        <w:tc>
          <w:tcPr>
            <w:tcW w:w="880" w:type="dxa"/>
            <w:vAlign w:val="bottom"/>
          </w:tcPr>
          <w:p>
            <w:pPr>
              <w:spacing w:after="0"/>
              <w:rPr>
                <w:sz w:val="17"/>
                <w:szCs w:val="17"/>
                <w:color w:val="auto"/>
              </w:rPr>
            </w:pPr>
          </w:p>
        </w:tc>
        <w:tc>
          <w:tcPr>
            <w:tcW w:w="620" w:type="dxa"/>
            <w:vAlign w:val="bottom"/>
          </w:tcPr>
          <w:p>
            <w:pPr>
              <w:jc w:val="right"/>
              <w:ind w:right="279"/>
              <w:spacing w:after="0"/>
              <w:rPr>
                <w:sz w:val="20"/>
                <w:szCs w:val="20"/>
                <w:color w:val="auto"/>
              </w:rPr>
            </w:pPr>
            <w:r>
              <w:rPr>
                <w:rFonts w:ascii="Arial" w:cs="Arial" w:eastAsia="Arial" w:hAnsi="Arial"/>
                <w:sz w:val="16"/>
                <w:szCs w:val="16"/>
                <w:color w:val="auto"/>
              </w:rPr>
              <w:t>0</w:t>
            </w:r>
          </w:p>
        </w:tc>
        <w:tc>
          <w:tcPr>
            <w:tcW w:w="1140" w:type="dxa"/>
            <w:vAlign w:val="bottom"/>
          </w:tcPr>
          <w:p>
            <w:pPr>
              <w:spacing w:after="0"/>
              <w:rPr>
                <w:sz w:val="17"/>
                <w:szCs w:val="17"/>
                <w:color w:val="auto"/>
              </w:rPr>
            </w:pPr>
          </w:p>
        </w:tc>
        <w:tc>
          <w:tcPr>
            <w:tcW w:w="680" w:type="dxa"/>
            <w:vAlign w:val="bottom"/>
          </w:tcPr>
          <w:p>
            <w:pPr>
              <w:jc w:val="right"/>
              <w:ind w:right="359"/>
              <w:spacing w:after="0"/>
              <w:rPr>
                <w:sz w:val="20"/>
                <w:szCs w:val="20"/>
                <w:color w:val="auto"/>
              </w:rPr>
            </w:pPr>
            <w:r>
              <w:rPr>
                <w:rFonts w:ascii="Arial" w:cs="Arial" w:eastAsia="Arial" w:hAnsi="Arial"/>
                <w:sz w:val="16"/>
                <w:szCs w:val="16"/>
                <w:color w:val="auto"/>
              </w:rPr>
              <w:t>1</w:t>
            </w:r>
          </w:p>
        </w:tc>
        <w:tc>
          <w:tcPr>
            <w:tcW w:w="1140" w:type="dxa"/>
            <w:vAlign w:val="bottom"/>
          </w:tcPr>
          <w:p>
            <w:pPr>
              <w:spacing w:after="0"/>
              <w:rPr>
                <w:sz w:val="17"/>
                <w:szCs w:val="17"/>
                <w:color w:val="auto"/>
              </w:rPr>
            </w:pPr>
          </w:p>
        </w:tc>
        <w:tc>
          <w:tcPr>
            <w:tcW w:w="640" w:type="dxa"/>
            <w:vAlign w:val="bottom"/>
          </w:tcPr>
          <w:p>
            <w:pPr>
              <w:jc w:val="right"/>
              <w:ind w:right="399"/>
              <w:spacing w:after="0"/>
              <w:rPr>
                <w:sz w:val="20"/>
                <w:szCs w:val="20"/>
                <w:color w:val="auto"/>
              </w:rPr>
            </w:pPr>
            <w:r>
              <w:rPr>
                <w:rFonts w:ascii="Arial" w:cs="Arial" w:eastAsia="Arial" w:hAnsi="Arial"/>
                <w:sz w:val="16"/>
                <w:szCs w:val="16"/>
                <w:color w:val="auto"/>
              </w:rPr>
              <w:t>0</w:t>
            </w:r>
          </w:p>
        </w:tc>
        <w:tc>
          <w:tcPr>
            <w:tcW w:w="760" w:type="dxa"/>
            <w:vAlign w:val="bottom"/>
          </w:tcPr>
          <w:p>
            <w:pPr>
              <w:spacing w:after="0"/>
              <w:rPr>
                <w:sz w:val="17"/>
                <w:szCs w:val="17"/>
                <w:color w:val="auto"/>
              </w:rPr>
            </w:pPr>
          </w:p>
        </w:tc>
        <w:tc>
          <w:tcPr>
            <w:tcW w:w="44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Foreign nonredeemable preferred securities:</w:t>
            </w: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ind w:left="720"/>
              <w:spacing w:after="0"/>
              <w:rPr>
                <w:sz w:val="20"/>
                <w:szCs w:val="20"/>
                <w:color w:val="auto"/>
              </w:rPr>
            </w:pPr>
            <w:r>
              <w:rPr>
                <w:rFonts w:ascii="Arial" w:cs="Arial" w:eastAsia="Arial" w:hAnsi="Arial"/>
                <w:sz w:val="16"/>
                <w:szCs w:val="16"/>
                <w:color w:val="auto"/>
              </w:rPr>
              <w:t>Financial</w:t>
            </w:r>
          </w:p>
        </w:tc>
        <w:tc>
          <w:tcPr>
            <w:tcW w:w="880" w:type="dxa"/>
            <w:vAlign w:val="bottom"/>
          </w:tcPr>
          <w:p>
            <w:pPr>
              <w:spacing w:after="0"/>
              <w:rPr>
                <w:sz w:val="17"/>
                <w:szCs w:val="17"/>
                <w:color w:val="auto"/>
              </w:rPr>
            </w:pPr>
          </w:p>
        </w:tc>
        <w:tc>
          <w:tcPr>
            <w:tcW w:w="620" w:type="dxa"/>
            <w:vAlign w:val="bottom"/>
          </w:tcPr>
          <w:p>
            <w:pPr>
              <w:jc w:val="right"/>
              <w:ind w:right="279"/>
              <w:spacing w:after="0"/>
              <w:rPr>
                <w:sz w:val="20"/>
                <w:szCs w:val="20"/>
                <w:color w:val="auto"/>
              </w:rPr>
            </w:pPr>
            <w:r>
              <w:rPr>
                <w:rFonts w:ascii="Arial" w:cs="Arial" w:eastAsia="Arial" w:hAnsi="Arial"/>
                <w:sz w:val="16"/>
                <w:szCs w:val="16"/>
                <w:color w:val="auto"/>
              </w:rPr>
              <w:t>50</w:t>
            </w:r>
          </w:p>
        </w:tc>
        <w:tc>
          <w:tcPr>
            <w:tcW w:w="1140" w:type="dxa"/>
            <w:vAlign w:val="bottom"/>
          </w:tcPr>
          <w:p>
            <w:pPr>
              <w:spacing w:after="0"/>
              <w:rPr>
                <w:sz w:val="17"/>
                <w:szCs w:val="17"/>
                <w:color w:val="auto"/>
              </w:rPr>
            </w:pPr>
          </w:p>
        </w:tc>
        <w:tc>
          <w:tcPr>
            <w:tcW w:w="680" w:type="dxa"/>
            <w:vAlign w:val="bottom"/>
          </w:tcPr>
          <w:p>
            <w:pPr>
              <w:jc w:val="right"/>
              <w:ind w:right="359"/>
              <w:spacing w:after="0"/>
              <w:rPr>
                <w:sz w:val="20"/>
                <w:szCs w:val="20"/>
                <w:color w:val="auto"/>
              </w:rPr>
            </w:pPr>
            <w:r>
              <w:rPr>
                <w:rFonts w:ascii="Arial" w:cs="Arial" w:eastAsia="Arial" w:hAnsi="Arial"/>
                <w:sz w:val="16"/>
                <w:szCs w:val="16"/>
                <w:color w:val="auto"/>
              </w:rPr>
              <w:t>8</w:t>
            </w:r>
          </w:p>
        </w:tc>
        <w:tc>
          <w:tcPr>
            <w:tcW w:w="1140" w:type="dxa"/>
            <w:vAlign w:val="bottom"/>
          </w:tcPr>
          <w:p>
            <w:pPr>
              <w:spacing w:after="0"/>
              <w:rPr>
                <w:sz w:val="17"/>
                <w:szCs w:val="17"/>
                <w:color w:val="auto"/>
              </w:rPr>
            </w:pPr>
          </w:p>
        </w:tc>
        <w:tc>
          <w:tcPr>
            <w:tcW w:w="640" w:type="dxa"/>
            <w:vAlign w:val="bottom"/>
          </w:tcPr>
          <w:p>
            <w:pPr>
              <w:jc w:val="right"/>
              <w:ind w:right="399"/>
              <w:spacing w:after="0"/>
              <w:rPr>
                <w:sz w:val="20"/>
                <w:szCs w:val="20"/>
                <w:color w:val="auto"/>
              </w:rPr>
            </w:pPr>
            <w:r>
              <w:rPr>
                <w:rFonts w:ascii="Arial" w:cs="Arial" w:eastAsia="Arial" w:hAnsi="Arial"/>
                <w:sz w:val="16"/>
                <w:szCs w:val="16"/>
                <w:color w:val="auto"/>
              </w:rPr>
              <w:t>0</w:t>
            </w:r>
          </w:p>
        </w:tc>
        <w:tc>
          <w:tcPr>
            <w:tcW w:w="760" w:type="dxa"/>
            <w:vAlign w:val="bottom"/>
          </w:tcPr>
          <w:p>
            <w:pPr>
              <w:spacing w:after="0"/>
              <w:rPr>
                <w:sz w:val="17"/>
                <w:szCs w:val="17"/>
                <w:color w:val="auto"/>
              </w:rPr>
            </w:pPr>
          </w:p>
        </w:tc>
        <w:tc>
          <w:tcPr>
            <w:tcW w:w="440" w:type="dxa"/>
            <w:vAlign w:val="bottom"/>
          </w:tcPr>
          <w:p>
            <w:pPr>
              <w:jc w:val="right"/>
              <w:ind w:right="5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Non-financial</w:t>
            </w:r>
          </w:p>
        </w:tc>
        <w:tc>
          <w:tcPr>
            <w:tcW w:w="8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8</w:t>
            </w:r>
          </w:p>
        </w:tc>
        <w:tc>
          <w:tcPr>
            <w:tcW w:w="1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w:t>
            </w:r>
          </w:p>
        </w:tc>
        <w:tc>
          <w:tcPr>
            <w:tcW w:w="1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0</w:t>
            </w:r>
          </w:p>
        </w:tc>
        <w:tc>
          <w:tcPr>
            <w:tcW w:w="7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Total equity securities</w:t>
            </w:r>
          </w:p>
        </w:tc>
        <w:tc>
          <w:tcPr>
            <w:tcW w:w="8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519</w:t>
            </w:r>
          </w:p>
        </w:tc>
        <w:tc>
          <w:tcPr>
            <w:tcW w:w="1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86</w:t>
            </w:r>
          </w:p>
        </w:tc>
        <w:tc>
          <w:tcPr>
            <w:tcW w:w="1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w:t>
            </w: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603</w:t>
            </w:r>
          </w:p>
        </w:tc>
        <w:tc>
          <w:tcPr>
            <w:tcW w:w="100" w:type="dxa"/>
            <w:vAlign w:val="bottom"/>
            <w:tcBorders>
              <w:bottom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available-for-sale securities – Exchange</w:t>
            </w:r>
          </w:p>
        </w:tc>
        <w:tc>
          <w:tcPr>
            <w:tcW w:w="1500" w:type="dxa"/>
            <w:vAlign w:val="bottom"/>
            <w:tcBorders>
              <w:bottom w:val="single" w:sz="8" w:color="auto"/>
            </w:tcBorders>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$7,376</w:t>
            </w:r>
          </w:p>
        </w:tc>
        <w:tc>
          <w:tcPr>
            <w:tcW w:w="1820" w:type="dxa"/>
            <w:vAlign w:val="bottom"/>
            <w:tcBorders>
              <w:bottom w:val="single" w:sz="8" w:color="auto"/>
            </w:tcBorders>
            <w:gridSpan w:val="2"/>
            <w:shd w:val="clear" w:color="auto" w:fill="CCEEFF"/>
          </w:tcPr>
          <w:p>
            <w:pPr>
              <w:jc w:val="right"/>
              <w:ind w:right="359"/>
              <w:spacing w:after="0"/>
              <w:rPr>
                <w:sz w:val="20"/>
                <w:szCs w:val="20"/>
                <w:color w:val="auto"/>
              </w:rPr>
            </w:pPr>
            <w:r>
              <w:rPr>
                <w:rFonts w:ascii="Arial" w:cs="Arial" w:eastAsia="Arial" w:hAnsi="Arial"/>
                <w:sz w:val="16"/>
                <w:szCs w:val="16"/>
                <w:color w:val="auto"/>
              </w:rPr>
              <w:t>$509</w:t>
            </w:r>
          </w:p>
        </w:tc>
        <w:tc>
          <w:tcPr>
            <w:tcW w:w="1780" w:type="dxa"/>
            <w:vAlign w:val="bottom"/>
            <w:tcBorders>
              <w:bottom w:val="single" w:sz="8" w:color="auto"/>
            </w:tcBorders>
            <w:gridSpan w:val="2"/>
            <w:shd w:val="clear" w:color="auto" w:fill="CCEEFF"/>
          </w:tcPr>
          <w:p>
            <w:pPr>
              <w:jc w:val="right"/>
              <w:ind w:right="399"/>
              <w:spacing w:after="0"/>
              <w:rPr>
                <w:sz w:val="20"/>
                <w:szCs w:val="20"/>
                <w:color w:val="auto"/>
              </w:rPr>
            </w:pPr>
            <w:r>
              <w:rPr>
                <w:rFonts w:ascii="Arial" w:cs="Arial" w:eastAsia="Arial" w:hAnsi="Arial"/>
                <w:sz w:val="16"/>
                <w:szCs w:val="16"/>
                <w:color w:val="auto"/>
              </w:rPr>
              <w:t>$28</w:t>
            </w:r>
          </w:p>
        </w:tc>
        <w:tc>
          <w:tcPr>
            <w:tcW w:w="1200" w:type="dxa"/>
            <w:vAlign w:val="bottom"/>
            <w:tcBorders>
              <w:bottom w:val="single" w:sz="8" w:color="auto"/>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$7,857</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ind w:left="180"/>
              <w:spacing w:after="0"/>
              <w:rPr>
                <w:sz w:val="20"/>
                <w:szCs w:val="20"/>
                <w:color w:val="auto"/>
              </w:rPr>
            </w:pPr>
            <w:r>
              <w:rPr>
                <w:rFonts w:ascii="Arial" w:cs="Arial" w:eastAsia="Arial" w:hAnsi="Arial"/>
                <w:sz w:val="16"/>
                <w:szCs w:val="16"/>
                <w:color w:val="auto"/>
              </w:rPr>
              <w:t>Total available-for-sale securities – Erie Insurance Group</w:t>
            </w:r>
          </w:p>
        </w:tc>
        <w:tc>
          <w:tcPr>
            <w:tcW w:w="1500" w:type="dxa"/>
            <w:vAlign w:val="bottom"/>
            <w:tcBorders>
              <w:bottom w:val="single" w:sz="8" w:color="auto"/>
            </w:tcBorders>
            <w:gridSpan w:val="2"/>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20" w:type="dxa"/>
            <w:vAlign w:val="bottom"/>
            <w:gridSpan w:val="2"/>
            <w:vMerge w:val="continue"/>
          </w:tcPr>
          <w:p>
            <w:pPr>
              <w:spacing w:after="0"/>
              <w:rPr>
                <w:sz w:val="15"/>
                <w:szCs w:val="15"/>
                <w:color w:val="auto"/>
              </w:rPr>
            </w:pPr>
          </w:p>
        </w:tc>
        <w:tc>
          <w:tcPr>
            <w:tcW w:w="150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6"/>
                <w:szCs w:val="16"/>
                <w:color w:val="auto"/>
              </w:rPr>
              <w:t>$7,900</w:t>
            </w:r>
          </w:p>
        </w:tc>
        <w:tc>
          <w:tcPr>
            <w:tcW w:w="182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6"/>
                <w:szCs w:val="16"/>
                <w:color w:val="auto"/>
              </w:rPr>
              <w:t>$522</w:t>
            </w:r>
          </w:p>
        </w:tc>
        <w:tc>
          <w:tcPr>
            <w:tcW w:w="178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6"/>
                <w:szCs w:val="16"/>
                <w:color w:val="auto"/>
              </w:rPr>
              <w:t>$30</w:t>
            </w:r>
          </w:p>
        </w:tc>
        <w:tc>
          <w:tcPr>
            <w:tcW w:w="12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$8,392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jc w:val="right"/>
              <w:ind w:right="21"/>
              <w:spacing w:after="0"/>
              <w:rPr>
                <w:sz w:val="20"/>
                <w:szCs w:val="20"/>
                <w:color w:val="auto"/>
              </w:rPr>
            </w:pPr>
            <w:r>
              <w:rPr>
                <w:rFonts w:ascii="Arial" w:cs="Arial" w:eastAsia="Arial" w:hAnsi="Arial"/>
                <w:sz w:val="18"/>
                <w:szCs w:val="18"/>
                <w:color w:val="auto"/>
              </w:rPr>
              <w:t>19</w:t>
            </w: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0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2960" w:type="dxa"/>
            <w:vAlign w:val="bottom"/>
            <w:tcBorders>
              <w:bottom w:val="single" w:sz="8" w:color="010101"/>
            </w:tcBorders>
            <w:gridSpan w:val="3"/>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13"/>
        </w:trPr>
        <w:tc>
          <w:tcPr>
            <w:tcW w:w="50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center"/>
              <w:ind w:left="246"/>
              <w:spacing w:after="0"/>
              <w:rPr>
                <w:sz w:val="20"/>
                <w:szCs w:val="20"/>
                <w:color w:val="auto"/>
              </w:rPr>
            </w:pPr>
            <w:r>
              <w:rPr>
                <w:rFonts w:ascii="Arial" w:cs="Arial" w:eastAsia="Arial" w:hAnsi="Arial"/>
                <w:sz w:val="14"/>
                <w:szCs w:val="14"/>
                <w:color w:val="auto"/>
                <w:w w:val="93"/>
              </w:rPr>
              <w:t>Erie Insurance Group</w:t>
            </w:r>
          </w:p>
        </w:tc>
        <w:tc>
          <w:tcPr>
            <w:tcW w:w="6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5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960" w:type="dxa"/>
            <w:vAlign w:val="bottom"/>
            <w:gridSpan w:val="3"/>
          </w:tcPr>
          <w:p>
            <w:pPr>
              <w:ind w:left="1080"/>
              <w:spacing w:after="0" w:line="123" w:lineRule="exact"/>
              <w:rPr>
                <w:sz w:val="20"/>
                <w:szCs w:val="20"/>
                <w:color w:val="auto"/>
              </w:rPr>
            </w:pPr>
            <w:r>
              <w:rPr>
                <w:rFonts w:ascii="Arial" w:cs="Arial" w:eastAsia="Arial" w:hAnsi="Arial"/>
                <w:sz w:val="14"/>
                <w:szCs w:val="14"/>
                <w:color w:val="auto"/>
              </w:rPr>
              <w:t>December 31, 2010</w:t>
            </w: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(in millions)</w:t>
            </w:r>
          </w:p>
        </w:tc>
        <w:tc>
          <w:tcPr>
            <w:tcW w:w="1500" w:type="dxa"/>
            <w:vAlign w:val="bottom"/>
            <w:gridSpan w:val="2"/>
          </w:tcPr>
          <w:p>
            <w:pPr>
              <w:jc w:val="right"/>
              <w:ind w:right="459"/>
              <w:spacing w:after="0" w:line="149" w:lineRule="exact"/>
              <w:rPr>
                <w:sz w:val="20"/>
                <w:szCs w:val="20"/>
                <w:color w:val="auto"/>
              </w:rPr>
            </w:pPr>
            <w:r>
              <w:rPr>
                <w:rFonts w:ascii="Arial" w:cs="Arial" w:eastAsia="Arial" w:hAnsi="Arial"/>
                <w:sz w:val="14"/>
                <w:szCs w:val="14"/>
                <w:color w:val="auto"/>
              </w:rPr>
              <w:t>Amortized</w:t>
            </w:r>
          </w:p>
        </w:tc>
        <w:tc>
          <w:tcPr>
            <w:tcW w:w="1820" w:type="dxa"/>
            <w:vAlign w:val="bottom"/>
            <w:gridSpan w:val="2"/>
          </w:tcPr>
          <w:p>
            <w:pPr>
              <w:jc w:val="right"/>
              <w:ind w:right="319"/>
              <w:spacing w:after="0" w:line="149" w:lineRule="exact"/>
              <w:rPr>
                <w:sz w:val="20"/>
                <w:szCs w:val="20"/>
                <w:color w:val="auto"/>
              </w:rPr>
            </w:pPr>
            <w:r>
              <w:rPr>
                <w:rFonts w:ascii="Arial" w:cs="Arial" w:eastAsia="Arial" w:hAnsi="Arial"/>
                <w:sz w:val="14"/>
                <w:szCs w:val="14"/>
                <w:color w:val="auto"/>
              </w:rPr>
              <w:t>Gross unrealized</w:t>
            </w:r>
          </w:p>
        </w:tc>
        <w:tc>
          <w:tcPr>
            <w:tcW w:w="1780" w:type="dxa"/>
            <w:vAlign w:val="bottom"/>
            <w:gridSpan w:val="2"/>
          </w:tcPr>
          <w:p>
            <w:pPr>
              <w:jc w:val="right"/>
              <w:ind w:right="299"/>
              <w:spacing w:after="0" w:line="149" w:lineRule="exact"/>
              <w:rPr>
                <w:sz w:val="20"/>
                <w:szCs w:val="20"/>
                <w:color w:val="auto"/>
              </w:rPr>
            </w:pPr>
            <w:r>
              <w:rPr>
                <w:rFonts w:ascii="Arial" w:cs="Arial" w:eastAsia="Arial" w:hAnsi="Arial"/>
                <w:sz w:val="14"/>
                <w:szCs w:val="14"/>
                <w:color w:val="auto"/>
              </w:rPr>
              <w:t>Gross unrealized</w:t>
            </w: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3"/>
              </w:rPr>
              <w:t>Estimated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jc w:val="right"/>
              <w:ind w:right="21"/>
              <w:spacing w:after="0"/>
              <w:rPr>
                <w:sz w:val="20"/>
                <w:szCs w:val="20"/>
                <w:color w:val="auto"/>
              </w:rPr>
            </w:pPr>
            <w:r>
              <w:rPr>
                <w:rFonts w:ascii="Arial" w:cs="Arial" w:eastAsia="Arial" w:hAnsi="Arial"/>
                <w:sz w:val="14"/>
                <w:szCs w:val="14"/>
                <w:color w:val="auto"/>
              </w:rPr>
              <w:t>cost</w:t>
            </w:r>
          </w:p>
        </w:tc>
        <w:tc>
          <w:tcPr>
            <w:tcW w:w="620" w:type="dxa"/>
            <w:vAlign w:val="bottom"/>
          </w:tcPr>
          <w:p>
            <w:pPr>
              <w:spacing w:after="0"/>
              <w:rPr>
                <w:sz w:val="14"/>
                <w:szCs w:val="14"/>
                <w:color w:val="auto"/>
              </w:rPr>
            </w:pPr>
          </w:p>
        </w:tc>
        <w:tc>
          <w:tcPr>
            <w:tcW w:w="1140" w:type="dxa"/>
            <w:vAlign w:val="bottom"/>
          </w:tcPr>
          <w:p>
            <w:pPr>
              <w:ind w:left="800"/>
              <w:spacing w:after="0"/>
              <w:rPr>
                <w:sz w:val="20"/>
                <w:szCs w:val="20"/>
                <w:color w:val="auto"/>
              </w:rPr>
            </w:pPr>
            <w:r>
              <w:rPr>
                <w:rFonts w:ascii="Arial" w:cs="Arial" w:eastAsia="Arial" w:hAnsi="Arial"/>
                <w:sz w:val="14"/>
                <w:szCs w:val="14"/>
                <w:color w:val="auto"/>
                <w:w w:val="95"/>
              </w:rPr>
              <w:t>gains</w:t>
            </w:r>
          </w:p>
        </w:tc>
        <w:tc>
          <w:tcPr>
            <w:tcW w:w="6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losses</w:t>
            </w:r>
          </w:p>
        </w:tc>
        <w:tc>
          <w:tcPr>
            <w:tcW w:w="64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color w:val="auto"/>
                <w:w w:val="94"/>
              </w:rPr>
              <w:t>fair 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0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Indemnity</w:t>
            </w:r>
          </w:p>
        </w:tc>
        <w:tc>
          <w:tcPr>
            <w:tcW w:w="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ind w:left="180"/>
              <w:spacing w:after="0"/>
              <w:rPr>
                <w:sz w:val="20"/>
                <w:szCs w:val="20"/>
                <w:color w:val="auto"/>
              </w:rPr>
            </w:pPr>
            <w:r>
              <w:rPr>
                <w:rFonts w:ascii="Arial" w:cs="Arial" w:eastAsia="Arial" w:hAnsi="Arial"/>
                <w:sz w:val="16"/>
                <w:szCs w:val="16"/>
                <w:color w:val="auto"/>
              </w:rPr>
              <w:t>Fixed maturities:</w:t>
            </w: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U.S. treasuries and government agencies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25</w:t>
            </w: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  0</w:t>
            </w: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$ 0</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ind w:left="540"/>
              <w:spacing w:after="0"/>
              <w:rPr>
                <w:sz w:val="20"/>
                <w:szCs w:val="20"/>
                <w:color w:val="auto"/>
              </w:rPr>
            </w:pPr>
            <w:r>
              <w:rPr>
                <w:rFonts w:ascii="Arial" w:cs="Arial" w:eastAsia="Arial" w:hAnsi="Arial"/>
                <w:sz w:val="16"/>
                <w:szCs w:val="16"/>
                <w:color w:val="auto"/>
              </w:rPr>
              <w:t>U.S. government sponsored enterprises</w:t>
            </w:r>
          </w:p>
        </w:tc>
        <w:tc>
          <w:tcPr>
            <w:tcW w:w="880" w:type="dxa"/>
            <w:vAlign w:val="bottom"/>
          </w:tcPr>
          <w:p>
            <w:pPr>
              <w:spacing w:after="0"/>
              <w:rPr>
                <w:sz w:val="17"/>
                <w:szCs w:val="17"/>
                <w:color w:val="auto"/>
              </w:rPr>
            </w:pPr>
          </w:p>
        </w:tc>
        <w:tc>
          <w:tcPr>
            <w:tcW w:w="62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1140" w:type="dxa"/>
            <w:vAlign w:val="bottom"/>
          </w:tcPr>
          <w:p>
            <w:pPr>
              <w:spacing w:after="0"/>
              <w:rPr>
                <w:sz w:val="17"/>
                <w:szCs w:val="17"/>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0</w:t>
            </w:r>
          </w:p>
        </w:tc>
        <w:tc>
          <w:tcPr>
            <w:tcW w:w="1140" w:type="dxa"/>
            <w:vAlign w:val="bottom"/>
          </w:tcPr>
          <w:p>
            <w:pPr>
              <w:spacing w:after="0"/>
              <w:rPr>
                <w:sz w:val="17"/>
                <w:szCs w:val="17"/>
                <w:color w:val="auto"/>
              </w:rPr>
            </w:pPr>
          </w:p>
        </w:tc>
        <w:tc>
          <w:tcPr>
            <w:tcW w:w="64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760" w:type="dxa"/>
            <w:vAlign w:val="bottom"/>
          </w:tcPr>
          <w:p>
            <w:pPr>
              <w:spacing w:after="0"/>
              <w:rPr>
                <w:sz w:val="17"/>
                <w:szCs w:val="17"/>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Municipal securities</w:t>
            </w: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193</w:t>
            </w: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w:t>
            </w: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ind w:left="540"/>
              <w:spacing w:after="0"/>
              <w:rPr>
                <w:sz w:val="20"/>
                <w:szCs w:val="20"/>
                <w:color w:val="auto"/>
              </w:rPr>
            </w:pPr>
            <w:r>
              <w:rPr>
                <w:rFonts w:ascii="Arial" w:cs="Arial" w:eastAsia="Arial" w:hAnsi="Arial"/>
                <w:sz w:val="16"/>
                <w:szCs w:val="16"/>
                <w:color w:val="auto"/>
              </w:rPr>
              <w:t>U.S. corporate debt – non-financial</w:t>
            </w:r>
          </w:p>
        </w:tc>
        <w:tc>
          <w:tcPr>
            <w:tcW w:w="880" w:type="dxa"/>
            <w:vAlign w:val="bottom"/>
          </w:tcPr>
          <w:p>
            <w:pPr>
              <w:spacing w:after="0"/>
              <w:rPr>
                <w:sz w:val="17"/>
                <w:szCs w:val="17"/>
                <w:color w:val="auto"/>
              </w:rPr>
            </w:pPr>
          </w:p>
        </w:tc>
        <w:tc>
          <w:tcPr>
            <w:tcW w:w="620" w:type="dxa"/>
            <w:vAlign w:val="bottom"/>
          </w:tcPr>
          <w:p>
            <w:pPr>
              <w:jc w:val="right"/>
              <w:ind w:right="199"/>
              <w:spacing w:after="0"/>
              <w:rPr>
                <w:sz w:val="20"/>
                <w:szCs w:val="20"/>
                <w:color w:val="auto"/>
              </w:rPr>
            </w:pPr>
            <w:r>
              <w:rPr>
                <w:rFonts w:ascii="Arial" w:cs="Arial" w:eastAsia="Arial" w:hAnsi="Arial"/>
                <w:sz w:val="16"/>
                <w:szCs w:val="16"/>
                <w:color w:val="auto"/>
              </w:rPr>
              <w:t>12</w:t>
            </w:r>
          </w:p>
        </w:tc>
        <w:tc>
          <w:tcPr>
            <w:tcW w:w="1140" w:type="dxa"/>
            <w:vAlign w:val="bottom"/>
          </w:tcPr>
          <w:p>
            <w:pPr>
              <w:spacing w:after="0"/>
              <w:rPr>
                <w:sz w:val="17"/>
                <w:szCs w:val="17"/>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0</w:t>
            </w:r>
          </w:p>
        </w:tc>
        <w:tc>
          <w:tcPr>
            <w:tcW w:w="1140" w:type="dxa"/>
            <w:vAlign w:val="bottom"/>
          </w:tcPr>
          <w:p>
            <w:pPr>
              <w:spacing w:after="0"/>
              <w:rPr>
                <w:sz w:val="17"/>
                <w:szCs w:val="17"/>
                <w:color w:val="auto"/>
              </w:rPr>
            </w:pPr>
          </w:p>
        </w:tc>
        <w:tc>
          <w:tcPr>
            <w:tcW w:w="64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760" w:type="dxa"/>
            <w:vAlign w:val="bottom"/>
          </w:tcPr>
          <w:p>
            <w:pPr>
              <w:spacing w:after="0"/>
              <w:rPr>
                <w:sz w:val="17"/>
                <w:szCs w:val="17"/>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U.S. corporate debt – financial</w:t>
            </w: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w:t>
            </w: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w:t>
            </w: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ind w:left="540"/>
              <w:spacing w:after="0"/>
              <w:rPr>
                <w:sz w:val="20"/>
                <w:szCs w:val="20"/>
                <w:color w:val="auto"/>
              </w:rPr>
            </w:pPr>
            <w:r>
              <w:rPr>
                <w:rFonts w:ascii="Arial" w:cs="Arial" w:eastAsia="Arial" w:hAnsi="Arial"/>
                <w:sz w:val="16"/>
                <w:szCs w:val="16"/>
                <w:color w:val="auto"/>
              </w:rPr>
              <w:t>Structured securities:</w:t>
            </w: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Collateralized debt obligations</w:t>
            </w: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w:t>
            </w: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fixed maturities</w:t>
            </w:r>
          </w:p>
        </w:tc>
        <w:tc>
          <w:tcPr>
            <w:tcW w:w="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257</w:t>
            </w:r>
          </w:p>
        </w:tc>
        <w:tc>
          <w:tcPr>
            <w:tcW w:w="1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9</w:t>
            </w:r>
          </w:p>
        </w:tc>
        <w:tc>
          <w:tcPr>
            <w:tcW w:w="1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2</w:t>
            </w:r>
          </w:p>
        </w:tc>
        <w:tc>
          <w:tcPr>
            <w:tcW w:w="76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000" w:type="dxa"/>
            <w:vAlign w:val="bottom"/>
            <w:shd w:val="clear" w:color="auto" w:fill="CCEEFF"/>
          </w:tcPr>
          <w:p>
            <w:pPr>
              <w:ind w:left="180"/>
              <w:spacing w:after="0" w:line="183" w:lineRule="exact"/>
              <w:rPr>
                <w:sz w:val="20"/>
                <w:szCs w:val="20"/>
                <w:color w:val="auto"/>
              </w:rPr>
            </w:pPr>
            <w:r>
              <w:rPr>
                <w:rFonts w:ascii="Arial" w:cs="Arial" w:eastAsia="Arial" w:hAnsi="Arial"/>
                <w:sz w:val="16"/>
                <w:szCs w:val="16"/>
                <w:color w:val="auto"/>
              </w:rPr>
              <w:t>Equity securities:</w:t>
            </w: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ind w:left="540"/>
              <w:spacing w:after="0"/>
              <w:rPr>
                <w:sz w:val="20"/>
                <w:szCs w:val="20"/>
                <w:color w:val="auto"/>
              </w:rPr>
            </w:pPr>
            <w:r>
              <w:rPr>
                <w:rFonts w:ascii="Arial" w:cs="Arial" w:eastAsia="Arial" w:hAnsi="Arial"/>
                <w:sz w:val="16"/>
                <w:szCs w:val="16"/>
                <w:color w:val="auto"/>
              </w:rPr>
              <w:t>U.S. nonredeemable preferred securities:</w:t>
            </w: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02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Financial</w:t>
            </w:r>
          </w:p>
        </w:tc>
        <w:tc>
          <w:tcPr>
            <w:tcW w:w="8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w:t>
            </w:r>
          </w:p>
        </w:tc>
        <w:tc>
          <w:tcPr>
            <w:tcW w:w="1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w:t>
            </w:r>
          </w:p>
        </w:tc>
        <w:tc>
          <w:tcPr>
            <w:tcW w:w="1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w:t>
            </w:r>
          </w:p>
        </w:tc>
        <w:tc>
          <w:tcPr>
            <w:tcW w:w="76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-2447290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-2447290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1" w:right="199" w:bottom="0" w:gutter="0" w:footer="0" w:header="0"/>
        </w:sectPr>
      </w:pPr>
    </w:p>
    <w:bookmarkStart w:id="13" w:name="page14"/>
    <w:bookmarkEnd w:id="13"/>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00" w:type="dxa"/>
            <w:vAlign w:val="bottom"/>
          </w:tcPr>
          <w:p>
            <w:pPr>
              <w:ind w:left="900"/>
              <w:spacing w:after="0"/>
              <w:rPr>
                <w:sz w:val="20"/>
                <w:szCs w:val="20"/>
                <w:color w:val="auto"/>
              </w:rPr>
            </w:pPr>
            <w:r>
              <w:rPr>
                <w:rFonts w:ascii="Arial" w:cs="Arial" w:eastAsia="Arial" w:hAnsi="Arial"/>
                <w:sz w:val="16"/>
                <w:szCs w:val="16"/>
                <w:color w:val="auto"/>
              </w:rPr>
              <w:t>Non-financial</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jc w:val="right"/>
              <w:ind w:right="699"/>
              <w:spacing w:after="0"/>
              <w:rPr>
                <w:sz w:val="20"/>
                <w:szCs w:val="20"/>
                <w:color w:val="auto"/>
              </w:rPr>
            </w:pPr>
            <w:r>
              <w:rPr>
                <w:rFonts w:ascii="Arial" w:cs="Arial" w:eastAsia="Arial" w:hAnsi="Arial"/>
                <w:sz w:val="16"/>
                <w:szCs w:val="16"/>
                <w:color w:val="auto"/>
              </w:rPr>
              <w:t>11</w:t>
            </w:r>
          </w:p>
        </w:tc>
        <w:tc>
          <w:tcPr>
            <w:tcW w:w="860" w:type="dxa"/>
            <w:vAlign w:val="bottom"/>
          </w:tcPr>
          <w:p>
            <w:pPr>
              <w:spacing w:after="0"/>
              <w:rPr>
                <w:sz w:val="18"/>
                <w:szCs w:val="18"/>
                <w:color w:val="auto"/>
              </w:rPr>
            </w:pPr>
          </w:p>
        </w:tc>
        <w:tc>
          <w:tcPr>
            <w:tcW w:w="980" w:type="dxa"/>
            <w:vAlign w:val="bottom"/>
          </w:tcPr>
          <w:p>
            <w:pPr>
              <w:jc w:val="right"/>
              <w:ind w:right="639"/>
              <w:spacing w:after="0"/>
              <w:rPr>
                <w:sz w:val="20"/>
                <w:szCs w:val="20"/>
                <w:color w:val="auto"/>
              </w:rPr>
            </w:pPr>
            <w:r>
              <w:rPr>
                <w:rFonts w:ascii="Arial" w:cs="Arial" w:eastAsia="Arial" w:hAnsi="Arial"/>
                <w:sz w:val="16"/>
                <w:szCs w:val="16"/>
                <w:color w:val="auto"/>
              </w:rPr>
              <w:t>1</w:t>
            </w:r>
          </w:p>
        </w:tc>
        <w:tc>
          <w:tcPr>
            <w:tcW w:w="820" w:type="dxa"/>
            <w:vAlign w:val="bottom"/>
          </w:tcPr>
          <w:p>
            <w:pPr>
              <w:spacing w:after="0"/>
              <w:rPr>
                <w:sz w:val="18"/>
                <w:szCs w:val="18"/>
                <w:color w:val="auto"/>
              </w:rPr>
            </w:pPr>
          </w:p>
        </w:tc>
        <w:tc>
          <w:tcPr>
            <w:tcW w:w="620" w:type="dxa"/>
            <w:vAlign w:val="bottom"/>
          </w:tcPr>
          <w:p>
            <w:pPr>
              <w:jc w:val="right"/>
              <w:ind w:right="379"/>
              <w:spacing w:after="0"/>
              <w:rPr>
                <w:sz w:val="20"/>
                <w:szCs w:val="20"/>
                <w:color w:val="auto"/>
              </w:rPr>
            </w:pPr>
            <w:r>
              <w:rPr>
                <w:rFonts w:ascii="Arial" w:cs="Arial" w:eastAsia="Arial" w:hAnsi="Arial"/>
                <w:sz w:val="16"/>
                <w:szCs w:val="16"/>
                <w:color w:val="auto"/>
              </w:rPr>
              <w:t>0</w:t>
            </w:r>
          </w:p>
        </w:tc>
        <w:tc>
          <w:tcPr>
            <w:tcW w:w="540" w:type="dxa"/>
            <w:vAlign w:val="bottom"/>
          </w:tcPr>
          <w:p>
            <w:pPr>
              <w:spacing w:after="0"/>
              <w:rPr>
                <w:sz w:val="18"/>
                <w:szCs w:val="18"/>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0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Foreign nonredeemable preferred securities:</w:t>
            </w: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Borders>
              <w:bottom w:val="single" w:sz="8" w:color="CCEEFF"/>
            </w:tcBorders>
          </w:tcPr>
          <w:p>
            <w:pPr>
              <w:ind w:left="900"/>
              <w:spacing w:after="0"/>
              <w:rPr>
                <w:sz w:val="20"/>
                <w:szCs w:val="20"/>
                <w:color w:val="auto"/>
              </w:rPr>
            </w:pPr>
            <w:r>
              <w:rPr>
                <w:rFonts w:ascii="Arial" w:cs="Arial" w:eastAsia="Arial" w:hAnsi="Arial"/>
                <w:sz w:val="16"/>
                <w:szCs w:val="16"/>
                <w:color w:val="auto"/>
              </w:rPr>
              <w:t>Non-financial</w:t>
            </w:r>
          </w:p>
        </w:tc>
        <w:tc>
          <w:tcPr>
            <w:tcW w:w="8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1</w:t>
            </w:r>
          </w:p>
        </w:tc>
        <w:tc>
          <w:tcPr>
            <w:tcW w:w="8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0</w:t>
            </w:r>
          </w:p>
        </w:tc>
        <w:tc>
          <w:tcPr>
            <w:tcW w:w="5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equity securities</w:t>
            </w:r>
          </w:p>
        </w:tc>
        <w:tc>
          <w:tcPr>
            <w:tcW w:w="88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20</w:t>
            </w:r>
          </w:p>
        </w:tc>
        <w:tc>
          <w:tcPr>
            <w:tcW w:w="8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4</w:t>
            </w:r>
          </w:p>
        </w:tc>
        <w:tc>
          <w:tcPr>
            <w:tcW w:w="8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0</w:t>
            </w:r>
          </w:p>
        </w:tc>
        <w:tc>
          <w:tcPr>
            <w:tcW w:w="5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available-for-sale securities – Indemnity</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277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13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5000" w:type="dxa"/>
            <w:vAlign w:val="bottom"/>
            <w:shd w:val="clear" w:color="auto" w:fill="CCEEFF"/>
          </w:tcPr>
          <w:p>
            <w:pPr>
              <w:spacing w:after="0" w:line="156" w:lineRule="exact"/>
              <w:rPr>
                <w:sz w:val="20"/>
                <w:szCs w:val="20"/>
                <w:color w:val="auto"/>
              </w:rPr>
            </w:pPr>
            <w:r>
              <w:rPr>
                <w:rFonts w:ascii="Arial" w:cs="Arial" w:eastAsia="Arial" w:hAnsi="Arial"/>
                <w:sz w:val="16"/>
                <w:szCs w:val="16"/>
                <w:b w:val="1"/>
                <w:bCs w:val="1"/>
                <w:color w:val="auto"/>
              </w:rPr>
              <w:t>Exchange</w:t>
            </w: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180"/>
              <w:spacing w:after="0"/>
              <w:rPr>
                <w:sz w:val="20"/>
                <w:szCs w:val="20"/>
                <w:color w:val="auto"/>
              </w:rPr>
            </w:pPr>
            <w:r>
              <w:rPr>
                <w:rFonts w:ascii="Arial" w:cs="Arial" w:eastAsia="Arial" w:hAnsi="Arial"/>
                <w:sz w:val="16"/>
                <w:szCs w:val="16"/>
                <w:color w:val="auto"/>
              </w:rPr>
              <w:t>Fixed maturities:</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U.S. treasuries and government agencies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11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0</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540"/>
              <w:spacing w:after="0"/>
              <w:rPr>
                <w:sz w:val="20"/>
                <w:szCs w:val="20"/>
                <w:color w:val="auto"/>
              </w:rPr>
            </w:pPr>
            <w:r>
              <w:rPr>
                <w:rFonts w:ascii="Arial" w:cs="Arial" w:eastAsia="Arial" w:hAnsi="Arial"/>
                <w:sz w:val="16"/>
                <w:szCs w:val="16"/>
                <w:color w:val="auto"/>
              </w:rPr>
              <w:t>U.S. government sponsored enterprises</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right"/>
              <w:ind w:right="699"/>
              <w:spacing w:after="0"/>
              <w:rPr>
                <w:sz w:val="20"/>
                <w:szCs w:val="20"/>
                <w:color w:val="auto"/>
              </w:rPr>
            </w:pPr>
            <w:r>
              <w:rPr>
                <w:rFonts w:ascii="Arial" w:cs="Arial" w:eastAsia="Arial" w:hAnsi="Arial"/>
                <w:sz w:val="16"/>
                <w:szCs w:val="16"/>
                <w:color w:val="auto"/>
              </w:rPr>
              <w:t>74</w:t>
            </w:r>
          </w:p>
        </w:tc>
        <w:tc>
          <w:tcPr>
            <w:tcW w:w="860" w:type="dxa"/>
            <w:vAlign w:val="bottom"/>
          </w:tcPr>
          <w:p>
            <w:pPr>
              <w:spacing w:after="0"/>
              <w:rPr>
                <w:sz w:val="17"/>
                <w:szCs w:val="17"/>
                <w:color w:val="auto"/>
              </w:rPr>
            </w:pPr>
          </w:p>
        </w:tc>
        <w:tc>
          <w:tcPr>
            <w:tcW w:w="980" w:type="dxa"/>
            <w:vAlign w:val="bottom"/>
          </w:tcPr>
          <w:p>
            <w:pPr>
              <w:jc w:val="right"/>
              <w:ind w:right="639"/>
              <w:spacing w:after="0"/>
              <w:rPr>
                <w:sz w:val="20"/>
                <w:szCs w:val="20"/>
                <w:color w:val="auto"/>
              </w:rPr>
            </w:pPr>
            <w:r>
              <w:rPr>
                <w:rFonts w:ascii="Arial" w:cs="Arial" w:eastAsia="Arial" w:hAnsi="Arial"/>
                <w:sz w:val="16"/>
                <w:szCs w:val="16"/>
                <w:color w:val="auto"/>
              </w:rPr>
              <w:t>1</w:t>
            </w:r>
          </w:p>
        </w:tc>
        <w:tc>
          <w:tcPr>
            <w:tcW w:w="820" w:type="dxa"/>
            <w:vAlign w:val="bottom"/>
          </w:tcPr>
          <w:p>
            <w:pPr>
              <w:spacing w:after="0"/>
              <w:rPr>
                <w:sz w:val="17"/>
                <w:szCs w:val="17"/>
                <w:color w:val="auto"/>
              </w:rPr>
            </w:pPr>
          </w:p>
        </w:tc>
        <w:tc>
          <w:tcPr>
            <w:tcW w:w="620" w:type="dxa"/>
            <w:vAlign w:val="bottom"/>
          </w:tcPr>
          <w:p>
            <w:pPr>
              <w:jc w:val="right"/>
              <w:ind w:right="379"/>
              <w:spacing w:after="0"/>
              <w:rPr>
                <w:sz w:val="20"/>
                <w:szCs w:val="20"/>
                <w:color w:val="auto"/>
              </w:rPr>
            </w:pPr>
            <w:r>
              <w:rPr>
                <w:rFonts w:ascii="Arial" w:cs="Arial" w:eastAsia="Arial" w:hAnsi="Arial"/>
                <w:sz w:val="16"/>
                <w:szCs w:val="16"/>
                <w:color w:val="auto"/>
              </w:rPr>
              <w:t>0</w:t>
            </w:r>
          </w:p>
        </w:tc>
        <w:tc>
          <w:tcPr>
            <w:tcW w:w="540" w:type="dxa"/>
            <w:vAlign w:val="bottom"/>
          </w:tcPr>
          <w:p>
            <w:pPr>
              <w:spacing w:after="0"/>
              <w:rPr>
                <w:sz w:val="17"/>
                <w:szCs w:val="17"/>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Foreign government</w:t>
            </w: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20</w:t>
            </w:r>
          </w:p>
        </w:tc>
        <w:tc>
          <w:tcPr>
            <w:tcW w:w="8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w:t>
            </w: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0</w:t>
            </w: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540"/>
              <w:spacing w:after="0"/>
              <w:rPr>
                <w:sz w:val="20"/>
                <w:szCs w:val="20"/>
                <w:color w:val="auto"/>
              </w:rPr>
            </w:pPr>
            <w:r>
              <w:rPr>
                <w:rFonts w:ascii="Arial" w:cs="Arial" w:eastAsia="Arial" w:hAnsi="Arial"/>
                <w:sz w:val="16"/>
                <w:szCs w:val="16"/>
                <w:color w:val="auto"/>
              </w:rPr>
              <w:t>Municipal securities</w:t>
            </w:r>
          </w:p>
        </w:tc>
        <w:tc>
          <w:tcPr>
            <w:tcW w:w="880" w:type="dxa"/>
            <w:vAlign w:val="bottom"/>
          </w:tcPr>
          <w:p>
            <w:pPr>
              <w:spacing w:after="0"/>
              <w:rPr>
                <w:sz w:val="17"/>
                <w:szCs w:val="17"/>
                <w:color w:val="auto"/>
              </w:rPr>
            </w:pPr>
          </w:p>
        </w:tc>
        <w:tc>
          <w:tcPr>
            <w:tcW w:w="1140" w:type="dxa"/>
            <w:vAlign w:val="bottom"/>
            <w:gridSpan w:val="2"/>
          </w:tcPr>
          <w:p>
            <w:pPr>
              <w:jc w:val="right"/>
              <w:ind w:right="699"/>
              <w:spacing w:after="0"/>
              <w:rPr>
                <w:sz w:val="20"/>
                <w:szCs w:val="20"/>
                <w:color w:val="auto"/>
              </w:rPr>
            </w:pPr>
            <w:r>
              <w:rPr>
                <w:rFonts w:ascii="Arial" w:cs="Arial" w:eastAsia="Arial" w:hAnsi="Arial"/>
                <w:sz w:val="16"/>
                <w:szCs w:val="16"/>
                <w:color w:val="auto"/>
                <w:w w:val="84"/>
              </w:rPr>
              <w:t>1,437</w:t>
            </w:r>
          </w:p>
        </w:tc>
        <w:tc>
          <w:tcPr>
            <w:tcW w:w="860" w:type="dxa"/>
            <w:vAlign w:val="bottom"/>
          </w:tcPr>
          <w:p>
            <w:pPr>
              <w:spacing w:after="0"/>
              <w:rPr>
                <w:sz w:val="17"/>
                <w:szCs w:val="17"/>
                <w:color w:val="auto"/>
              </w:rPr>
            </w:pPr>
          </w:p>
        </w:tc>
        <w:tc>
          <w:tcPr>
            <w:tcW w:w="980" w:type="dxa"/>
            <w:vAlign w:val="bottom"/>
          </w:tcPr>
          <w:p>
            <w:pPr>
              <w:jc w:val="right"/>
              <w:ind w:right="639"/>
              <w:spacing w:after="0"/>
              <w:rPr>
                <w:sz w:val="20"/>
                <w:szCs w:val="20"/>
                <w:color w:val="auto"/>
              </w:rPr>
            </w:pPr>
            <w:r>
              <w:rPr>
                <w:rFonts w:ascii="Arial" w:cs="Arial" w:eastAsia="Arial" w:hAnsi="Arial"/>
                <w:sz w:val="16"/>
                <w:szCs w:val="16"/>
                <w:color w:val="auto"/>
              </w:rPr>
              <w:t>43</w:t>
            </w:r>
          </w:p>
        </w:tc>
        <w:tc>
          <w:tcPr>
            <w:tcW w:w="820" w:type="dxa"/>
            <w:vAlign w:val="bottom"/>
          </w:tcPr>
          <w:p>
            <w:pPr>
              <w:spacing w:after="0"/>
              <w:rPr>
                <w:sz w:val="17"/>
                <w:szCs w:val="17"/>
                <w:color w:val="auto"/>
              </w:rPr>
            </w:pPr>
          </w:p>
        </w:tc>
        <w:tc>
          <w:tcPr>
            <w:tcW w:w="620" w:type="dxa"/>
            <w:vAlign w:val="bottom"/>
          </w:tcPr>
          <w:p>
            <w:pPr>
              <w:jc w:val="right"/>
              <w:ind w:right="379"/>
              <w:spacing w:after="0"/>
              <w:rPr>
                <w:sz w:val="20"/>
                <w:szCs w:val="20"/>
                <w:color w:val="auto"/>
              </w:rPr>
            </w:pPr>
            <w:r>
              <w:rPr>
                <w:rFonts w:ascii="Arial" w:cs="Arial" w:eastAsia="Arial" w:hAnsi="Arial"/>
                <w:sz w:val="16"/>
                <w:szCs w:val="16"/>
                <w:color w:val="auto"/>
              </w:rPr>
              <w:t>9</w:t>
            </w:r>
          </w:p>
        </w:tc>
        <w:tc>
          <w:tcPr>
            <w:tcW w:w="540" w:type="dxa"/>
            <w:vAlign w:val="bottom"/>
          </w:tcPr>
          <w:p>
            <w:pPr>
              <w:spacing w:after="0"/>
              <w:rPr>
                <w:sz w:val="17"/>
                <w:szCs w:val="17"/>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w w:val="84"/>
              </w:rPr>
              <w:t>1,471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U.S. corporate debt – non-financial</w:t>
            </w:r>
          </w:p>
        </w:tc>
        <w:tc>
          <w:tcPr>
            <w:tcW w:w="8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99"/>
              <w:spacing w:after="0"/>
              <w:rPr>
                <w:sz w:val="20"/>
                <w:szCs w:val="20"/>
                <w:color w:val="auto"/>
              </w:rPr>
            </w:pPr>
            <w:r>
              <w:rPr>
                <w:rFonts w:ascii="Arial" w:cs="Arial" w:eastAsia="Arial" w:hAnsi="Arial"/>
                <w:sz w:val="16"/>
                <w:szCs w:val="16"/>
                <w:color w:val="auto"/>
                <w:w w:val="84"/>
              </w:rPr>
              <w:t>2,354</w:t>
            </w:r>
          </w:p>
        </w:tc>
        <w:tc>
          <w:tcPr>
            <w:tcW w:w="8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186</w:t>
            </w: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5</w:t>
            </w: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4"/>
              </w:rPr>
              <w:t>2,535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540"/>
              <w:spacing w:after="0"/>
              <w:rPr>
                <w:sz w:val="20"/>
                <w:szCs w:val="20"/>
                <w:color w:val="auto"/>
              </w:rPr>
            </w:pPr>
            <w:r>
              <w:rPr>
                <w:rFonts w:ascii="Arial" w:cs="Arial" w:eastAsia="Arial" w:hAnsi="Arial"/>
                <w:sz w:val="16"/>
                <w:szCs w:val="16"/>
                <w:color w:val="auto"/>
              </w:rPr>
              <w:t>U.S. corporate debt – financial</w:t>
            </w:r>
          </w:p>
        </w:tc>
        <w:tc>
          <w:tcPr>
            <w:tcW w:w="880" w:type="dxa"/>
            <w:vAlign w:val="bottom"/>
          </w:tcPr>
          <w:p>
            <w:pPr>
              <w:spacing w:after="0"/>
              <w:rPr>
                <w:sz w:val="17"/>
                <w:szCs w:val="17"/>
                <w:color w:val="auto"/>
              </w:rPr>
            </w:pPr>
          </w:p>
        </w:tc>
        <w:tc>
          <w:tcPr>
            <w:tcW w:w="1140" w:type="dxa"/>
            <w:vAlign w:val="bottom"/>
            <w:gridSpan w:val="2"/>
          </w:tcPr>
          <w:p>
            <w:pPr>
              <w:jc w:val="right"/>
              <w:ind w:right="699"/>
              <w:spacing w:after="0"/>
              <w:rPr>
                <w:sz w:val="20"/>
                <w:szCs w:val="20"/>
                <w:color w:val="auto"/>
              </w:rPr>
            </w:pPr>
            <w:r>
              <w:rPr>
                <w:rFonts w:ascii="Arial" w:cs="Arial" w:eastAsia="Arial" w:hAnsi="Arial"/>
                <w:sz w:val="16"/>
                <w:szCs w:val="16"/>
                <w:color w:val="auto"/>
                <w:w w:val="84"/>
              </w:rPr>
              <w:t>1,767</w:t>
            </w:r>
          </w:p>
        </w:tc>
        <w:tc>
          <w:tcPr>
            <w:tcW w:w="860" w:type="dxa"/>
            <w:vAlign w:val="bottom"/>
          </w:tcPr>
          <w:p>
            <w:pPr>
              <w:spacing w:after="0"/>
              <w:rPr>
                <w:sz w:val="17"/>
                <w:szCs w:val="17"/>
                <w:color w:val="auto"/>
              </w:rPr>
            </w:pPr>
          </w:p>
        </w:tc>
        <w:tc>
          <w:tcPr>
            <w:tcW w:w="980" w:type="dxa"/>
            <w:vAlign w:val="bottom"/>
          </w:tcPr>
          <w:p>
            <w:pPr>
              <w:jc w:val="right"/>
              <w:ind w:right="639"/>
              <w:spacing w:after="0"/>
              <w:rPr>
                <w:sz w:val="20"/>
                <w:szCs w:val="20"/>
                <w:color w:val="auto"/>
              </w:rPr>
            </w:pPr>
            <w:r>
              <w:rPr>
                <w:rFonts w:ascii="Arial" w:cs="Arial" w:eastAsia="Arial" w:hAnsi="Arial"/>
                <w:sz w:val="16"/>
                <w:szCs w:val="16"/>
                <w:color w:val="auto"/>
                <w:w w:val="89"/>
              </w:rPr>
              <w:t>137</w:t>
            </w:r>
          </w:p>
        </w:tc>
        <w:tc>
          <w:tcPr>
            <w:tcW w:w="820" w:type="dxa"/>
            <w:vAlign w:val="bottom"/>
          </w:tcPr>
          <w:p>
            <w:pPr>
              <w:spacing w:after="0"/>
              <w:rPr>
                <w:sz w:val="17"/>
                <w:szCs w:val="17"/>
                <w:color w:val="auto"/>
              </w:rPr>
            </w:pPr>
          </w:p>
        </w:tc>
        <w:tc>
          <w:tcPr>
            <w:tcW w:w="620" w:type="dxa"/>
            <w:vAlign w:val="bottom"/>
          </w:tcPr>
          <w:p>
            <w:pPr>
              <w:jc w:val="right"/>
              <w:ind w:right="379"/>
              <w:spacing w:after="0"/>
              <w:rPr>
                <w:sz w:val="20"/>
                <w:szCs w:val="20"/>
                <w:color w:val="auto"/>
              </w:rPr>
            </w:pPr>
            <w:r>
              <w:rPr>
                <w:rFonts w:ascii="Arial" w:cs="Arial" w:eastAsia="Arial" w:hAnsi="Arial"/>
                <w:sz w:val="16"/>
                <w:szCs w:val="16"/>
                <w:color w:val="auto"/>
              </w:rPr>
              <w:t>7</w:t>
            </w:r>
          </w:p>
        </w:tc>
        <w:tc>
          <w:tcPr>
            <w:tcW w:w="540" w:type="dxa"/>
            <w:vAlign w:val="bottom"/>
          </w:tcPr>
          <w:p>
            <w:pPr>
              <w:spacing w:after="0"/>
              <w:rPr>
                <w:sz w:val="17"/>
                <w:szCs w:val="17"/>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w w:val="84"/>
              </w:rPr>
              <w:t>1,897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Foreign corporate debt – non-financial</w:t>
            </w: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415</w:t>
            </w:r>
          </w:p>
        </w:tc>
        <w:tc>
          <w:tcPr>
            <w:tcW w:w="8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34</w:t>
            </w: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0</w:t>
            </w: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540"/>
              <w:spacing w:after="0"/>
              <w:rPr>
                <w:sz w:val="20"/>
                <w:szCs w:val="20"/>
                <w:color w:val="auto"/>
              </w:rPr>
            </w:pPr>
            <w:r>
              <w:rPr>
                <w:rFonts w:ascii="Arial" w:cs="Arial" w:eastAsia="Arial" w:hAnsi="Arial"/>
                <w:sz w:val="16"/>
                <w:szCs w:val="16"/>
                <w:color w:val="auto"/>
              </w:rPr>
              <w:t>Foreign corporate debt – financial</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right"/>
              <w:ind w:right="699"/>
              <w:spacing w:after="0"/>
              <w:rPr>
                <w:sz w:val="20"/>
                <w:szCs w:val="20"/>
                <w:color w:val="auto"/>
              </w:rPr>
            </w:pPr>
            <w:r>
              <w:rPr>
                <w:rFonts w:ascii="Arial" w:cs="Arial" w:eastAsia="Arial" w:hAnsi="Arial"/>
                <w:sz w:val="16"/>
                <w:szCs w:val="16"/>
                <w:color w:val="auto"/>
              </w:rPr>
              <w:t>364</w:t>
            </w:r>
          </w:p>
        </w:tc>
        <w:tc>
          <w:tcPr>
            <w:tcW w:w="860" w:type="dxa"/>
            <w:vAlign w:val="bottom"/>
          </w:tcPr>
          <w:p>
            <w:pPr>
              <w:spacing w:after="0"/>
              <w:rPr>
                <w:sz w:val="17"/>
                <w:szCs w:val="17"/>
                <w:color w:val="auto"/>
              </w:rPr>
            </w:pPr>
          </w:p>
        </w:tc>
        <w:tc>
          <w:tcPr>
            <w:tcW w:w="980" w:type="dxa"/>
            <w:vAlign w:val="bottom"/>
          </w:tcPr>
          <w:p>
            <w:pPr>
              <w:jc w:val="right"/>
              <w:ind w:right="639"/>
              <w:spacing w:after="0"/>
              <w:rPr>
                <w:sz w:val="20"/>
                <w:szCs w:val="20"/>
                <w:color w:val="auto"/>
              </w:rPr>
            </w:pPr>
            <w:r>
              <w:rPr>
                <w:rFonts w:ascii="Arial" w:cs="Arial" w:eastAsia="Arial" w:hAnsi="Arial"/>
                <w:sz w:val="16"/>
                <w:szCs w:val="16"/>
                <w:color w:val="auto"/>
              </w:rPr>
              <w:t>20</w:t>
            </w:r>
          </w:p>
        </w:tc>
        <w:tc>
          <w:tcPr>
            <w:tcW w:w="820" w:type="dxa"/>
            <w:vAlign w:val="bottom"/>
          </w:tcPr>
          <w:p>
            <w:pPr>
              <w:spacing w:after="0"/>
              <w:rPr>
                <w:sz w:val="17"/>
                <w:szCs w:val="17"/>
                <w:color w:val="auto"/>
              </w:rPr>
            </w:pPr>
          </w:p>
        </w:tc>
        <w:tc>
          <w:tcPr>
            <w:tcW w:w="620" w:type="dxa"/>
            <w:vAlign w:val="bottom"/>
          </w:tcPr>
          <w:p>
            <w:pPr>
              <w:jc w:val="right"/>
              <w:ind w:right="379"/>
              <w:spacing w:after="0"/>
              <w:rPr>
                <w:sz w:val="20"/>
                <w:szCs w:val="20"/>
                <w:color w:val="auto"/>
              </w:rPr>
            </w:pPr>
            <w:r>
              <w:rPr>
                <w:rFonts w:ascii="Arial" w:cs="Arial" w:eastAsia="Arial" w:hAnsi="Arial"/>
                <w:sz w:val="16"/>
                <w:szCs w:val="16"/>
                <w:color w:val="auto"/>
              </w:rPr>
              <w:t>2</w:t>
            </w:r>
          </w:p>
        </w:tc>
        <w:tc>
          <w:tcPr>
            <w:tcW w:w="540" w:type="dxa"/>
            <w:vAlign w:val="bottom"/>
          </w:tcPr>
          <w:p>
            <w:pPr>
              <w:spacing w:after="0"/>
              <w:rPr>
                <w:sz w:val="17"/>
                <w:szCs w:val="17"/>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Structured securities:</w:t>
            </w: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720"/>
              <w:spacing w:after="0"/>
              <w:rPr>
                <w:sz w:val="20"/>
                <w:szCs w:val="20"/>
                <w:color w:val="auto"/>
              </w:rPr>
            </w:pPr>
            <w:r>
              <w:rPr>
                <w:rFonts w:ascii="Arial" w:cs="Arial" w:eastAsia="Arial" w:hAnsi="Arial"/>
                <w:sz w:val="16"/>
                <w:szCs w:val="16"/>
                <w:color w:val="auto"/>
              </w:rPr>
              <w:t>Asset-backed securities – auto loans</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right"/>
              <w:ind w:right="699"/>
              <w:spacing w:after="0"/>
              <w:rPr>
                <w:sz w:val="20"/>
                <w:szCs w:val="20"/>
                <w:color w:val="auto"/>
              </w:rPr>
            </w:pPr>
            <w:r>
              <w:rPr>
                <w:rFonts w:ascii="Arial" w:cs="Arial" w:eastAsia="Arial" w:hAnsi="Arial"/>
                <w:sz w:val="16"/>
                <w:szCs w:val="16"/>
                <w:color w:val="auto"/>
              </w:rPr>
              <w:t>36</w:t>
            </w:r>
          </w:p>
        </w:tc>
        <w:tc>
          <w:tcPr>
            <w:tcW w:w="860" w:type="dxa"/>
            <w:vAlign w:val="bottom"/>
          </w:tcPr>
          <w:p>
            <w:pPr>
              <w:spacing w:after="0"/>
              <w:rPr>
                <w:sz w:val="17"/>
                <w:szCs w:val="17"/>
                <w:color w:val="auto"/>
              </w:rPr>
            </w:pPr>
          </w:p>
        </w:tc>
        <w:tc>
          <w:tcPr>
            <w:tcW w:w="980" w:type="dxa"/>
            <w:vAlign w:val="bottom"/>
          </w:tcPr>
          <w:p>
            <w:pPr>
              <w:jc w:val="right"/>
              <w:ind w:right="639"/>
              <w:spacing w:after="0"/>
              <w:rPr>
                <w:sz w:val="20"/>
                <w:szCs w:val="20"/>
                <w:color w:val="auto"/>
              </w:rPr>
            </w:pPr>
            <w:r>
              <w:rPr>
                <w:rFonts w:ascii="Arial" w:cs="Arial" w:eastAsia="Arial" w:hAnsi="Arial"/>
                <w:sz w:val="16"/>
                <w:szCs w:val="16"/>
                <w:color w:val="auto"/>
              </w:rPr>
              <w:t>2</w:t>
            </w:r>
          </w:p>
        </w:tc>
        <w:tc>
          <w:tcPr>
            <w:tcW w:w="820" w:type="dxa"/>
            <w:vAlign w:val="bottom"/>
          </w:tcPr>
          <w:p>
            <w:pPr>
              <w:spacing w:after="0"/>
              <w:rPr>
                <w:sz w:val="17"/>
                <w:szCs w:val="17"/>
                <w:color w:val="auto"/>
              </w:rPr>
            </w:pPr>
          </w:p>
        </w:tc>
        <w:tc>
          <w:tcPr>
            <w:tcW w:w="620" w:type="dxa"/>
            <w:vAlign w:val="bottom"/>
          </w:tcPr>
          <w:p>
            <w:pPr>
              <w:jc w:val="right"/>
              <w:ind w:right="379"/>
              <w:spacing w:after="0"/>
              <w:rPr>
                <w:sz w:val="20"/>
                <w:szCs w:val="20"/>
                <w:color w:val="auto"/>
              </w:rPr>
            </w:pPr>
            <w:r>
              <w:rPr>
                <w:rFonts w:ascii="Arial" w:cs="Arial" w:eastAsia="Arial" w:hAnsi="Arial"/>
                <w:sz w:val="16"/>
                <w:szCs w:val="16"/>
                <w:color w:val="auto"/>
              </w:rPr>
              <w:t>0</w:t>
            </w:r>
          </w:p>
        </w:tc>
        <w:tc>
          <w:tcPr>
            <w:tcW w:w="540" w:type="dxa"/>
            <w:vAlign w:val="bottom"/>
          </w:tcPr>
          <w:p>
            <w:pPr>
              <w:spacing w:after="0"/>
              <w:rPr>
                <w:sz w:val="17"/>
                <w:szCs w:val="17"/>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Asset-backed securities – other</w:t>
            </w: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18</w:t>
            </w:r>
          </w:p>
        </w:tc>
        <w:tc>
          <w:tcPr>
            <w:tcW w:w="8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w:t>
            </w: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0</w:t>
            </w: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720"/>
              <w:spacing w:after="0"/>
              <w:rPr>
                <w:sz w:val="20"/>
                <w:szCs w:val="20"/>
                <w:color w:val="auto"/>
              </w:rPr>
            </w:pPr>
            <w:r>
              <w:rPr>
                <w:rFonts w:ascii="Arial" w:cs="Arial" w:eastAsia="Arial" w:hAnsi="Arial"/>
                <w:sz w:val="16"/>
                <w:szCs w:val="16"/>
                <w:color w:val="auto"/>
              </w:rPr>
              <w:t>Collateralized debt obligations</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right"/>
              <w:ind w:right="699"/>
              <w:spacing w:after="0"/>
              <w:rPr>
                <w:sz w:val="20"/>
                <w:szCs w:val="20"/>
                <w:color w:val="auto"/>
              </w:rPr>
            </w:pPr>
            <w:r>
              <w:rPr>
                <w:rFonts w:ascii="Arial" w:cs="Arial" w:eastAsia="Arial" w:hAnsi="Arial"/>
                <w:sz w:val="16"/>
                <w:szCs w:val="16"/>
                <w:color w:val="auto"/>
              </w:rPr>
              <w:t>69</w:t>
            </w:r>
          </w:p>
        </w:tc>
        <w:tc>
          <w:tcPr>
            <w:tcW w:w="860" w:type="dxa"/>
            <w:vAlign w:val="bottom"/>
          </w:tcPr>
          <w:p>
            <w:pPr>
              <w:spacing w:after="0"/>
              <w:rPr>
                <w:sz w:val="17"/>
                <w:szCs w:val="17"/>
                <w:color w:val="auto"/>
              </w:rPr>
            </w:pPr>
          </w:p>
        </w:tc>
        <w:tc>
          <w:tcPr>
            <w:tcW w:w="980" w:type="dxa"/>
            <w:vAlign w:val="bottom"/>
          </w:tcPr>
          <w:p>
            <w:pPr>
              <w:jc w:val="right"/>
              <w:ind w:right="639"/>
              <w:spacing w:after="0"/>
              <w:rPr>
                <w:sz w:val="20"/>
                <w:szCs w:val="20"/>
                <w:color w:val="auto"/>
              </w:rPr>
            </w:pPr>
            <w:r>
              <w:rPr>
                <w:rFonts w:ascii="Arial" w:cs="Arial" w:eastAsia="Arial" w:hAnsi="Arial"/>
                <w:sz w:val="16"/>
                <w:szCs w:val="16"/>
                <w:color w:val="auto"/>
              </w:rPr>
              <w:t>6</w:t>
            </w:r>
          </w:p>
        </w:tc>
        <w:tc>
          <w:tcPr>
            <w:tcW w:w="820" w:type="dxa"/>
            <w:vAlign w:val="bottom"/>
          </w:tcPr>
          <w:p>
            <w:pPr>
              <w:spacing w:after="0"/>
              <w:rPr>
                <w:sz w:val="17"/>
                <w:szCs w:val="17"/>
                <w:color w:val="auto"/>
              </w:rPr>
            </w:pPr>
          </w:p>
        </w:tc>
        <w:tc>
          <w:tcPr>
            <w:tcW w:w="620" w:type="dxa"/>
            <w:vAlign w:val="bottom"/>
          </w:tcPr>
          <w:p>
            <w:pPr>
              <w:jc w:val="right"/>
              <w:ind w:right="379"/>
              <w:spacing w:after="0"/>
              <w:rPr>
                <w:sz w:val="20"/>
                <w:szCs w:val="20"/>
                <w:color w:val="auto"/>
              </w:rPr>
            </w:pPr>
            <w:r>
              <w:rPr>
                <w:rFonts w:ascii="Arial" w:cs="Arial" w:eastAsia="Arial" w:hAnsi="Arial"/>
                <w:sz w:val="16"/>
                <w:szCs w:val="16"/>
                <w:color w:val="auto"/>
              </w:rPr>
              <w:t>5</w:t>
            </w:r>
          </w:p>
        </w:tc>
        <w:tc>
          <w:tcPr>
            <w:tcW w:w="540" w:type="dxa"/>
            <w:vAlign w:val="bottom"/>
          </w:tcPr>
          <w:p>
            <w:pPr>
              <w:spacing w:after="0"/>
              <w:rPr>
                <w:sz w:val="17"/>
                <w:szCs w:val="17"/>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Commercial mortgage-backed</w:t>
            </w: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82</w:t>
            </w:r>
          </w:p>
        </w:tc>
        <w:tc>
          <w:tcPr>
            <w:tcW w:w="8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5</w:t>
            </w: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1</w:t>
            </w: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540"/>
              <w:spacing w:after="0"/>
              <w:rPr>
                <w:sz w:val="20"/>
                <w:szCs w:val="20"/>
                <w:color w:val="auto"/>
              </w:rPr>
            </w:pPr>
            <w:r>
              <w:rPr>
                <w:rFonts w:ascii="Arial" w:cs="Arial" w:eastAsia="Arial" w:hAnsi="Arial"/>
                <w:sz w:val="16"/>
                <w:szCs w:val="16"/>
                <w:color w:val="auto"/>
              </w:rPr>
              <w:t>Residential mortgage-backed:</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Government sponsored enterprises</w:t>
            </w: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196</w:t>
            </w:r>
          </w:p>
        </w:tc>
        <w:tc>
          <w:tcPr>
            <w:tcW w:w="8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9</w:t>
            </w: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0</w:t>
            </w: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Non-government sponsored enterprises</w:t>
            </w:r>
          </w:p>
        </w:tc>
        <w:tc>
          <w:tcPr>
            <w:tcW w:w="8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20</w:t>
            </w:r>
          </w:p>
        </w:tc>
        <w:tc>
          <w:tcPr>
            <w:tcW w:w="8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1</w:t>
            </w:r>
          </w:p>
        </w:tc>
        <w:tc>
          <w:tcPr>
            <w:tcW w:w="5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fixed maturities</w:t>
            </w:r>
          </w:p>
        </w:tc>
        <w:tc>
          <w:tcPr>
            <w:tcW w:w="8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gridSpan w:val="2"/>
            <w:shd w:val="clear" w:color="auto" w:fill="CCEEFF"/>
          </w:tcPr>
          <w:p>
            <w:pPr>
              <w:jc w:val="right"/>
              <w:ind w:right="699"/>
              <w:spacing w:after="0"/>
              <w:rPr>
                <w:sz w:val="20"/>
                <w:szCs w:val="20"/>
                <w:color w:val="auto"/>
              </w:rPr>
            </w:pPr>
            <w:r>
              <w:rPr>
                <w:rFonts w:ascii="Arial" w:cs="Arial" w:eastAsia="Arial" w:hAnsi="Arial"/>
                <w:sz w:val="16"/>
                <w:szCs w:val="16"/>
                <w:color w:val="auto"/>
                <w:w w:val="84"/>
              </w:rPr>
              <w:t>6,863</w:t>
            </w:r>
          </w:p>
        </w:tc>
        <w:tc>
          <w:tcPr>
            <w:tcW w:w="8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446</w:t>
            </w:r>
          </w:p>
        </w:tc>
        <w:tc>
          <w:tcPr>
            <w:tcW w:w="8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78"/>
              </w:rPr>
              <w:t>30</w:t>
            </w:r>
          </w:p>
        </w:tc>
        <w:tc>
          <w:tcPr>
            <w:tcW w:w="5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4"/>
              </w:rPr>
              <w:t>7,279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000" w:type="dxa"/>
            <w:vAlign w:val="bottom"/>
          </w:tcPr>
          <w:p>
            <w:pPr>
              <w:ind w:left="180"/>
              <w:spacing w:after="0" w:line="183" w:lineRule="exact"/>
              <w:rPr>
                <w:sz w:val="20"/>
                <w:szCs w:val="20"/>
                <w:color w:val="auto"/>
              </w:rPr>
            </w:pPr>
            <w:r>
              <w:rPr>
                <w:rFonts w:ascii="Arial" w:cs="Arial" w:eastAsia="Arial" w:hAnsi="Arial"/>
                <w:sz w:val="16"/>
                <w:szCs w:val="16"/>
                <w:color w:val="auto"/>
              </w:rPr>
              <w:t>Equity securities:</w:t>
            </w: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U.S. nonredeemable preferred securities:</w:t>
            </w: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900"/>
              <w:spacing w:after="0"/>
              <w:rPr>
                <w:sz w:val="20"/>
                <w:szCs w:val="20"/>
                <w:color w:val="auto"/>
              </w:rPr>
            </w:pPr>
            <w:r>
              <w:rPr>
                <w:rFonts w:ascii="Arial" w:cs="Arial" w:eastAsia="Arial" w:hAnsi="Arial"/>
                <w:sz w:val="16"/>
                <w:szCs w:val="16"/>
                <w:color w:val="auto"/>
              </w:rPr>
              <w:t>Financial</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right"/>
              <w:ind w:right="699"/>
              <w:spacing w:after="0"/>
              <w:rPr>
                <w:sz w:val="20"/>
                <w:szCs w:val="20"/>
                <w:color w:val="auto"/>
              </w:rPr>
            </w:pPr>
            <w:r>
              <w:rPr>
                <w:rFonts w:ascii="Arial" w:cs="Arial" w:eastAsia="Arial" w:hAnsi="Arial"/>
                <w:sz w:val="16"/>
                <w:szCs w:val="16"/>
                <w:color w:val="auto"/>
              </w:rPr>
              <w:t>317</w:t>
            </w:r>
          </w:p>
        </w:tc>
        <w:tc>
          <w:tcPr>
            <w:tcW w:w="860" w:type="dxa"/>
            <w:vAlign w:val="bottom"/>
          </w:tcPr>
          <w:p>
            <w:pPr>
              <w:spacing w:after="0"/>
              <w:rPr>
                <w:sz w:val="17"/>
                <w:szCs w:val="17"/>
                <w:color w:val="auto"/>
              </w:rPr>
            </w:pPr>
          </w:p>
        </w:tc>
        <w:tc>
          <w:tcPr>
            <w:tcW w:w="980" w:type="dxa"/>
            <w:vAlign w:val="bottom"/>
          </w:tcPr>
          <w:p>
            <w:pPr>
              <w:jc w:val="right"/>
              <w:ind w:right="639"/>
              <w:spacing w:after="0"/>
              <w:rPr>
                <w:sz w:val="20"/>
                <w:szCs w:val="20"/>
                <w:color w:val="auto"/>
              </w:rPr>
            </w:pPr>
            <w:r>
              <w:rPr>
                <w:rFonts w:ascii="Arial" w:cs="Arial" w:eastAsia="Arial" w:hAnsi="Arial"/>
                <w:sz w:val="16"/>
                <w:szCs w:val="16"/>
                <w:color w:val="auto"/>
              </w:rPr>
              <w:t>58</w:t>
            </w:r>
          </w:p>
        </w:tc>
        <w:tc>
          <w:tcPr>
            <w:tcW w:w="820" w:type="dxa"/>
            <w:vAlign w:val="bottom"/>
          </w:tcPr>
          <w:p>
            <w:pPr>
              <w:spacing w:after="0"/>
              <w:rPr>
                <w:sz w:val="17"/>
                <w:szCs w:val="17"/>
                <w:color w:val="auto"/>
              </w:rPr>
            </w:pPr>
          </w:p>
        </w:tc>
        <w:tc>
          <w:tcPr>
            <w:tcW w:w="620" w:type="dxa"/>
            <w:vAlign w:val="bottom"/>
          </w:tcPr>
          <w:p>
            <w:pPr>
              <w:jc w:val="right"/>
              <w:ind w:right="379"/>
              <w:spacing w:after="0"/>
              <w:rPr>
                <w:sz w:val="20"/>
                <w:szCs w:val="20"/>
                <w:color w:val="auto"/>
              </w:rPr>
            </w:pPr>
            <w:r>
              <w:rPr>
                <w:rFonts w:ascii="Arial" w:cs="Arial" w:eastAsia="Arial" w:hAnsi="Arial"/>
                <w:sz w:val="16"/>
                <w:szCs w:val="16"/>
                <w:color w:val="auto"/>
              </w:rPr>
              <w:t>2</w:t>
            </w:r>
          </w:p>
        </w:tc>
        <w:tc>
          <w:tcPr>
            <w:tcW w:w="540" w:type="dxa"/>
            <w:vAlign w:val="bottom"/>
          </w:tcPr>
          <w:p>
            <w:pPr>
              <w:spacing w:after="0"/>
              <w:rPr>
                <w:sz w:val="17"/>
                <w:szCs w:val="17"/>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Non-financial</w:t>
            </w: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126</w:t>
            </w:r>
          </w:p>
        </w:tc>
        <w:tc>
          <w:tcPr>
            <w:tcW w:w="8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9</w:t>
            </w: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2</w:t>
            </w: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900"/>
              <w:spacing w:after="0"/>
              <w:rPr>
                <w:sz w:val="20"/>
                <w:szCs w:val="20"/>
                <w:color w:val="auto"/>
              </w:rPr>
            </w:pPr>
            <w:r>
              <w:rPr>
                <w:rFonts w:ascii="Arial" w:cs="Arial" w:eastAsia="Arial" w:hAnsi="Arial"/>
                <w:sz w:val="16"/>
                <w:szCs w:val="16"/>
                <w:color w:val="auto"/>
              </w:rPr>
              <w:t>Government sponsored enterprises</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right"/>
              <w:ind w:right="699"/>
              <w:spacing w:after="0"/>
              <w:rPr>
                <w:sz w:val="20"/>
                <w:szCs w:val="20"/>
                <w:color w:val="auto"/>
              </w:rPr>
            </w:pPr>
            <w:r>
              <w:rPr>
                <w:rFonts w:ascii="Arial" w:cs="Arial" w:eastAsia="Arial" w:hAnsi="Arial"/>
                <w:sz w:val="16"/>
                <w:szCs w:val="16"/>
                <w:color w:val="auto"/>
              </w:rPr>
              <w:t>0</w:t>
            </w:r>
          </w:p>
        </w:tc>
        <w:tc>
          <w:tcPr>
            <w:tcW w:w="860" w:type="dxa"/>
            <w:vAlign w:val="bottom"/>
          </w:tcPr>
          <w:p>
            <w:pPr>
              <w:spacing w:after="0"/>
              <w:rPr>
                <w:sz w:val="17"/>
                <w:szCs w:val="17"/>
                <w:color w:val="auto"/>
              </w:rPr>
            </w:pPr>
          </w:p>
        </w:tc>
        <w:tc>
          <w:tcPr>
            <w:tcW w:w="980" w:type="dxa"/>
            <w:vAlign w:val="bottom"/>
          </w:tcPr>
          <w:p>
            <w:pPr>
              <w:jc w:val="right"/>
              <w:ind w:right="639"/>
              <w:spacing w:after="0"/>
              <w:rPr>
                <w:sz w:val="20"/>
                <w:szCs w:val="20"/>
                <w:color w:val="auto"/>
              </w:rPr>
            </w:pPr>
            <w:r>
              <w:rPr>
                <w:rFonts w:ascii="Arial" w:cs="Arial" w:eastAsia="Arial" w:hAnsi="Arial"/>
                <w:sz w:val="16"/>
                <w:szCs w:val="16"/>
                <w:color w:val="auto"/>
              </w:rPr>
              <w:t>0</w:t>
            </w:r>
          </w:p>
        </w:tc>
        <w:tc>
          <w:tcPr>
            <w:tcW w:w="820" w:type="dxa"/>
            <w:vAlign w:val="bottom"/>
          </w:tcPr>
          <w:p>
            <w:pPr>
              <w:spacing w:after="0"/>
              <w:rPr>
                <w:sz w:val="17"/>
                <w:szCs w:val="17"/>
                <w:color w:val="auto"/>
              </w:rPr>
            </w:pPr>
          </w:p>
        </w:tc>
        <w:tc>
          <w:tcPr>
            <w:tcW w:w="620" w:type="dxa"/>
            <w:vAlign w:val="bottom"/>
          </w:tcPr>
          <w:p>
            <w:pPr>
              <w:jc w:val="right"/>
              <w:ind w:right="379"/>
              <w:spacing w:after="0"/>
              <w:rPr>
                <w:sz w:val="20"/>
                <w:szCs w:val="20"/>
                <w:color w:val="auto"/>
              </w:rPr>
            </w:pPr>
            <w:r>
              <w:rPr>
                <w:rFonts w:ascii="Arial" w:cs="Arial" w:eastAsia="Arial" w:hAnsi="Arial"/>
                <w:sz w:val="16"/>
                <w:szCs w:val="16"/>
                <w:color w:val="auto"/>
              </w:rPr>
              <w:t>0</w:t>
            </w:r>
          </w:p>
        </w:tc>
        <w:tc>
          <w:tcPr>
            <w:tcW w:w="540" w:type="dxa"/>
            <w:vAlign w:val="bottom"/>
          </w:tcPr>
          <w:p>
            <w:pPr>
              <w:spacing w:after="0"/>
              <w:rPr>
                <w:sz w:val="17"/>
                <w:szCs w:val="17"/>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Foreign nonredeemable preferred securities:</w:t>
            </w: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900"/>
              <w:spacing w:after="0"/>
              <w:rPr>
                <w:sz w:val="20"/>
                <w:szCs w:val="20"/>
                <w:color w:val="auto"/>
              </w:rPr>
            </w:pPr>
            <w:r>
              <w:rPr>
                <w:rFonts w:ascii="Arial" w:cs="Arial" w:eastAsia="Arial" w:hAnsi="Arial"/>
                <w:sz w:val="16"/>
                <w:szCs w:val="16"/>
                <w:color w:val="auto"/>
              </w:rPr>
              <w:t>Financial</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right"/>
              <w:ind w:right="699"/>
              <w:spacing w:after="0"/>
              <w:rPr>
                <w:sz w:val="20"/>
                <w:szCs w:val="20"/>
                <w:color w:val="auto"/>
              </w:rPr>
            </w:pPr>
            <w:r>
              <w:rPr>
                <w:rFonts w:ascii="Arial" w:cs="Arial" w:eastAsia="Arial" w:hAnsi="Arial"/>
                <w:sz w:val="16"/>
                <w:szCs w:val="16"/>
                <w:color w:val="auto"/>
              </w:rPr>
              <w:t>52</w:t>
            </w:r>
          </w:p>
        </w:tc>
        <w:tc>
          <w:tcPr>
            <w:tcW w:w="860" w:type="dxa"/>
            <w:vAlign w:val="bottom"/>
          </w:tcPr>
          <w:p>
            <w:pPr>
              <w:spacing w:after="0"/>
              <w:rPr>
                <w:sz w:val="17"/>
                <w:szCs w:val="17"/>
                <w:color w:val="auto"/>
              </w:rPr>
            </w:pPr>
          </w:p>
        </w:tc>
        <w:tc>
          <w:tcPr>
            <w:tcW w:w="980" w:type="dxa"/>
            <w:vAlign w:val="bottom"/>
          </w:tcPr>
          <w:p>
            <w:pPr>
              <w:jc w:val="right"/>
              <w:ind w:right="639"/>
              <w:spacing w:after="0"/>
              <w:rPr>
                <w:sz w:val="20"/>
                <w:szCs w:val="20"/>
                <w:color w:val="auto"/>
              </w:rPr>
            </w:pPr>
            <w:r>
              <w:rPr>
                <w:rFonts w:ascii="Arial" w:cs="Arial" w:eastAsia="Arial" w:hAnsi="Arial"/>
                <w:sz w:val="16"/>
                <w:szCs w:val="16"/>
                <w:color w:val="auto"/>
              </w:rPr>
              <w:t>6</w:t>
            </w:r>
          </w:p>
        </w:tc>
        <w:tc>
          <w:tcPr>
            <w:tcW w:w="820" w:type="dxa"/>
            <w:vAlign w:val="bottom"/>
          </w:tcPr>
          <w:p>
            <w:pPr>
              <w:spacing w:after="0"/>
              <w:rPr>
                <w:sz w:val="17"/>
                <w:szCs w:val="17"/>
                <w:color w:val="auto"/>
              </w:rPr>
            </w:pPr>
          </w:p>
        </w:tc>
        <w:tc>
          <w:tcPr>
            <w:tcW w:w="620" w:type="dxa"/>
            <w:vAlign w:val="bottom"/>
          </w:tcPr>
          <w:p>
            <w:pPr>
              <w:jc w:val="right"/>
              <w:ind w:right="379"/>
              <w:spacing w:after="0"/>
              <w:rPr>
                <w:sz w:val="20"/>
                <w:szCs w:val="20"/>
                <w:color w:val="auto"/>
              </w:rPr>
            </w:pPr>
            <w:r>
              <w:rPr>
                <w:rFonts w:ascii="Arial" w:cs="Arial" w:eastAsia="Arial" w:hAnsi="Arial"/>
                <w:sz w:val="16"/>
                <w:szCs w:val="16"/>
                <w:color w:val="auto"/>
              </w:rPr>
              <w:t>3</w:t>
            </w:r>
          </w:p>
        </w:tc>
        <w:tc>
          <w:tcPr>
            <w:tcW w:w="540" w:type="dxa"/>
            <w:vAlign w:val="bottom"/>
          </w:tcPr>
          <w:p>
            <w:pPr>
              <w:spacing w:after="0"/>
              <w:rPr>
                <w:sz w:val="17"/>
                <w:szCs w:val="17"/>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Non-financial</w:t>
            </w:r>
          </w:p>
        </w:tc>
        <w:tc>
          <w:tcPr>
            <w:tcW w:w="88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8</w:t>
            </w:r>
          </w:p>
        </w:tc>
        <w:tc>
          <w:tcPr>
            <w:tcW w:w="8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1</w:t>
            </w:r>
          </w:p>
        </w:tc>
        <w:tc>
          <w:tcPr>
            <w:tcW w:w="8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0</w:t>
            </w:r>
          </w:p>
        </w:tc>
        <w:tc>
          <w:tcPr>
            <w:tcW w:w="5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equity securities</w:t>
            </w:r>
          </w:p>
        </w:tc>
        <w:tc>
          <w:tcPr>
            <w:tcW w:w="8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503</w:t>
            </w:r>
          </w:p>
        </w:tc>
        <w:tc>
          <w:tcPr>
            <w:tcW w:w="8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74</w:t>
            </w:r>
          </w:p>
        </w:tc>
        <w:tc>
          <w:tcPr>
            <w:tcW w:w="8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7</w:t>
            </w:r>
          </w:p>
        </w:tc>
        <w:tc>
          <w:tcPr>
            <w:tcW w:w="5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570</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available-for-sale securities – Exchange</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gridSpan w:val="2"/>
            <w:shd w:val="clear" w:color="auto" w:fill="CCEEFF"/>
          </w:tcPr>
          <w:p>
            <w:pPr>
              <w:jc w:val="right"/>
              <w:ind w:right="699"/>
              <w:spacing w:after="0"/>
              <w:rPr>
                <w:sz w:val="20"/>
                <w:szCs w:val="20"/>
                <w:color w:val="auto"/>
              </w:rPr>
            </w:pPr>
            <w:r>
              <w:rPr>
                <w:rFonts w:ascii="Arial" w:cs="Arial" w:eastAsia="Arial" w:hAnsi="Arial"/>
                <w:sz w:val="16"/>
                <w:szCs w:val="16"/>
                <w:color w:val="auto"/>
                <w:w w:val="84"/>
              </w:rPr>
              <w:t>7,366</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520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78"/>
              </w:rPr>
              <w:t>37</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4"/>
              </w:rPr>
              <w:t>7,849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ind w:left="180"/>
              <w:spacing w:after="0"/>
              <w:rPr>
                <w:sz w:val="20"/>
                <w:szCs w:val="20"/>
                <w:color w:val="auto"/>
              </w:rPr>
            </w:pPr>
            <w:r>
              <w:rPr>
                <w:rFonts w:ascii="Arial" w:cs="Arial" w:eastAsia="Arial" w:hAnsi="Arial"/>
                <w:sz w:val="16"/>
                <w:szCs w:val="16"/>
                <w:color w:val="auto"/>
              </w:rPr>
              <w:t>Total available-for-sale securities – Erie Insurance Group</w:t>
            </w:r>
          </w:p>
        </w:tc>
        <w:tc>
          <w:tcPr>
            <w:tcW w:w="8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00" w:type="dxa"/>
            <w:vAlign w:val="bottom"/>
            <w:vMerge w:val="continue"/>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gridSpan w:val="2"/>
          </w:tcPr>
          <w:p>
            <w:pPr>
              <w:jc w:val="right"/>
              <w:ind w:right="699"/>
              <w:spacing w:after="0"/>
              <w:rPr>
                <w:sz w:val="20"/>
                <w:szCs w:val="20"/>
                <w:color w:val="auto"/>
              </w:rPr>
            </w:pPr>
            <w:r>
              <w:rPr>
                <w:rFonts w:ascii="Arial" w:cs="Arial" w:eastAsia="Arial" w:hAnsi="Arial"/>
                <w:sz w:val="16"/>
                <w:szCs w:val="16"/>
                <w:color w:val="auto"/>
                <w:w w:val="84"/>
              </w:rPr>
              <w:t>7,643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w w:val="89"/>
              </w:rPr>
              <w:t>533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78"/>
              </w:rPr>
              <w:t>39</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4"/>
              </w:rPr>
              <w:t>8,137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amortized cost and estimated fair value of fixed maturities at March 31, 2011, are shown below by remaining contractual term to maturity. Mortgage-backed securities are allocated based on their stated maturity dates. Expected maturities may differ from contractual maturities because borrowers may have the right to call or prepay obligations with or without call or prepayment penalties.</w:t>
      </w:r>
    </w:p>
    <w:p>
      <w:pPr>
        <w:spacing w:after="0" w:line="181"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246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color w:val="auto"/>
              </w:rPr>
              <w:t>Erie Insurance Group</w:t>
            </w:r>
          </w:p>
        </w:tc>
        <w:tc>
          <w:tcPr>
            <w:tcW w:w="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38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520" w:type="dxa"/>
            <w:vAlign w:val="bottom"/>
            <w:gridSpan w:val="3"/>
          </w:tcPr>
          <w:p>
            <w:pPr>
              <w:jc w:val="center"/>
              <w:ind w:right="160"/>
              <w:spacing w:after="0" w:line="195" w:lineRule="exact"/>
              <w:rPr>
                <w:sz w:val="20"/>
                <w:szCs w:val="20"/>
                <w:color w:val="auto"/>
              </w:rPr>
            </w:pPr>
            <w:r>
              <w:rPr>
                <w:rFonts w:ascii="Arial" w:cs="Arial" w:eastAsia="Arial" w:hAnsi="Arial"/>
                <w:sz w:val="18"/>
                <w:szCs w:val="18"/>
                <w:color w:val="auto"/>
                <w:w w:val="93"/>
              </w:rPr>
              <w:t>Amortized</w:t>
            </w:r>
          </w:p>
        </w:tc>
        <w:tc>
          <w:tcPr>
            <w:tcW w:w="1460" w:type="dxa"/>
            <w:vAlign w:val="bottom"/>
            <w:gridSpan w:val="2"/>
          </w:tcPr>
          <w:p>
            <w:pPr>
              <w:jc w:val="right"/>
              <w:ind w:right="270"/>
              <w:spacing w:after="0" w:line="195" w:lineRule="exact"/>
              <w:rPr>
                <w:sz w:val="20"/>
                <w:szCs w:val="20"/>
                <w:color w:val="auto"/>
              </w:rPr>
            </w:pPr>
            <w:r>
              <w:rPr>
                <w:rFonts w:ascii="Arial" w:cs="Arial" w:eastAsia="Arial" w:hAnsi="Arial"/>
                <w:sz w:val="18"/>
                <w:szCs w:val="18"/>
                <w:color w:val="auto"/>
              </w:rPr>
              <w:t>Estimated</w:t>
            </w:r>
          </w:p>
        </w:tc>
        <w:tc>
          <w:tcPr>
            <w:tcW w:w="0" w:type="dxa"/>
            <w:vAlign w:val="bottom"/>
          </w:tcPr>
          <w:p>
            <w:pPr>
              <w:spacing w:after="0"/>
              <w:rPr>
                <w:sz w:val="1"/>
                <w:szCs w:val="1"/>
                <w:color w:val="auto"/>
              </w:rPr>
            </w:pPr>
          </w:p>
        </w:tc>
      </w:tr>
      <w:tr>
        <w:trPr>
          <w:trHeight w:val="230"/>
        </w:trPr>
        <w:tc>
          <w:tcPr>
            <w:tcW w:w="5380" w:type="dxa"/>
            <w:vAlign w:val="bottom"/>
            <w:vMerge w:val="continue"/>
          </w:tcPr>
          <w:p>
            <w:pPr>
              <w:spacing w:after="0"/>
              <w:rPr>
                <w:sz w:val="20"/>
                <w:szCs w:val="20"/>
                <w:color w:val="auto"/>
              </w:rPr>
            </w:pPr>
          </w:p>
        </w:tc>
        <w:tc>
          <w:tcPr>
            <w:tcW w:w="1520" w:type="dxa"/>
            <w:vAlign w:val="bottom"/>
            <w:gridSpan w:val="3"/>
          </w:tcPr>
          <w:p>
            <w:pPr>
              <w:jc w:val="center"/>
              <w:ind w:right="160"/>
              <w:spacing w:after="0"/>
              <w:rPr>
                <w:sz w:val="20"/>
                <w:szCs w:val="20"/>
                <w:color w:val="auto"/>
              </w:rPr>
            </w:pPr>
            <w:r>
              <w:rPr>
                <w:rFonts w:ascii="Arial" w:cs="Arial" w:eastAsia="Arial" w:hAnsi="Arial"/>
                <w:sz w:val="18"/>
                <w:szCs w:val="18"/>
                <w:color w:val="auto"/>
                <w:w w:val="84"/>
              </w:rPr>
              <w:t>cost</w:t>
            </w:r>
          </w:p>
        </w:tc>
        <w:tc>
          <w:tcPr>
            <w:tcW w:w="1460" w:type="dxa"/>
            <w:vAlign w:val="bottom"/>
            <w:gridSpan w:val="2"/>
          </w:tcPr>
          <w:p>
            <w:pPr>
              <w:jc w:val="right"/>
              <w:ind w:right="29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196"/>
        </w:trPr>
        <w:tc>
          <w:tcPr>
            <w:tcW w:w="5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Indemnity</w:t>
            </w:r>
          </w:p>
        </w:tc>
        <w:tc>
          <w:tcPr>
            <w:tcW w:w="8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Due in one year or less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after one year through five years</w:t>
            </w: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Due after five years through ten years</w:t>
            </w:r>
          </w:p>
        </w:tc>
        <w:tc>
          <w:tcPr>
            <w:tcW w:w="800" w:type="dxa"/>
            <w:vAlign w:val="bottom"/>
          </w:tcPr>
          <w:p>
            <w:pPr>
              <w:spacing w:after="0"/>
              <w:rPr>
                <w:sz w:val="18"/>
                <w:szCs w:val="18"/>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after ten years</w:t>
            </w:r>
          </w:p>
        </w:tc>
        <w:tc>
          <w:tcPr>
            <w:tcW w:w="8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fixed maturities – Indemnity</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506</w:t>
            </w: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196"/>
        </w:trPr>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Exchange</w:t>
            </w: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Due in one year or less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after one year through five years</w:t>
            </w: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4"/>
              </w:rPr>
              <w:t>2,421</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4"/>
              </w:rPr>
              <w:t>2,563</w:t>
            </w:r>
          </w:p>
        </w:tc>
        <w:tc>
          <w:tcPr>
            <w:tcW w:w="0" w:type="dxa"/>
            <w:vAlign w:val="bottom"/>
          </w:tcPr>
          <w:p>
            <w:pPr>
              <w:spacing w:after="0"/>
              <w:rPr>
                <w:sz w:val="1"/>
                <w:szCs w:val="1"/>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Due after five years through ten years</w:t>
            </w:r>
          </w:p>
        </w:tc>
        <w:tc>
          <w:tcPr>
            <w:tcW w:w="800" w:type="dxa"/>
            <w:vAlign w:val="bottom"/>
          </w:tcPr>
          <w:p>
            <w:pPr>
              <w:spacing w:after="0"/>
              <w:rPr>
                <w:sz w:val="18"/>
                <w:szCs w:val="18"/>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w w:val="84"/>
              </w:rPr>
              <w:t>2,766</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2,952</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after ten years</w:t>
            </w:r>
          </w:p>
        </w:tc>
        <w:tc>
          <w:tcPr>
            <w:tcW w:w="8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4"/>
              </w:rPr>
              <w:t>1,360</w:t>
            </w: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1,410</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fixed maturities – Exchange</w:t>
            </w:r>
          </w:p>
        </w:tc>
        <w:tc>
          <w:tcPr>
            <w:tcW w:w="13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$6,857</w:t>
            </w:r>
          </w:p>
        </w:tc>
        <w:tc>
          <w:tcPr>
            <w:tcW w:w="16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$7,254</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fixed maturities – Erie Insurance Group</w:t>
            </w:r>
          </w:p>
        </w:tc>
        <w:tc>
          <w:tcPr>
            <w:tcW w:w="13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$7,363</w:t>
            </w:r>
          </w:p>
        </w:tc>
        <w:tc>
          <w:tcPr>
            <w:tcW w:w="1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$7,767</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Fixed maturities and equity securities in a gross unrealized loss position at March 31, 2011 are as follows for Indemnity. Data is provided by length of time securities were in a gross unrealized loss position.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6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3"/>
          </w:tcPr>
          <w:p>
            <w:pPr>
              <w:jc w:val="center"/>
              <w:ind w:left="783"/>
              <w:spacing w:after="0"/>
              <w:rPr>
                <w:sz w:val="20"/>
                <w:szCs w:val="20"/>
                <w:color w:val="auto"/>
              </w:rPr>
            </w:pPr>
            <w:r>
              <w:rPr>
                <w:rFonts w:ascii="Arial" w:cs="Arial" w:eastAsia="Arial" w:hAnsi="Arial"/>
                <w:sz w:val="15"/>
                <w:szCs w:val="15"/>
                <w:color w:val="auto"/>
                <w:w w:val="92"/>
              </w:rPr>
              <w:t>Erie Insurance Group</w:t>
            </w:r>
          </w:p>
        </w:tc>
        <w:tc>
          <w:tcPr>
            <w:tcW w:w="10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6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80" w:type="dxa"/>
            <w:vAlign w:val="bottom"/>
            <w:gridSpan w:val="2"/>
          </w:tcPr>
          <w:p>
            <w:pPr>
              <w:jc w:val="center"/>
              <w:ind w:right="160"/>
              <w:spacing w:after="0" w:line="142" w:lineRule="exact"/>
              <w:rPr>
                <w:sz w:val="20"/>
                <w:szCs w:val="20"/>
                <w:color w:val="auto"/>
              </w:rPr>
            </w:pPr>
            <w:r>
              <w:rPr>
                <w:rFonts w:ascii="Arial" w:cs="Arial" w:eastAsia="Arial" w:hAnsi="Arial"/>
                <w:sz w:val="15"/>
                <w:szCs w:val="15"/>
                <w:color w:val="auto"/>
                <w:w w:val="92"/>
              </w:rPr>
              <w:t>March 31, 2011</w:t>
            </w: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560" w:type="dxa"/>
            <w:vAlign w:val="bottom"/>
            <w:vMerge w:val="continue"/>
          </w:tcPr>
          <w:p>
            <w:pPr>
              <w:spacing w:after="0"/>
              <w:rPr>
                <w:sz w:val="15"/>
                <w:szCs w:val="15"/>
                <w:color w:val="auto"/>
              </w:rPr>
            </w:pPr>
          </w:p>
        </w:tc>
        <w:tc>
          <w:tcPr>
            <w:tcW w:w="2300" w:type="dxa"/>
            <w:vAlign w:val="bottom"/>
            <w:gridSpan w:val="3"/>
          </w:tcPr>
          <w:p>
            <w:pPr>
              <w:ind w:left="460"/>
              <w:spacing w:after="0"/>
              <w:rPr>
                <w:sz w:val="20"/>
                <w:szCs w:val="20"/>
                <w:color w:val="auto"/>
              </w:rPr>
            </w:pPr>
            <w:r>
              <w:rPr>
                <w:rFonts w:ascii="Arial" w:cs="Arial" w:eastAsia="Arial" w:hAnsi="Arial"/>
                <w:sz w:val="15"/>
                <w:szCs w:val="15"/>
                <w:color w:val="auto"/>
              </w:rPr>
              <w:t>Less than 12 months</w:t>
            </w:r>
          </w:p>
        </w:tc>
        <w:tc>
          <w:tcPr>
            <w:tcW w:w="2300" w:type="dxa"/>
            <w:vAlign w:val="bottom"/>
            <w:gridSpan w:val="3"/>
          </w:tcPr>
          <w:p>
            <w:pPr>
              <w:ind w:left="480"/>
              <w:spacing w:after="0"/>
              <w:rPr>
                <w:sz w:val="20"/>
                <w:szCs w:val="20"/>
                <w:color w:val="auto"/>
              </w:rPr>
            </w:pPr>
            <w:r>
              <w:rPr>
                <w:rFonts w:ascii="Arial" w:cs="Arial" w:eastAsia="Arial" w:hAnsi="Arial"/>
                <w:sz w:val="15"/>
                <w:szCs w:val="15"/>
                <w:color w:val="auto"/>
              </w:rPr>
              <w:t>12 months or longer</w:t>
            </w:r>
          </w:p>
        </w:tc>
        <w:tc>
          <w:tcPr>
            <w:tcW w:w="1080" w:type="dxa"/>
            <w:vAlign w:val="bottom"/>
          </w:tcPr>
          <w:p>
            <w:pPr>
              <w:spacing w:after="0"/>
              <w:rPr>
                <w:sz w:val="15"/>
                <w:szCs w:val="15"/>
                <w:color w:val="auto"/>
              </w:rPr>
            </w:pPr>
          </w:p>
        </w:tc>
        <w:tc>
          <w:tcPr>
            <w:tcW w:w="1160" w:type="dxa"/>
            <w:vAlign w:val="bottom"/>
          </w:tcPr>
          <w:p>
            <w:pPr>
              <w:jc w:val="center"/>
              <w:ind w:right="83"/>
              <w:spacing w:after="0"/>
              <w:rPr>
                <w:sz w:val="20"/>
                <w:szCs w:val="20"/>
                <w:color w:val="auto"/>
              </w:rPr>
            </w:pPr>
            <w:r>
              <w:rPr>
                <w:rFonts w:ascii="Arial" w:cs="Arial" w:eastAsia="Arial" w:hAnsi="Arial"/>
                <w:sz w:val="15"/>
                <w:szCs w:val="15"/>
                <w:color w:val="auto"/>
                <w:w w:val="95"/>
              </w:rPr>
              <w:t>Total</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60" w:type="dxa"/>
            <w:vAlign w:val="bottom"/>
            <w:vMerge w:val="restart"/>
          </w:tcPr>
          <w:p>
            <w:pPr>
              <w:spacing w:after="0"/>
              <w:rPr>
                <w:sz w:val="20"/>
                <w:szCs w:val="20"/>
                <w:color w:val="auto"/>
              </w:rPr>
            </w:pPr>
            <w:r>
              <w:rPr>
                <w:rFonts w:ascii="Arial" w:cs="Arial" w:eastAsia="Arial" w:hAnsi="Arial"/>
                <w:sz w:val="15"/>
                <w:szCs w:val="15"/>
                <w:b w:val="1"/>
                <w:bCs w:val="1"/>
                <w:color w:val="auto"/>
              </w:rPr>
              <w:t>Indemnity</w:t>
            </w:r>
          </w:p>
        </w:tc>
        <w:tc>
          <w:tcPr>
            <w:tcW w:w="1100" w:type="dxa"/>
            <w:vAlign w:val="bottom"/>
            <w:tcBorders>
              <w:top w:val="single" w:sz="8" w:color="auto"/>
            </w:tcBorders>
          </w:tcPr>
          <w:p>
            <w:pPr>
              <w:jc w:val="right"/>
              <w:ind w:right="443"/>
              <w:spacing w:after="0" w:line="142" w:lineRule="exact"/>
              <w:rPr>
                <w:sz w:val="20"/>
                <w:szCs w:val="20"/>
                <w:color w:val="auto"/>
              </w:rPr>
            </w:pPr>
            <w:r>
              <w:rPr>
                <w:rFonts w:ascii="Arial" w:cs="Arial" w:eastAsia="Arial" w:hAnsi="Arial"/>
                <w:sz w:val="15"/>
                <w:szCs w:val="15"/>
                <w:color w:val="auto"/>
              </w:rPr>
              <w:t>Fair</w:t>
            </w:r>
          </w:p>
        </w:tc>
        <w:tc>
          <w:tcPr>
            <w:tcW w:w="10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5"/>
                <w:szCs w:val="15"/>
                <w:color w:val="auto"/>
                <w:w w:val="91"/>
              </w:rPr>
              <w:t>Unrealized</w:t>
            </w:r>
          </w:p>
        </w:tc>
        <w:tc>
          <w:tcPr>
            <w:tcW w:w="120" w:type="dxa"/>
            <w:vAlign w:val="bottom"/>
          </w:tcPr>
          <w:p>
            <w:pPr>
              <w:spacing w:after="0"/>
              <w:rPr>
                <w:sz w:val="12"/>
                <w:szCs w:val="12"/>
                <w:color w:val="auto"/>
              </w:rPr>
            </w:pPr>
          </w:p>
        </w:tc>
        <w:tc>
          <w:tcPr>
            <w:tcW w:w="1020" w:type="dxa"/>
            <w:vAlign w:val="bottom"/>
            <w:tcBorders>
              <w:top w:val="single" w:sz="8" w:color="auto"/>
            </w:tcBorders>
          </w:tcPr>
          <w:p>
            <w:pPr>
              <w:jc w:val="right"/>
              <w:ind w:right="343"/>
              <w:spacing w:after="0" w:line="142" w:lineRule="exact"/>
              <w:rPr>
                <w:sz w:val="20"/>
                <w:szCs w:val="20"/>
                <w:color w:val="auto"/>
              </w:rPr>
            </w:pPr>
            <w:r>
              <w:rPr>
                <w:rFonts w:ascii="Arial" w:cs="Arial" w:eastAsia="Arial" w:hAnsi="Arial"/>
                <w:sz w:val="15"/>
                <w:szCs w:val="15"/>
                <w:color w:val="auto"/>
              </w:rPr>
              <w:t>Fair</w:t>
            </w:r>
          </w:p>
        </w:tc>
        <w:tc>
          <w:tcPr>
            <w:tcW w:w="11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5"/>
                <w:szCs w:val="15"/>
                <w:color w:val="auto"/>
                <w:w w:val="94"/>
              </w:rPr>
              <w:t>Unrealized</w:t>
            </w:r>
          </w:p>
        </w:tc>
        <w:tc>
          <w:tcPr>
            <w:tcW w:w="100" w:type="dxa"/>
            <w:vAlign w:val="bottom"/>
          </w:tcPr>
          <w:p>
            <w:pPr>
              <w:spacing w:after="0"/>
              <w:rPr>
                <w:sz w:val="12"/>
                <w:szCs w:val="12"/>
                <w:color w:val="auto"/>
              </w:rPr>
            </w:pPr>
          </w:p>
        </w:tc>
        <w:tc>
          <w:tcPr>
            <w:tcW w:w="1080" w:type="dxa"/>
            <w:vAlign w:val="bottom"/>
            <w:tcBorders>
              <w:top w:val="single" w:sz="8" w:color="auto"/>
            </w:tcBorders>
          </w:tcPr>
          <w:p>
            <w:pPr>
              <w:jc w:val="right"/>
              <w:ind w:right="423"/>
              <w:spacing w:after="0" w:line="142" w:lineRule="exact"/>
              <w:rPr>
                <w:sz w:val="20"/>
                <w:szCs w:val="20"/>
                <w:color w:val="auto"/>
              </w:rPr>
            </w:pPr>
            <w:r>
              <w:rPr>
                <w:rFonts w:ascii="Arial" w:cs="Arial" w:eastAsia="Arial" w:hAnsi="Arial"/>
                <w:sz w:val="15"/>
                <w:szCs w:val="15"/>
                <w:color w:val="auto"/>
              </w:rPr>
              <w:t>Fair</w:t>
            </w:r>
          </w:p>
        </w:tc>
        <w:tc>
          <w:tcPr>
            <w:tcW w:w="1160" w:type="dxa"/>
            <w:vAlign w:val="bottom"/>
            <w:tcBorders>
              <w:top w:val="single" w:sz="8" w:color="auto"/>
            </w:tcBorders>
          </w:tcPr>
          <w:p>
            <w:pPr>
              <w:jc w:val="center"/>
              <w:ind w:right="83"/>
              <w:spacing w:after="0" w:line="142" w:lineRule="exact"/>
              <w:rPr>
                <w:sz w:val="20"/>
                <w:szCs w:val="20"/>
                <w:color w:val="auto"/>
              </w:rPr>
            </w:pPr>
            <w:r>
              <w:rPr>
                <w:rFonts w:ascii="Arial" w:cs="Arial" w:eastAsia="Arial" w:hAnsi="Arial"/>
                <w:sz w:val="15"/>
                <w:szCs w:val="15"/>
                <w:color w:val="auto"/>
                <w:w w:val="94"/>
              </w:rPr>
              <w:t>Unrealized</w:t>
            </w:r>
          </w:p>
        </w:tc>
        <w:tc>
          <w:tcPr>
            <w:tcW w:w="1020" w:type="dxa"/>
            <w:vAlign w:val="bottom"/>
            <w:tcBorders>
              <w:top w:val="single" w:sz="8" w:color="auto"/>
            </w:tcBorders>
          </w:tcPr>
          <w:p>
            <w:pPr>
              <w:jc w:val="right"/>
              <w:ind w:right="283"/>
              <w:spacing w:after="0" w:line="142" w:lineRule="exact"/>
              <w:rPr>
                <w:sz w:val="20"/>
                <w:szCs w:val="20"/>
                <w:color w:val="auto"/>
              </w:rPr>
            </w:pPr>
            <w:r>
              <w:rPr>
                <w:rFonts w:ascii="Arial" w:cs="Arial" w:eastAsia="Arial" w:hAnsi="Arial"/>
                <w:sz w:val="15"/>
                <w:szCs w:val="15"/>
                <w:color w:val="auto"/>
              </w:rPr>
              <w:t>No. of</w:t>
            </w:r>
          </w:p>
        </w:tc>
        <w:tc>
          <w:tcPr>
            <w:tcW w:w="0" w:type="dxa"/>
            <w:vAlign w:val="bottom"/>
          </w:tcPr>
          <w:p>
            <w:pPr>
              <w:spacing w:after="0"/>
              <w:rPr>
                <w:sz w:val="1"/>
                <w:szCs w:val="1"/>
                <w:color w:val="auto"/>
              </w:rPr>
            </w:pPr>
          </w:p>
        </w:tc>
      </w:tr>
      <w:tr>
        <w:trPr>
          <w:trHeight w:val="175"/>
        </w:trPr>
        <w:tc>
          <w:tcPr>
            <w:tcW w:w="3560" w:type="dxa"/>
            <w:vAlign w:val="bottom"/>
            <w:vMerge w:val="continue"/>
          </w:tcPr>
          <w:p>
            <w:pPr>
              <w:spacing w:after="0"/>
              <w:rPr>
                <w:sz w:val="15"/>
                <w:szCs w:val="15"/>
                <w:color w:val="auto"/>
              </w:rPr>
            </w:pPr>
          </w:p>
        </w:tc>
        <w:tc>
          <w:tcPr>
            <w:tcW w:w="1100" w:type="dxa"/>
            <w:vAlign w:val="bottom"/>
          </w:tcPr>
          <w:p>
            <w:pPr>
              <w:jc w:val="right"/>
              <w:ind w:right="403"/>
              <w:spacing w:after="0"/>
              <w:rPr>
                <w:sz w:val="20"/>
                <w:szCs w:val="20"/>
                <w:color w:val="auto"/>
              </w:rPr>
            </w:pPr>
            <w:r>
              <w:rPr>
                <w:rFonts w:ascii="Arial" w:cs="Arial" w:eastAsia="Arial" w:hAnsi="Arial"/>
                <w:sz w:val="15"/>
                <w:szCs w:val="15"/>
                <w:color w:val="auto"/>
              </w:rPr>
              <w:t>value</w:t>
            </w:r>
          </w:p>
        </w:tc>
        <w:tc>
          <w:tcPr>
            <w:tcW w:w="1200" w:type="dxa"/>
            <w:vAlign w:val="bottom"/>
            <w:gridSpan w:val="2"/>
          </w:tcPr>
          <w:p>
            <w:pPr>
              <w:jc w:val="center"/>
              <w:ind w:right="200"/>
              <w:spacing w:after="0"/>
              <w:rPr>
                <w:sz w:val="20"/>
                <w:szCs w:val="20"/>
                <w:color w:val="auto"/>
              </w:rPr>
            </w:pPr>
            <w:r>
              <w:rPr>
                <w:rFonts w:ascii="Arial" w:cs="Arial" w:eastAsia="Arial" w:hAnsi="Arial"/>
                <w:sz w:val="15"/>
                <w:szCs w:val="15"/>
                <w:color w:val="auto"/>
                <w:w w:val="84"/>
              </w:rPr>
              <w:t>losses</w:t>
            </w:r>
          </w:p>
        </w:tc>
        <w:tc>
          <w:tcPr>
            <w:tcW w:w="1020" w:type="dxa"/>
            <w:vAlign w:val="bottom"/>
          </w:tcPr>
          <w:p>
            <w:pPr>
              <w:jc w:val="right"/>
              <w:ind w:right="303"/>
              <w:spacing w:after="0"/>
              <w:rPr>
                <w:sz w:val="20"/>
                <w:szCs w:val="20"/>
                <w:color w:val="auto"/>
              </w:rPr>
            </w:pPr>
            <w:r>
              <w:rPr>
                <w:rFonts w:ascii="Arial" w:cs="Arial" w:eastAsia="Arial" w:hAnsi="Arial"/>
                <w:sz w:val="15"/>
                <w:szCs w:val="15"/>
                <w:color w:val="auto"/>
              </w:rPr>
              <w:t>value</w:t>
            </w:r>
          </w:p>
        </w:tc>
        <w:tc>
          <w:tcPr>
            <w:tcW w:w="1280" w:type="dxa"/>
            <w:vAlign w:val="bottom"/>
            <w:gridSpan w:val="2"/>
          </w:tcPr>
          <w:p>
            <w:pPr>
              <w:jc w:val="center"/>
              <w:ind w:right="80"/>
              <w:spacing w:after="0"/>
              <w:rPr>
                <w:sz w:val="20"/>
                <w:szCs w:val="20"/>
                <w:color w:val="auto"/>
              </w:rPr>
            </w:pPr>
            <w:r>
              <w:rPr>
                <w:rFonts w:ascii="Arial" w:cs="Arial" w:eastAsia="Arial" w:hAnsi="Arial"/>
                <w:sz w:val="15"/>
                <w:szCs w:val="15"/>
                <w:color w:val="auto"/>
                <w:w w:val="84"/>
              </w:rPr>
              <w:t>losses</w:t>
            </w:r>
          </w:p>
        </w:tc>
        <w:tc>
          <w:tcPr>
            <w:tcW w:w="1080" w:type="dxa"/>
            <w:vAlign w:val="bottom"/>
          </w:tcPr>
          <w:p>
            <w:pPr>
              <w:jc w:val="right"/>
              <w:ind w:right="363"/>
              <w:spacing w:after="0"/>
              <w:rPr>
                <w:sz w:val="20"/>
                <w:szCs w:val="20"/>
                <w:color w:val="auto"/>
              </w:rPr>
            </w:pPr>
            <w:r>
              <w:rPr>
                <w:rFonts w:ascii="Arial" w:cs="Arial" w:eastAsia="Arial" w:hAnsi="Arial"/>
                <w:sz w:val="15"/>
                <w:szCs w:val="15"/>
                <w:color w:val="auto"/>
              </w:rPr>
              <w:t>Value</w:t>
            </w:r>
          </w:p>
        </w:tc>
        <w:tc>
          <w:tcPr>
            <w:tcW w:w="1160" w:type="dxa"/>
            <w:vAlign w:val="bottom"/>
          </w:tcPr>
          <w:p>
            <w:pPr>
              <w:jc w:val="center"/>
              <w:ind w:right="83"/>
              <w:spacing w:after="0"/>
              <w:rPr>
                <w:sz w:val="20"/>
                <w:szCs w:val="20"/>
                <w:color w:val="auto"/>
              </w:rPr>
            </w:pPr>
            <w:r>
              <w:rPr>
                <w:rFonts w:ascii="Arial" w:cs="Arial" w:eastAsia="Arial" w:hAnsi="Arial"/>
                <w:sz w:val="15"/>
                <w:szCs w:val="15"/>
                <w:color w:val="auto"/>
                <w:w w:val="84"/>
              </w:rPr>
              <w:t>losses</w:t>
            </w:r>
          </w:p>
        </w:tc>
        <w:tc>
          <w:tcPr>
            <w:tcW w:w="1020" w:type="dxa"/>
            <w:vAlign w:val="bottom"/>
          </w:tcPr>
          <w:p>
            <w:pPr>
              <w:jc w:val="right"/>
              <w:ind w:right="223"/>
              <w:spacing w:after="0"/>
              <w:rPr>
                <w:sz w:val="20"/>
                <w:szCs w:val="20"/>
                <w:color w:val="auto"/>
              </w:rPr>
            </w:pPr>
            <w:r>
              <w:rPr>
                <w:rFonts w:ascii="Arial" w:cs="Arial" w:eastAsia="Arial" w:hAnsi="Arial"/>
                <w:sz w:val="15"/>
                <w:szCs w:val="15"/>
                <w:color w:val="auto"/>
              </w:rPr>
              <w:t>holdings</w:t>
            </w:r>
          </w:p>
        </w:tc>
        <w:tc>
          <w:tcPr>
            <w:tcW w:w="0" w:type="dxa"/>
            <w:vAlign w:val="bottom"/>
          </w:tcPr>
          <w:p>
            <w:pPr>
              <w:spacing w:after="0"/>
              <w:rPr>
                <w:sz w:val="1"/>
                <w:szCs w:val="1"/>
                <w:color w:val="auto"/>
              </w:rPr>
            </w:pPr>
          </w:p>
        </w:tc>
      </w:tr>
      <w:tr>
        <w:trPr>
          <w:trHeight w:val="142"/>
        </w:trPr>
        <w:tc>
          <w:tcPr>
            <w:tcW w:w="35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5"/>
                <w:szCs w:val="15"/>
                <w:color w:val="auto"/>
              </w:rPr>
              <w:t>Fixed maturities:</w:t>
            </w:r>
          </w:p>
        </w:tc>
        <w:tc>
          <w:tcPr>
            <w:tcW w:w="110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60" w:type="dxa"/>
            <w:vAlign w:val="bottom"/>
          </w:tcPr>
          <w:p>
            <w:pPr>
              <w:ind w:left="180"/>
              <w:spacing w:after="0" w:line="162" w:lineRule="exact"/>
              <w:rPr>
                <w:sz w:val="20"/>
                <w:szCs w:val="20"/>
                <w:color w:val="auto"/>
              </w:rPr>
            </w:pPr>
            <w:r>
              <w:rPr>
                <w:rFonts w:ascii="Arial" w:cs="Arial" w:eastAsia="Arial" w:hAnsi="Arial"/>
                <w:sz w:val="15"/>
                <w:szCs w:val="15"/>
                <w:color w:val="auto"/>
              </w:rPr>
              <w:t>U.S. treasuries and government agencies</w:t>
            </w:r>
          </w:p>
        </w:tc>
        <w:tc>
          <w:tcPr>
            <w:tcW w:w="110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$ 10</w:t>
            </w:r>
          </w:p>
        </w:tc>
        <w:tc>
          <w:tcPr>
            <w:tcW w:w="10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20" w:type="dxa"/>
            <w:vAlign w:val="bottom"/>
          </w:tcPr>
          <w:p>
            <w:pPr>
              <w:spacing w:after="0"/>
              <w:rPr>
                <w:sz w:val="14"/>
                <w:szCs w:val="14"/>
                <w:color w:val="auto"/>
              </w:rPr>
            </w:pPr>
          </w:p>
        </w:tc>
        <w:tc>
          <w:tcPr>
            <w:tcW w:w="10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$0</w:t>
            </w:r>
          </w:p>
        </w:tc>
        <w:tc>
          <w:tcPr>
            <w:tcW w:w="11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00" w:type="dxa"/>
            <w:vAlign w:val="bottom"/>
          </w:tcPr>
          <w:p>
            <w:pPr>
              <w:spacing w:after="0"/>
              <w:rPr>
                <w:sz w:val="14"/>
                <w:szCs w:val="14"/>
                <w:color w:val="auto"/>
              </w:rPr>
            </w:pPr>
          </w:p>
        </w:tc>
        <w:tc>
          <w:tcPr>
            <w:tcW w:w="1080" w:type="dxa"/>
            <w:vAlign w:val="bottom"/>
          </w:tcPr>
          <w:p>
            <w:pPr>
              <w:jc w:val="right"/>
              <w:ind w:right="83"/>
              <w:spacing w:after="0" w:line="162" w:lineRule="exact"/>
              <w:rPr>
                <w:sz w:val="20"/>
                <w:szCs w:val="20"/>
                <w:color w:val="auto"/>
              </w:rPr>
            </w:pPr>
            <w:r>
              <w:rPr>
                <w:rFonts w:ascii="Arial" w:cs="Arial" w:eastAsia="Arial" w:hAnsi="Arial"/>
                <w:sz w:val="15"/>
                <w:szCs w:val="15"/>
                <w:color w:val="auto"/>
              </w:rPr>
              <w:t>$ 10</w:t>
            </w:r>
          </w:p>
        </w:tc>
        <w:tc>
          <w:tcPr>
            <w:tcW w:w="116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$0</w:t>
            </w:r>
          </w:p>
        </w:tc>
        <w:tc>
          <w:tcPr>
            <w:tcW w:w="10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2"/>
        </w:trPr>
        <w:tc>
          <w:tcPr>
            <w:tcW w:w="356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Municipal securities</w:t>
            </w:r>
          </w:p>
        </w:tc>
        <w:tc>
          <w:tcPr>
            <w:tcW w:w="110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61</w:t>
            </w:r>
          </w:p>
        </w:tc>
        <w:tc>
          <w:tcPr>
            <w:tcW w:w="108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2</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1</w:t>
            </w:r>
          </w:p>
        </w:tc>
        <w:tc>
          <w:tcPr>
            <w:tcW w:w="118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83"/>
              <w:spacing w:after="0" w:line="162" w:lineRule="exact"/>
              <w:rPr>
                <w:sz w:val="20"/>
                <w:szCs w:val="20"/>
                <w:color w:val="auto"/>
              </w:rPr>
            </w:pPr>
            <w:r>
              <w:rPr>
                <w:rFonts w:ascii="Arial" w:cs="Arial" w:eastAsia="Arial" w:hAnsi="Arial"/>
                <w:sz w:val="15"/>
                <w:szCs w:val="15"/>
                <w:color w:val="auto"/>
              </w:rPr>
              <w:t>62</w:t>
            </w:r>
          </w:p>
        </w:tc>
        <w:tc>
          <w:tcPr>
            <w:tcW w:w="116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rPr>
              <w:t>2</w:t>
            </w:r>
          </w:p>
        </w:tc>
        <w:tc>
          <w:tcPr>
            <w:tcW w:w="102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162"/>
        </w:trPr>
        <w:tc>
          <w:tcPr>
            <w:tcW w:w="3560" w:type="dxa"/>
            <w:vAlign w:val="bottom"/>
          </w:tcPr>
          <w:p>
            <w:pPr>
              <w:ind w:left="180"/>
              <w:spacing w:after="0" w:line="162" w:lineRule="exact"/>
              <w:rPr>
                <w:sz w:val="20"/>
                <w:szCs w:val="20"/>
                <w:color w:val="auto"/>
              </w:rPr>
            </w:pPr>
            <w:r>
              <w:rPr>
                <w:rFonts w:ascii="Arial" w:cs="Arial" w:eastAsia="Arial" w:hAnsi="Arial"/>
                <w:sz w:val="15"/>
                <w:szCs w:val="15"/>
                <w:color w:val="auto"/>
              </w:rPr>
              <w:t>U.S. corporate debt – non-financial</w:t>
            </w:r>
          </w:p>
        </w:tc>
        <w:tc>
          <w:tcPr>
            <w:tcW w:w="110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63</w:t>
            </w:r>
          </w:p>
        </w:tc>
        <w:tc>
          <w:tcPr>
            <w:tcW w:w="10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20" w:type="dxa"/>
            <w:vAlign w:val="bottom"/>
          </w:tcPr>
          <w:p>
            <w:pPr>
              <w:spacing w:after="0"/>
              <w:rPr>
                <w:sz w:val="14"/>
                <w:szCs w:val="14"/>
                <w:color w:val="auto"/>
              </w:rPr>
            </w:pPr>
          </w:p>
        </w:tc>
        <w:tc>
          <w:tcPr>
            <w:tcW w:w="10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0</w:t>
            </w:r>
          </w:p>
        </w:tc>
        <w:tc>
          <w:tcPr>
            <w:tcW w:w="11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00" w:type="dxa"/>
            <w:vAlign w:val="bottom"/>
          </w:tcPr>
          <w:p>
            <w:pPr>
              <w:spacing w:after="0"/>
              <w:rPr>
                <w:sz w:val="14"/>
                <w:szCs w:val="14"/>
                <w:color w:val="auto"/>
              </w:rPr>
            </w:pPr>
          </w:p>
        </w:tc>
        <w:tc>
          <w:tcPr>
            <w:tcW w:w="1080" w:type="dxa"/>
            <w:vAlign w:val="bottom"/>
          </w:tcPr>
          <w:p>
            <w:pPr>
              <w:jc w:val="right"/>
              <w:ind w:right="83"/>
              <w:spacing w:after="0" w:line="162" w:lineRule="exact"/>
              <w:rPr>
                <w:sz w:val="20"/>
                <w:szCs w:val="20"/>
                <w:color w:val="auto"/>
              </w:rPr>
            </w:pPr>
            <w:r>
              <w:rPr>
                <w:rFonts w:ascii="Arial" w:cs="Arial" w:eastAsia="Arial" w:hAnsi="Arial"/>
                <w:sz w:val="15"/>
                <w:szCs w:val="15"/>
                <w:color w:val="auto"/>
              </w:rPr>
              <w:t>63</w:t>
            </w:r>
          </w:p>
        </w:tc>
        <w:tc>
          <w:tcPr>
            <w:tcW w:w="116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0</w:t>
            </w:r>
          </w:p>
        </w:tc>
        <w:tc>
          <w:tcPr>
            <w:tcW w:w="10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62"/>
        </w:trPr>
        <w:tc>
          <w:tcPr>
            <w:tcW w:w="356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U.S. corporate debt – financial</w:t>
            </w:r>
          </w:p>
        </w:tc>
        <w:tc>
          <w:tcPr>
            <w:tcW w:w="110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39</w:t>
            </w:r>
          </w:p>
        </w:tc>
        <w:tc>
          <w:tcPr>
            <w:tcW w:w="108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0</w:t>
            </w:r>
          </w:p>
        </w:tc>
        <w:tc>
          <w:tcPr>
            <w:tcW w:w="118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83"/>
              <w:spacing w:after="0" w:line="162" w:lineRule="exact"/>
              <w:rPr>
                <w:sz w:val="20"/>
                <w:szCs w:val="20"/>
                <w:color w:val="auto"/>
              </w:rPr>
            </w:pPr>
            <w:r>
              <w:rPr>
                <w:rFonts w:ascii="Arial" w:cs="Arial" w:eastAsia="Arial" w:hAnsi="Arial"/>
                <w:sz w:val="15"/>
                <w:szCs w:val="15"/>
                <w:color w:val="auto"/>
              </w:rPr>
              <w:t>39</w:t>
            </w:r>
          </w:p>
        </w:tc>
        <w:tc>
          <w:tcPr>
            <w:tcW w:w="116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rPr>
              <w:t>0</w:t>
            </w:r>
          </w:p>
        </w:tc>
        <w:tc>
          <w:tcPr>
            <w:tcW w:w="102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62"/>
        </w:trPr>
        <w:tc>
          <w:tcPr>
            <w:tcW w:w="3560" w:type="dxa"/>
            <w:vAlign w:val="bottom"/>
          </w:tcPr>
          <w:p>
            <w:pPr>
              <w:ind w:left="180"/>
              <w:spacing w:after="0" w:line="162" w:lineRule="exact"/>
              <w:rPr>
                <w:sz w:val="20"/>
                <w:szCs w:val="20"/>
                <w:color w:val="auto"/>
              </w:rPr>
            </w:pPr>
            <w:r>
              <w:rPr>
                <w:rFonts w:ascii="Arial" w:cs="Arial" w:eastAsia="Arial" w:hAnsi="Arial"/>
                <w:sz w:val="15"/>
                <w:szCs w:val="15"/>
                <w:color w:val="auto"/>
              </w:rPr>
              <w:t>Foreign corporate debt – financial</w:t>
            </w:r>
          </w:p>
        </w:tc>
        <w:tc>
          <w:tcPr>
            <w:tcW w:w="110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20</w:t>
            </w:r>
          </w:p>
        </w:tc>
        <w:tc>
          <w:tcPr>
            <w:tcW w:w="10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20" w:type="dxa"/>
            <w:vAlign w:val="bottom"/>
          </w:tcPr>
          <w:p>
            <w:pPr>
              <w:spacing w:after="0"/>
              <w:rPr>
                <w:sz w:val="14"/>
                <w:szCs w:val="14"/>
                <w:color w:val="auto"/>
              </w:rPr>
            </w:pPr>
          </w:p>
        </w:tc>
        <w:tc>
          <w:tcPr>
            <w:tcW w:w="10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0</w:t>
            </w:r>
          </w:p>
        </w:tc>
        <w:tc>
          <w:tcPr>
            <w:tcW w:w="11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00" w:type="dxa"/>
            <w:vAlign w:val="bottom"/>
          </w:tcPr>
          <w:p>
            <w:pPr>
              <w:spacing w:after="0"/>
              <w:rPr>
                <w:sz w:val="14"/>
                <w:szCs w:val="14"/>
                <w:color w:val="auto"/>
              </w:rPr>
            </w:pPr>
          </w:p>
        </w:tc>
        <w:tc>
          <w:tcPr>
            <w:tcW w:w="1080" w:type="dxa"/>
            <w:vAlign w:val="bottom"/>
          </w:tcPr>
          <w:p>
            <w:pPr>
              <w:jc w:val="right"/>
              <w:ind w:right="83"/>
              <w:spacing w:after="0" w:line="162" w:lineRule="exact"/>
              <w:rPr>
                <w:sz w:val="20"/>
                <w:szCs w:val="20"/>
                <w:color w:val="auto"/>
              </w:rPr>
            </w:pPr>
            <w:r>
              <w:rPr>
                <w:rFonts w:ascii="Arial" w:cs="Arial" w:eastAsia="Arial" w:hAnsi="Arial"/>
                <w:sz w:val="15"/>
                <w:szCs w:val="15"/>
                <w:color w:val="auto"/>
              </w:rPr>
              <w:t>20</w:t>
            </w:r>
          </w:p>
        </w:tc>
        <w:tc>
          <w:tcPr>
            <w:tcW w:w="116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0</w:t>
            </w:r>
          </w:p>
        </w:tc>
        <w:tc>
          <w:tcPr>
            <w:tcW w:w="10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62"/>
        </w:trPr>
        <w:tc>
          <w:tcPr>
            <w:tcW w:w="356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Structured securities:</w:t>
            </w:r>
          </w:p>
        </w:tc>
        <w:tc>
          <w:tcPr>
            <w:tcW w:w="1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tcPr>
          <w:p>
            <w:pPr>
              <w:ind w:left="360"/>
              <w:spacing w:after="0" w:line="162" w:lineRule="exact"/>
              <w:rPr>
                <w:sz w:val="20"/>
                <w:szCs w:val="20"/>
                <w:color w:val="auto"/>
              </w:rPr>
            </w:pPr>
            <w:r>
              <w:rPr>
                <w:rFonts w:ascii="Arial" w:cs="Arial" w:eastAsia="Arial" w:hAnsi="Arial"/>
                <w:sz w:val="15"/>
                <w:szCs w:val="15"/>
                <w:color w:val="auto"/>
              </w:rPr>
              <w:t>Asset-backed securities – auto loans</w:t>
            </w:r>
          </w:p>
        </w:tc>
        <w:tc>
          <w:tcPr>
            <w:tcW w:w="110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7</w:t>
            </w:r>
          </w:p>
        </w:tc>
        <w:tc>
          <w:tcPr>
            <w:tcW w:w="10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20" w:type="dxa"/>
            <w:vAlign w:val="bottom"/>
          </w:tcPr>
          <w:p>
            <w:pPr>
              <w:spacing w:after="0"/>
              <w:rPr>
                <w:sz w:val="14"/>
                <w:szCs w:val="14"/>
                <w:color w:val="auto"/>
              </w:rPr>
            </w:pPr>
          </w:p>
        </w:tc>
        <w:tc>
          <w:tcPr>
            <w:tcW w:w="10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0</w:t>
            </w:r>
          </w:p>
        </w:tc>
        <w:tc>
          <w:tcPr>
            <w:tcW w:w="11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00" w:type="dxa"/>
            <w:vAlign w:val="bottom"/>
          </w:tcPr>
          <w:p>
            <w:pPr>
              <w:spacing w:after="0"/>
              <w:rPr>
                <w:sz w:val="14"/>
                <w:szCs w:val="14"/>
                <w:color w:val="auto"/>
              </w:rPr>
            </w:pPr>
          </w:p>
        </w:tc>
        <w:tc>
          <w:tcPr>
            <w:tcW w:w="1080" w:type="dxa"/>
            <w:vAlign w:val="bottom"/>
          </w:tcPr>
          <w:p>
            <w:pPr>
              <w:jc w:val="right"/>
              <w:ind w:right="83"/>
              <w:spacing w:after="0" w:line="162" w:lineRule="exact"/>
              <w:rPr>
                <w:sz w:val="20"/>
                <w:szCs w:val="20"/>
                <w:color w:val="auto"/>
              </w:rPr>
            </w:pPr>
            <w:r>
              <w:rPr>
                <w:rFonts w:ascii="Arial" w:cs="Arial" w:eastAsia="Arial" w:hAnsi="Arial"/>
                <w:sz w:val="15"/>
                <w:szCs w:val="15"/>
                <w:color w:val="auto"/>
              </w:rPr>
              <w:t>7</w:t>
            </w:r>
          </w:p>
        </w:tc>
        <w:tc>
          <w:tcPr>
            <w:tcW w:w="116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0</w:t>
            </w:r>
          </w:p>
        </w:tc>
        <w:tc>
          <w:tcPr>
            <w:tcW w:w="10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2"/>
        </w:trPr>
        <w:tc>
          <w:tcPr>
            <w:tcW w:w="3560" w:type="dxa"/>
            <w:vAlign w:val="bottom"/>
            <w:shd w:val="clear" w:color="auto" w:fill="CCEEFF"/>
          </w:tcPr>
          <w:p>
            <w:pPr>
              <w:ind w:left="360"/>
              <w:spacing w:after="0" w:line="162" w:lineRule="exact"/>
              <w:rPr>
                <w:sz w:val="20"/>
                <w:szCs w:val="20"/>
                <w:color w:val="auto"/>
              </w:rPr>
            </w:pPr>
            <w:r>
              <w:rPr>
                <w:rFonts w:ascii="Arial" w:cs="Arial" w:eastAsia="Arial" w:hAnsi="Arial"/>
                <w:sz w:val="15"/>
                <w:szCs w:val="15"/>
                <w:color w:val="auto"/>
              </w:rPr>
              <w:t>Commercial mortgage-backed</w:t>
            </w:r>
          </w:p>
        </w:tc>
        <w:tc>
          <w:tcPr>
            <w:tcW w:w="1100" w:type="dxa"/>
            <w:vAlign w:val="bottom"/>
            <w:tcBorders>
              <w:bottom w:val="single" w:sz="8" w:color="auto"/>
            </w:tcBorders>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20</w:t>
            </w:r>
          </w:p>
        </w:tc>
        <w:tc>
          <w:tcPr>
            <w:tcW w:w="1080" w:type="dxa"/>
            <w:vAlign w:val="bottom"/>
            <w:tcBorders>
              <w:bottom w:val="single" w:sz="8" w:color="auto"/>
            </w:tcBorders>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0</w:t>
            </w:r>
          </w:p>
        </w:tc>
        <w:tc>
          <w:tcPr>
            <w:tcW w:w="1180" w:type="dxa"/>
            <w:vAlign w:val="bottom"/>
            <w:tcBorders>
              <w:bottom w:val="single" w:sz="8" w:color="auto"/>
            </w:tcBorders>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0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83"/>
              <w:spacing w:after="0" w:line="162" w:lineRule="exact"/>
              <w:rPr>
                <w:sz w:val="20"/>
                <w:szCs w:val="20"/>
                <w:color w:val="auto"/>
              </w:rPr>
            </w:pPr>
            <w:r>
              <w:rPr>
                <w:rFonts w:ascii="Arial" w:cs="Arial" w:eastAsia="Arial" w:hAnsi="Arial"/>
                <w:sz w:val="15"/>
                <w:szCs w:val="15"/>
                <w:color w:val="auto"/>
              </w:rPr>
              <w:t>20</w:t>
            </w:r>
          </w:p>
        </w:tc>
        <w:tc>
          <w:tcPr>
            <w:tcW w:w="1160" w:type="dxa"/>
            <w:vAlign w:val="bottom"/>
            <w:tcBorders>
              <w:bottom w:val="single" w:sz="8" w:color="auto"/>
            </w:tcBorders>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rPr>
              <w:t>0</w:t>
            </w:r>
          </w:p>
        </w:tc>
        <w:tc>
          <w:tcPr>
            <w:tcW w:w="1020" w:type="dxa"/>
            <w:vAlign w:val="bottom"/>
            <w:tcBorders>
              <w:bottom w:val="single" w:sz="8" w:color="auto"/>
            </w:tcBorders>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4"/>
        </w:trPr>
        <w:tc>
          <w:tcPr>
            <w:tcW w:w="3560" w:type="dxa"/>
            <w:vAlign w:val="bottom"/>
          </w:tcPr>
          <w:p>
            <w:pPr>
              <w:spacing w:after="0"/>
              <w:rPr>
                <w:sz w:val="20"/>
                <w:szCs w:val="20"/>
                <w:color w:val="auto"/>
              </w:rPr>
            </w:pPr>
            <w:r>
              <w:rPr>
                <w:rFonts w:ascii="Arial" w:cs="Arial" w:eastAsia="Arial" w:hAnsi="Arial"/>
                <w:sz w:val="15"/>
                <w:szCs w:val="15"/>
                <w:color w:val="auto"/>
              </w:rPr>
              <w:t>Total fixed maturities – Indemnity</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943" w:orient="portrait"/>
          <w:cols w:equalWidth="0" w:num="1">
            <w:col w:w="11420"/>
          </w:cols>
          <w:pgMar w:left="240" w:top="130" w:right="2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gridSpan w:val="2"/>
          </w:tcPr>
          <w:p>
            <w:pPr>
              <w:jc w:val="right"/>
              <w:ind w:right="423"/>
              <w:spacing w:after="0"/>
              <w:rPr>
                <w:sz w:val="20"/>
                <w:szCs w:val="20"/>
                <w:color w:val="auto"/>
              </w:rPr>
            </w:pPr>
            <w:r>
              <w:rPr>
                <w:rFonts w:ascii="Arial" w:cs="Arial" w:eastAsia="Arial" w:hAnsi="Arial"/>
                <w:sz w:val="15"/>
                <w:szCs w:val="15"/>
                <w:color w:val="auto"/>
              </w:rPr>
              <w:t>$220</w:t>
            </w: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color w:val="auto"/>
              </w:rPr>
              <w:t>$1</w:t>
            </w: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$0</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gridSpan w:val="2"/>
          </w:tcPr>
          <w:p>
            <w:pPr>
              <w:jc w:val="right"/>
              <w:ind w:right="403"/>
              <w:spacing w:after="0"/>
              <w:rPr>
                <w:sz w:val="20"/>
                <w:szCs w:val="20"/>
                <w:color w:val="auto"/>
              </w:rPr>
            </w:pPr>
            <w:r>
              <w:rPr>
                <w:rFonts w:ascii="Arial" w:cs="Arial" w:eastAsia="Arial" w:hAnsi="Arial"/>
                <w:sz w:val="15"/>
                <w:szCs w:val="15"/>
                <w:color w:val="auto"/>
              </w:rPr>
              <w:t>$221</w:t>
            </w:r>
          </w:p>
        </w:tc>
        <w:tc>
          <w:tcPr>
            <w:tcW w:w="112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rPr>
              <w:t>$2</w:t>
            </w:r>
          </w:p>
        </w:tc>
        <w:tc>
          <w:tcPr>
            <w:tcW w:w="7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54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rPr>
              <w:t>Equity securities:</w:t>
            </w:r>
          </w:p>
        </w:tc>
        <w:tc>
          <w:tcPr>
            <w:tcW w:w="7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Pr>
          <w:p>
            <w:pPr>
              <w:ind w:left="160"/>
              <w:spacing w:after="0" w:line="162" w:lineRule="exact"/>
              <w:rPr>
                <w:sz w:val="20"/>
                <w:szCs w:val="20"/>
                <w:color w:val="auto"/>
              </w:rPr>
            </w:pPr>
            <w:r>
              <w:rPr>
                <w:rFonts w:ascii="Arial" w:cs="Arial" w:eastAsia="Arial" w:hAnsi="Arial"/>
                <w:sz w:val="15"/>
                <w:szCs w:val="15"/>
                <w:color w:val="auto"/>
              </w:rPr>
              <w:t>U.S. nonredeemable preferred securities:</w:t>
            </w: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shd w:val="clear" w:color="auto" w:fill="CCEEFF"/>
          </w:tcPr>
          <w:p>
            <w:pPr>
              <w:ind w:left="340"/>
              <w:spacing w:after="0" w:line="162" w:lineRule="exact"/>
              <w:rPr>
                <w:sz w:val="20"/>
                <w:szCs w:val="20"/>
                <w:color w:val="auto"/>
              </w:rPr>
            </w:pPr>
            <w:r>
              <w:rPr>
                <w:rFonts w:ascii="Arial" w:cs="Arial" w:eastAsia="Arial" w:hAnsi="Arial"/>
                <w:sz w:val="15"/>
                <w:szCs w:val="15"/>
                <w:color w:val="auto"/>
              </w:rPr>
              <w:t>Non-financial</w:t>
            </w:r>
          </w:p>
        </w:tc>
        <w:tc>
          <w:tcPr>
            <w:tcW w:w="7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423"/>
              <w:spacing w:after="0" w:line="162" w:lineRule="exact"/>
              <w:rPr>
                <w:sz w:val="20"/>
                <w:szCs w:val="20"/>
                <w:color w:val="auto"/>
              </w:rPr>
            </w:pPr>
            <w:r>
              <w:rPr>
                <w:rFonts w:ascii="Arial" w:cs="Arial" w:eastAsia="Arial" w:hAnsi="Arial"/>
                <w:sz w:val="15"/>
                <w:szCs w:val="15"/>
                <w:color w:val="auto"/>
              </w:rPr>
              <w:t>3</w:t>
            </w:r>
          </w:p>
        </w:tc>
        <w:tc>
          <w:tcPr>
            <w:tcW w:w="760" w:type="dxa"/>
            <w:vAlign w:val="bottom"/>
            <w:tcBorders>
              <w:bottom w:val="single" w:sz="8" w:color="auto"/>
            </w:tcBorders>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423"/>
              <w:spacing w:after="0" w:line="162" w:lineRule="exact"/>
              <w:rPr>
                <w:sz w:val="20"/>
                <w:szCs w:val="20"/>
                <w:color w:val="auto"/>
              </w:rPr>
            </w:pPr>
            <w:r>
              <w:rPr>
                <w:rFonts w:ascii="Arial" w:cs="Arial" w:eastAsia="Arial" w:hAnsi="Arial"/>
                <w:sz w:val="15"/>
                <w:szCs w:val="15"/>
                <w:color w:val="auto"/>
              </w:rPr>
              <w:t>0</w:t>
            </w:r>
          </w:p>
        </w:tc>
        <w:tc>
          <w:tcPr>
            <w:tcW w:w="780" w:type="dxa"/>
            <w:vAlign w:val="bottom"/>
            <w:tcBorders>
              <w:bottom w:val="single" w:sz="8" w:color="auto"/>
            </w:tcBorders>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0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403"/>
              <w:spacing w:after="0" w:line="162" w:lineRule="exact"/>
              <w:rPr>
                <w:sz w:val="20"/>
                <w:szCs w:val="20"/>
                <w:color w:val="auto"/>
              </w:rPr>
            </w:pPr>
            <w:r>
              <w:rPr>
                <w:rFonts w:ascii="Arial" w:cs="Arial" w:eastAsia="Arial" w:hAnsi="Arial"/>
                <w:sz w:val="15"/>
                <w:szCs w:val="15"/>
                <w:color w:val="auto"/>
              </w:rPr>
              <w:t>3</w:t>
            </w:r>
          </w:p>
        </w:tc>
        <w:tc>
          <w:tcPr>
            <w:tcW w:w="1120" w:type="dxa"/>
            <w:vAlign w:val="bottom"/>
            <w:tcBorders>
              <w:bottom w:val="single" w:sz="8" w:color="auto"/>
            </w:tcBorders>
            <w:shd w:val="clear" w:color="auto" w:fill="CCEEFF"/>
          </w:tcPr>
          <w:p>
            <w:pPr>
              <w:jc w:val="right"/>
              <w:ind w:right="403"/>
              <w:spacing w:after="0" w:line="162" w:lineRule="exact"/>
              <w:rPr>
                <w:sz w:val="20"/>
                <w:szCs w:val="20"/>
                <w:color w:val="auto"/>
              </w:rPr>
            </w:pPr>
            <w:r>
              <w:rPr>
                <w:rFonts w:ascii="Arial" w:cs="Arial" w:eastAsia="Arial" w:hAnsi="Arial"/>
                <w:sz w:val="15"/>
                <w:szCs w:val="15"/>
                <w:color w:val="auto"/>
              </w:rPr>
              <w:t>0</w:t>
            </w:r>
          </w:p>
        </w:tc>
        <w:tc>
          <w:tcPr>
            <w:tcW w:w="740" w:type="dxa"/>
            <w:vAlign w:val="bottom"/>
            <w:tcBorders>
              <w:bottom w:val="single" w:sz="8" w:color="auto"/>
            </w:tcBorders>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Borders>
              <w:bottom w:val="single" w:sz="8" w:color="CCEEFF"/>
            </w:tcBorders>
          </w:tcPr>
          <w:p>
            <w:pPr>
              <w:spacing w:after="0" w:line="156" w:lineRule="exact"/>
              <w:rPr>
                <w:sz w:val="20"/>
                <w:szCs w:val="20"/>
                <w:color w:val="auto"/>
              </w:rPr>
            </w:pPr>
            <w:r>
              <w:rPr>
                <w:rFonts w:ascii="Arial" w:cs="Arial" w:eastAsia="Arial" w:hAnsi="Arial"/>
                <w:sz w:val="15"/>
                <w:szCs w:val="15"/>
                <w:color w:val="auto"/>
              </w:rPr>
              <w:t>Total equity securities – Indemnity</w:t>
            </w:r>
          </w:p>
        </w:tc>
        <w:tc>
          <w:tcPr>
            <w:tcW w:w="760" w:type="dxa"/>
            <w:vAlign w:val="bottom"/>
            <w:tcBorders>
              <w:bottom w:val="single" w:sz="8" w:color="auto"/>
            </w:tcBorders>
          </w:tcPr>
          <w:p>
            <w:pPr>
              <w:jc w:val="right"/>
              <w:ind w:right="3"/>
              <w:spacing w:after="0" w:line="156"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423"/>
              <w:spacing w:after="0" w:line="156" w:lineRule="exact"/>
              <w:rPr>
                <w:sz w:val="20"/>
                <w:szCs w:val="20"/>
                <w:color w:val="auto"/>
              </w:rPr>
            </w:pPr>
            <w:r>
              <w:rPr>
                <w:rFonts w:ascii="Arial" w:cs="Arial" w:eastAsia="Arial" w:hAnsi="Arial"/>
                <w:sz w:val="15"/>
                <w:szCs w:val="15"/>
                <w:color w:val="auto"/>
              </w:rPr>
              <w:t>3</w:t>
            </w:r>
          </w:p>
        </w:tc>
        <w:tc>
          <w:tcPr>
            <w:tcW w:w="76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rPr>
              <w:t>$0</w:t>
            </w: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423"/>
              <w:spacing w:after="0" w:line="156" w:lineRule="exact"/>
              <w:rPr>
                <w:sz w:val="20"/>
                <w:szCs w:val="20"/>
                <w:color w:val="auto"/>
              </w:rPr>
            </w:pPr>
            <w:r>
              <w:rPr>
                <w:rFonts w:ascii="Arial" w:cs="Arial" w:eastAsia="Arial" w:hAnsi="Arial"/>
                <w:sz w:val="15"/>
                <w:szCs w:val="15"/>
                <w:color w:val="auto"/>
              </w:rPr>
              <w:t>$0</w:t>
            </w:r>
          </w:p>
        </w:tc>
        <w:tc>
          <w:tcPr>
            <w:tcW w:w="78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rPr>
              <w:t>$0</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3"/>
              <w:spacing w:after="0" w:line="156" w:lineRule="exact"/>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ind w:right="403"/>
              <w:spacing w:after="0" w:line="156" w:lineRule="exact"/>
              <w:rPr>
                <w:sz w:val="20"/>
                <w:szCs w:val="20"/>
                <w:color w:val="auto"/>
              </w:rPr>
            </w:pPr>
            <w:r>
              <w:rPr>
                <w:rFonts w:ascii="Arial" w:cs="Arial" w:eastAsia="Arial" w:hAnsi="Arial"/>
                <w:sz w:val="15"/>
                <w:szCs w:val="15"/>
                <w:color w:val="auto"/>
              </w:rPr>
              <w:t>3</w:t>
            </w:r>
          </w:p>
        </w:tc>
        <w:tc>
          <w:tcPr>
            <w:tcW w:w="1120" w:type="dxa"/>
            <w:vAlign w:val="bottom"/>
            <w:tcBorders>
              <w:bottom w:val="single" w:sz="8" w:color="auto"/>
            </w:tcBorders>
          </w:tcPr>
          <w:p>
            <w:pPr>
              <w:jc w:val="right"/>
              <w:ind w:right="403"/>
              <w:spacing w:after="0" w:line="156" w:lineRule="exact"/>
              <w:rPr>
                <w:sz w:val="20"/>
                <w:szCs w:val="20"/>
                <w:color w:val="auto"/>
              </w:rPr>
            </w:pPr>
            <w:r>
              <w:rPr>
                <w:rFonts w:ascii="Arial" w:cs="Arial" w:eastAsia="Arial" w:hAnsi="Arial"/>
                <w:sz w:val="15"/>
                <w:szCs w:val="15"/>
                <w:color w:val="auto"/>
              </w:rPr>
              <w:t>$0</w:t>
            </w:r>
          </w:p>
        </w:tc>
        <w:tc>
          <w:tcPr>
            <w:tcW w:w="740" w:type="dxa"/>
            <w:vAlign w:val="bottom"/>
            <w:tcBorders>
              <w:bottom w:val="single" w:sz="8" w:color="auto"/>
            </w:tcBorders>
          </w:tcPr>
          <w:p>
            <w:pPr>
              <w:jc w:val="right"/>
              <w:ind w:right="23"/>
              <w:spacing w:after="0" w:line="156"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35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b w:val="1"/>
                <w:bCs w:val="1"/>
                <w:color w:val="auto"/>
              </w:rPr>
              <w:t>Quality breakdown of fixed maturities:</w:t>
            </w: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Investment grade</w:t>
            </w:r>
          </w:p>
        </w:tc>
        <w:tc>
          <w:tcPr>
            <w:tcW w:w="1420" w:type="dxa"/>
            <w:vAlign w:val="bottom"/>
            <w:gridSpan w:val="2"/>
            <w:shd w:val="clear" w:color="auto" w:fill="CCEEFF"/>
          </w:tcPr>
          <w:p>
            <w:pPr>
              <w:jc w:val="right"/>
              <w:ind w:right="423"/>
              <w:spacing w:after="0" w:line="162" w:lineRule="exact"/>
              <w:rPr>
                <w:sz w:val="20"/>
                <w:szCs w:val="20"/>
                <w:color w:val="auto"/>
              </w:rPr>
            </w:pPr>
            <w:r>
              <w:rPr>
                <w:rFonts w:ascii="Arial" w:cs="Arial" w:eastAsia="Arial" w:hAnsi="Arial"/>
                <w:sz w:val="15"/>
                <w:szCs w:val="15"/>
                <w:color w:val="auto"/>
              </w:rPr>
              <w:t>$220</w:t>
            </w:r>
          </w:p>
        </w:tc>
        <w:tc>
          <w:tcPr>
            <w:tcW w:w="76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$2</w:t>
            </w: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423"/>
              <w:spacing w:after="0" w:line="162" w:lineRule="exact"/>
              <w:rPr>
                <w:sz w:val="20"/>
                <w:szCs w:val="20"/>
                <w:color w:val="auto"/>
              </w:rPr>
            </w:pPr>
            <w:r>
              <w:rPr>
                <w:rFonts w:ascii="Arial" w:cs="Arial" w:eastAsia="Arial" w:hAnsi="Arial"/>
                <w:sz w:val="15"/>
                <w:szCs w:val="15"/>
                <w:color w:val="auto"/>
              </w:rPr>
              <w:t>$1</w:t>
            </w:r>
          </w:p>
        </w:tc>
        <w:tc>
          <w:tcPr>
            <w:tcW w:w="78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403"/>
              <w:spacing w:after="0" w:line="162" w:lineRule="exact"/>
              <w:rPr>
                <w:sz w:val="20"/>
                <w:szCs w:val="20"/>
                <w:color w:val="auto"/>
              </w:rPr>
            </w:pPr>
            <w:r>
              <w:rPr>
                <w:rFonts w:ascii="Arial" w:cs="Arial" w:eastAsia="Arial" w:hAnsi="Arial"/>
                <w:sz w:val="15"/>
                <w:szCs w:val="15"/>
                <w:color w:val="auto"/>
              </w:rPr>
              <w:t>$221</w:t>
            </w:r>
          </w:p>
        </w:tc>
        <w:tc>
          <w:tcPr>
            <w:tcW w:w="1120" w:type="dxa"/>
            <w:vAlign w:val="bottom"/>
            <w:shd w:val="clear" w:color="auto" w:fill="CCEEFF"/>
          </w:tcPr>
          <w:p>
            <w:pPr>
              <w:jc w:val="right"/>
              <w:ind w:right="403"/>
              <w:spacing w:after="0" w:line="162" w:lineRule="exact"/>
              <w:rPr>
                <w:sz w:val="20"/>
                <w:szCs w:val="20"/>
                <w:color w:val="auto"/>
              </w:rPr>
            </w:pPr>
            <w:r>
              <w:rPr>
                <w:rFonts w:ascii="Arial" w:cs="Arial" w:eastAsia="Arial" w:hAnsi="Arial"/>
                <w:sz w:val="15"/>
                <w:szCs w:val="15"/>
                <w:color w:val="auto"/>
              </w:rPr>
              <w:t>$2</w:t>
            </w:r>
          </w:p>
        </w:tc>
        <w:tc>
          <w:tcPr>
            <w:tcW w:w="74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Non-investment grade</w:t>
            </w:r>
          </w:p>
        </w:tc>
        <w:tc>
          <w:tcPr>
            <w:tcW w:w="7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23"/>
              <w:spacing w:after="0" w:line="162" w:lineRule="exact"/>
              <w:rPr>
                <w:sz w:val="20"/>
                <w:szCs w:val="20"/>
                <w:color w:val="auto"/>
              </w:rPr>
            </w:pPr>
            <w:r>
              <w:rPr>
                <w:rFonts w:ascii="Arial" w:cs="Arial" w:eastAsia="Arial" w:hAnsi="Arial"/>
                <w:sz w:val="15"/>
                <w:szCs w:val="15"/>
                <w:color w:val="auto"/>
              </w:rPr>
              <w:t>0</w:t>
            </w:r>
          </w:p>
        </w:tc>
        <w:tc>
          <w:tcPr>
            <w:tcW w:w="76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2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423"/>
              <w:spacing w:after="0" w:line="162" w:lineRule="exact"/>
              <w:rPr>
                <w:sz w:val="20"/>
                <w:szCs w:val="20"/>
                <w:color w:val="auto"/>
              </w:rPr>
            </w:pPr>
            <w:r>
              <w:rPr>
                <w:rFonts w:ascii="Arial" w:cs="Arial" w:eastAsia="Arial" w:hAnsi="Arial"/>
                <w:sz w:val="15"/>
                <w:szCs w:val="15"/>
                <w:color w:val="auto"/>
              </w:rPr>
              <w:t>0</w:t>
            </w:r>
          </w:p>
        </w:tc>
        <w:tc>
          <w:tcPr>
            <w:tcW w:w="78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03"/>
              <w:spacing w:after="0" w:line="162" w:lineRule="exact"/>
              <w:rPr>
                <w:sz w:val="20"/>
                <w:szCs w:val="20"/>
                <w:color w:val="auto"/>
              </w:rPr>
            </w:pPr>
            <w:r>
              <w:rPr>
                <w:rFonts w:ascii="Arial" w:cs="Arial" w:eastAsia="Arial" w:hAnsi="Arial"/>
                <w:sz w:val="15"/>
                <w:szCs w:val="15"/>
                <w:color w:val="auto"/>
              </w:rPr>
              <w:t>0</w:t>
            </w:r>
          </w:p>
        </w:tc>
        <w:tc>
          <w:tcPr>
            <w:tcW w:w="1120" w:type="dxa"/>
            <w:vAlign w:val="bottom"/>
            <w:tcBorders>
              <w:bottom w:val="single" w:sz="8" w:color="auto"/>
            </w:tcBorders>
          </w:tcPr>
          <w:p>
            <w:pPr>
              <w:jc w:val="right"/>
              <w:ind w:right="403"/>
              <w:spacing w:after="0" w:line="162" w:lineRule="exact"/>
              <w:rPr>
                <w:sz w:val="20"/>
                <w:szCs w:val="20"/>
                <w:color w:val="auto"/>
              </w:rPr>
            </w:pPr>
            <w:r>
              <w:rPr>
                <w:rFonts w:ascii="Arial" w:cs="Arial" w:eastAsia="Arial" w:hAnsi="Arial"/>
                <w:sz w:val="15"/>
                <w:szCs w:val="15"/>
                <w:color w:val="auto"/>
              </w:rPr>
              <w:t>0</w:t>
            </w:r>
          </w:p>
        </w:tc>
        <w:tc>
          <w:tcPr>
            <w:tcW w:w="74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tcBorders>
              <w:bottom w:val="single" w:sz="8" w:color="CCEEFF"/>
            </w:tcBorders>
            <w:shd w:val="clear" w:color="auto" w:fill="CCEEFF"/>
          </w:tcPr>
          <w:p>
            <w:pPr>
              <w:ind w:left="520"/>
              <w:spacing w:after="0" w:line="155" w:lineRule="exact"/>
              <w:rPr>
                <w:sz w:val="20"/>
                <w:szCs w:val="20"/>
                <w:color w:val="auto"/>
              </w:rPr>
            </w:pPr>
            <w:r>
              <w:rPr>
                <w:rFonts w:ascii="Arial" w:cs="Arial" w:eastAsia="Arial" w:hAnsi="Arial"/>
                <w:sz w:val="14"/>
                <w:szCs w:val="14"/>
                <w:color w:val="auto"/>
              </w:rPr>
              <w:t>Total fixed maturities – Indemnity</w:t>
            </w:r>
          </w:p>
        </w:tc>
        <w:tc>
          <w:tcPr>
            <w:tcW w:w="1420" w:type="dxa"/>
            <w:vAlign w:val="bottom"/>
            <w:tcBorders>
              <w:bottom w:val="single" w:sz="8" w:color="auto"/>
            </w:tcBorders>
            <w:gridSpan w:val="2"/>
            <w:shd w:val="clear" w:color="auto" w:fill="CCEEFF"/>
          </w:tcPr>
          <w:p>
            <w:pPr>
              <w:jc w:val="right"/>
              <w:ind w:right="423"/>
              <w:spacing w:after="0" w:line="156" w:lineRule="exact"/>
              <w:rPr>
                <w:sz w:val="20"/>
                <w:szCs w:val="20"/>
                <w:color w:val="auto"/>
              </w:rPr>
            </w:pPr>
            <w:r>
              <w:rPr>
                <w:rFonts w:ascii="Arial" w:cs="Arial" w:eastAsia="Arial" w:hAnsi="Arial"/>
                <w:sz w:val="15"/>
                <w:szCs w:val="15"/>
                <w:color w:val="auto"/>
              </w:rPr>
              <w:t>$220</w:t>
            </w:r>
          </w:p>
        </w:tc>
        <w:tc>
          <w:tcPr>
            <w:tcW w:w="760" w:type="dxa"/>
            <w:vAlign w:val="bottom"/>
            <w:tcBorders>
              <w:bottom w:val="single" w:sz="8" w:color="auto"/>
            </w:tcBorders>
            <w:shd w:val="clear" w:color="auto" w:fill="CCEEFF"/>
          </w:tcPr>
          <w:p>
            <w:pPr>
              <w:jc w:val="right"/>
              <w:ind w:right="43"/>
              <w:spacing w:after="0" w:line="156" w:lineRule="exact"/>
              <w:rPr>
                <w:sz w:val="20"/>
                <w:szCs w:val="20"/>
                <w:color w:val="auto"/>
              </w:rPr>
            </w:pPr>
            <w:r>
              <w:rPr>
                <w:rFonts w:ascii="Arial" w:cs="Arial" w:eastAsia="Arial" w:hAnsi="Arial"/>
                <w:sz w:val="15"/>
                <w:szCs w:val="15"/>
                <w:color w:val="auto"/>
              </w:rPr>
              <w:t>$2</w:t>
            </w:r>
          </w:p>
        </w:tc>
        <w:tc>
          <w:tcPr>
            <w:tcW w:w="120" w:type="dxa"/>
            <w:vAlign w:val="bottom"/>
            <w:tcBorders>
              <w:bottom w:val="single" w:sz="8" w:color="CCEEFF"/>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423"/>
              <w:spacing w:after="0" w:line="156" w:lineRule="exact"/>
              <w:rPr>
                <w:sz w:val="20"/>
                <w:szCs w:val="20"/>
                <w:color w:val="auto"/>
              </w:rPr>
            </w:pPr>
            <w:r>
              <w:rPr>
                <w:rFonts w:ascii="Arial" w:cs="Arial" w:eastAsia="Arial" w:hAnsi="Arial"/>
                <w:sz w:val="15"/>
                <w:szCs w:val="15"/>
                <w:color w:val="auto"/>
              </w:rPr>
              <w:t>$1</w:t>
            </w:r>
          </w:p>
        </w:tc>
        <w:tc>
          <w:tcPr>
            <w:tcW w:w="780" w:type="dxa"/>
            <w:vAlign w:val="bottom"/>
            <w:tcBorders>
              <w:bottom w:val="single" w:sz="8" w:color="auto"/>
            </w:tcBorders>
            <w:shd w:val="clear" w:color="auto" w:fill="CCEEFF"/>
          </w:tcPr>
          <w:p>
            <w:pPr>
              <w:jc w:val="right"/>
              <w:ind w:right="43"/>
              <w:spacing w:after="0" w:line="156" w:lineRule="exact"/>
              <w:rPr>
                <w:sz w:val="20"/>
                <w:szCs w:val="20"/>
                <w:color w:val="auto"/>
              </w:rPr>
            </w:pPr>
            <w:r>
              <w:rPr>
                <w:rFonts w:ascii="Arial" w:cs="Arial" w:eastAsia="Arial" w:hAnsi="Arial"/>
                <w:sz w:val="15"/>
                <w:szCs w:val="15"/>
                <w:color w:val="auto"/>
              </w:rPr>
              <w:t>$0</w:t>
            </w:r>
          </w:p>
        </w:tc>
        <w:tc>
          <w:tcPr>
            <w:tcW w:w="10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auto"/>
            </w:tcBorders>
            <w:gridSpan w:val="2"/>
            <w:shd w:val="clear" w:color="auto" w:fill="CCEEFF"/>
          </w:tcPr>
          <w:p>
            <w:pPr>
              <w:jc w:val="right"/>
              <w:ind w:right="403"/>
              <w:spacing w:after="0" w:line="156" w:lineRule="exact"/>
              <w:rPr>
                <w:sz w:val="20"/>
                <w:szCs w:val="20"/>
                <w:color w:val="auto"/>
              </w:rPr>
            </w:pPr>
            <w:r>
              <w:rPr>
                <w:rFonts w:ascii="Arial" w:cs="Arial" w:eastAsia="Arial" w:hAnsi="Arial"/>
                <w:sz w:val="15"/>
                <w:szCs w:val="15"/>
                <w:color w:val="auto"/>
              </w:rPr>
              <w:t>$221</w:t>
            </w:r>
          </w:p>
        </w:tc>
        <w:tc>
          <w:tcPr>
            <w:tcW w:w="1120" w:type="dxa"/>
            <w:vAlign w:val="bottom"/>
            <w:tcBorders>
              <w:bottom w:val="single" w:sz="8" w:color="auto"/>
            </w:tcBorders>
            <w:shd w:val="clear" w:color="auto" w:fill="CCEEFF"/>
          </w:tcPr>
          <w:p>
            <w:pPr>
              <w:jc w:val="right"/>
              <w:ind w:right="403"/>
              <w:spacing w:after="0" w:line="156" w:lineRule="exact"/>
              <w:rPr>
                <w:sz w:val="20"/>
                <w:szCs w:val="20"/>
                <w:color w:val="auto"/>
              </w:rPr>
            </w:pPr>
            <w:r>
              <w:rPr>
                <w:rFonts w:ascii="Arial" w:cs="Arial" w:eastAsia="Arial" w:hAnsi="Arial"/>
                <w:sz w:val="15"/>
                <w:szCs w:val="15"/>
                <w:color w:val="auto"/>
              </w:rPr>
              <w:t>$2</w:t>
            </w:r>
          </w:p>
        </w:tc>
        <w:tc>
          <w:tcPr>
            <w:tcW w:w="740" w:type="dxa"/>
            <w:vAlign w:val="bottom"/>
            <w:tcBorders>
              <w:bottom w:val="single" w:sz="8" w:color="auto"/>
            </w:tcBorders>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Fixed maturities and equity securities in a gross unrealized loss position at March 31, 2011 are as follows for the Exchange. Data is provided by length of time securities were in a gross unrealized loss position.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23"/>
              <w:spacing w:after="0"/>
              <w:rPr>
                <w:sz w:val="20"/>
                <w:szCs w:val="20"/>
                <w:color w:val="auto"/>
              </w:rPr>
            </w:pPr>
            <w:r>
              <w:rPr>
                <w:rFonts w:ascii="Arial" w:cs="Arial" w:eastAsia="Arial" w:hAnsi="Arial"/>
                <w:sz w:val="15"/>
                <w:szCs w:val="15"/>
                <w:color w:val="auto"/>
                <w:w w:val="92"/>
              </w:rPr>
              <w:t>Erie Insurance Group</w:t>
            </w:r>
          </w:p>
        </w:tc>
        <w:tc>
          <w:tcPr>
            <w:tcW w:w="6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180"/>
              <w:spacing w:after="0" w:line="142" w:lineRule="exact"/>
              <w:rPr>
                <w:sz w:val="20"/>
                <w:szCs w:val="20"/>
                <w:color w:val="auto"/>
              </w:rPr>
            </w:pPr>
            <w:r>
              <w:rPr>
                <w:rFonts w:ascii="Arial" w:cs="Arial" w:eastAsia="Arial" w:hAnsi="Arial"/>
                <w:sz w:val="15"/>
                <w:szCs w:val="15"/>
                <w:color w:val="auto"/>
                <w:w w:val="92"/>
              </w:rPr>
              <w:t>March 31, 2011</w:t>
            </w: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78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900" w:type="dxa"/>
            <w:vAlign w:val="bottom"/>
            <w:gridSpan w:val="3"/>
          </w:tcPr>
          <w:p>
            <w:pPr>
              <w:jc w:val="right"/>
              <w:ind w:right="123"/>
              <w:spacing w:after="0"/>
              <w:rPr>
                <w:sz w:val="20"/>
                <w:szCs w:val="20"/>
                <w:color w:val="auto"/>
              </w:rPr>
            </w:pPr>
            <w:r>
              <w:rPr>
                <w:rFonts w:ascii="Arial" w:cs="Arial" w:eastAsia="Arial" w:hAnsi="Arial"/>
                <w:sz w:val="15"/>
                <w:szCs w:val="15"/>
                <w:color w:val="auto"/>
              </w:rPr>
              <w:t>Less than 12 months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4"/>
          </w:tcPr>
          <w:p>
            <w:pPr>
              <w:ind w:left="440"/>
              <w:spacing w:after="0"/>
              <w:rPr>
                <w:sz w:val="20"/>
                <w:szCs w:val="20"/>
                <w:color w:val="auto"/>
              </w:rPr>
            </w:pPr>
            <w:r>
              <w:rPr>
                <w:rFonts w:ascii="Arial" w:cs="Arial" w:eastAsia="Arial" w:hAnsi="Arial"/>
                <w:sz w:val="15"/>
                <w:szCs w:val="15"/>
                <w:color w:val="auto"/>
              </w:rPr>
              <w:t>12 months or longer</w:t>
            </w: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center"/>
              <w:ind w:left="103"/>
              <w:spacing w:after="0"/>
              <w:rPr>
                <w:sz w:val="20"/>
                <w:szCs w:val="20"/>
                <w:color w:val="auto"/>
              </w:rPr>
            </w:pPr>
            <w:r>
              <w:rPr>
                <w:rFonts w:ascii="Arial" w:cs="Arial" w:eastAsia="Arial" w:hAnsi="Arial"/>
                <w:sz w:val="15"/>
                <w:szCs w:val="15"/>
                <w:color w:val="auto"/>
                <w:w w:val="89"/>
              </w:rPr>
              <w:t>Total</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8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Exchange</w:t>
            </w:r>
          </w:p>
        </w:tc>
        <w:tc>
          <w:tcPr>
            <w:tcW w:w="640" w:type="dxa"/>
            <w:vAlign w:val="bottom"/>
            <w:tcBorders>
              <w:top w:val="single" w:sz="8" w:color="auto"/>
            </w:tcBorders>
          </w:tcPr>
          <w:p>
            <w:pPr>
              <w:jc w:val="right"/>
              <w:ind w:right="3"/>
              <w:spacing w:after="0" w:line="142" w:lineRule="exact"/>
              <w:rPr>
                <w:sz w:val="20"/>
                <w:szCs w:val="20"/>
                <w:color w:val="auto"/>
              </w:rPr>
            </w:pPr>
            <w:r>
              <w:rPr>
                <w:rFonts w:ascii="Arial" w:cs="Arial" w:eastAsia="Arial" w:hAnsi="Arial"/>
                <w:sz w:val="15"/>
                <w:szCs w:val="15"/>
                <w:color w:val="auto"/>
              </w:rPr>
              <w:t>Fair</w:t>
            </w:r>
          </w:p>
        </w:tc>
        <w:tc>
          <w:tcPr>
            <w:tcW w:w="4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5"/>
                <w:szCs w:val="15"/>
                <w:color w:val="auto"/>
              </w:rPr>
              <w:t>Unrealized</w:t>
            </w:r>
          </w:p>
        </w:tc>
        <w:tc>
          <w:tcPr>
            <w:tcW w:w="2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auto"/>
            </w:tcBorders>
          </w:tcPr>
          <w:p>
            <w:pPr>
              <w:jc w:val="right"/>
              <w:ind w:right="43"/>
              <w:spacing w:after="0" w:line="142" w:lineRule="exact"/>
              <w:rPr>
                <w:sz w:val="20"/>
                <w:szCs w:val="20"/>
                <w:color w:val="auto"/>
              </w:rPr>
            </w:pPr>
            <w:r>
              <w:rPr>
                <w:rFonts w:ascii="Arial" w:cs="Arial" w:eastAsia="Arial" w:hAnsi="Arial"/>
                <w:sz w:val="15"/>
                <w:szCs w:val="15"/>
                <w:color w:val="auto"/>
              </w:rPr>
              <w:t>Fair</w:t>
            </w:r>
          </w:p>
        </w:tc>
        <w:tc>
          <w:tcPr>
            <w:tcW w:w="2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5"/>
                <w:szCs w:val="15"/>
                <w:color w:val="auto"/>
                <w:w w:val="94"/>
              </w:rPr>
              <w:t>Unrealized</w:t>
            </w:r>
          </w:p>
        </w:tc>
        <w:tc>
          <w:tcPr>
            <w:tcW w:w="12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5"/>
                <w:szCs w:val="15"/>
                <w:color w:val="auto"/>
              </w:rPr>
              <w:t>Fair</w:t>
            </w:r>
          </w:p>
        </w:tc>
        <w:tc>
          <w:tcPr>
            <w:tcW w:w="4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center"/>
              <w:ind w:right="83"/>
              <w:spacing w:after="0" w:line="142" w:lineRule="exact"/>
              <w:rPr>
                <w:sz w:val="20"/>
                <w:szCs w:val="20"/>
                <w:color w:val="auto"/>
              </w:rPr>
            </w:pPr>
            <w:r>
              <w:rPr>
                <w:rFonts w:ascii="Arial" w:cs="Arial" w:eastAsia="Arial" w:hAnsi="Arial"/>
                <w:sz w:val="15"/>
                <w:szCs w:val="15"/>
                <w:color w:val="auto"/>
                <w:w w:val="91"/>
              </w:rPr>
              <w:t>Unrealized</w:t>
            </w:r>
          </w:p>
        </w:tc>
        <w:tc>
          <w:tcPr>
            <w:tcW w:w="980" w:type="dxa"/>
            <w:vAlign w:val="bottom"/>
            <w:tcBorders>
              <w:top w:val="single" w:sz="8" w:color="auto"/>
            </w:tcBorders>
          </w:tcPr>
          <w:p>
            <w:pPr>
              <w:jc w:val="right"/>
              <w:ind w:right="263"/>
              <w:spacing w:after="0" w:line="142" w:lineRule="exact"/>
              <w:rPr>
                <w:sz w:val="20"/>
                <w:szCs w:val="20"/>
                <w:color w:val="auto"/>
              </w:rPr>
            </w:pPr>
            <w:r>
              <w:rPr>
                <w:rFonts w:ascii="Arial" w:cs="Arial" w:eastAsia="Arial" w:hAnsi="Arial"/>
                <w:sz w:val="15"/>
                <w:szCs w:val="15"/>
                <w:color w:val="auto"/>
              </w:rPr>
              <w:t>No. of</w:t>
            </w:r>
          </w:p>
        </w:tc>
        <w:tc>
          <w:tcPr>
            <w:tcW w:w="0" w:type="dxa"/>
            <w:vAlign w:val="bottom"/>
          </w:tcPr>
          <w:p>
            <w:pPr>
              <w:spacing w:after="0"/>
              <w:rPr>
                <w:sz w:val="1"/>
                <w:szCs w:val="1"/>
                <w:color w:val="auto"/>
              </w:rPr>
            </w:pPr>
          </w:p>
        </w:tc>
      </w:tr>
      <w:tr>
        <w:trPr>
          <w:trHeight w:val="175"/>
        </w:trPr>
        <w:tc>
          <w:tcPr>
            <w:tcW w:w="3780" w:type="dxa"/>
            <w:vAlign w:val="bottom"/>
            <w:gridSpan w:val="2"/>
            <w:vMerge w:val="continue"/>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value</w:t>
            </w:r>
          </w:p>
        </w:tc>
        <w:tc>
          <w:tcPr>
            <w:tcW w:w="400" w:type="dxa"/>
            <w:vAlign w:val="bottom"/>
          </w:tcPr>
          <w:p>
            <w:pPr>
              <w:spacing w:after="0"/>
              <w:rPr>
                <w:sz w:val="15"/>
                <w:szCs w:val="15"/>
                <w:color w:val="auto"/>
              </w:rPr>
            </w:pPr>
          </w:p>
        </w:tc>
        <w:tc>
          <w:tcPr>
            <w:tcW w:w="860" w:type="dxa"/>
            <w:vAlign w:val="bottom"/>
          </w:tcPr>
          <w:p>
            <w:pPr>
              <w:jc w:val="right"/>
              <w:ind w:right="83"/>
              <w:spacing w:after="0"/>
              <w:rPr>
                <w:sz w:val="20"/>
                <w:szCs w:val="20"/>
                <w:color w:val="auto"/>
              </w:rPr>
            </w:pPr>
            <w:r>
              <w:rPr>
                <w:rFonts w:ascii="Arial" w:cs="Arial" w:eastAsia="Arial" w:hAnsi="Arial"/>
                <w:sz w:val="15"/>
                <w:szCs w:val="15"/>
                <w:color w:val="auto"/>
              </w:rPr>
              <w:t>losses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3"/>
              <w:spacing w:after="0"/>
              <w:rPr>
                <w:sz w:val="20"/>
                <w:szCs w:val="20"/>
                <w:color w:val="auto"/>
              </w:rPr>
            </w:pPr>
            <w:r>
              <w:rPr>
                <w:rFonts w:ascii="Arial" w:cs="Arial" w:eastAsia="Arial" w:hAnsi="Arial"/>
                <w:sz w:val="15"/>
                <w:szCs w:val="15"/>
                <w:color w:val="auto"/>
              </w:rPr>
              <w:t>value</w:t>
            </w:r>
          </w:p>
        </w:tc>
        <w:tc>
          <w:tcPr>
            <w:tcW w:w="280" w:type="dxa"/>
            <w:vAlign w:val="bottom"/>
          </w:tcPr>
          <w:p>
            <w:pPr>
              <w:spacing w:after="0"/>
              <w:rPr>
                <w:sz w:val="15"/>
                <w:szCs w:val="15"/>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5"/>
                <w:szCs w:val="15"/>
                <w:color w:val="auto"/>
                <w:w w:val="84"/>
              </w:rPr>
              <w:t>losses</w:t>
            </w:r>
          </w:p>
        </w:tc>
        <w:tc>
          <w:tcPr>
            <w:tcW w:w="600" w:type="dxa"/>
            <w:vAlign w:val="bottom"/>
          </w:tcPr>
          <w:p>
            <w:pPr>
              <w:jc w:val="right"/>
              <w:spacing w:after="0"/>
              <w:rPr>
                <w:sz w:val="20"/>
                <w:szCs w:val="20"/>
                <w:color w:val="auto"/>
              </w:rPr>
            </w:pPr>
            <w:r>
              <w:rPr>
                <w:rFonts w:ascii="Arial" w:cs="Arial" w:eastAsia="Arial" w:hAnsi="Arial"/>
                <w:sz w:val="15"/>
                <w:szCs w:val="15"/>
                <w:color w:val="auto"/>
              </w:rPr>
              <w:t>Value</w:t>
            </w:r>
          </w:p>
        </w:tc>
        <w:tc>
          <w:tcPr>
            <w:tcW w:w="420" w:type="dxa"/>
            <w:vAlign w:val="bottom"/>
          </w:tcPr>
          <w:p>
            <w:pPr>
              <w:spacing w:after="0"/>
              <w:rPr>
                <w:sz w:val="15"/>
                <w:szCs w:val="15"/>
                <w:color w:val="auto"/>
              </w:rPr>
            </w:pPr>
          </w:p>
        </w:tc>
        <w:tc>
          <w:tcPr>
            <w:tcW w:w="800" w:type="dxa"/>
            <w:vAlign w:val="bottom"/>
          </w:tcPr>
          <w:p>
            <w:pPr>
              <w:jc w:val="center"/>
              <w:ind w:left="103"/>
              <w:spacing w:after="0"/>
              <w:rPr>
                <w:sz w:val="20"/>
                <w:szCs w:val="20"/>
                <w:color w:val="auto"/>
              </w:rPr>
            </w:pPr>
            <w:r>
              <w:rPr>
                <w:rFonts w:ascii="Arial" w:cs="Arial" w:eastAsia="Arial" w:hAnsi="Arial"/>
                <w:sz w:val="15"/>
                <w:szCs w:val="15"/>
                <w:color w:val="auto"/>
                <w:w w:val="89"/>
              </w:rPr>
              <w:t>losses</w:t>
            </w:r>
          </w:p>
        </w:tc>
        <w:tc>
          <w:tcPr>
            <w:tcW w:w="340" w:type="dxa"/>
            <w:vAlign w:val="bottom"/>
          </w:tcPr>
          <w:p>
            <w:pPr>
              <w:spacing w:after="0"/>
              <w:rPr>
                <w:sz w:val="15"/>
                <w:szCs w:val="15"/>
                <w:color w:val="auto"/>
              </w:rPr>
            </w:pPr>
          </w:p>
        </w:tc>
        <w:tc>
          <w:tcPr>
            <w:tcW w:w="980" w:type="dxa"/>
            <w:vAlign w:val="bottom"/>
          </w:tcPr>
          <w:p>
            <w:pPr>
              <w:jc w:val="right"/>
              <w:ind w:right="183"/>
              <w:spacing w:after="0"/>
              <w:rPr>
                <w:sz w:val="20"/>
                <w:szCs w:val="20"/>
                <w:color w:val="auto"/>
              </w:rPr>
            </w:pPr>
            <w:r>
              <w:rPr>
                <w:rFonts w:ascii="Arial" w:cs="Arial" w:eastAsia="Arial" w:hAnsi="Arial"/>
                <w:sz w:val="15"/>
                <w:szCs w:val="15"/>
                <w:color w:val="auto"/>
              </w:rPr>
              <w:t>holdings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5"/>
                <w:szCs w:val="15"/>
                <w:color w:val="auto"/>
              </w:rPr>
              <w:t>Fixed maturities:</w:t>
            </w:r>
          </w:p>
        </w:tc>
        <w:tc>
          <w:tcPr>
            <w:tcW w:w="6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tcPr>
          <w:p>
            <w:pPr>
              <w:ind w:left="160"/>
              <w:spacing w:after="0" w:line="162" w:lineRule="exact"/>
              <w:rPr>
                <w:sz w:val="20"/>
                <w:szCs w:val="20"/>
                <w:color w:val="auto"/>
              </w:rPr>
            </w:pPr>
            <w:r>
              <w:rPr>
                <w:rFonts w:ascii="Arial" w:cs="Arial" w:eastAsia="Arial" w:hAnsi="Arial"/>
                <w:sz w:val="15"/>
                <w:szCs w:val="15"/>
                <w:color w:val="auto"/>
              </w:rPr>
              <w:t>U.S. treasuries and government agencies</w:t>
            </w: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2</w:t>
            </w: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jc w:val="right"/>
              <w:ind w:right="43"/>
              <w:spacing w:after="0" w:line="162" w:lineRule="exact"/>
              <w:rPr>
                <w:sz w:val="20"/>
                <w:szCs w:val="20"/>
                <w:color w:val="auto"/>
              </w:rPr>
            </w:pPr>
            <w:r>
              <w:rPr>
                <w:rFonts w:ascii="Arial" w:cs="Arial" w:eastAsia="Arial" w:hAnsi="Arial"/>
                <w:sz w:val="15"/>
                <w:szCs w:val="15"/>
                <w:color w:val="auto"/>
                <w:w w:val="95"/>
              </w:rPr>
              <w:t>0</w:t>
            </w: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jc w:val="right"/>
              <w:ind w:right="3"/>
              <w:spacing w:after="0" w:line="162" w:lineRule="exact"/>
              <w:rPr>
                <w:sz w:val="20"/>
                <w:szCs w:val="20"/>
                <w:color w:val="auto"/>
              </w:rPr>
            </w:pPr>
            <w:r>
              <w:rPr>
                <w:rFonts w:ascii="Arial" w:cs="Arial" w:eastAsia="Arial" w:hAnsi="Arial"/>
                <w:sz w:val="15"/>
                <w:szCs w:val="15"/>
                <w:color w:val="auto"/>
              </w:rPr>
              <w:t>0</w:t>
            </w:r>
          </w:p>
        </w:tc>
        <w:tc>
          <w:tcPr>
            <w:tcW w:w="11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20" w:type="dxa"/>
            <w:vAlign w:val="bottom"/>
          </w:tcPr>
          <w:p>
            <w:pPr>
              <w:spacing w:after="0"/>
              <w:rPr>
                <w:sz w:val="14"/>
                <w:szCs w:val="14"/>
                <w:color w:val="auto"/>
              </w:rPr>
            </w:pPr>
          </w:p>
        </w:tc>
        <w:tc>
          <w:tcPr>
            <w:tcW w:w="60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42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2</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4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0</w:t>
            </w:r>
          </w:p>
        </w:tc>
        <w:tc>
          <w:tcPr>
            <w:tcW w:w="9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U.S. government sponsored enterprises</w:t>
            </w: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34</w:t>
            </w: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w w:val="95"/>
              </w:rPr>
              <w:t>0</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0</w:t>
            </w:r>
          </w:p>
        </w:tc>
        <w:tc>
          <w:tcPr>
            <w:tcW w:w="118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34</w:t>
            </w:r>
          </w:p>
        </w:tc>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rPr>
              <w:t>0</w:t>
            </w:r>
          </w:p>
        </w:tc>
        <w:tc>
          <w:tcPr>
            <w:tcW w:w="98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tcPr>
          <w:p>
            <w:pPr>
              <w:ind w:left="160"/>
              <w:spacing w:after="0" w:line="162" w:lineRule="exact"/>
              <w:rPr>
                <w:sz w:val="20"/>
                <w:szCs w:val="20"/>
                <w:color w:val="auto"/>
              </w:rPr>
            </w:pPr>
            <w:r>
              <w:rPr>
                <w:rFonts w:ascii="Arial" w:cs="Arial" w:eastAsia="Arial" w:hAnsi="Arial"/>
                <w:sz w:val="15"/>
                <w:szCs w:val="15"/>
                <w:color w:val="auto"/>
              </w:rPr>
              <w:t>Foreign government</w:t>
            </w:r>
          </w:p>
        </w:tc>
        <w:tc>
          <w:tcPr>
            <w:tcW w:w="640" w:type="dxa"/>
            <w:vAlign w:val="bottom"/>
          </w:tcPr>
          <w:p>
            <w:pPr>
              <w:spacing w:after="0"/>
              <w:rPr>
                <w:sz w:val="14"/>
                <w:szCs w:val="14"/>
                <w:color w:val="auto"/>
              </w:rPr>
            </w:pPr>
          </w:p>
        </w:tc>
        <w:tc>
          <w:tcPr>
            <w:tcW w:w="40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10</w:t>
            </w:r>
          </w:p>
        </w:tc>
        <w:tc>
          <w:tcPr>
            <w:tcW w:w="860" w:type="dxa"/>
            <w:vAlign w:val="bottom"/>
          </w:tcPr>
          <w:p>
            <w:pPr>
              <w:spacing w:after="0"/>
              <w:rPr>
                <w:sz w:val="14"/>
                <w:szCs w:val="14"/>
                <w:color w:val="auto"/>
              </w:rPr>
            </w:pPr>
          </w:p>
        </w:tc>
        <w:tc>
          <w:tcPr>
            <w:tcW w:w="220" w:type="dxa"/>
            <w:vAlign w:val="bottom"/>
          </w:tcPr>
          <w:p>
            <w:pPr>
              <w:jc w:val="right"/>
              <w:ind w:right="43"/>
              <w:spacing w:after="0" w:line="162" w:lineRule="exact"/>
              <w:rPr>
                <w:sz w:val="20"/>
                <w:szCs w:val="20"/>
                <w:color w:val="auto"/>
              </w:rPr>
            </w:pPr>
            <w:r>
              <w:rPr>
                <w:rFonts w:ascii="Arial" w:cs="Arial" w:eastAsia="Arial" w:hAnsi="Arial"/>
                <w:sz w:val="15"/>
                <w:szCs w:val="15"/>
                <w:color w:val="auto"/>
                <w:w w:val="95"/>
              </w:rPr>
              <w:t>0</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jc w:val="right"/>
              <w:ind w:right="3"/>
              <w:spacing w:after="0" w:line="162" w:lineRule="exact"/>
              <w:rPr>
                <w:sz w:val="20"/>
                <w:szCs w:val="20"/>
                <w:color w:val="auto"/>
              </w:rPr>
            </w:pPr>
            <w:r>
              <w:rPr>
                <w:rFonts w:ascii="Arial" w:cs="Arial" w:eastAsia="Arial" w:hAnsi="Arial"/>
                <w:sz w:val="15"/>
                <w:szCs w:val="15"/>
                <w:color w:val="auto"/>
              </w:rPr>
              <w:t>0</w:t>
            </w:r>
          </w:p>
        </w:tc>
        <w:tc>
          <w:tcPr>
            <w:tcW w:w="11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10</w:t>
            </w:r>
          </w:p>
        </w:tc>
        <w:tc>
          <w:tcPr>
            <w:tcW w:w="800" w:type="dxa"/>
            <w:vAlign w:val="bottom"/>
          </w:tcPr>
          <w:p>
            <w:pPr>
              <w:spacing w:after="0"/>
              <w:rPr>
                <w:sz w:val="14"/>
                <w:szCs w:val="14"/>
                <w:color w:val="auto"/>
              </w:rPr>
            </w:pPr>
          </w:p>
        </w:tc>
        <w:tc>
          <w:tcPr>
            <w:tcW w:w="34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0</w:t>
            </w:r>
          </w:p>
        </w:tc>
        <w:tc>
          <w:tcPr>
            <w:tcW w:w="9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Municipal securities</w:t>
            </w: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w w:val="79"/>
              </w:rPr>
              <w:t>329</w:t>
            </w: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w w:val="95"/>
              </w:rPr>
              <w:t>9</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5</w:t>
            </w:r>
          </w:p>
        </w:tc>
        <w:tc>
          <w:tcPr>
            <w:tcW w:w="118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w w:val="87"/>
              </w:rPr>
              <w:t>334</w:t>
            </w:r>
          </w:p>
        </w:tc>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w w:val="71"/>
              </w:rPr>
              <w:t>10</w:t>
            </w:r>
          </w:p>
        </w:tc>
        <w:tc>
          <w:tcPr>
            <w:tcW w:w="98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tcPr>
          <w:p>
            <w:pPr>
              <w:ind w:left="160"/>
              <w:spacing w:after="0" w:line="162" w:lineRule="exact"/>
              <w:rPr>
                <w:sz w:val="20"/>
                <w:szCs w:val="20"/>
                <w:color w:val="auto"/>
              </w:rPr>
            </w:pPr>
            <w:r>
              <w:rPr>
                <w:rFonts w:ascii="Arial" w:cs="Arial" w:eastAsia="Arial" w:hAnsi="Arial"/>
                <w:sz w:val="15"/>
                <w:szCs w:val="15"/>
                <w:color w:val="auto"/>
              </w:rPr>
              <w:t>U.S. corporate debt – non-financial</w:t>
            </w:r>
          </w:p>
        </w:tc>
        <w:tc>
          <w:tcPr>
            <w:tcW w:w="640" w:type="dxa"/>
            <w:vAlign w:val="bottom"/>
          </w:tcPr>
          <w:p>
            <w:pPr>
              <w:spacing w:after="0"/>
              <w:rPr>
                <w:sz w:val="14"/>
                <w:szCs w:val="14"/>
                <w:color w:val="auto"/>
              </w:rPr>
            </w:pPr>
          </w:p>
        </w:tc>
        <w:tc>
          <w:tcPr>
            <w:tcW w:w="400" w:type="dxa"/>
            <w:vAlign w:val="bottom"/>
          </w:tcPr>
          <w:p>
            <w:pPr>
              <w:jc w:val="right"/>
              <w:ind w:right="103"/>
              <w:spacing w:after="0" w:line="162" w:lineRule="exact"/>
              <w:rPr>
                <w:sz w:val="20"/>
                <w:szCs w:val="20"/>
                <w:color w:val="auto"/>
              </w:rPr>
            </w:pPr>
            <w:r>
              <w:rPr>
                <w:rFonts w:ascii="Arial" w:cs="Arial" w:eastAsia="Arial" w:hAnsi="Arial"/>
                <w:sz w:val="15"/>
                <w:szCs w:val="15"/>
                <w:color w:val="auto"/>
                <w:w w:val="79"/>
              </w:rPr>
              <w:t>223</w:t>
            </w:r>
          </w:p>
        </w:tc>
        <w:tc>
          <w:tcPr>
            <w:tcW w:w="860" w:type="dxa"/>
            <w:vAlign w:val="bottom"/>
          </w:tcPr>
          <w:p>
            <w:pPr>
              <w:spacing w:after="0"/>
              <w:rPr>
                <w:sz w:val="14"/>
                <w:szCs w:val="14"/>
                <w:color w:val="auto"/>
              </w:rPr>
            </w:pPr>
          </w:p>
        </w:tc>
        <w:tc>
          <w:tcPr>
            <w:tcW w:w="220" w:type="dxa"/>
            <w:vAlign w:val="bottom"/>
          </w:tcPr>
          <w:p>
            <w:pPr>
              <w:jc w:val="right"/>
              <w:ind w:right="43"/>
              <w:spacing w:after="0" w:line="162" w:lineRule="exact"/>
              <w:rPr>
                <w:sz w:val="20"/>
                <w:szCs w:val="20"/>
                <w:color w:val="auto"/>
              </w:rPr>
            </w:pPr>
            <w:r>
              <w:rPr>
                <w:rFonts w:ascii="Arial" w:cs="Arial" w:eastAsia="Arial" w:hAnsi="Arial"/>
                <w:sz w:val="15"/>
                <w:szCs w:val="15"/>
                <w:color w:val="auto"/>
                <w:w w:val="95"/>
              </w:rPr>
              <w:t>4</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jc w:val="right"/>
              <w:ind w:right="3"/>
              <w:spacing w:after="0" w:line="162" w:lineRule="exact"/>
              <w:rPr>
                <w:sz w:val="20"/>
                <w:szCs w:val="20"/>
                <w:color w:val="auto"/>
              </w:rPr>
            </w:pPr>
            <w:r>
              <w:rPr>
                <w:rFonts w:ascii="Arial" w:cs="Arial" w:eastAsia="Arial" w:hAnsi="Arial"/>
                <w:sz w:val="15"/>
                <w:szCs w:val="15"/>
                <w:color w:val="auto"/>
              </w:rPr>
              <w:t>10</w:t>
            </w:r>
          </w:p>
        </w:tc>
        <w:tc>
          <w:tcPr>
            <w:tcW w:w="11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jc w:val="right"/>
              <w:ind w:right="103"/>
              <w:spacing w:after="0" w:line="162" w:lineRule="exact"/>
              <w:rPr>
                <w:sz w:val="20"/>
                <w:szCs w:val="20"/>
                <w:color w:val="auto"/>
              </w:rPr>
            </w:pPr>
            <w:r>
              <w:rPr>
                <w:rFonts w:ascii="Arial" w:cs="Arial" w:eastAsia="Arial" w:hAnsi="Arial"/>
                <w:sz w:val="15"/>
                <w:szCs w:val="15"/>
                <w:color w:val="auto"/>
                <w:w w:val="87"/>
              </w:rPr>
              <w:t>233</w:t>
            </w:r>
          </w:p>
        </w:tc>
        <w:tc>
          <w:tcPr>
            <w:tcW w:w="800" w:type="dxa"/>
            <w:vAlign w:val="bottom"/>
          </w:tcPr>
          <w:p>
            <w:pPr>
              <w:spacing w:after="0"/>
              <w:rPr>
                <w:sz w:val="14"/>
                <w:szCs w:val="14"/>
                <w:color w:val="auto"/>
              </w:rPr>
            </w:pPr>
          </w:p>
        </w:tc>
        <w:tc>
          <w:tcPr>
            <w:tcW w:w="34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4</w:t>
            </w:r>
          </w:p>
        </w:tc>
        <w:tc>
          <w:tcPr>
            <w:tcW w:w="9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U.S. corporate debt – financial</w:t>
            </w: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w w:val="79"/>
              </w:rPr>
              <w:t>206</w:t>
            </w: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w w:val="95"/>
              </w:rPr>
              <w:t>2</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48</w:t>
            </w:r>
          </w:p>
        </w:tc>
        <w:tc>
          <w:tcPr>
            <w:tcW w:w="118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3</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w w:val="87"/>
              </w:rPr>
              <w:t>254</w:t>
            </w:r>
          </w:p>
        </w:tc>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rPr>
              <w:t>5</w:t>
            </w:r>
          </w:p>
        </w:tc>
        <w:tc>
          <w:tcPr>
            <w:tcW w:w="98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tcPr>
          <w:p>
            <w:pPr>
              <w:ind w:left="160"/>
              <w:spacing w:after="0" w:line="162" w:lineRule="exact"/>
              <w:rPr>
                <w:sz w:val="20"/>
                <w:szCs w:val="20"/>
                <w:color w:val="auto"/>
              </w:rPr>
            </w:pPr>
            <w:r>
              <w:rPr>
                <w:rFonts w:ascii="Arial" w:cs="Arial" w:eastAsia="Arial" w:hAnsi="Arial"/>
                <w:sz w:val="15"/>
                <w:szCs w:val="15"/>
                <w:color w:val="auto"/>
              </w:rPr>
              <w:t>Foreign corporate debt – non-financial</w:t>
            </w:r>
          </w:p>
        </w:tc>
        <w:tc>
          <w:tcPr>
            <w:tcW w:w="640" w:type="dxa"/>
            <w:vAlign w:val="bottom"/>
          </w:tcPr>
          <w:p>
            <w:pPr>
              <w:spacing w:after="0"/>
              <w:rPr>
                <w:sz w:val="14"/>
                <w:szCs w:val="14"/>
                <w:color w:val="auto"/>
              </w:rPr>
            </w:pPr>
          </w:p>
        </w:tc>
        <w:tc>
          <w:tcPr>
            <w:tcW w:w="40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26</w:t>
            </w:r>
          </w:p>
        </w:tc>
        <w:tc>
          <w:tcPr>
            <w:tcW w:w="860" w:type="dxa"/>
            <w:vAlign w:val="bottom"/>
          </w:tcPr>
          <w:p>
            <w:pPr>
              <w:spacing w:after="0"/>
              <w:rPr>
                <w:sz w:val="14"/>
                <w:szCs w:val="14"/>
                <w:color w:val="auto"/>
              </w:rPr>
            </w:pPr>
          </w:p>
        </w:tc>
        <w:tc>
          <w:tcPr>
            <w:tcW w:w="220" w:type="dxa"/>
            <w:vAlign w:val="bottom"/>
          </w:tcPr>
          <w:p>
            <w:pPr>
              <w:jc w:val="right"/>
              <w:ind w:right="43"/>
              <w:spacing w:after="0" w:line="162" w:lineRule="exact"/>
              <w:rPr>
                <w:sz w:val="20"/>
                <w:szCs w:val="20"/>
                <w:color w:val="auto"/>
              </w:rPr>
            </w:pPr>
            <w:r>
              <w:rPr>
                <w:rFonts w:ascii="Arial" w:cs="Arial" w:eastAsia="Arial" w:hAnsi="Arial"/>
                <w:sz w:val="15"/>
                <w:szCs w:val="15"/>
                <w:color w:val="auto"/>
                <w:w w:val="95"/>
              </w:rPr>
              <w:t>0</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jc w:val="right"/>
              <w:ind w:right="3"/>
              <w:spacing w:after="0" w:line="162" w:lineRule="exact"/>
              <w:rPr>
                <w:sz w:val="20"/>
                <w:szCs w:val="20"/>
                <w:color w:val="auto"/>
              </w:rPr>
            </w:pPr>
            <w:r>
              <w:rPr>
                <w:rFonts w:ascii="Arial" w:cs="Arial" w:eastAsia="Arial" w:hAnsi="Arial"/>
                <w:sz w:val="15"/>
                <w:szCs w:val="15"/>
                <w:color w:val="auto"/>
              </w:rPr>
              <w:t>5</w:t>
            </w:r>
          </w:p>
        </w:tc>
        <w:tc>
          <w:tcPr>
            <w:tcW w:w="11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31</w:t>
            </w:r>
          </w:p>
        </w:tc>
        <w:tc>
          <w:tcPr>
            <w:tcW w:w="800" w:type="dxa"/>
            <w:vAlign w:val="bottom"/>
          </w:tcPr>
          <w:p>
            <w:pPr>
              <w:spacing w:after="0"/>
              <w:rPr>
                <w:sz w:val="14"/>
                <w:szCs w:val="14"/>
                <w:color w:val="auto"/>
              </w:rPr>
            </w:pPr>
          </w:p>
        </w:tc>
        <w:tc>
          <w:tcPr>
            <w:tcW w:w="34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0</w:t>
            </w:r>
          </w:p>
        </w:tc>
        <w:tc>
          <w:tcPr>
            <w:tcW w:w="9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Foreign corporate debt – financial</w:t>
            </w: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44</w:t>
            </w: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w w:val="95"/>
              </w:rPr>
              <w:t>1</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7</w:t>
            </w:r>
          </w:p>
        </w:tc>
        <w:tc>
          <w:tcPr>
            <w:tcW w:w="118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51</w:t>
            </w:r>
          </w:p>
        </w:tc>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rPr>
              <w:t>1</w:t>
            </w:r>
          </w:p>
        </w:tc>
        <w:tc>
          <w:tcPr>
            <w:tcW w:w="98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tcPr>
          <w:p>
            <w:pPr>
              <w:ind w:left="160"/>
              <w:spacing w:after="0" w:line="162" w:lineRule="exact"/>
              <w:rPr>
                <w:sz w:val="20"/>
                <w:szCs w:val="20"/>
                <w:color w:val="auto"/>
              </w:rPr>
            </w:pPr>
            <w:r>
              <w:rPr>
                <w:rFonts w:ascii="Arial" w:cs="Arial" w:eastAsia="Arial" w:hAnsi="Arial"/>
                <w:sz w:val="15"/>
                <w:szCs w:val="15"/>
                <w:color w:val="auto"/>
              </w:rPr>
              <w:t>Structured securities:</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shd w:val="clear" w:color="auto" w:fill="CCEEFF"/>
          </w:tcPr>
          <w:p>
            <w:pPr>
              <w:ind w:left="340"/>
              <w:spacing w:after="0" w:line="162" w:lineRule="exact"/>
              <w:rPr>
                <w:sz w:val="20"/>
                <w:szCs w:val="20"/>
                <w:color w:val="auto"/>
              </w:rPr>
            </w:pPr>
            <w:r>
              <w:rPr>
                <w:rFonts w:ascii="Arial" w:cs="Arial" w:eastAsia="Arial" w:hAnsi="Arial"/>
                <w:sz w:val="15"/>
                <w:szCs w:val="15"/>
                <w:color w:val="auto"/>
              </w:rPr>
              <w:t>Asset-backed – other</w:t>
            </w: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tcPr>
          <w:p>
            <w:pPr>
              <w:ind w:left="340"/>
              <w:spacing w:after="0" w:line="162" w:lineRule="exact"/>
              <w:rPr>
                <w:sz w:val="20"/>
                <w:szCs w:val="20"/>
                <w:color w:val="auto"/>
              </w:rPr>
            </w:pPr>
            <w:r>
              <w:rPr>
                <w:rFonts w:ascii="Arial" w:cs="Arial" w:eastAsia="Arial" w:hAnsi="Arial"/>
                <w:sz w:val="15"/>
                <w:szCs w:val="15"/>
                <w:color w:val="auto"/>
              </w:rPr>
              <w:t>Collateralized debt obligations</w:t>
            </w:r>
          </w:p>
        </w:tc>
        <w:tc>
          <w:tcPr>
            <w:tcW w:w="640" w:type="dxa"/>
            <w:vAlign w:val="bottom"/>
          </w:tcPr>
          <w:p>
            <w:pPr>
              <w:spacing w:after="0"/>
              <w:rPr>
                <w:sz w:val="14"/>
                <w:szCs w:val="14"/>
                <w:color w:val="auto"/>
              </w:rPr>
            </w:pPr>
          </w:p>
        </w:tc>
        <w:tc>
          <w:tcPr>
            <w:tcW w:w="40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0</w:t>
            </w:r>
          </w:p>
        </w:tc>
        <w:tc>
          <w:tcPr>
            <w:tcW w:w="860" w:type="dxa"/>
            <w:vAlign w:val="bottom"/>
          </w:tcPr>
          <w:p>
            <w:pPr>
              <w:spacing w:after="0"/>
              <w:rPr>
                <w:sz w:val="14"/>
                <w:szCs w:val="14"/>
                <w:color w:val="auto"/>
              </w:rPr>
            </w:pPr>
          </w:p>
        </w:tc>
        <w:tc>
          <w:tcPr>
            <w:tcW w:w="220" w:type="dxa"/>
            <w:vAlign w:val="bottom"/>
          </w:tcPr>
          <w:p>
            <w:pPr>
              <w:jc w:val="right"/>
              <w:ind w:right="43"/>
              <w:spacing w:after="0" w:line="162" w:lineRule="exact"/>
              <w:rPr>
                <w:sz w:val="20"/>
                <w:szCs w:val="20"/>
                <w:color w:val="auto"/>
              </w:rPr>
            </w:pPr>
            <w:r>
              <w:rPr>
                <w:rFonts w:ascii="Arial" w:cs="Arial" w:eastAsia="Arial" w:hAnsi="Arial"/>
                <w:sz w:val="15"/>
                <w:szCs w:val="15"/>
                <w:color w:val="auto"/>
                <w:w w:val="95"/>
              </w:rPr>
              <w:t>0</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jc w:val="right"/>
              <w:ind w:right="3"/>
              <w:spacing w:after="0" w:line="162" w:lineRule="exact"/>
              <w:rPr>
                <w:sz w:val="20"/>
                <w:szCs w:val="20"/>
                <w:color w:val="auto"/>
              </w:rPr>
            </w:pPr>
            <w:r>
              <w:rPr>
                <w:rFonts w:ascii="Arial" w:cs="Arial" w:eastAsia="Arial" w:hAnsi="Arial"/>
                <w:sz w:val="15"/>
                <w:szCs w:val="15"/>
                <w:color w:val="auto"/>
              </w:rPr>
              <w:t>32</w:t>
            </w:r>
          </w:p>
        </w:tc>
        <w:tc>
          <w:tcPr>
            <w:tcW w:w="11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5</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32</w:t>
            </w:r>
          </w:p>
        </w:tc>
        <w:tc>
          <w:tcPr>
            <w:tcW w:w="800" w:type="dxa"/>
            <w:vAlign w:val="bottom"/>
          </w:tcPr>
          <w:p>
            <w:pPr>
              <w:spacing w:after="0"/>
              <w:rPr>
                <w:sz w:val="14"/>
                <w:szCs w:val="14"/>
                <w:color w:val="auto"/>
              </w:rPr>
            </w:pPr>
          </w:p>
        </w:tc>
        <w:tc>
          <w:tcPr>
            <w:tcW w:w="34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5</w:t>
            </w:r>
          </w:p>
        </w:tc>
        <w:tc>
          <w:tcPr>
            <w:tcW w:w="9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shd w:val="clear" w:color="auto" w:fill="CCEEFF"/>
          </w:tcPr>
          <w:p>
            <w:pPr>
              <w:ind w:left="340"/>
              <w:spacing w:after="0" w:line="162" w:lineRule="exact"/>
              <w:rPr>
                <w:sz w:val="20"/>
                <w:szCs w:val="20"/>
                <w:color w:val="auto"/>
              </w:rPr>
            </w:pPr>
            <w:r>
              <w:rPr>
                <w:rFonts w:ascii="Arial" w:cs="Arial" w:eastAsia="Arial" w:hAnsi="Arial"/>
                <w:sz w:val="15"/>
                <w:szCs w:val="15"/>
                <w:color w:val="auto"/>
              </w:rPr>
              <w:t>Commercial mortgage-backed</w:t>
            </w: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0</w:t>
            </w: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w w:val="95"/>
              </w:rPr>
              <w:t>0</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7</w:t>
            </w:r>
          </w:p>
        </w:tc>
        <w:tc>
          <w:tcPr>
            <w:tcW w:w="118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7</w:t>
            </w:r>
          </w:p>
        </w:tc>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rPr>
              <w:t>0</w:t>
            </w:r>
          </w:p>
        </w:tc>
        <w:tc>
          <w:tcPr>
            <w:tcW w:w="98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tcPr>
          <w:p>
            <w:pPr>
              <w:ind w:left="340"/>
              <w:spacing w:after="0" w:line="162" w:lineRule="exact"/>
              <w:rPr>
                <w:sz w:val="20"/>
                <w:szCs w:val="20"/>
                <w:color w:val="auto"/>
              </w:rPr>
            </w:pPr>
            <w:r>
              <w:rPr>
                <w:rFonts w:ascii="Arial" w:cs="Arial" w:eastAsia="Arial" w:hAnsi="Arial"/>
                <w:sz w:val="15"/>
                <w:szCs w:val="15"/>
                <w:color w:val="auto"/>
              </w:rPr>
              <w:t>Residential mortgage-backed:</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shd w:val="clear" w:color="auto" w:fill="CCEEFF"/>
          </w:tcPr>
          <w:p>
            <w:pPr>
              <w:ind w:left="520"/>
              <w:spacing w:after="0" w:line="162" w:lineRule="exact"/>
              <w:rPr>
                <w:sz w:val="20"/>
                <w:szCs w:val="20"/>
                <w:color w:val="auto"/>
              </w:rPr>
            </w:pPr>
            <w:r>
              <w:rPr>
                <w:rFonts w:ascii="Arial" w:cs="Arial" w:eastAsia="Arial" w:hAnsi="Arial"/>
                <w:sz w:val="15"/>
                <w:szCs w:val="15"/>
                <w:color w:val="auto"/>
              </w:rPr>
              <w:t>Government sponsored enterprises</w:t>
            </w: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27</w:t>
            </w: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w w:val="95"/>
              </w:rPr>
              <w:t>1</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0</w:t>
            </w:r>
          </w:p>
        </w:tc>
        <w:tc>
          <w:tcPr>
            <w:tcW w:w="118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27</w:t>
            </w:r>
          </w:p>
        </w:tc>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rPr>
              <w:t>1</w:t>
            </w:r>
          </w:p>
        </w:tc>
        <w:tc>
          <w:tcPr>
            <w:tcW w:w="98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tcBorders>
              <w:bottom w:val="single" w:sz="8" w:color="CCEEFF"/>
            </w:tcBorders>
          </w:tcPr>
          <w:p>
            <w:pPr>
              <w:ind w:left="520"/>
              <w:spacing w:after="0" w:line="162" w:lineRule="exact"/>
              <w:rPr>
                <w:sz w:val="20"/>
                <w:szCs w:val="20"/>
                <w:color w:val="auto"/>
              </w:rPr>
            </w:pPr>
            <w:r>
              <w:rPr>
                <w:rFonts w:ascii="Arial" w:cs="Arial" w:eastAsia="Arial" w:hAnsi="Arial"/>
                <w:sz w:val="15"/>
                <w:szCs w:val="15"/>
                <w:color w:val="auto"/>
              </w:rPr>
              <w:t>Non-government sponsored enterprises</w:t>
            </w:r>
          </w:p>
        </w:tc>
        <w:tc>
          <w:tcPr>
            <w:tcW w:w="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03"/>
              <w:spacing w:after="0" w:line="162" w:lineRule="exact"/>
              <w:rPr>
                <w:sz w:val="20"/>
                <w:szCs w:val="20"/>
                <w:color w:val="auto"/>
              </w:rPr>
            </w:pPr>
            <w:r>
              <w:rPr>
                <w:rFonts w:ascii="Arial" w:cs="Arial" w:eastAsia="Arial" w:hAnsi="Arial"/>
                <w:sz w:val="15"/>
                <w:szCs w:val="15"/>
                <w:color w:val="auto"/>
              </w:rPr>
              <w:t>0</w:t>
            </w: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w w:val="95"/>
              </w:rPr>
              <w:t>0</w:t>
            </w:r>
          </w:p>
        </w:tc>
        <w:tc>
          <w:tcPr>
            <w:tcW w:w="1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4</w:t>
            </w:r>
          </w:p>
        </w:tc>
        <w:tc>
          <w:tcPr>
            <w:tcW w:w="118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03"/>
              <w:spacing w:after="0" w:line="162" w:lineRule="exact"/>
              <w:rPr>
                <w:sz w:val="20"/>
                <w:szCs w:val="20"/>
                <w:color w:val="auto"/>
              </w:rPr>
            </w:pPr>
            <w:r>
              <w:rPr>
                <w:rFonts w:ascii="Arial" w:cs="Arial" w:eastAsia="Arial" w:hAnsi="Arial"/>
                <w:sz w:val="15"/>
                <w:szCs w:val="15"/>
                <w:color w:val="auto"/>
              </w:rPr>
              <w:t>4</w:t>
            </w:r>
          </w:p>
        </w:tc>
        <w:tc>
          <w:tcPr>
            <w:tcW w:w="8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123"/>
              <w:spacing w:after="0" w:line="162" w:lineRule="exact"/>
              <w:rPr>
                <w:sz w:val="20"/>
                <w:szCs w:val="20"/>
                <w:color w:val="auto"/>
              </w:rPr>
            </w:pPr>
            <w:r>
              <w:rPr>
                <w:rFonts w:ascii="Arial" w:cs="Arial" w:eastAsia="Arial" w:hAnsi="Arial"/>
                <w:sz w:val="15"/>
                <w:szCs w:val="15"/>
                <w:color w:val="auto"/>
              </w:rPr>
              <w:t>0</w:t>
            </w:r>
          </w:p>
        </w:tc>
        <w:tc>
          <w:tcPr>
            <w:tcW w:w="98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6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Total fixed maturities – Exchange</w:t>
            </w:r>
          </w:p>
        </w:tc>
        <w:tc>
          <w:tcPr>
            <w:tcW w:w="1040" w:type="dxa"/>
            <w:vAlign w:val="bottom"/>
            <w:tcBorders>
              <w:bottom w:val="single" w:sz="8" w:color="auto"/>
            </w:tcBorders>
            <w:gridSpan w:val="2"/>
            <w:shd w:val="clear" w:color="auto" w:fill="CCEEFF"/>
          </w:tcPr>
          <w:p>
            <w:pPr>
              <w:jc w:val="right"/>
              <w:ind w:right="103"/>
              <w:spacing w:after="0" w:line="156" w:lineRule="exact"/>
              <w:rPr>
                <w:sz w:val="20"/>
                <w:szCs w:val="20"/>
                <w:color w:val="auto"/>
              </w:rPr>
            </w:pPr>
            <w:r>
              <w:rPr>
                <w:rFonts w:ascii="Arial" w:cs="Arial" w:eastAsia="Arial" w:hAnsi="Arial"/>
                <w:sz w:val="15"/>
                <w:szCs w:val="15"/>
                <w:color w:val="auto"/>
              </w:rPr>
              <w:t>$901</w:t>
            </w:r>
          </w:p>
        </w:tc>
        <w:tc>
          <w:tcPr>
            <w:tcW w:w="1080" w:type="dxa"/>
            <w:vAlign w:val="bottom"/>
            <w:tcBorders>
              <w:bottom w:val="single" w:sz="8" w:color="auto"/>
            </w:tcBorders>
            <w:gridSpan w:val="2"/>
            <w:shd w:val="clear" w:color="auto" w:fill="CCEEFF"/>
          </w:tcPr>
          <w:p>
            <w:pPr>
              <w:jc w:val="right"/>
              <w:ind w:right="43"/>
              <w:spacing w:after="0" w:line="156" w:lineRule="exact"/>
              <w:rPr>
                <w:sz w:val="20"/>
                <w:szCs w:val="20"/>
                <w:color w:val="auto"/>
              </w:rPr>
            </w:pPr>
            <w:r>
              <w:rPr>
                <w:rFonts w:ascii="Arial" w:cs="Arial" w:eastAsia="Arial" w:hAnsi="Arial"/>
                <w:sz w:val="15"/>
                <w:szCs w:val="15"/>
                <w:color w:val="auto"/>
              </w:rPr>
              <w:t>$17</w:t>
            </w:r>
          </w:p>
        </w:tc>
        <w:tc>
          <w:tcPr>
            <w:tcW w:w="1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auto"/>
            </w:tcBorders>
            <w:gridSpan w:val="2"/>
            <w:shd w:val="clear" w:color="auto" w:fill="CCEEFF"/>
          </w:tcPr>
          <w:p>
            <w:pPr>
              <w:jc w:val="right"/>
              <w:ind w:right="3"/>
              <w:spacing w:after="0" w:line="156" w:lineRule="exact"/>
              <w:rPr>
                <w:sz w:val="20"/>
                <w:szCs w:val="20"/>
                <w:color w:val="auto"/>
              </w:rPr>
            </w:pPr>
            <w:r>
              <w:rPr>
                <w:rFonts w:ascii="Arial" w:cs="Arial" w:eastAsia="Arial" w:hAnsi="Arial"/>
                <w:sz w:val="15"/>
                <w:szCs w:val="15"/>
                <w:color w:val="auto"/>
              </w:rPr>
              <w:t>$118</w:t>
            </w:r>
          </w:p>
        </w:tc>
        <w:tc>
          <w:tcPr>
            <w:tcW w:w="1180" w:type="dxa"/>
            <w:vAlign w:val="bottom"/>
            <w:tcBorders>
              <w:bottom w:val="single" w:sz="8" w:color="auto"/>
            </w:tcBorders>
            <w:shd w:val="clear" w:color="auto" w:fill="CCEEFF"/>
          </w:tcPr>
          <w:p>
            <w:pPr>
              <w:jc w:val="right"/>
              <w:ind w:right="43"/>
              <w:spacing w:after="0" w:line="156" w:lineRule="exact"/>
              <w:rPr>
                <w:sz w:val="20"/>
                <w:szCs w:val="20"/>
                <w:color w:val="auto"/>
              </w:rPr>
            </w:pPr>
            <w:r>
              <w:rPr>
                <w:rFonts w:ascii="Arial" w:cs="Arial" w:eastAsia="Arial" w:hAnsi="Arial"/>
                <w:sz w:val="15"/>
                <w:szCs w:val="15"/>
                <w:color w:val="auto"/>
              </w:rPr>
              <w:t>$9</w:t>
            </w: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auto"/>
            </w:tcBorders>
            <w:gridSpan w:val="2"/>
            <w:shd w:val="clear" w:color="auto" w:fill="CCEEFF"/>
          </w:tcPr>
          <w:p>
            <w:pPr>
              <w:jc w:val="right"/>
              <w:ind w:right="103"/>
              <w:spacing w:after="0" w:line="156" w:lineRule="exact"/>
              <w:rPr>
                <w:sz w:val="20"/>
                <w:szCs w:val="20"/>
                <w:color w:val="auto"/>
              </w:rPr>
            </w:pPr>
            <w:r>
              <w:rPr>
                <w:rFonts w:ascii="Arial" w:cs="Arial" w:eastAsia="Arial" w:hAnsi="Arial"/>
                <w:sz w:val="15"/>
                <w:szCs w:val="15"/>
                <w:color w:val="auto"/>
              </w:rPr>
              <w:t>$1,019</w:t>
            </w:r>
          </w:p>
        </w:tc>
        <w:tc>
          <w:tcPr>
            <w:tcW w:w="1140" w:type="dxa"/>
            <w:vAlign w:val="bottom"/>
            <w:tcBorders>
              <w:bottom w:val="single" w:sz="8" w:color="auto"/>
            </w:tcBorders>
            <w:gridSpan w:val="2"/>
            <w:shd w:val="clear" w:color="auto" w:fill="CCEEFF"/>
          </w:tcPr>
          <w:p>
            <w:pPr>
              <w:jc w:val="right"/>
              <w:ind w:right="123"/>
              <w:spacing w:after="0" w:line="156" w:lineRule="exact"/>
              <w:rPr>
                <w:sz w:val="20"/>
                <w:szCs w:val="20"/>
                <w:color w:val="auto"/>
              </w:rPr>
            </w:pPr>
            <w:r>
              <w:rPr>
                <w:rFonts w:ascii="Arial" w:cs="Arial" w:eastAsia="Arial" w:hAnsi="Arial"/>
                <w:sz w:val="15"/>
                <w:szCs w:val="15"/>
                <w:color w:val="auto"/>
              </w:rPr>
              <w:t>$26</w:t>
            </w:r>
          </w:p>
        </w:tc>
        <w:tc>
          <w:tcPr>
            <w:tcW w:w="980" w:type="dxa"/>
            <w:vAlign w:val="bottom"/>
            <w:tcBorders>
              <w:bottom w:val="single" w:sz="8" w:color="auto"/>
            </w:tcBorders>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vMerge w:val="restart"/>
          </w:tcPr>
          <w:p>
            <w:pPr>
              <w:spacing w:after="0" w:line="156" w:lineRule="exact"/>
              <w:rPr>
                <w:sz w:val="20"/>
                <w:szCs w:val="20"/>
                <w:color w:val="auto"/>
              </w:rPr>
            </w:pPr>
            <w:r>
              <w:rPr>
                <w:rFonts w:ascii="Arial" w:cs="Arial" w:eastAsia="Arial" w:hAnsi="Arial"/>
                <w:sz w:val="15"/>
                <w:szCs w:val="15"/>
                <w:color w:val="auto"/>
              </w:rPr>
              <w:t>Equity securities:</w:t>
            </w: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376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U.S. nonredeemable preferred securities:</w:t>
            </w: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tcPr>
          <w:p>
            <w:pPr>
              <w:ind w:left="340"/>
              <w:spacing w:after="0" w:line="162" w:lineRule="exact"/>
              <w:rPr>
                <w:sz w:val="20"/>
                <w:szCs w:val="20"/>
                <w:color w:val="auto"/>
              </w:rPr>
            </w:pPr>
            <w:r>
              <w:rPr>
                <w:rFonts w:ascii="Arial" w:cs="Arial" w:eastAsia="Arial" w:hAnsi="Arial"/>
                <w:sz w:val="15"/>
                <w:szCs w:val="15"/>
                <w:color w:val="auto"/>
              </w:rPr>
              <w:t>Financial</w:t>
            </w: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15</w:t>
            </w: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jc w:val="right"/>
              <w:ind w:right="43"/>
              <w:spacing w:after="0" w:line="162" w:lineRule="exact"/>
              <w:rPr>
                <w:sz w:val="20"/>
                <w:szCs w:val="20"/>
                <w:color w:val="auto"/>
              </w:rPr>
            </w:pPr>
            <w:r>
              <w:rPr>
                <w:rFonts w:ascii="Arial" w:cs="Arial" w:eastAsia="Arial" w:hAnsi="Arial"/>
                <w:sz w:val="15"/>
                <w:szCs w:val="15"/>
                <w:color w:val="auto"/>
                <w:w w:val="95"/>
              </w:rPr>
              <w:t>0</w:t>
            </w: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jc w:val="right"/>
              <w:ind w:right="3"/>
              <w:spacing w:after="0" w:line="162" w:lineRule="exact"/>
              <w:rPr>
                <w:sz w:val="20"/>
                <w:szCs w:val="20"/>
                <w:color w:val="auto"/>
              </w:rPr>
            </w:pPr>
            <w:r>
              <w:rPr>
                <w:rFonts w:ascii="Arial" w:cs="Arial" w:eastAsia="Arial" w:hAnsi="Arial"/>
                <w:sz w:val="15"/>
                <w:szCs w:val="15"/>
                <w:color w:val="auto"/>
              </w:rPr>
              <w:t>13</w:t>
            </w:r>
          </w:p>
        </w:tc>
        <w:tc>
          <w:tcPr>
            <w:tcW w:w="11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$1</w:t>
            </w:r>
          </w:p>
        </w:tc>
        <w:tc>
          <w:tcPr>
            <w:tcW w:w="120" w:type="dxa"/>
            <w:vAlign w:val="bottom"/>
          </w:tcPr>
          <w:p>
            <w:pPr>
              <w:spacing w:after="0"/>
              <w:rPr>
                <w:sz w:val="14"/>
                <w:szCs w:val="14"/>
                <w:color w:val="auto"/>
              </w:rPr>
            </w:pPr>
          </w:p>
        </w:tc>
        <w:tc>
          <w:tcPr>
            <w:tcW w:w="60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42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28</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4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1</w:t>
            </w:r>
          </w:p>
        </w:tc>
        <w:tc>
          <w:tcPr>
            <w:tcW w:w="9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shd w:val="clear" w:color="auto" w:fill="CCEEFF"/>
          </w:tcPr>
          <w:p>
            <w:pPr>
              <w:ind w:left="340"/>
              <w:spacing w:after="0" w:line="162" w:lineRule="exact"/>
              <w:rPr>
                <w:sz w:val="20"/>
                <w:szCs w:val="20"/>
                <w:color w:val="auto"/>
              </w:rPr>
            </w:pPr>
            <w:r>
              <w:rPr>
                <w:rFonts w:ascii="Arial" w:cs="Arial" w:eastAsia="Arial" w:hAnsi="Arial"/>
                <w:sz w:val="15"/>
                <w:szCs w:val="15"/>
                <w:color w:val="auto"/>
              </w:rPr>
              <w:t>Non-financial</w:t>
            </w: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25</w:t>
            </w: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w w:val="95"/>
              </w:rPr>
              <w:t>0</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15</w:t>
            </w:r>
          </w:p>
        </w:tc>
        <w:tc>
          <w:tcPr>
            <w:tcW w:w="118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40</w:t>
            </w:r>
          </w:p>
        </w:tc>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rPr>
              <w:t>1</w:t>
            </w:r>
          </w:p>
        </w:tc>
        <w:tc>
          <w:tcPr>
            <w:tcW w:w="98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tcPr>
          <w:p>
            <w:pPr>
              <w:ind w:left="160"/>
              <w:spacing w:after="0" w:line="162" w:lineRule="exact"/>
              <w:rPr>
                <w:sz w:val="20"/>
                <w:szCs w:val="20"/>
                <w:color w:val="auto"/>
              </w:rPr>
            </w:pPr>
            <w:r>
              <w:rPr>
                <w:rFonts w:ascii="Arial" w:cs="Arial" w:eastAsia="Arial" w:hAnsi="Arial"/>
                <w:sz w:val="15"/>
                <w:szCs w:val="15"/>
                <w:color w:val="auto"/>
              </w:rPr>
              <w:t>Foreign nonredeemable preferred securities:</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shd w:val="clear" w:color="auto" w:fill="CCEEFF"/>
          </w:tcPr>
          <w:p>
            <w:pPr>
              <w:ind w:left="340"/>
              <w:spacing w:after="0" w:line="162" w:lineRule="exact"/>
              <w:rPr>
                <w:sz w:val="20"/>
                <w:szCs w:val="20"/>
                <w:color w:val="auto"/>
              </w:rPr>
            </w:pPr>
            <w:r>
              <w:rPr>
                <w:rFonts w:ascii="Arial" w:cs="Arial" w:eastAsia="Arial" w:hAnsi="Arial"/>
                <w:sz w:val="15"/>
                <w:szCs w:val="15"/>
                <w:color w:val="auto"/>
              </w:rPr>
              <w:t>Financial</w:t>
            </w:r>
          </w:p>
        </w:tc>
        <w:tc>
          <w:tcPr>
            <w:tcW w:w="6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0</w:t>
            </w:r>
          </w:p>
        </w:tc>
        <w:tc>
          <w:tcPr>
            <w:tcW w:w="86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w w:val="95"/>
              </w:rPr>
              <w:t>0</w:t>
            </w:r>
          </w:p>
        </w:tc>
        <w:tc>
          <w:tcPr>
            <w:tcW w:w="14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7</w:t>
            </w:r>
          </w:p>
        </w:tc>
        <w:tc>
          <w:tcPr>
            <w:tcW w:w="1180" w:type="dxa"/>
            <w:vAlign w:val="bottom"/>
            <w:tcBorders>
              <w:bottom w:val="single" w:sz="8" w:color="auto"/>
            </w:tcBorders>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7</w:t>
            </w:r>
          </w:p>
        </w:tc>
        <w:tc>
          <w:tcPr>
            <w:tcW w:w="8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rPr>
              <w:t>0</w:t>
            </w:r>
          </w:p>
        </w:tc>
        <w:tc>
          <w:tcPr>
            <w:tcW w:w="980" w:type="dxa"/>
            <w:vAlign w:val="bottom"/>
            <w:tcBorders>
              <w:bottom w:val="single" w:sz="8" w:color="auto"/>
            </w:tcBorders>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6"/>
        </w:trPr>
        <w:tc>
          <w:tcPr>
            <w:tcW w:w="3780" w:type="dxa"/>
            <w:vAlign w:val="bottom"/>
            <w:gridSpan w:val="2"/>
          </w:tcPr>
          <w:p>
            <w:pPr>
              <w:spacing w:after="0" w:line="156" w:lineRule="exact"/>
              <w:rPr>
                <w:sz w:val="20"/>
                <w:szCs w:val="20"/>
                <w:color w:val="auto"/>
              </w:rPr>
            </w:pPr>
            <w:r>
              <w:rPr>
                <w:rFonts w:ascii="Arial" w:cs="Arial" w:eastAsia="Arial" w:hAnsi="Arial"/>
                <w:sz w:val="15"/>
                <w:szCs w:val="15"/>
                <w:color w:val="auto"/>
              </w:rPr>
              <w:t>Total equity securities – Exchange</w:t>
            </w:r>
          </w:p>
        </w:tc>
        <w:tc>
          <w:tcPr>
            <w:tcW w:w="6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jc w:val="right"/>
              <w:ind w:right="103"/>
              <w:spacing w:after="0" w:line="156" w:lineRule="exact"/>
              <w:rPr>
                <w:sz w:val="20"/>
                <w:szCs w:val="20"/>
                <w:color w:val="auto"/>
              </w:rPr>
            </w:pPr>
            <w:r>
              <w:rPr>
                <w:rFonts w:ascii="Arial" w:cs="Arial" w:eastAsia="Arial" w:hAnsi="Arial"/>
                <w:sz w:val="15"/>
                <w:szCs w:val="15"/>
                <w:color w:val="auto"/>
              </w:rPr>
              <w:t>40</w:t>
            </w:r>
          </w:p>
        </w:tc>
        <w:tc>
          <w:tcPr>
            <w:tcW w:w="8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w w:val="95"/>
              </w:rPr>
              <w:t>0</w:t>
            </w:r>
          </w:p>
        </w:tc>
        <w:tc>
          <w:tcPr>
            <w:tcW w:w="140" w:type="dxa"/>
            <w:vAlign w:val="bottom"/>
          </w:tcPr>
          <w:p>
            <w:pPr>
              <w:spacing w:after="0"/>
              <w:rPr>
                <w:sz w:val="17"/>
                <w:szCs w:val="17"/>
                <w:color w:val="auto"/>
              </w:rPr>
            </w:pPr>
          </w:p>
        </w:tc>
        <w:tc>
          <w:tcPr>
            <w:tcW w:w="6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jc w:val="right"/>
              <w:ind w:right="3"/>
              <w:spacing w:after="0" w:line="156" w:lineRule="exact"/>
              <w:rPr>
                <w:sz w:val="20"/>
                <w:szCs w:val="20"/>
                <w:color w:val="auto"/>
              </w:rPr>
            </w:pPr>
            <w:r>
              <w:rPr>
                <w:rFonts w:ascii="Arial" w:cs="Arial" w:eastAsia="Arial" w:hAnsi="Arial"/>
                <w:sz w:val="15"/>
                <w:szCs w:val="15"/>
                <w:color w:val="auto"/>
              </w:rPr>
              <w:t>35</w:t>
            </w:r>
          </w:p>
        </w:tc>
        <w:tc>
          <w:tcPr>
            <w:tcW w:w="118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rPr>
              <w:t>$2</w:t>
            </w:r>
          </w:p>
        </w:tc>
        <w:tc>
          <w:tcPr>
            <w:tcW w:w="120" w:type="dxa"/>
            <w:vAlign w:val="bottom"/>
          </w:tcPr>
          <w:p>
            <w:pPr>
              <w:spacing w:after="0"/>
              <w:rPr>
                <w:sz w:val="17"/>
                <w:szCs w:val="17"/>
                <w:color w:val="auto"/>
              </w:rPr>
            </w:pPr>
          </w:p>
        </w:tc>
        <w:tc>
          <w:tcPr>
            <w:tcW w:w="600" w:type="dxa"/>
            <w:vAlign w:val="bottom"/>
            <w:tcBorders>
              <w:bottom w:val="single" w:sz="8" w:color="auto"/>
            </w:tcBorders>
          </w:tcPr>
          <w:p>
            <w:pPr>
              <w:jc w:val="right"/>
              <w:ind w:right="23"/>
              <w:spacing w:after="0" w:line="156"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tcPr>
          <w:p>
            <w:pPr>
              <w:jc w:val="right"/>
              <w:ind w:right="103"/>
              <w:spacing w:after="0" w:line="156" w:lineRule="exact"/>
              <w:rPr>
                <w:sz w:val="20"/>
                <w:szCs w:val="20"/>
                <w:color w:val="auto"/>
              </w:rPr>
            </w:pPr>
            <w:r>
              <w:rPr>
                <w:rFonts w:ascii="Arial" w:cs="Arial" w:eastAsia="Arial" w:hAnsi="Arial"/>
                <w:sz w:val="15"/>
                <w:szCs w:val="15"/>
                <w:color w:val="auto"/>
              </w:rPr>
              <w:t>75</w:t>
            </w:r>
          </w:p>
        </w:tc>
        <w:tc>
          <w:tcPr>
            <w:tcW w:w="8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jc w:val="right"/>
              <w:ind w:right="123"/>
              <w:spacing w:after="0" w:line="156" w:lineRule="exact"/>
              <w:rPr>
                <w:sz w:val="20"/>
                <w:szCs w:val="20"/>
                <w:color w:val="auto"/>
              </w:rPr>
            </w:pPr>
            <w:r>
              <w:rPr>
                <w:rFonts w:ascii="Arial" w:cs="Arial" w:eastAsia="Arial" w:hAnsi="Arial"/>
                <w:sz w:val="15"/>
                <w:szCs w:val="15"/>
                <w:color w:val="auto"/>
              </w:rPr>
              <w:t>2</w:t>
            </w:r>
          </w:p>
        </w:tc>
        <w:tc>
          <w:tcPr>
            <w:tcW w:w="980" w:type="dxa"/>
            <w:vAlign w:val="bottom"/>
            <w:tcBorders>
              <w:bottom w:val="single" w:sz="8" w:color="auto"/>
            </w:tcBorders>
          </w:tcPr>
          <w:p>
            <w:pPr>
              <w:jc w:val="right"/>
              <w:ind w:right="23"/>
              <w:spacing w:after="0" w:line="156" w:lineRule="exact"/>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7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b w:val="1"/>
                <w:bCs w:val="1"/>
                <w:color w:val="auto"/>
              </w:rPr>
              <w:t>Quality breakdown of fixed maturities:</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Investment grade</w:t>
            </w:r>
          </w:p>
        </w:tc>
        <w:tc>
          <w:tcPr>
            <w:tcW w:w="1040" w:type="dxa"/>
            <w:vAlign w:val="bottom"/>
            <w:gridSpan w:val="2"/>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$874</w:t>
            </w:r>
          </w:p>
        </w:tc>
        <w:tc>
          <w:tcPr>
            <w:tcW w:w="1080" w:type="dxa"/>
            <w:vAlign w:val="bottom"/>
            <w:gridSpan w:val="2"/>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$17</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$103</w:t>
            </w:r>
          </w:p>
        </w:tc>
        <w:tc>
          <w:tcPr>
            <w:tcW w:w="118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$8</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w w:val="87"/>
              </w:rPr>
              <w:t>977</w:t>
            </w:r>
          </w:p>
        </w:tc>
        <w:tc>
          <w:tcPr>
            <w:tcW w:w="1140" w:type="dxa"/>
            <w:vAlign w:val="bottom"/>
            <w:gridSpan w:val="2"/>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rPr>
              <w:t>$25</w:t>
            </w:r>
          </w:p>
        </w:tc>
        <w:tc>
          <w:tcPr>
            <w:tcW w:w="98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Non-investment grade</w:t>
            </w:r>
          </w:p>
        </w:tc>
        <w:tc>
          <w:tcPr>
            <w:tcW w:w="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03"/>
              <w:spacing w:after="0" w:line="162" w:lineRule="exact"/>
              <w:rPr>
                <w:sz w:val="20"/>
                <w:szCs w:val="20"/>
                <w:color w:val="auto"/>
              </w:rPr>
            </w:pPr>
            <w:r>
              <w:rPr>
                <w:rFonts w:ascii="Arial" w:cs="Arial" w:eastAsia="Arial" w:hAnsi="Arial"/>
                <w:sz w:val="15"/>
                <w:szCs w:val="15"/>
                <w:color w:val="auto"/>
              </w:rPr>
              <w:t>27</w:t>
            </w: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w w:val="95"/>
              </w:rPr>
              <w:t>0</w:t>
            </w:r>
          </w:p>
        </w:tc>
        <w:tc>
          <w:tcPr>
            <w:tcW w:w="1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15</w:t>
            </w:r>
          </w:p>
        </w:tc>
        <w:tc>
          <w:tcPr>
            <w:tcW w:w="118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1</w:t>
            </w:r>
          </w:p>
        </w:tc>
        <w:tc>
          <w:tcPr>
            <w:tcW w:w="1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03"/>
              <w:spacing w:after="0" w:line="162" w:lineRule="exact"/>
              <w:rPr>
                <w:sz w:val="20"/>
                <w:szCs w:val="20"/>
                <w:color w:val="auto"/>
              </w:rPr>
            </w:pPr>
            <w:r>
              <w:rPr>
                <w:rFonts w:ascii="Arial" w:cs="Arial" w:eastAsia="Arial" w:hAnsi="Arial"/>
                <w:sz w:val="15"/>
                <w:szCs w:val="15"/>
                <w:color w:val="auto"/>
              </w:rPr>
              <w:t>42</w:t>
            </w:r>
          </w:p>
        </w:tc>
        <w:tc>
          <w:tcPr>
            <w:tcW w:w="8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123"/>
              <w:spacing w:after="0" w:line="162" w:lineRule="exact"/>
              <w:rPr>
                <w:sz w:val="20"/>
                <w:szCs w:val="20"/>
                <w:color w:val="auto"/>
              </w:rPr>
            </w:pPr>
            <w:r>
              <w:rPr>
                <w:rFonts w:ascii="Arial" w:cs="Arial" w:eastAsia="Arial" w:hAnsi="Arial"/>
                <w:sz w:val="15"/>
                <w:szCs w:val="15"/>
                <w:color w:val="auto"/>
              </w:rPr>
              <w:t>1</w:t>
            </w:r>
          </w:p>
        </w:tc>
        <w:tc>
          <w:tcPr>
            <w:tcW w:w="98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60" w:type="dxa"/>
            <w:vAlign w:val="bottom"/>
            <w:tcBorders>
              <w:bottom w:val="single" w:sz="8" w:color="CCEEFF"/>
            </w:tcBorders>
            <w:shd w:val="clear" w:color="auto" w:fill="CCEEFF"/>
          </w:tcPr>
          <w:p>
            <w:pPr>
              <w:ind w:left="520"/>
              <w:spacing w:after="0" w:line="155" w:lineRule="exact"/>
              <w:rPr>
                <w:sz w:val="20"/>
                <w:szCs w:val="20"/>
                <w:color w:val="auto"/>
              </w:rPr>
            </w:pPr>
            <w:r>
              <w:rPr>
                <w:rFonts w:ascii="Arial" w:cs="Arial" w:eastAsia="Arial" w:hAnsi="Arial"/>
                <w:sz w:val="14"/>
                <w:szCs w:val="14"/>
                <w:color w:val="auto"/>
              </w:rPr>
              <w:t>Total fixed maturities – Exchange</w:t>
            </w:r>
          </w:p>
        </w:tc>
        <w:tc>
          <w:tcPr>
            <w:tcW w:w="1040" w:type="dxa"/>
            <w:vAlign w:val="bottom"/>
            <w:tcBorders>
              <w:bottom w:val="single" w:sz="8" w:color="auto"/>
            </w:tcBorders>
            <w:gridSpan w:val="2"/>
            <w:shd w:val="clear" w:color="auto" w:fill="CCEEFF"/>
          </w:tcPr>
          <w:p>
            <w:pPr>
              <w:jc w:val="right"/>
              <w:ind w:right="103"/>
              <w:spacing w:after="0" w:line="156" w:lineRule="exact"/>
              <w:rPr>
                <w:sz w:val="20"/>
                <w:szCs w:val="20"/>
                <w:color w:val="auto"/>
              </w:rPr>
            </w:pPr>
            <w:r>
              <w:rPr>
                <w:rFonts w:ascii="Arial" w:cs="Arial" w:eastAsia="Arial" w:hAnsi="Arial"/>
                <w:sz w:val="15"/>
                <w:szCs w:val="15"/>
                <w:color w:val="auto"/>
              </w:rPr>
              <w:t>$901</w:t>
            </w:r>
          </w:p>
        </w:tc>
        <w:tc>
          <w:tcPr>
            <w:tcW w:w="1080" w:type="dxa"/>
            <w:vAlign w:val="bottom"/>
            <w:tcBorders>
              <w:bottom w:val="single" w:sz="8" w:color="auto"/>
            </w:tcBorders>
            <w:gridSpan w:val="2"/>
            <w:shd w:val="clear" w:color="auto" w:fill="CCEEFF"/>
          </w:tcPr>
          <w:p>
            <w:pPr>
              <w:jc w:val="right"/>
              <w:ind w:right="43"/>
              <w:spacing w:after="0" w:line="156" w:lineRule="exact"/>
              <w:rPr>
                <w:sz w:val="20"/>
                <w:szCs w:val="20"/>
                <w:color w:val="auto"/>
              </w:rPr>
            </w:pPr>
            <w:r>
              <w:rPr>
                <w:rFonts w:ascii="Arial" w:cs="Arial" w:eastAsia="Arial" w:hAnsi="Arial"/>
                <w:sz w:val="15"/>
                <w:szCs w:val="15"/>
                <w:color w:val="auto"/>
              </w:rPr>
              <w:t>$17</w:t>
            </w:r>
          </w:p>
        </w:tc>
        <w:tc>
          <w:tcPr>
            <w:tcW w:w="1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auto"/>
            </w:tcBorders>
            <w:gridSpan w:val="2"/>
            <w:shd w:val="clear" w:color="auto" w:fill="CCEEFF"/>
          </w:tcPr>
          <w:p>
            <w:pPr>
              <w:jc w:val="right"/>
              <w:ind w:right="3"/>
              <w:spacing w:after="0" w:line="156" w:lineRule="exact"/>
              <w:rPr>
                <w:sz w:val="20"/>
                <w:szCs w:val="20"/>
                <w:color w:val="auto"/>
              </w:rPr>
            </w:pPr>
            <w:r>
              <w:rPr>
                <w:rFonts w:ascii="Arial" w:cs="Arial" w:eastAsia="Arial" w:hAnsi="Arial"/>
                <w:sz w:val="15"/>
                <w:szCs w:val="15"/>
                <w:color w:val="auto"/>
              </w:rPr>
              <w:t>$118</w:t>
            </w:r>
          </w:p>
        </w:tc>
        <w:tc>
          <w:tcPr>
            <w:tcW w:w="1180" w:type="dxa"/>
            <w:vAlign w:val="bottom"/>
            <w:tcBorders>
              <w:bottom w:val="single" w:sz="8" w:color="auto"/>
            </w:tcBorders>
            <w:shd w:val="clear" w:color="auto" w:fill="CCEEFF"/>
          </w:tcPr>
          <w:p>
            <w:pPr>
              <w:jc w:val="right"/>
              <w:ind w:right="43"/>
              <w:spacing w:after="0" w:line="156" w:lineRule="exact"/>
              <w:rPr>
                <w:sz w:val="20"/>
                <w:szCs w:val="20"/>
                <w:color w:val="auto"/>
              </w:rPr>
            </w:pPr>
            <w:r>
              <w:rPr>
                <w:rFonts w:ascii="Arial" w:cs="Arial" w:eastAsia="Arial" w:hAnsi="Arial"/>
                <w:sz w:val="15"/>
                <w:szCs w:val="15"/>
                <w:color w:val="auto"/>
              </w:rPr>
              <w:t>$9</w:t>
            </w: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auto"/>
            </w:tcBorders>
            <w:gridSpan w:val="2"/>
            <w:shd w:val="clear" w:color="auto" w:fill="CCEEFF"/>
          </w:tcPr>
          <w:p>
            <w:pPr>
              <w:jc w:val="right"/>
              <w:ind w:right="103"/>
              <w:spacing w:after="0" w:line="156" w:lineRule="exact"/>
              <w:rPr>
                <w:sz w:val="20"/>
                <w:szCs w:val="20"/>
                <w:color w:val="auto"/>
              </w:rPr>
            </w:pPr>
            <w:r>
              <w:rPr>
                <w:rFonts w:ascii="Arial" w:cs="Arial" w:eastAsia="Arial" w:hAnsi="Arial"/>
                <w:sz w:val="15"/>
                <w:szCs w:val="15"/>
                <w:color w:val="auto"/>
              </w:rPr>
              <w:t>$1,019</w:t>
            </w:r>
          </w:p>
        </w:tc>
        <w:tc>
          <w:tcPr>
            <w:tcW w:w="1140" w:type="dxa"/>
            <w:vAlign w:val="bottom"/>
            <w:tcBorders>
              <w:bottom w:val="single" w:sz="8" w:color="auto"/>
            </w:tcBorders>
            <w:gridSpan w:val="2"/>
            <w:shd w:val="clear" w:color="auto" w:fill="CCEEFF"/>
          </w:tcPr>
          <w:p>
            <w:pPr>
              <w:jc w:val="right"/>
              <w:ind w:right="123"/>
              <w:spacing w:after="0" w:line="156" w:lineRule="exact"/>
              <w:rPr>
                <w:sz w:val="20"/>
                <w:szCs w:val="20"/>
                <w:color w:val="auto"/>
              </w:rPr>
            </w:pPr>
            <w:r>
              <w:rPr>
                <w:rFonts w:ascii="Arial" w:cs="Arial" w:eastAsia="Arial" w:hAnsi="Arial"/>
                <w:sz w:val="15"/>
                <w:szCs w:val="15"/>
                <w:color w:val="auto"/>
              </w:rPr>
              <w:t>$26</w:t>
            </w:r>
          </w:p>
        </w:tc>
        <w:tc>
          <w:tcPr>
            <w:tcW w:w="980" w:type="dxa"/>
            <w:vAlign w:val="bottom"/>
            <w:tcBorders>
              <w:bottom w:val="single" w:sz="8" w:color="auto"/>
            </w:tcBorders>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above securities for Indemnity and the Exchange have been evaluated and determined to be temporary impairments for which we expect to recover our entire principal plus interest. The primary components of this analysis are a general review of market conditions and financial performance of the issuer along with the extent and duration of which fair value is less than cost. Any debt securities that we intend to sell or will more likely than not be required to sell before recovery are included in other-than-temporary impairments with the impairment charges recognized in earnings.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Fixed maturities and equity securities in a gross unrealized loss position at December 31, 2010 are as follows for Indemnity. Data is provided by length of time securities were in a gross unrealized loss position.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3"/>
          </w:tcPr>
          <w:p>
            <w:pPr>
              <w:jc w:val="center"/>
              <w:ind w:left="783"/>
              <w:spacing w:after="0"/>
              <w:rPr>
                <w:sz w:val="20"/>
                <w:szCs w:val="20"/>
                <w:color w:val="auto"/>
              </w:rPr>
            </w:pPr>
            <w:r>
              <w:rPr>
                <w:rFonts w:ascii="Arial" w:cs="Arial" w:eastAsia="Arial" w:hAnsi="Arial"/>
                <w:sz w:val="15"/>
                <w:szCs w:val="15"/>
                <w:color w:val="auto"/>
                <w:w w:val="92"/>
              </w:rPr>
              <w:t>Erie Insurance Group</w:t>
            </w:r>
          </w:p>
        </w:tc>
        <w:tc>
          <w:tcPr>
            <w:tcW w:w="7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gridSpan w:val="2"/>
          </w:tcPr>
          <w:p>
            <w:pPr>
              <w:jc w:val="center"/>
              <w:ind w:right="100"/>
              <w:spacing w:after="0" w:line="142" w:lineRule="exact"/>
              <w:rPr>
                <w:sz w:val="20"/>
                <w:szCs w:val="20"/>
                <w:color w:val="auto"/>
              </w:rPr>
            </w:pPr>
            <w:r>
              <w:rPr>
                <w:rFonts w:ascii="Arial" w:cs="Arial" w:eastAsia="Arial" w:hAnsi="Arial"/>
                <w:sz w:val="15"/>
                <w:szCs w:val="15"/>
                <w:color w:val="auto"/>
                <w:w w:val="91"/>
              </w:rPr>
              <w:t>December 31, 2010</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56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300" w:type="dxa"/>
            <w:vAlign w:val="bottom"/>
            <w:gridSpan w:val="5"/>
          </w:tcPr>
          <w:p>
            <w:pPr>
              <w:ind w:left="460"/>
              <w:spacing w:after="0"/>
              <w:rPr>
                <w:sz w:val="20"/>
                <w:szCs w:val="20"/>
                <w:color w:val="auto"/>
              </w:rPr>
            </w:pPr>
            <w:r>
              <w:rPr>
                <w:rFonts w:ascii="Arial" w:cs="Arial" w:eastAsia="Arial" w:hAnsi="Arial"/>
                <w:sz w:val="15"/>
                <w:szCs w:val="15"/>
                <w:color w:val="auto"/>
              </w:rPr>
              <w:t>Less than 12 months</w:t>
            </w:r>
          </w:p>
        </w:tc>
        <w:tc>
          <w:tcPr>
            <w:tcW w:w="2300" w:type="dxa"/>
            <w:vAlign w:val="bottom"/>
            <w:gridSpan w:val="3"/>
          </w:tcPr>
          <w:p>
            <w:pPr>
              <w:ind w:left="480"/>
              <w:spacing w:after="0"/>
              <w:rPr>
                <w:sz w:val="20"/>
                <w:szCs w:val="20"/>
                <w:color w:val="auto"/>
              </w:rPr>
            </w:pPr>
            <w:r>
              <w:rPr>
                <w:rFonts w:ascii="Arial" w:cs="Arial" w:eastAsia="Arial" w:hAnsi="Arial"/>
                <w:sz w:val="15"/>
                <w:szCs w:val="15"/>
                <w:color w:val="auto"/>
              </w:rPr>
              <w:t>12 months or longer</w:t>
            </w: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center"/>
              <w:ind w:right="83"/>
              <w:spacing w:after="0"/>
              <w:rPr>
                <w:sz w:val="20"/>
                <w:szCs w:val="20"/>
                <w:color w:val="auto"/>
              </w:rPr>
            </w:pPr>
            <w:r>
              <w:rPr>
                <w:rFonts w:ascii="Arial" w:cs="Arial" w:eastAsia="Arial" w:hAnsi="Arial"/>
                <w:sz w:val="15"/>
                <w:szCs w:val="15"/>
                <w:color w:val="auto"/>
                <w:w w:val="95"/>
              </w:rPr>
              <w:t>Total</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Indemnity</w:t>
            </w:r>
          </w:p>
        </w:tc>
        <w:tc>
          <w:tcPr>
            <w:tcW w:w="760" w:type="dxa"/>
            <w:vAlign w:val="bottom"/>
            <w:tcBorders>
              <w:top w:val="single" w:sz="8" w:color="auto"/>
            </w:tcBorders>
          </w:tcPr>
          <w:p>
            <w:pPr>
              <w:jc w:val="right"/>
              <w:ind w:right="103"/>
              <w:spacing w:after="0" w:line="142" w:lineRule="exact"/>
              <w:rPr>
                <w:sz w:val="20"/>
                <w:szCs w:val="20"/>
                <w:color w:val="auto"/>
              </w:rPr>
            </w:pPr>
            <w:r>
              <w:rPr>
                <w:rFonts w:ascii="Arial" w:cs="Arial" w:eastAsia="Arial" w:hAnsi="Arial"/>
                <w:sz w:val="15"/>
                <w:szCs w:val="15"/>
                <w:color w:val="auto"/>
              </w:rPr>
              <w:t>Fair</w:t>
            </w:r>
          </w:p>
        </w:tc>
        <w:tc>
          <w:tcPr>
            <w:tcW w:w="3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60"/>
              <w:spacing w:after="0" w:line="142" w:lineRule="exact"/>
              <w:rPr>
                <w:sz w:val="20"/>
                <w:szCs w:val="20"/>
                <w:color w:val="auto"/>
              </w:rPr>
            </w:pPr>
            <w:r>
              <w:rPr>
                <w:rFonts w:ascii="Arial" w:cs="Arial" w:eastAsia="Arial" w:hAnsi="Arial"/>
                <w:sz w:val="15"/>
                <w:szCs w:val="15"/>
                <w:color w:val="auto"/>
                <w:w w:val="91"/>
              </w:rPr>
              <w:t>Unrealized</w:t>
            </w:r>
          </w:p>
        </w:tc>
        <w:tc>
          <w:tcPr>
            <w:tcW w:w="120" w:type="dxa"/>
            <w:vAlign w:val="bottom"/>
          </w:tcPr>
          <w:p>
            <w:pPr>
              <w:spacing w:after="0"/>
              <w:rPr>
                <w:sz w:val="12"/>
                <w:szCs w:val="12"/>
                <w:color w:val="auto"/>
              </w:rPr>
            </w:pPr>
          </w:p>
        </w:tc>
        <w:tc>
          <w:tcPr>
            <w:tcW w:w="960" w:type="dxa"/>
            <w:vAlign w:val="bottom"/>
            <w:tcBorders>
              <w:top w:val="single" w:sz="8" w:color="auto"/>
            </w:tcBorders>
          </w:tcPr>
          <w:p>
            <w:pPr>
              <w:jc w:val="right"/>
              <w:ind w:right="283"/>
              <w:spacing w:after="0" w:line="142" w:lineRule="exact"/>
              <w:rPr>
                <w:sz w:val="20"/>
                <w:szCs w:val="20"/>
                <w:color w:val="auto"/>
              </w:rPr>
            </w:pPr>
            <w:r>
              <w:rPr>
                <w:rFonts w:ascii="Arial" w:cs="Arial" w:eastAsia="Arial" w:hAnsi="Arial"/>
                <w:sz w:val="15"/>
                <w:szCs w:val="15"/>
                <w:color w:val="auto"/>
              </w:rPr>
              <w:t>Fair</w:t>
            </w:r>
          </w:p>
        </w:tc>
        <w:tc>
          <w:tcPr>
            <w:tcW w:w="1240" w:type="dxa"/>
            <w:vAlign w:val="bottom"/>
            <w:tcBorders>
              <w:top w:val="single" w:sz="8" w:color="auto"/>
            </w:tcBorders>
          </w:tcPr>
          <w:p>
            <w:pPr>
              <w:jc w:val="center"/>
              <w:ind w:left="3"/>
              <w:spacing w:after="0" w:line="142" w:lineRule="exact"/>
              <w:rPr>
                <w:sz w:val="20"/>
                <w:szCs w:val="20"/>
                <w:color w:val="auto"/>
              </w:rPr>
            </w:pPr>
            <w:r>
              <w:rPr>
                <w:rFonts w:ascii="Arial" w:cs="Arial" w:eastAsia="Arial" w:hAnsi="Arial"/>
                <w:sz w:val="15"/>
                <w:szCs w:val="15"/>
                <w:color w:val="auto"/>
                <w:w w:val="94"/>
              </w:rPr>
              <w:t>Unrealized</w:t>
            </w:r>
          </w:p>
        </w:tc>
        <w:tc>
          <w:tcPr>
            <w:tcW w:w="100" w:type="dxa"/>
            <w:vAlign w:val="bottom"/>
          </w:tcPr>
          <w:p>
            <w:pPr>
              <w:spacing w:after="0"/>
              <w:rPr>
                <w:sz w:val="12"/>
                <w:szCs w:val="12"/>
                <w:color w:val="auto"/>
              </w:rPr>
            </w:pPr>
          </w:p>
        </w:tc>
        <w:tc>
          <w:tcPr>
            <w:tcW w:w="760" w:type="dxa"/>
            <w:vAlign w:val="bottom"/>
            <w:tcBorders>
              <w:top w:val="single" w:sz="8" w:color="auto"/>
            </w:tcBorders>
          </w:tcPr>
          <w:p>
            <w:pPr>
              <w:jc w:val="right"/>
              <w:ind w:right="103"/>
              <w:spacing w:after="0" w:line="142" w:lineRule="exact"/>
              <w:rPr>
                <w:sz w:val="20"/>
                <w:szCs w:val="20"/>
                <w:color w:val="auto"/>
              </w:rPr>
            </w:pPr>
            <w:r>
              <w:rPr>
                <w:rFonts w:ascii="Arial" w:cs="Arial" w:eastAsia="Arial" w:hAnsi="Arial"/>
                <w:sz w:val="15"/>
                <w:szCs w:val="15"/>
                <w:color w:val="auto"/>
              </w:rPr>
              <w:t>Fair</w:t>
            </w:r>
          </w:p>
        </w:tc>
        <w:tc>
          <w:tcPr>
            <w:tcW w:w="3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center"/>
              <w:ind w:right="83"/>
              <w:spacing w:after="0" w:line="142" w:lineRule="exact"/>
              <w:rPr>
                <w:sz w:val="20"/>
                <w:szCs w:val="20"/>
                <w:color w:val="auto"/>
              </w:rPr>
            </w:pPr>
            <w:r>
              <w:rPr>
                <w:rFonts w:ascii="Arial" w:cs="Arial" w:eastAsia="Arial" w:hAnsi="Arial"/>
                <w:sz w:val="15"/>
                <w:szCs w:val="15"/>
                <w:color w:val="auto"/>
                <w:w w:val="94"/>
              </w:rPr>
              <w:t>Unrealized</w:t>
            </w:r>
          </w:p>
        </w:tc>
        <w:tc>
          <w:tcPr>
            <w:tcW w:w="1020" w:type="dxa"/>
            <w:vAlign w:val="bottom"/>
            <w:tcBorders>
              <w:top w:val="single" w:sz="8" w:color="auto"/>
            </w:tcBorders>
          </w:tcPr>
          <w:p>
            <w:pPr>
              <w:jc w:val="right"/>
              <w:ind w:right="283"/>
              <w:spacing w:after="0" w:line="142" w:lineRule="exact"/>
              <w:rPr>
                <w:sz w:val="20"/>
                <w:szCs w:val="20"/>
                <w:color w:val="auto"/>
              </w:rPr>
            </w:pPr>
            <w:r>
              <w:rPr>
                <w:rFonts w:ascii="Arial" w:cs="Arial" w:eastAsia="Arial" w:hAnsi="Arial"/>
                <w:sz w:val="15"/>
                <w:szCs w:val="15"/>
                <w:color w:val="auto"/>
              </w:rPr>
              <w:t>No. of</w:t>
            </w:r>
          </w:p>
        </w:tc>
        <w:tc>
          <w:tcPr>
            <w:tcW w:w="0" w:type="dxa"/>
            <w:vAlign w:val="bottom"/>
          </w:tcPr>
          <w:p>
            <w:pPr>
              <w:spacing w:after="0"/>
              <w:rPr>
                <w:sz w:val="1"/>
                <w:szCs w:val="1"/>
                <w:color w:val="auto"/>
              </w:rPr>
            </w:pPr>
          </w:p>
        </w:tc>
      </w:tr>
      <w:tr>
        <w:trPr>
          <w:trHeight w:val="175"/>
        </w:trPr>
        <w:tc>
          <w:tcPr>
            <w:tcW w:w="3560" w:type="dxa"/>
            <w:vAlign w:val="bottom"/>
            <w:gridSpan w:val="2"/>
            <w:vMerge w:val="continue"/>
          </w:tcPr>
          <w:p>
            <w:pPr>
              <w:spacing w:after="0"/>
              <w:rPr>
                <w:sz w:val="15"/>
                <w:szCs w:val="15"/>
                <w:color w:val="auto"/>
              </w:rPr>
            </w:pPr>
          </w:p>
        </w:tc>
        <w:tc>
          <w:tcPr>
            <w:tcW w:w="760" w:type="dxa"/>
            <w:vAlign w:val="bottom"/>
          </w:tcPr>
          <w:p>
            <w:pPr>
              <w:jc w:val="right"/>
              <w:ind w:right="63"/>
              <w:spacing w:after="0"/>
              <w:rPr>
                <w:sz w:val="20"/>
                <w:szCs w:val="20"/>
                <w:color w:val="auto"/>
              </w:rPr>
            </w:pPr>
            <w:r>
              <w:rPr>
                <w:rFonts w:ascii="Arial" w:cs="Arial" w:eastAsia="Arial" w:hAnsi="Arial"/>
                <w:sz w:val="15"/>
                <w:szCs w:val="15"/>
                <w:color w:val="auto"/>
              </w:rPr>
              <w:t>value</w:t>
            </w:r>
          </w:p>
        </w:tc>
        <w:tc>
          <w:tcPr>
            <w:tcW w:w="340" w:type="dxa"/>
            <w:vAlign w:val="bottom"/>
          </w:tcPr>
          <w:p>
            <w:pPr>
              <w:spacing w:after="0"/>
              <w:rPr>
                <w:sz w:val="15"/>
                <w:szCs w:val="15"/>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5"/>
                <w:szCs w:val="15"/>
                <w:color w:val="auto"/>
                <w:w w:val="84"/>
              </w:rPr>
              <w:t>losses</w:t>
            </w:r>
          </w:p>
        </w:tc>
        <w:tc>
          <w:tcPr>
            <w:tcW w:w="960" w:type="dxa"/>
            <w:vAlign w:val="bottom"/>
          </w:tcPr>
          <w:p>
            <w:pPr>
              <w:jc w:val="right"/>
              <w:ind w:right="243"/>
              <w:spacing w:after="0"/>
              <w:rPr>
                <w:sz w:val="20"/>
                <w:szCs w:val="20"/>
                <w:color w:val="auto"/>
              </w:rPr>
            </w:pPr>
            <w:r>
              <w:rPr>
                <w:rFonts w:ascii="Arial" w:cs="Arial" w:eastAsia="Arial" w:hAnsi="Arial"/>
                <w:sz w:val="15"/>
                <w:szCs w:val="15"/>
                <w:color w:val="auto"/>
              </w:rPr>
              <w:t>value</w:t>
            </w:r>
          </w:p>
        </w:tc>
        <w:tc>
          <w:tcPr>
            <w:tcW w:w="1340" w:type="dxa"/>
            <w:vAlign w:val="bottom"/>
            <w:gridSpan w:val="2"/>
          </w:tcPr>
          <w:p>
            <w:pPr>
              <w:jc w:val="center"/>
              <w:ind w:right="20"/>
              <w:spacing w:after="0"/>
              <w:rPr>
                <w:sz w:val="20"/>
                <w:szCs w:val="20"/>
                <w:color w:val="auto"/>
              </w:rPr>
            </w:pPr>
            <w:r>
              <w:rPr>
                <w:rFonts w:ascii="Arial" w:cs="Arial" w:eastAsia="Arial" w:hAnsi="Arial"/>
                <w:sz w:val="15"/>
                <w:szCs w:val="15"/>
                <w:color w:val="auto"/>
                <w:w w:val="84"/>
              </w:rPr>
              <w:t>losses</w:t>
            </w:r>
          </w:p>
        </w:tc>
        <w:tc>
          <w:tcPr>
            <w:tcW w:w="760" w:type="dxa"/>
            <w:vAlign w:val="bottom"/>
          </w:tcPr>
          <w:p>
            <w:pPr>
              <w:jc w:val="right"/>
              <w:ind w:right="63"/>
              <w:spacing w:after="0"/>
              <w:rPr>
                <w:sz w:val="20"/>
                <w:szCs w:val="20"/>
                <w:color w:val="auto"/>
              </w:rPr>
            </w:pPr>
            <w:r>
              <w:rPr>
                <w:rFonts w:ascii="Arial" w:cs="Arial" w:eastAsia="Arial" w:hAnsi="Arial"/>
                <w:sz w:val="15"/>
                <w:szCs w:val="15"/>
                <w:color w:val="auto"/>
              </w:rPr>
              <w:t>value</w:t>
            </w:r>
          </w:p>
        </w:tc>
        <w:tc>
          <w:tcPr>
            <w:tcW w:w="320" w:type="dxa"/>
            <w:vAlign w:val="bottom"/>
          </w:tcPr>
          <w:p>
            <w:pPr>
              <w:spacing w:after="0"/>
              <w:rPr>
                <w:sz w:val="15"/>
                <w:szCs w:val="15"/>
                <w:color w:val="auto"/>
              </w:rPr>
            </w:pPr>
          </w:p>
        </w:tc>
        <w:tc>
          <w:tcPr>
            <w:tcW w:w="1160" w:type="dxa"/>
            <w:vAlign w:val="bottom"/>
          </w:tcPr>
          <w:p>
            <w:pPr>
              <w:jc w:val="center"/>
              <w:ind w:right="83"/>
              <w:spacing w:after="0"/>
              <w:rPr>
                <w:sz w:val="20"/>
                <w:szCs w:val="20"/>
                <w:color w:val="auto"/>
              </w:rPr>
            </w:pPr>
            <w:r>
              <w:rPr>
                <w:rFonts w:ascii="Arial" w:cs="Arial" w:eastAsia="Arial" w:hAnsi="Arial"/>
                <w:sz w:val="15"/>
                <w:szCs w:val="15"/>
                <w:color w:val="auto"/>
                <w:w w:val="84"/>
              </w:rPr>
              <w:t>losses</w:t>
            </w:r>
          </w:p>
        </w:tc>
        <w:tc>
          <w:tcPr>
            <w:tcW w:w="1020" w:type="dxa"/>
            <w:vAlign w:val="bottom"/>
          </w:tcPr>
          <w:p>
            <w:pPr>
              <w:jc w:val="right"/>
              <w:ind w:right="223"/>
              <w:spacing w:after="0"/>
              <w:rPr>
                <w:sz w:val="20"/>
                <w:szCs w:val="20"/>
                <w:color w:val="auto"/>
              </w:rPr>
            </w:pPr>
            <w:r>
              <w:rPr>
                <w:rFonts w:ascii="Arial" w:cs="Arial" w:eastAsia="Arial" w:hAnsi="Arial"/>
                <w:sz w:val="15"/>
                <w:szCs w:val="15"/>
                <w:color w:val="auto"/>
              </w:rPr>
              <w:t>holdings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5"/>
                <w:szCs w:val="15"/>
                <w:color w:val="auto"/>
              </w:rPr>
              <w:t>Fixed maturities:</w:t>
            </w:r>
          </w:p>
        </w:tc>
        <w:tc>
          <w:tcPr>
            <w:tcW w:w="7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Pr>
          <w:p>
            <w:pPr>
              <w:ind w:left="160"/>
              <w:spacing w:after="0" w:line="162" w:lineRule="exact"/>
              <w:rPr>
                <w:sz w:val="20"/>
                <w:szCs w:val="20"/>
                <w:color w:val="auto"/>
              </w:rPr>
            </w:pPr>
            <w:r>
              <w:rPr>
                <w:rFonts w:ascii="Arial" w:cs="Arial" w:eastAsia="Arial" w:hAnsi="Arial"/>
                <w:sz w:val="15"/>
                <w:szCs w:val="15"/>
                <w:color w:val="auto"/>
              </w:rPr>
              <w:t>U.S. government sponsored enterprises</w:t>
            </w:r>
          </w:p>
        </w:tc>
        <w:tc>
          <w:tcPr>
            <w:tcW w:w="1100" w:type="dxa"/>
            <w:vAlign w:val="bottom"/>
            <w:gridSpan w:val="2"/>
          </w:tcPr>
          <w:p>
            <w:pPr>
              <w:jc w:val="right"/>
              <w:ind w:right="103"/>
              <w:spacing w:after="0" w:line="162" w:lineRule="exact"/>
              <w:rPr>
                <w:sz w:val="20"/>
                <w:szCs w:val="20"/>
                <w:color w:val="auto"/>
              </w:rPr>
            </w:pPr>
            <w:r>
              <w:rPr>
                <w:rFonts w:ascii="Arial" w:cs="Arial" w:eastAsia="Arial" w:hAnsi="Arial"/>
                <w:sz w:val="15"/>
                <w:szCs w:val="15"/>
                <w:color w:val="auto"/>
              </w:rPr>
              <w:t>$25</w:t>
            </w: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1240" w:type="dxa"/>
            <w:vAlign w:val="bottom"/>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00" w:type="dxa"/>
            <w:vAlign w:val="bottom"/>
          </w:tcPr>
          <w:p>
            <w:pPr>
              <w:spacing w:after="0"/>
              <w:rPr>
                <w:sz w:val="14"/>
                <w:szCs w:val="14"/>
                <w:color w:val="auto"/>
              </w:rPr>
            </w:pPr>
          </w:p>
        </w:tc>
        <w:tc>
          <w:tcPr>
            <w:tcW w:w="1080" w:type="dxa"/>
            <w:vAlign w:val="bottom"/>
            <w:gridSpan w:val="2"/>
          </w:tcPr>
          <w:p>
            <w:pPr>
              <w:jc w:val="right"/>
              <w:ind w:right="83"/>
              <w:spacing w:after="0" w:line="162" w:lineRule="exact"/>
              <w:rPr>
                <w:sz w:val="20"/>
                <w:szCs w:val="20"/>
                <w:color w:val="auto"/>
              </w:rPr>
            </w:pPr>
            <w:r>
              <w:rPr>
                <w:rFonts w:ascii="Arial" w:cs="Arial" w:eastAsia="Arial" w:hAnsi="Arial"/>
                <w:sz w:val="15"/>
                <w:szCs w:val="15"/>
                <w:color w:val="auto"/>
              </w:rPr>
              <w:t>$25</w:t>
            </w:r>
          </w:p>
        </w:tc>
        <w:tc>
          <w:tcPr>
            <w:tcW w:w="116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$0</w:t>
            </w:r>
          </w:p>
        </w:tc>
        <w:tc>
          <w:tcPr>
            <w:tcW w:w="10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Municipal securities</w:t>
            </w: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w w:val="83"/>
              </w:rPr>
              <w:t>39</w:t>
            </w:r>
          </w:p>
        </w:tc>
        <w:tc>
          <w:tcPr>
            <w:tcW w:w="10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2</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w:t>
            </w:r>
          </w:p>
        </w:tc>
        <w:tc>
          <w:tcPr>
            <w:tcW w:w="124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83"/>
              <w:spacing w:after="0" w:line="162" w:lineRule="exact"/>
              <w:rPr>
                <w:sz w:val="20"/>
                <w:szCs w:val="20"/>
                <w:color w:val="auto"/>
              </w:rPr>
            </w:pPr>
            <w:r>
              <w:rPr>
                <w:rFonts w:ascii="Arial" w:cs="Arial" w:eastAsia="Arial" w:hAnsi="Arial"/>
                <w:sz w:val="15"/>
                <w:szCs w:val="15"/>
                <w:color w:val="auto"/>
                <w:w w:val="83"/>
              </w:rPr>
              <w:t>40</w:t>
            </w:r>
          </w:p>
        </w:tc>
        <w:tc>
          <w:tcPr>
            <w:tcW w:w="116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rPr>
              <w:t>2</w:t>
            </w:r>
          </w:p>
        </w:tc>
        <w:tc>
          <w:tcPr>
            <w:tcW w:w="102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Pr>
          <w:p>
            <w:pPr>
              <w:ind w:left="160"/>
              <w:spacing w:after="0" w:line="162" w:lineRule="exact"/>
              <w:rPr>
                <w:sz w:val="20"/>
                <w:szCs w:val="20"/>
                <w:color w:val="auto"/>
              </w:rPr>
            </w:pPr>
            <w:r>
              <w:rPr>
                <w:rFonts w:ascii="Arial" w:cs="Arial" w:eastAsia="Arial" w:hAnsi="Arial"/>
                <w:sz w:val="15"/>
                <w:szCs w:val="15"/>
                <w:color w:val="auto"/>
              </w:rPr>
              <w:t>U.S. corporate debt – non-financial</w:t>
            </w:r>
          </w:p>
        </w:tc>
        <w:tc>
          <w:tcPr>
            <w:tcW w:w="760" w:type="dxa"/>
            <w:vAlign w:val="bottom"/>
          </w:tcPr>
          <w:p>
            <w:pPr>
              <w:spacing w:after="0"/>
              <w:rPr>
                <w:sz w:val="14"/>
                <w:szCs w:val="14"/>
                <w:color w:val="auto"/>
              </w:rPr>
            </w:pPr>
          </w:p>
        </w:tc>
        <w:tc>
          <w:tcPr>
            <w:tcW w:w="340" w:type="dxa"/>
            <w:vAlign w:val="bottom"/>
          </w:tcPr>
          <w:p>
            <w:pPr>
              <w:jc w:val="right"/>
              <w:ind w:right="103"/>
              <w:spacing w:after="0" w:line="162" w:lineRule="exact"/>
              <w:rPr>
                <w:sz w:val="20"/>
                <w:szCs w:val="20"/>
                <w:color w:val="auto"/>
              </w:rPr>
            </w:pPr>
            <w:r>
              <w:rPr>
                <w:rFonts w:ascii="Arial" w:cs="Arial" w:eastAsia="Arial" w:hAnsi="Arial"/>
                <w:sz w:val="15"/>
                <w:szCs w:val="15"/>
                <w:color w:val="auto"/>
                <w:w w:val="83"/>
              </w:rPr>
              <w:t>11</w:t>
            </w:r>
          </w:p>
        </w:tc>
        <w:tc>
          <w:tcPr>
            <w:tcW w:w="10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0</w:t>
            </w:r>
          </w:p>
        </w:tc>
        <w:tc>
          <w:tcPr>
            <w:tcW w:w="1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1240" w:type="dxa"/>
            <w:vAlign w:val="bottom"/>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jc w:val="right"/>
              <w:ind w:right="83"/>
              <w:spacing w:after="0" w:line="162" w:lineRule="exact"/>
              <w:rPr>
                <w:sz w:val="20"/>
                <w:szCs w:val="20"/>
                <w:color w:val="auto"/>
              </w:rPr>
            </w:pPr>
            <w:r>
              <w:rPr>
                <w:rFonts w:ascii="Arial" w:cs="Arial" w:eastAsia="Arial" w:hAnsi="Arial"/>
                <w:sz w:val="15"/>
                <w:szCs w:val="15"/>
                <w:color w:val="auto"/>
                <w:w w:val="83"/>
              </w:rPr>
              <w:t>11</w:t>
            </w:r>
          </w:p>
        </w:tc>
        <w:tc>
          <w:tcPr>
            <w:tcW w:w="116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0</w:t>
            </w:r>
          </w:p>
        </w:tc>
        <w:tc>
          <w:tcPr>
            <w:tcW w:w="10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U.S. corporate debt – financial</w:t>
            </w:r>
          </w:p>
        </w:tc>
        <w:tc>
          <w:tcPr>
            <w:tcW w:w="76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w w:val="83"/>
              </w:rPr>
              <w:t>20</w:t>
            </w:r>
          </w:p>
        </w:tc>
        <w:tc>
          <w:tcPr>
            <w:tcW w:w="1080" w:type="dxa"/>
            <w:vAlign w:val="bottom"/>
            <w:tcBorders>
              <w:bottom w:val="single" w:sz="8" w:color="auto"/>
            </w:tcBorders>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0</w:t>
            </w:r>
          </w:p>
        </w:tc>
        <w:tc>
          <w:tcPr>
            <w:tcW w:w="1240" w:type="dxa"/>
            <w:vAlign w:val="bottom"/>
            <w:tcBorders>
              <w:bottom w:val="single" w:sz="8" w:color="auto"/>
            </w:tcBorders>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0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83"/>
              <w:spacing w:after="0" w:line="162" w:lineRule="exact"/>
              <w:rPr>
                <w:sz w:val="20"/>
                <w:szCs w:val="20"/>
                <w:color w:val="auto"/>
              </w:rPr>
            </w:pPr>
            <w:r>
              <w:rPr>
                <w:rFonts w:ascii="Arial" w:cs="Arial" w:eastAsia="Arial" w:hAnsi="Arial"/>
                <w:sz w:val="15"/>
                <w:szCs w:val="15"/>
                <w:color w:val="auto"/>
                <w:w w:val="83"/>
              </w:rPr>
              <w:t>20</w:t>
            </w:r>
          </w:p>
        </w:tc>
        <w:tc>
          <w:tcPr>
            <w:tcW w:w="1160" w:type="dxa"/>
            <w:vAlign w:val="bottom"/>
            <w:tcBorders>
              <w:bottom w:val="single" w:sz="8" w:color="auto"/>
            </w:tcBorders>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rPr>
              <w:t>0</w:t>
            </w:r>
          </w:p>
        </w:tc>
        <w:tc>
          <w:tcPr>
            <w:tcW w:w="1020" w:type="dxa"/>
            <w:vAlign w:val="bottom"/>
            <w:tcBorders>
              <w:bottom w:val="single" w:sz="8" w:color="auto"/>
            </w:tcBorders>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6"/>
        </w:trPr>
        <w:tc>
          <w:tcPr>
            <w:tcW w:w="3560" w:type="dxa"/>
            <w:vAlign w:val="bottom"/>
            <w:gridSpan w:val="2"/>
          </w:tcPr>
          <w:p>
            <w:pPr>
              <w:spacing w:after="0" w:line="156" w:lineRule="exact"/>
              <w:rPr>
                <w:sz w:val="20"/>
                <w:szCs w:val="20"/>
                <w:color w:val="auto"/>
              </w:rPr>
            </w:pPr>
            <w:r>
              <w:rPr>
                <w:rFonts w:ascii="Arial" w:cs="Arial" w:eastAsia="Arial" w:hAnsi="Arial"/>
                <w:sz w:val="15"/>
                <w:szCs w:val="15"/>
                <w:color w:val="auto"/>
              </w:rPr>
              <w:t>Total fixed maturities – Indemnity</w:t>
            </w:r>
          </w:p>
        </w:tc>
        <w:tc>
          <w:tcPr>
            <w:tcW w:w="1100" w:type="dxa"/>
            <w:vAlign w:val="bottom"/>
            <w:tcBorders>
              <w:bottom w:val="single" w:sz="8" w:color="auto"/>
            </w:tcBorders>
            <w:gridSpan w:val="2"/>
          </w:tcPr>
          <w:p>
            <w:pPr>
              <w:jc w:val="right"/>
              <w:ind w:right="103"/>
              <w:spacing w:after="0" w:line="156" w:lineRule="exact"/>
              <w:rPr>
                <w:sz w:val="20"/>
                <w:szCs w:val="20"/>
                <w:color w:val="auto"/>
              </w:rPr>
            </w:pPr>
            <w:r>
              <w:rPr>
                <w:rFonts w:ascii="Arial" w:cs="Arial" w:eastAsia="Arial" w:hAnsi="Arial"/>
                <w:sz w:val="15"/>
                <w:szCs w:val="15"/>
                <w:color w:val="auto"/>
              </w:rPr>
              <w:t>$95</w:t>
            </w:r>
          </w:p>
        </w:tc>
        <w:tc>
          <w:tcPr>
            <w:tcW w:w="9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w:t>
            </w:r>
          </w:p>
        </w:tc>
        <w:tc>
          <w:tcPr>
            <w:tcW w:w="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w:t>
            </w:r>
          </w:p>
        </w:tc>
        <w:tc>
          <w:tcPr>
            <w:tcW w:w="124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rPr>
              <w:t>$0</w:t>
            </w:r>
          </w:p>
        </w:tc>
        <w:tc>
          <w:tcPr>
            <w:tcW w:w="100" w:type="dxa"/>
            <w:vAlign w:val="bottom"/>
          </w:tcPr>
          <w:p>
            <w:pPr>
              <w:spacing w:after="0"/>
              <w:rPr>
                <w:sz w:val="17"/>
                <w:szCs w:val="17"/>
                <w:color w:val="auto"/>
              </w:rPr>
            </w:pPr>
          </w:p>
        </w:tc>
        <w:tc>
          <w:tcPr>
            <w:tcW w:w="1080" w:type="dxa"/>
            <w:vAlign w:val="bottom"/>
            <w:tcBorders>
              <w:bottom w:val="single" w:sz="8" w:color="auto"/>
            </w:tcBorders>
            <w:gridSpan w:val="2"/>
          </w:tcPr>
          <w:p>
            <w:pPr>
              <w:jc w:val="right"/>
              <w:ind w:right="83"/>
              <w:spacing w:after="0" w:line="156" w:lineRule="exact"/>
              <w:rPr>
                <w:sz w:val="20"/>
                <w:szCs w:val="20"/>
                <w:color w:val="auto"/>
              </w:rPr>
            </w:pPr>
            <w:r>
              <w:rPr>
                <w:rFonts w:ascii="Arial" w:cs="Arial" w:eastAsia="Arial" w:hAnsi="Arial"/>
                <w:sz w:val="15"/>
                <w:szCs w:val="15"/>
                <w:color w:val="auto"/>
              </w:rPr>
              <w:t>$96</w:t>
            </w:r>
          </w:p>
        </w:tc>
        <w:tc>
          <w:tcPr>
            <w:tcW w:w="1160" w:type="dxa"/>
            <w:vAlign w:val="bottom"/>
            <w:tcBorders>
              <w:bottom w:val="single" w:sz="8" w:color="auto"/>
            </w:tcBorders>
          </w:tcPr>
          <w:p>
            <w:pPr>
              <w:jc w:val="right"/>
              <w:ind w:right="123"/>
              <w:spacing w:after="0" w:line="156" w:lineRule="exact"/>
              <w:rPr>
                <w:sz w:val="20"/>
                <w:szCs w:val="20"/>
                <w:color w:val="auto"/>
              </w:rPr>
            </w:pPr>
            <w:r>
              <w:rPr>
                <w:rFonts w:ascii="Arial" w:cs="Arial" w:eastAsia="Arial" w:hAnsi="Arial"/>
                <w:sz w:val="15"/>
                <w:szCs w:val="15"/>
                <w:color w:val="auto"/>
              </w:rPr>
              <w:t>$2</w:t>
            </w:r>
          </w:p>
        </w:tc>
        <w:tc>
          <w:tcPr>
            <w:tcW w:w="1020" w:type="dxa"/>
            <w:vAlign w:val="bottom"/>
            <w:tcBorders>
              <w:bottom w:val="single" w:sz="8" w:color="auto"/>
            </w:tcBorders>
          </w:tcPr>
          <w:p>
            <w:pPr>
              <w:jc w:val="right"/>
              <w:ind w:right="23"/>
              <w:spacing w:after="0" w:line="156" w:lineRule="exact"/>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54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3"/>
                <w:szCs w:val="13"/>
                <w:color w:val="auto"/>
              </w:rPr>
              <w:t>Equity securities:</w:t>
            </w:r>
          </w:p>
        </w:tc>
        <w:tc>
          <w:tcPr>
            <w:tcW w:w="76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Pr>
          <w:p>
            <w:pPr>
              <w:ind w:left="160"/>
              <w:spacing w:after="0" w:line="162" w:lineRule="exact"/>
              <w:rPr>
                <w:sz w:val="20"/>
                <w:szCs w:val="20"/>
                <w:color w:val="auto"/>
              </w:rPr>
            </w:pPr>
            <w:r>
              <w:rPr>
                <w:rFonts w:ascii="Arial" w:cs="Arial" w:eastAsia="Arial" w:hAnsi="Arial"/>
                <w:sz w:val="15"/>
                <w:szCs w:val="15"/>
                <w:color w:val="auto"/>
              </w:rPr>
              <w:t>U.S. nonredeemable preferred securities:</w:t>
            </w: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shd w:val="clear" w:color="auto" w:fill="CCEEFF"/>
          </w:tcPr>
          <w:p>
            <w:pPr>
              <w:ind w:left="340"/>
              <w:spacing w:after="0" w:line="162" w:lineRule="exact"/>
              <w:rPr>
                <w:sz w:val="20"/>
                <w:szCs w:val="20"/>
                <w:color w:val="auto"/>
              </w:rPr>
            </w:pPr>
            <w:r>
              <w:rPr>
                <w:rFonts w:ascii="Arial" w:cs="Arial" w:eastAsia="Arial" w:hAnsi="Arial"/>
                <w:sz w:val="15"/>
                <w:szCs w:val="15"/>
                <w:color w:val="auto"/>
              </w:rPr>
              <w:t>Non-financial</w:t>
            </w: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3</w:t>
            </w:r>
          </w:p>
        </w:tc>
        <w:tc>
          <w:tcPr>
            <w:tcW w:w="9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$0</w:t>
            </w:r>
          </w:p>
        </w:tc>
        <w:tc>
          <w:tcPr>
            <w:tcW w:w="1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$0</w:t>
            </w:r>
          </w:p>
        </w:tc>
        <w:tc>
          <w:tcPr>
            <w:tcW w:w="1240" w:type="dxa"/>
            <w:vAlign w:val="bottom"/>
            <w:tcBorders>
              <w:bottom w:val="single" w:sz="8" w:color="auto"/>
            </w:tcBorders>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0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shd w:val="clear" w:color="auto" w:fill="CCEEFF"/>
          </w:tcPr>
          <w:p>
            <w:pPr>
              <w:jc w:val="right"/>
              <w:ind w:right="83"/>
              <w:spacing w:after="0" w:line="162" w:lineRule="exact"/>
              <w:rPr>
                <w:sz w:val="20"/>
                <w:szCs w:val="20"/>
                <w:color w:val="auto"/>
              </w:rPr>
            </w:pPr>
            <w:r>
              <w:rPr>
                <w:rFonts w:ascii="Arial" w:cs="Arial" w:eastAsia="Arial" w:hAnsi="Arial"/>
                <w:sz w:val="15"/>
                <w:szCs w:val="15"/>
                <w:color w:val="auto"/>
              </w:rPr>
              <w:t>3</w:t>
            </w:r>
          </w:p>
        </w:tc>
        <w:tc>
          <w:tcPr>
            <w:tcW w:w="1160" w:type="dxa"/>
            <w:vAlign w:val="bottom"/>
            <w:tcBorders>
              <w:bottom w:val="single" w:sz="8" w:color="auto"/>
            </w:tcBorders>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rPr>
              <w:t>$0</w:t>
            </w:r>
          </w:p>
        </w:tc>
        <w:tc>
          <w:tcPr>
            <w:tcW w:w="1020" w:type="dxa"/>
            <w:vAlign w:val="bottom"/>
            <w:tcBorders>
              <w:bottom w:val="single" w:sz="8" w:color="auto"/>
            </w:tcBorders>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6"/>
        </w:trPr>
        <w:tc>
          <w:tcPr>
            <w:tcW w:w="3560" w:type="dxa"/>
            <w:vAlign w:val="bottom"/>
            <w:gridSpan w:val="2"/>
          </w:tcPr>
          <w:p>
            <w:pPr>
              <w:spacing w:after="0" w:line="156" w:lineRule="exact"/>
              <w:rPr>
                <w:sz w:val="20"/>
                <w:szCs w:val="20"/>
                <w:color w:val="auto"/>
              </w:rPr>
            </w:pPr>
            <w:r>
              <w:rPr>
                <w:rFonts w:ascii="Arial" w:cs="Arial" w:eastAsia="Arial" w:hAnsi="Arial"/>
                <w:sz w:val="15"/>
                <w:szCs w:val="15"/>
                <w:color w:val="auto"/>
              </w:rPr>
              <w:t>Total equity securities – Indemnity</w:t>
            </w:r>
          </w:p>
        </w:tc>
        <w:tc>
          <w:tcPr>
            <w:tcW w:w="7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jc w:val="right"/>
              <w:ind w:right="103"/>
              <w:spacing w:after="0" w:line="156" w:lineRule="exact"/>
              <w:rPr>
                <w:sz w:val="20"/>
                <w:szCs w:val="20"/>
                <w:color w:val="auto"/>
              </w:rPr>
            </w:pPr>
            <w:r>
              <w:rPr>
                <w:rFonts w:ascii="Arial" w:cs="Arial" w:eastAsia="Arial" w:hAnsi="Arial"/>
                <w:sz w:val="15"/>
                <w:szCs w:val="15"/>
                <w:color w:val="auto"/>
              </w:rPr>
              <w:t>3</w:t>
            </w:r>
          </w:p>
        </w:tc>
        <w:tc>
          <w:tcPr>
            <w:tcW w:w="9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$0</w:t>
            </w:r>
          </w:p>
        </w:tc>
        <w:tc>
          <w:tcPr>
            <w:tcW w:w="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$0</w:t>
            </w:r>
          </w:p>
        </w:tc>
        <w:tc>
          <w:tcPr>
            <w:tcW w:w="124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rPr>
              <w:t>$0</w:t>
            </w:r>
          </w:p>
        </w:tc>
        <w:tc>
          <w:tcPr>
            <w:tcW w:w="100" w:type="dxa"/>
            <w:vAlign w:val="bottom"/>
          </w:tcPr>
          <w:p>
            <w:pPr>
              <w:spacing w:after="0"/>
              <w:rPr>
                <w:sz w:val="17"/>
                <w:szCs w:val="17"/>
                <w:color w:val="auto"/>
              </w:rPr>
            </w:pPr>
          </w:p>
        </w:tc>
        <w:tc>
          <w:tcPr>
            <w:tcW w:w="7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jc w:val="right"/>
              <w:ind w:right="83"/>
              <w:spacing w:after="0" w:line="156" w:lineRule="exact"/>
              <w:rPr>
                <w:sz w:val="20"/>
                <w:szCs w:val="20"/>
                <w:color w:val="auto"/>
              </w:rPr>
            </w:pPr>
            <w:r>
              <w:rPr>
                <w:rFonts w:ascii="Arial" w:cs="Arial" w:eastAsia="Arial" w:hAnsi="Arial"/>
                <w:sz w:val="15"/>
                <w:szCs w:val="15"/>
                <w:color w:val="auto"/>
              </w:rPr>
              <w:t>3</w:t>
            </w:r>
          </w:p>
        </w:tc>
        <w:tc>
          <w:tcPr>
            <w:tcW w:w="1160" w:type="dxa"/>
            <w:vAlign w:val="bottom"/>
            <w:tcBorders>
              <w:bottom w:val="single" w:sz="8" w:color="auto"/>
            </w:tcBorders>
          </w:tcPr>
          <w:p>
            <w:pPr>
              <w:jc w:val="right"/>
              <w:ind w:right="123"/>
              <w:spacing w:after="0" w:line="156" w:lineRule="exact"/>
              <w:rPr>
                <w:sz w:val="20"/>
                <w:szCs w:val="20"/>
                <w:color w:val="auto"/>
              </w:rPr>
            </w:pPr>
            <w:r>
              <w:rPr>
                <w:rFonts w:ascii="Arial" w:cs="Arial" w:eastAsia="Arial" w:hAnsi="Arial"/>
                <w:sz w:val="15"/>
                <w:szCs w:val="15"/>
                <w:color w:val="auto"/>
              </w:rPr>
              <w:t>$0</w:t>
            </w:r>
          </w:p>
        </w:tc>
        <w:tc>
          <w:tcPr>
            <w:tcW w:w="1020" w:type="dxa"/>
            <w:vAlign w:val="bottom"/>
            <w:tcBorders>
              <w:bottom w:val="single" w:sz="8" w:color="auto"/>
            </w:tcBorders>
          </w:tcPr>
          <w:p>
            <w:pPr>
              <w:jc w:val="right"/>
              <w:ind w:right="23"/>
              <w:spacing w:after="0" w:line="156"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354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b w:val="1"/>
                <w:bCs w:val="1"/>
                <w:color w:val="auto"/>
              </w:rPr>
              <w:t>Quality breakdown of fixed maturities:</w:t>
            </w: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Investment grade</w:t>
            </w:r>
          </w:p>
        </w:tc>
        <w:tc>
          <w:tcPr>
            <w:tcW w:w="1100" w:type="dxa"/>
            <w:vAlign w:val="bottom"/>
            <w:gridSpan w:val="2"/>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$95</w:t>
            </w: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w:t>
            </w:r>
          </w:p>
        </w:tc>
        <w:tc>
          <w:tcPr>
            <w:tcW w:w="124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3"/>
              <w:spacing w:after="0" w:line="162" w:lineRule="exact"/>
              <w:rPr>
                <w:sz w:val="20"/>
                <w:szCs w:val="20"/>
                <w:color w:val="auto"/>
              </w:rPr>
            </w:pPr>
            <w:r>
              <w:rPr>
                <w:rFonts w:ascii="Arial" w:cs="Arial" w:eastAsia="Arial" w:hAnsi="Arial"/>
                <w:sz w:val="15"/>
                <w:szCs w:val="15"/>
                <w:color w:val="auto"/>
              </w:rPr>
              <w:t>$96</w:t>
            </w:r>
          </w:p>
        </w:tc>
        <w:tc>
          <w:tcPr>
            <w:tcW w:w="116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rPr>
              <w:t>$2</w:t>
            </w:r>
          </w:p>
        </w:tc>
        <w:tc>
          <w:tcPr>
            <w:tcW w:w="102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Pr>
          <w:p>
            <w:pPr>
              <w:ind w:left="160"/>
              <w:spacing w:after="0"/>
              <w:rPr>
                <w:sz w:val="20"/>
                <w:szCs w:val="20"/>
                <w:color w:val="auto"/>
              </w:rPr>
            </w:pPr>
            <w:r>
              <w:rPr>
                <w:rFonts w:ascii="Arial" w:cs="Arial" w:eastAsia="Arial" w:hAnsi="Arial"/>
                <w:sz w:val="14"/>
                <w:szCs w:val="14"/>
                <w:color w:val="auto"/>
              </w:rPr>
              <w:t>Non-investment grade</w:t>
            </w:r>
          </w:p>
        </w:tc>
        <w:tc>
          <w:tcPr>
            <w:tcW w:w="760" w:type="dxa"/>
            <w:vAlign w:val="bottom"/>
          </w:tcPr>
          <w:p>
            <w:pPr>
              <w:spacing w:after="0"/>
              <w:rPr>
                <w:sz w:val="14"/>
                <w:szCs w:val="14"/>
                <w:color w:val="auto"/>
              </w:rPr>
            </w:pPr>
          </w:p>
        </w:tc>
        <w:tc>
          <w:tcPr>
            <w:tcW w:w="34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0</w:t>
            </w:r>
          </w:p>
        </w:tc>
        <w:tc>
          <w:tcPr>
            <w:tcW w:w="10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0</w:t>
            </w:r>
          </w:p>
        </w:tc>
        <w:tc>
          <w:tcPr>
            <w:tcW w:w="1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1240" w:type="dxa"/>
            <w:vAlign w:val="bottom"/>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jc w:val="right"/>
              <w:ind w:right="83"/>
              <w:spacing w:after="0" w:line="162" w:lineRule="exact"/>
              <w:rPr>
                <w:sz w:val="20"/>
                <w:szCs w:val="20"/>
                <w:color w:val="auto"/>
              </w:rPr>
            </w:pPr>
            <w:r>
              <w:rPr>
                <w:rFonts w:ascii="Arial" w:cs="Arial" w:eastAsia="Arial" w:hAnsi="Arial"/>
                <w:sz w:val="15"/>
                <w:szCs w:val="15"/>
                <w:color w:val="auto"/>
              </w:rPr>
              <w:t>0</w:t>
            </w:r>
          </w:p>
        </w:tc>
        <w:tc>
          <w:tcPr>
            <w:tcW w:w="116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0</w:t>
            </w:r>
          </w:p>
        </w:tc>
        <w:tc>
          <w:tcPr>
            <w:tcW w:w="10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tcBorders>
              <w:top w:val="single" w:sz="8" w:color="CCEEFF"/>
              <w:bottom w:val="single" w:sz="8" w:color="CCEEFF"/>
            </w:tcBorders>
            <w:shd w:val="clear" w:color="auto" w:fill="CCEEFF"/>
          </w:tcPr>
          <w:p>
            <w:pPr>
              <w:ind w:left="520"/>
              <w:spacing w:after="0" w:line="155" w:lineRule="exact"/>
              <w:rPr>
                <w:sz w:val="20"/>
                <w:szCs w:val="20"/>
                <w:color w:val="auto"/>
              </w:rPr>
            </w:pPr>
            <w:r>
              <w:rPr>
                <w:rFonts w:ascii="Arial" w:cs="Arial" w:eastAsia="Arial" w:hAnsi="Arial"/>
                <w:sz w:val="14"/>
                <w:szCs w:val="14"/>
                <w:color w:val="auto"/>
              </w:rPr>
              <w:t>Total fixed maturities – Indemnity</w:t>
            </w:r>
          </w:p>
        </w:tc>
        <w:tc>
          <w:tcPr>
            <w:tcW w:w="1100" w:type="dxa"/>
            <w:vAlign w:val="bottom"/>
            <w:tcBorders>
              <w:top w:val="single" w:sz="8" w:color="auto"/>
              <w:bottom w:val="single" w:sz="8" w:color="auto"/>
            </w:tcBorders>
            <w:gridSpan w:val="2"/>
            <w:shd w:val="clear" w:color="auto" w:fill="CCEEFF"/>
          </w:tcPr>
          <w:p>
            <w:pPr>
              <w:jc w:val="right"/>
              <w:ind w:right="103"/>
              <w:spacing w:after="0" w:line="156" w:lineRule="exact"/>
              <w:rPr>
                <w:sz w:val="20"/>
                <w:szCs w:val="20"/>
                <w:color w:val="auto"/>
              </w:rPr>
            </w:pPr>
            <w:r>
              <w:rPr>
                <w:rFonts w:ascii="Arial" w:cs="Arial" w:eastAsia="Arial" w:hAnsi="Arial"/>
                <w:sz w:val="15"/>
                <w:szCs w:val="15"/>
                <w:color w:val="auto"/>
              </w:rPr>
              <w:t>$95</w:t>
            </w:r>
          </w:p>
        </w:tc>
        <w:tc>
          <w:tcPr>
            <w:tcW w:w="9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w:t>
            </w:r>
          </w:p>
        </w:tc>
        <w:tc>
          <w:tcPr>
            <w:tcW w:w="120" w:type="dxa"/>
            <w:vAlign w:val="bottom"/>
            <w:tcBorders>
              <w:top w:val="single" w:sz="8" w:color="CCEEFF"/>
              <w:bottom w:val="single" w:sz="8" w:color="auto"/>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w:t>
            </w:r>
          </w:p>
        </w:tc>
        <w:tc>
          <w:tcPr>
            <w:tcW w:w="1240" w:type="dxa"/>
            <w:vAlign w:val="bottom"/>
            <w:tcBorders>
              <w:top w:val="single" w:sz="8" w:color="auto"/>
              <w:bottom w:val="single" w:sz="8" w:color="auto"/>
            </w:tcBorders>
            <w:shd w:val="clear" w:color="auto" w:fill="CCEEFF"/>
          </w:tcPr>
          <w:p>
            <w:pPr>
              <w:jc w:val="right"/>
              <w:ind w:right="43"/>
              <w:spacing w:after="0" w:line="156" w:lineRule="exact"/>
              <w:rPr>
                <w:sz w:val="20"/>
                <w:szCs w:val="20"/>
                <w:color w:val="auto"/>
              </w:rPr>
            </w:pPr>
            <w:r>
              <w:rPr>
                <w:rFonts w:ascii="Arial" w:cs="Arial" w:eastAsia="Arial" w:hAnsi="Arial"/>
                <w:sz w:val="15"/>
                <w:szCs w:val="15"/>
                <w:color w:val="auto"/>
              </w:rPr>
              <w:t>$0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gridSpan w:val="2"/>
            <w:shd w:val="clear" w:color="auto" w:fill="CCEEFF"/>
          </w:tcPr>
          <w:p>
            <w:pPr>
              <w:jc w:val="right"/>
              <w:ind w:right="83"/>
              <w:spacing w:after="0" w:line="156" w:lineRule="exact"/>
              <w:rPr>
                <w:sz w:val="20"/>
                <w:szCs w:val="20"/>
                <w:color w:val="auto"/>
              </w:rPr>
            </w:pPr>
            <w:r>
              <w:rPr>
                <w:rFonts w:ascii="Arial" w:cs="Arial" w:eastAsia="Arial" w:hAnsi="Arial"/>
                <w:sz w:val="15"/>
                <w:szCs w:val="15"/>
                <w:color w:val="auto"/>
              </w:rPr>
              <w:t>$96</w:t>
            </w:r>
          </w:p>
        </w:tc>
        <w:tc>
          <w:tcPr>
            <w:tcW w:w="1160" w:type="dxa"/>
            <w:vAlign w:val="bottom"/>
            <w:tcBorders>
              <w:top w:val="single" w:sz="8" w:color="auto"/>
              <w:bottom w:val="single" w:sz="8" w:color="auto"/>
            </w:tcBorders>
            <w:shd w:val="clear" w:color="auto" w:fill="CCEEFF"/>
          </w:tcPr>
          <w:p>
            <w:pPr>
              <w:jc w:val="right"/>
              <w:ind w:right="123"/>
              <w:spacing w:after="0" w:line="156" w:lineRule="exact"/>
              <w:rPr>
                <w:sz w:val="20"/>
                <w:szCs w:val="20"/>
                <w:color w:val="auto"/>
              </w:rPr>
            </w:pPr>
            <w:r>
              <w:rPr>
                <w:rFonts w:ascii="Arial" w:cs="Arial" w:eastAsia="Arial" w:hAnsi="Arial"/>
                <w:sz w:val="15"/>
                <w:szCs w:val="15"/>
                <w:color w:val="auto"/>
              </w:rPr>
              <w:t>$2</w:t>
            </w:r>
          </w:p>
        </w:tc>
        <w:tc>
          <w:tcPr>
            <w:tcW w:w="1020" w:type="dxa"/>
            <w:vAlign w:val="bottom"/>
            <w:tcBorders>
              <w:top w:val="single" w:sz="8" w:color="auto"/>
              <w:bottom w:val="single" w:sz="8" w:color="auto"/>
            </w:tcBorders>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6" w:right="239" w:bottom="360" w:gutter="0" w:footer="0" w:header="0"/>
        </w:sectPr>
      </w:pPr>
    </w:p>
    <w:bookmarkStart w:id="15" w:name="page16"/>
    <w:bookmarkEnd w:id="15"/>
    <w:p>
      <w:pPr>
        <w:spacing w:after="0" w:line="5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Fixed maturities and equity securities in a gross unrealized loss position at December 31, 2010 are as follows for the Exchange. Data is provided by length of time securities were in a gross unrealized loss position.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center"/>
              <w:ind w:left="23"/>
              <w:spacing w:after="0"/>
              <w:rPr>
                <w:sz w:val="20"/>
                <w:szCs w:val="20"/>
                <w:color w:val="auto"/>
              </w:rPr>
            </w:pPr>
            <w:r>
              <w:rPr>
                <w:rFonts w:ascii="Arial" w:cs="Arial" w:eastAsia="Arial" w:hAnsi="Arial"/>
                <w:sz w:val="15"/>
                <w:szCs w:val="15"/>
                <w:color w:val="auto"/>
                <w:w w:val="92"/>
              </w:rPr>
              <w:t>Erie Insurance Group</w:t>
            </w:r>
          </w:p>
        </w:tc>
        <w:tc>
          <w:tcPr>
            <w:tcW w:w="6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tcPr>
          <w:p>
            <w:pPr>
              <w:jc w:val="center"/>
              <w:ind w:right="120"/>
              <w:spacing w:after="0" w:line="142" w:lineRule="exact"/>
              <w:rPr>
                <w:sz w:val="20"/>
                <w:szCs w:val="20"/>
                <w:color w:val="auto"/>
              </w:rPr>
            </w:pPr>
            <w:r>
              <w:rPr>
                <w:rFonts w:ascii="Arial" w:cs="Arial" w:eastAsia="Arial" w:hAnsi="Arial"/>
                <w:sz w:val="15"/>
                <w:szCs w:val="15"/>
                <w:color w:val="auto"/>
                <w:w w:val="91"/>
              </w:rPr>
              <w:t>December 31, 2010</w:t>
            </w: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78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82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5"/>
                <w:szCs w:val="15"/>
                <w:color w:val="auto"/>
              </w:rPr>
              <w:t>Less than 12 months</w:t>
            </w:r>
          </w:p>
        </w:tc>
        <w:tc>
          <w:tcPr>
            <w:tcW w:w="3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tcBorders>
              <w:bottom w:val="single" w:sz="8" w:color="auto"/>
            </w:tcBorders>
            <w:gridSpan w:val="3"/>
          </w:tcPr>
          <w:p>
            <w:pPr>
              <w:jc w:val="right"/>
              <w:ind w:right="143"/>
              <w:spacing w:after="0"/>
              <w:rPr>
                <w:sz w:val="20"/>
                <w:szCs w:val="20"/>
                <w:color w:val="auto"/>
              </w:rPr>
            </w:pPr>
            <w:r>
              <w:rPr>
                <w:rFonts w:ascii="Arial" w:cs="Arial" w:eastAsia="Arial" w:hAnsi="Arial"/>
                <w:sz w:val="15"/>
                <w:szCs w:val="15"/>
                <w:color w:val="auto"/>
              </w:rPr>
              <w:t>12 months or longer</w:t>
            </w:r>
          </w:p>
        </w:tc>
        <w:tc>
          <w:tcPr>
            <w:tcW w:w="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left="63"/>
              <w:spacing w:after="0"/>
              <w:rPr>
                <w:sz w:val="20"/>
                <w:szCs w:val="20"/>
                <w:color w:val="auto"/>
              </w:rPr>
            </w:pPr>
            <w:r>
              <w:rPr>
                <w:rFonts w:ascii="Arial" w:cs="Arial" w:eastAsia="Arial" w:hAnsi="Arial"/>
                <w:sz w:val="15"/>
                <w:szCs w:val="15"/>
                <w:color w:val="auto"/>
                <w:w w:val="89"/>
              </w:rPr>
              <w:t>Total</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8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Exchange</w:t>
            </w:r>
          </w:p>
        </w:tc>
        <w:tc>
          <w:tcPr>
            <w:tcW w:w="640" w:type="dxa"/>
            <w:vAlign w:val="bottom"/>
          </w:tcPr>
          <w:p>
            <w:pPr>
              <w:jc w:val="right"/>
              <w:ind w:right="3"/>
              <w:spacing w:after="0" w:line="142" w:lineRule="exact"/>
              <w:rPr>
                <w:sz w:val="20"/>
                <w:szCs w:val="20"/>
                <w:color w:val="auto"/>
              </w:rPr>
            </w:pPr>
            <w:r>
              <w:rPr>
                <w:rFonts w:ascii="Arial" w:cs="Arial" w:eastAsia="Arial" w:hAnsi="Arial"/>
                <w:sz w:val="15"/>
                <w:szCs w:val="15"/>
                <w:color w:val="auto"/>
              </w:rPr>
              <w:t>Fair</w:t>
            </w:r>
          </w:p>
        </w:tc>
        <w:tc>
          <w:tcPr>
            <w:tcW w:w="400" w:type="dxa"/>
            <w:vAlign w:val="bottom"/>
          </w:tcPr>
          <w:p>
            <w:pPr>
              <w:spacing w:after="0"/>
              <w:rPr>
                <w:sz w:val="12"/>
                <w:szCs w:val="12"/>
                <w:color w:val="auto"/>
              </w:rPr>
            </w:pPr>
          </w:p>
        </w:tc>
        <w:tc>
          <w:tcPr>
            <w:tcW w:w="1080" w:type="dxa"/>
            <w:vAlign w:val="bottom"/>
            <w:gridSpan w:val="2"/>
          </w:tcPr>
          <w:p>
            <w:pPr>
              <w:jc w:val="right"/>
              <w:ind w:right="163"/>
              <w:spacing w:after="0" w:line="142" w:lineRule="exact"/>
              <w:rPr>
                <w:sz w:val="20"/>
                <w:szCs w:val="20"/>
                <w:color w:val="auto"/>
              </w:rPr>
            </w:pPr>
            <w:r>
              <w:rPr>
                <w:rFonts w:ascii="Arial" w:cs="Arial" w:eastAsia="Arial" w:hAnsi="Arial"/>
                <w:sz w:val="15"/>
                <w:szCs w:val="15"/>
                <w:color w:val="auto"/>
              </w:rPr>
              <w:t>Unrealized</w:t>
            </w:r>
          </w:p>
        </w:tc>
        <w:tc>
          <w:tcPr>
            <w:tcW w:w="140" w:type="dxa"/>
            <w:vAlign w:val="bottom"/>
          </w:tcPr>
          <w:p>
            <w:pPr>
              <w:spacing w:after="0"/>
              <w:rPr>
                <w:sz w:val="12"/>
                <w:szCs w:val="12"/>
                <w:color w:val="auto"/>
              </w:rPr>
            </w:pPr>
          </w:p>
        </w:tc>
        <w:tc>
          <w:tcPr>
            <w:tcW w:w="660" w:type="dxa"/>
            <w:vAlign w:val="bottom"/>
          </w:tcPr>
          <w:p>
            <w:pPr>
              <w:jc w:val="right"/>
              <w:ind w:right="43"/>
              <w:spacing w:after="0" w:line="142" w:lineRule="exact"/>
              <w:rPr>
                <w:sz w:val="20"/>
                <w:szCs w:val="20"/>
                <w:color w:val="auto"/>
              </w:rPr>
            </w:pPr>
            <w:r>
              <w:rPr>
                <w:rFonts w:ascii="Arial" w:cs="Arial" w:eastAsia="Arial" w:hAnsi="Arial"/>
                <w:sz w:val="15"/>
                <w:szCs w:val="15"/>
                <w:color w:val="auto"/>
              </w:rPr>
              <w:t>Fair</w:t>
            </w:r>
          </w:p>
        </w:tc>
        <w:tc>
          <w:tcPr>
            <w:tcW w:w="22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Arial" w:cs="Arial" w:eastAsia="Arial" w:hAnsi="Arial"/>
                <w:sz w:val="15"/>
                <w:szCs w:val="15"/>
                <w:color w:val="auto"/>
              </w:rPr>
              <w:t>Unrealized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3"/>
              <w:spacing w:after="0" w:line="142" w:lineRule="exact"/>
              <w:rPr>
                <w:sz w:val="20"/>
                <w:szCs w:val="20"/>
                <w:color w:val="auto"/>
              </w:rPr>
            </w:pPr>
            <w:r>
              <w:rPr>
                <w:rFonts w:ascii="Arial" w:cs="Arial" w:eastAsia="Arial" w:hAnsi="Arial"/>
                <w:sz w:val="15"/>
                <w:szCs w:val="15"/>
                <w:color w:val="auto"/>
              </w:rPr>
              <w:t>Fair</w:t>
            </w:r>
          </w:p>
        </w:tc>
        <w:tc>
          <w:tcPr>
            <w:tcW w:w="400" w:type="dxa"/>
            <w:vAlign w:val="bottom"/>
          </w:tcPr>
          <w:p>
            <w:pPr>
              <w:spacing w:after="0"/>
              <w:rPr>
                <w:sz w:val="12"/>
                <w:szCs w:val="12"/>
                <w:color w:val="auto"/>
              </w:rPr>
            </w:pPr>
          </w:p>
        </w:tc>
        <w:tc>
          <w:tcPr>
            <w:tcW w:w="840" w:type="dxa"/>
            <w:vAlign w:val="bottom"/>
          </w:tcPr>
          <w:p>
            <w:pPr>
              <w:jc w:val="center"/>
              <w:ind w:left="63"/>
              <w:spacing w:after="0" w:line="142" w:lineRule="exact"/>
              <w:rPr>
                <w:sz w:val="20"/>
                <w:szCs w:val="20"/>
                <w:color w:val="auto"/>
              </w:rPr>
            </w:pPr>
            <w:r>
              <w:rPr>
                <w:rFonts w:ascii="Arial" w:cs="Arial" w:eastAsia="Arial" w:hAnsi="Arial"/>
                <w:sz w:val="15"/>
                <w:szCs w:val="15"/>
                <w:color w:val="auto"/>
                <w:w w:val="91"/>
              </w:rPr>
              <w:t>Unrealized</w:t>
            </w:r>
          </w:p>
        </w:tc>
        <w:tc>
          <w:tcPr>
            <w:tcW w:w="300" w:type="dxa"/>
            <w:vAlign w:val="bottom"/>
          </w:tcPr>
          <w:p>
            <w:pPr>
              <w:spacing w:after="0"/>
              <w:rPr>
                <w:sz w:val="12"/>
                <w:szCs w:val="12"/>
                <w:color w:val="auto"/>
              </w:rPr>
            </w:pPr>
          </w:p>
        </w:tc>
        <w:tc>
          <w:tcPr>
            <w:tcW w:w="980" w:type="dxa"/>
            <w:vAlign w:val="bottom"/>
          </w:tcPr>
          <w:p>
            <w:pPr>
              <w:jc w:val="right"/>
              <w:ind w:right="263"/>
              <w:spacing w:after="0" w:line="142" w:lineRule="exact"/>
              <w:rPr>
                <w:sz w:val="20"/>
                <w:szCs w:val="20"/>
                <w:color w:val="auto"/>
              </w:rPr>
            </w:pPr>
            <w:r>
              <w:rPr>
                <w:rFonts w:ascii="Arial" w:cs="Arial" w:eastAsia="Arial" w:hAnsi="Arial"/>
                <w:sz w:val="15"/>
                <w:szCs w:val="15"/>
                <w:color w:val="auto"/>
              </w:rPr>
              <w:t>No. of</w:t>
            </w:r>
          </w:p>
        </w:tc>
        <w:tc>
          <w:tcPr>
            <w:tcW w:w="0" w:type="dxa"/>
            <w:vAlign w:val="bottom"/>
          </w:tcPr>
          <w:p>
            <w:pPr>
              <w:spacing w:after="0"/>
              <w:rPr>
                <w:sz w:val="1"/>
                <w:szCs w:val="1"/>
                <w:color w:val="auto"/>
              </w:rPr>
            </w:pPr>
          </w:p>
        </w:tc>
      </w:tr>
      <w:tr>
        <w:trPr>
          <w:trHeight w:val="175"/>
        </w:trPr>
        <w:tc>
          <w:tcPr>
            <w:tcW w:w="3780" w:type="dxa"/>
            <w:vAlign w:val="bottom"/>
            <w:gridSpan w:val="2"/>
            <w:vMerge w:val="continue"/>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value</w:t>
            </w:r>
          </w:p>
        </w:tc>
        <w:tc>
          <w:tcPr>
            <w:tcW w:w="40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losses</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3"/>
              <w:spacing w:after="0"/>
              <w:rPr>
                <w:sz w:val="20"/>
                <w:szCs w:val="20"/>
                <w:color w:val="auto"/>
              </w:rPr>
            </w:pPr>
            <w:r>
              <w:rPr>
                <w:rFonts w:ascii="Arial" w:cs="Arial" w:eastAsia="Arial" w:hAnsi="Arial"/>
                <w:sz w:val="15"/>
                <w:szCs w:val="15"/>
                <w:color w:val="auto"/>
              </w:rPr>
              <w:t>value</w:t>
            </w:r>
          </w:p>
        </w:tc>
        <w:tc>
          <w:tcPr>
            <w:tcW w:w="22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Arial" w:cs="Arial" w:eastAsia="Arial" w:hAnsi="Arial"/>
                <w:sz w:val="15"/>
                <w:szCs w:val="15"/>
                <w:color w:val="auto"/>
              </w:rPr>
              <w:t>losses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value</w:t>
            </w:r>
          </w:p>
        </w:tc>
        <w:tc>
          <w:tcPr>
            <w:tcW w:w="400" w:type="dxa"/>
            <w:vAlign w:val="bottom"/>
          </w:tcPr>
          <w:p>
            <w:pPr>
              <w:spacing w:after="0"/>
              <w:rPr>
                <w:sz w:val="15"/>
                <w:szCs w:val="15"/>
                <w:color w:val="auto"/>
              </w:rPr>
            </w:pPr>
          </w:p>
        </w:tc>
        <w:tc>
          <w:tcPr>
            <w:tcW w:w="840" w:type="dxa"/>
            <w:vAlign w:val="bottom"/>
          </w:tcPr>
          <w:p>
            <w:pPr>
              <w:jc w:val="center"/>
              <w:ind w:left="63"/>
              <w:spacing w:after="0"/>
              <w:rPr>
                <w:sz w:val="20"/>
                <w:szCs w:val="20"/>
                <w:color w:val="auto"/>
              </w:rPr>
            </w:pPr>
            <w:r>
              <w:rPr>
                <w:rFonts w:ascii="Arial" w:cs="Arial" w:eastAsia="Arial" w:hAnsi="Arial"/>
                <w:sz w:val="15"/>
                <w:szCs w:val="15"/>
                <w:color w:val="auto"/>
                <w:w w:val="89"/>
              </w:rPr>
              <w:t>losses</w:t>
            </w:r>
          </w:p>
        </w:tc>
        <w:tc>
          <w:tcPr>
            <w:tcW w:w="300" w:type="dxa"/>
            <w:vAlign w:val="bottom"/>
          </w:tcPr>
          <w:p>
            <w:pPr>
              <w:spacing w:after="0"/>
              <w:rPr>
                <w:sz w:val="15"/>
                <w:szCs w:val="15"/>
                <w:color w:val="auto"/>
              </w:rPr>
            </w:pPr>
          </w:p>
        </w:tc>
        <w:tc>
          <w:tcPr>
            <w:tcW w:w="980" w:type="dxa"/>
            <w:vAlign w:val="bottom"/>
          </w:tcPr>
          <w:p>
            <w:pPr>
              <w:jc w:val="right"/>
              <w:ind w:right="183"/>
              <w:spacing w:after="0"/>
              <w:rPr>
                <w:sz w:val="20"/>
                <w:szCs w:val="20"/>
                <w:color w:val="auto"/>
              </w:rPr>
            </w:pPr>
            <w:r>
              <w:rPr>
                <w:rFonts w:ascii="Arial" w:cs="Arial" w:eastAsia="Arial" w:hAnsi="Arial"/>
                <w:sz w:val="15"/>
                <w:szCs w:val="15"/>
                <w:color w:val="auto"/>
              </w:rPr>
              <w:t>holdings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5"/>
                <w:szCs w:val="15"/>
                <w:color w:val="auto"/>
              </w:rPr>
              <w:t>Fixed maturities:</w:t>
            </w:r>
          </w:p>
        </w:tc>
        <w:tc>
          <w:tcPr>
            <w:tcW w:w="6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tcPr>
          <w:p>
            <w:pPr>
              <w:ind w:left="160"/>
              <w:spacing w:after="0" w:line="162" w:lineRule="exact"/>
              <w:rPr>
                <w:sz w:val="20"/>
                <w:szCs w:val="20"/>
                <w:color w:val="auto"/>
              </w:rPr>
            </w:pPr>
            <w:r>
              <w:rPr>
                <w:rFonts w:ascii="Arial" w:cs="Arial" w:eastAsia="Arial" w:hAnsi="Arial"/>
                <w:sz w:val="15"/>
                <w:szCs w:val="15"/>
                <w:color w:val="auto"/>
              </w:rPr>
              <w:t>U.S. treasuries and government agencies</w:t>
            </w: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2</w:t>
            </w:r>
          </w:p>
        </w:tc>
        <w:tc>
          <w:tcPr>
            <w:tcW w:w="7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00" w:type="dxa"/>
            <w:vAlign w:val="bottom"/>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10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jc w:val="right"/>
              <w:ind w:right="43"/>
              <w:spacing w:after="0" w:line="162" w:lineRule="exact"/>
              <w:rPr>
                <w:sz w:val="20"/>
                <w:szCs w:val="20"/>
                <w:color w:val="auto"/>
              </w:rPr>
            </w:pPr>
            <w:r>
              <w:rPr>
                <w:rFonts w:ascii="Arial" w:cs="Arial" w:eastAsia="Arial" w:hAnsi="Arial"/>
                <w:sz w:val="15"/>
                <w:szCs w:val="15"/>
                <w:color w:val="auto"/>
                <w:w w:val="95"/>
              </w:rPr>
              <w:t>0</w:t>
            </w:r>
          </w:p>
        </w:tc>
        <w:tc>
          <w:tcPr>
            <w:tcW w:w="12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2</w:t>
            </w: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00" w:type="dxa"/>
            <w:vAlign w:val="bottom"/>
          </w:tcPr>
          <w:p>
            <w:pPr>
              <w:jc w:val="right"/>
              <w:ind w:right="123"/>
              <w:spacing w:after="0" w:line="162" w:lineRule="exact"/>
              <w:rPr>
                <w:sz w:val="20"/>
                <w:szCs w:val="20"/>
                <w:color w:val="auto"/>
              </w:rPr>
            </w:pPr>
            <w:r>
              <w:rPr>
                <w:rFonts w:ascii="Arial" w:cs="Arial" w:eastAsia="Arial" w:hAnsi="Arial"/>
                <w:sz w:val="15"/>
                <w:szCs w:val="15"/>
                <w:color w:val="auto"/>
                <w:w w:val="95"/>
              </w:rPr>
              <w:t>0</w:t>
            </w:r>
          </w:p>
        </w:tc>
        <w:tc>
          <w:tcPr>
            <w:tcW w:w="9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U.S. government sponsored enterprises</w:t>
            </w: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20</w:t>
            </w: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0</w:t>
            </w: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w w:val="95"/>
              </w:rPr>
              <w:t>0</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20</w:t>
            </w: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w w:val="95"/>
              </w:rPr>
              <w:t>0</w:t>
            </w:r>
          </w:p>
        </w:tc>
        <w:tc>
          <w:tcPr>
            <w:tcW w:w="98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tcPr>
          <w:p>
            <w:pPr>
              <w:ind w:left="160"/>
              <w:spacing w:after="0" w:line="162" w:lineRule="exact"/>
              <w:rPr>
                <w:sz w:val="20"/>
                <w:szCs w:val="20"/>
                <w:color w:val="auto"/>
              </w:rPr>
            </w:pPr>
            <w:r>
              <w:rPr>
                <w:rFonts w:ascii="Arial" w:cs="Arial" w:eastAsia="Arial" w:hAnsi="Arial"/>
                <w:sz w:val="15"/>
                <w:szCs w:val="15"/>
                <w:color w:val="auto"/>
              </w:rPr>
              <w:t>Foreign government</w:t>
            </w:r>
          </w:p>
        </w:tc>
        <w:tc>
          <w:tcPr>
            <w:tcW w:w="640" w:type="dxa"/>
            <w:vAlign w:val="bottom"/>
          </w:tcPr>
          <w:p>
            <w:pPr>
              <w:spacing w:after="0"/>
              <w:rPr>
                <w:sz w:val="14"/>
                <w:szCs w:val="14"/>
                <w:color w:val="auto"/>
              </w:rPr>
            </w:pPr>
          </w:p>
        </w:tc>
        <w:tc>
          <w:tcPr>
            <w:tcW w:w="40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10</w:t>
            </w:r>
          </w:p>
        </w:tc>
        <w:tc>
          <w:tcPr>
            <w:tcW w:w="780" w:type="dxa"/>
            <w:vAlign w:val="bottom"/>
          </w:tcPr>
          <w:p>
            <w:pPr>
              <w:spacing w:after="0"/>
              <w:rPr>
                <w:sz w:val="14"/>
                <w:szCs w:val="14"/>
                <w:color w:val="auto"/>
              </w:rPr>
            </w:pPr>
          </w:p>
        </w:tc>
        <w:tc>
          <w:tcPr>
            <w:tcW w:w="300" w:type="dxa"/>
            <w:vAlign w:val="bottom"/>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1020" w:type="dxa"/>
            <w:vAlign w:val="bottom"/>
          </w:tcPr>
          <w:p>
            <w:pPr>
              <w:spacing w:after="0"/>
              <w:rPr>
                <w:sz w:val="14"/>
                <w:szCs w:val="14"/>
                <w:color w:val="auto"/>
              </w:rPr>
            </w:pPr>
          </w:p>
        </w:tc>
        <w:tc>
          <w:tcPr>
            <w:tcW w:w="220" w:type="dxa"/>
            <w:vAlign w:val="bottom"/>
          </w:tcPr>
          <w:p>
            <w:pPr>
              <w:jc w:val="right"/>
              <w:ind w:right="43"/>
              <w:spacing w:after="0" w:line="162" w:lineRule="exact"/>
              <w:rPr>
                <w:sz w:val="20"/>
                <w:szCs w:val="20"/>
                <w:color w:val="auto"/>
              </w:rPr>
            </w:pPr>
            <w:r>
              <w:rPr>
                <w:rFonts w:ascii="Arial" w:cs="Arial" w:eastAsia="Arial" w:hAnsi="Arial"/>
                <w:sz w:val="15"/>
                <w:szCs w:val="15"/>
                <w:color w:val="auto"/>
                <w:w w:val="95"/>
              </w:rPr>
              <w:t>0</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10</w:t>
            </w:r>
          </w:p>
        </w:tc>
        <w:tc>
          <w:tcPr>
            <w:tcW w:w="840" w:type="dxa"/>
            <w:vAlign w:val="bottom"/>
          </w:tcPr>
          <w:p>
            <w:pPr>
              <w:spacing w:after="0"/>
              <w:rPr>
                <w:sz w:val="14"/>
                <w:szCs w:val="14"/>
                <w:color w:val="auto"/>
              </w:rPr>
            </w:pPr>
          </w:p>
        </w:tc>
        <w:tc>
          <w:tcPr>
            <w:tcW w:w="300" w:type="dxa"/>
            <w:vAlign w:val="bottom"/>
          </w:tcPr>
          <w:p>
            <w:pPr>
              <w:jc w:val="right"/>
              <w:ind w:right="123"/>
              <w:spacing w:after="0" w:line="162" w:lineRule="exact"/>
              <w:rPr>
                <w:sz w:val="20"/>
                <w:szCs w:val="20"/>
                <w:color w:val="auto"/>
              </w:rPr>
            </w:pPr>
            <w:r>
              <w:rPr>
                <w:rFonts w:ascii="Arial" w:cs="Arial" w:eastAsia="Arial" w:hAnsi="Arial"/>
                <w:sz w:val="15"/>
                <w:szCs w:val="15"/>
                <w:color w:val="auto"/>
                <w:w w:val="95"/>
              </w:rPr>
              <w:t>0</w:t>
            </w:r>
          </w:p>
        </w:tc>
        <w:tc>
          <w:tcPr>
            <w:tcW w:w="9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Municipal securities</w:t>
            </w: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w w:val="79"/>
              </w:rPr>
              <w:t>299</w:t>
            </w: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8</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w:t>
            </w: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w w:val="95"/>
              </w:rPr>
              <w:t>1</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w w:val="79"/>
              </w:rPr>
              <w:t>304</w:t>
            </w: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w w:val="95"/>
              </w:rPr>
              <w:t>9</w:t>
            </w:r>
          </w:p>
        </w:tc>
        <w:tc>
          <w:tcPr>
            <w:tcW w:w="98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tcPr>
          <w:p>
            <w:pPr>
              <w:ind w:left="160"/>
              <w:spacing w:after="0" w:line="162" w:lineRule="exact"/>
              <w:rPr>
                <w:sz w:val="20"/>
                <w:szCs w:val="20"/>
                <w:color w:val="auto"/>
              </w:rPr>
            </w:pPr>
            <w:r>
              <w:rPr>
                <w:rFonts w:ascii="Arial" w:cs="Arial" w:eastAsia="Arial" w:hAnsi="Arial"/>
                <w:sz w:val="15"/>
                <w:szCs w:val="15"/>
                <w:color w:val="auto"/>
              </w:rPr>
              <w:t>U.S. corporate debt – non-financial</w:t>
            </w:r>
          </w:p>
        </w:tc>
        <w:tc>
          <w:tcPr>
            <w:tcW w:w="640" w:type="dxa"/>
            <w:vAlign w:val="bottom"/>
          </w:tcPr>
          <w:p>
            <w:pPr>
              <w:spacing w:after="0"/>
              <w:rPr>
                <w:sz w:val="14"/>
                <w:szCs w:val="14"/>
                <w:color w:val="auto"/>
              </w:rPr>
            </w:pPr>
          </w:p>
        </w:tc>
        <w:tc>
          <w:tcPr>
            <w:tcW w:w="400" w:type="dxa"/>
            <w:vAlign w:val="bottom"/>
          </w:tcPr>
          <w:p>
            <w:pPr>
              <w:jc w:val="right"/>
              <w:ind w:right="103"/>
              <w:spacing w:after="0" w:line="162" w:lineRule="exact"/>
              <w:rPr>
                <w:sz w:val="20"/>
                <w:szCs w:val="20"/>
                <w:color w:val="auto"/>
              </w:rPr>
            </w:pPr>
            <w:r>
              <w:rPr>
                <w:rFonts w:ascii="Arial" w:cs="Arial" w:eastAsia="Arial" w:hAnsi="Arial"/>
                <w:sz w:val="15"/>
                <w:szCs w:val="15"/>
                <w:color w:val="auto"/>
                <w:w w:val="79"/>
              </w:rPr>
              <w:t>217</w:t>
            </w:r>
          </w:p>
        </w:tc>
        <w:tc>
          <w:tcPr>
            <w:tcW w:w="780" w:type="dxa"/>
            <w:vAlign w:val="bottom"/>
          </w:tcPr>
          <w:p>
            <w:pPr>
              <w:spacing w:after="0"/>
              <w:rPr>
                <w:sz w:val="14"/>
                <w:szCs w:val="14"/>
                <w:color w:val="auto"/>
              </w:rPr>
            </w:pPr>
          </w:p>
        </w:tc>
        <w:tc>
          <w:tcPr>
            <w:tcW w:w="300" w:type="dxa"/>
            <w:vAlign w:val="bottom"/>
          </w:tcPr>
          <w:p>
            <w:pPr>
              <w:jc w:val="right"/>
              <w:ind w:right="43"/>
              <w:spacing w:after="0" w:line="162" w:lineRule="exact"/>
              <w:rPr>
                <w:sz w:val="20"/>
                <w:szCs w:val="20"/>
                <w:color w:val="auto"/>
              </w:rPr>
            </w:pPr>
            <w:r>
              <w:rPr>
                <w:rFonts w:ascii="Arial" w:cs="Arial" w:eastAsia="Arial" w:hAnsi="Arial"/>
                <w:sz w:val="15"/>
                <w:szCs w:val="15"/>
                <w:color w:val="auto"/>
              </w:rPr>
              <w:t>4</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jc w:val="right"/>
              <w:spacing w:after="0" w:line="162" w:lineRule="exact"/>
              <w:rPr>
                <w:sz w:val="20"/>
                <w:szCs w:val="20"/>
                <w:color w:val="auto"/>
              </w:rPr>
            </w:pPr>
            <w:r>
              <w:rPr>
                <w:rFonts w:ascii="Arial" w:cs="Arial" w:eastAsia="Arial" w:hAnsi="Arial"/>
                <w:sz w:val="15"/>
                <w:szCs w:val="15"/>
                <w:color w:val="auto"/>
              </w:rPr>
              <w:t>36</w:t>
            </w:r>
          </w:p>
        </w:tc>
        <w:tc>
          <w:tcPr>
            <w:tcW w:w="1020" w:type="dxa"/>
            <w:vAlign w:val="bottom"/>
          </w:tcPr>
          <w:p>
            <w:pPr>
              <w:spacing w:after="0"/>
              <w:rPr>
                <w:sz w:val="14"/>
                <w:szCs w:val="14"/>
                <w:color w:val="auto"/>
              </w:rPr>
            </w:pPr>
          </w:p>
        </w:tc>
        <w:tc>
          <w:tcPr>
            <w:tcW w:w="220" w:type="dxa"/>
            <w:vAlign w:val="bottom"/>
          </w:tcPr>
          <w:p>
            <w:pPr>
              <w:jc w:val="right"/>
              <w:ind w:right="43"/>
              <w:spacing w:after="0" w:line="162" w:lineRule="exact"/>
              <w:rPr>
                <w:sz w:val="20"/>
                <w:szCs w:val="20"/>
                <w:color w:val="auto"/>
              </w:rPr>
            </w:pPr>
            <w:r>
              <w:rPr>
                <w:rFonts w:ascii="Arial" w:cs="Arial" w:eastAsia="Arial" w:hAnsi="Arial"/>
                <w:sz w:val="15"/>
                <w:szCs w:val="15"/>
                <w:color w:val="auto"/>
                <w:w w:val="95"/>
              </w:rPr>
              <w:t>1</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jc w:val="right"/>
              <w:ind w:right="103"/>
              <w:spacing w:after="0" w:line="162" w:lineRule="exact"/>
              <w:rPr>
                <w:sz w:val="20"/>
                <w:szCs w:val="20"/>
                <w:color w:val="auto"/>
              </w:rPr>
            </w:pPr>
            <w:r>
              <w:rPr>
                <w:rFonts w:ascii="Arial" w:cs="Arial" w:eastAsia="Arial" w:hAnsi="Arial"/>
                <w:sz w:val="15"/>
                <w:szCs w:val="15"/>
                <w:color w:val="auto"/>
                <w:w w:val="79"/>
              </w:rPr>
              <w:t>253</w:t>
            </w:r>
          </w:p>
        </w:tc>
        <w:tc>
          <w:tcPr>
            <w:tcW w:w="840" w:type="dxa"/>
            <w:vAlign w:val="bottom"/>
          </w:tcPr>
          <w:p>
            <w:pPr>
              <w:spacing w:after="0"/>
              <w:rPr>
                <w:sz w:val="14"/>
                <w:szCs w:val="14"/>
                <w:color w:val="auto"/>
              </w:rPr>
            </w:pPr>
          </w:p>
        </w:tc>
        <w:tc>
          <w:tcPr>
            <w:tcW w:w="300" w:type="dxa"/>
            <w:vAlign w:val="bottom"/>
          </w:tcPr>
          <w:p>
            <w:pPr>
              <w:jc w:val="right"/>
              <w:ind w:right="123"/>
              <w:spacing w:after="0" w:line="162" w:lineRule="exact"/>
              <w:rPr>
                <w:sz w:val="20"/>
                <w:szCs w:val="20"/>
                <w:color w:val="auto"/>
              </w:rPr>
            </w:pPr>
            <w:r>
              <w:rPr>
                <w:rFonts w:ascii="Arial" w:cs="Arial" w:eastAsia="Arial" w:hAnsi="Arial"/>
                <w:sz w:val="15"/>
                <w:szCs w:val="15"/>
                <w:color w:val="auto"/>
                <w:w w:val="95"/>
              </w:rPr>
              <w:t>5</w:t>
            </w:r>
          </w:p>
        </w:tc>
        <w:tc>
          <w:tcPr>
            <w:tcW w:w="9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U.S. corporate debt – financial</w:t>
            </w: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w w:val="79"/>
              </w:rPr>
              <w:t>141</w:t>
            </w: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2</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85</w:t>
            </w: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w w:val="95"/>
              </w:rPr>
              <w:t>5</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w w:val="79"/>
              </w:rPr>
              <w:t>226</w:t>
            </w: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w w:val="95"/>
              </w:rPr>
              <w:t>7</w:t>
            </w:r>
          </w:p>
        </w:tc>
        <w:tc>
          <w:tcPr>
            <w:tcW w:w="98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tcPr>
          <w:p>
            <w:pPr>
              <w:ind w:left="160"/>
              <w:spacing w:after="0" w:line="162" w:lineRule="exact"/>
              <w:rPr>
                <w:sz w:val="20"/>
                <w:szCs w:val="20"/>
                <w:color w:val="auto"/>
              </w:rPr>
            </w:pPr>
            <w:r>
              <w:rPr>
                <w:rFonts w:ascii="Arial" w:cs="Arial" w:eastAsia="Arial" w:hAnsi="Arial"/>
                <w:sz w:val="15"/>
                <w:szCs w:val="15"/>
                <w:color w:val="auto"/>
              </w:rPr>
              <w:t>Foreign corporate debt – non-financial</w:t>
            </w:r>
          </w:p>
        </w:tc>
        <w:tc>
          <w:tcPr>
            <w:tcW w:w="640" w:type="dxa"/>
            <w:vAlign w:val="bottom"/>
          </w:tcPr>
          <w:p>
            <w:pPr>
              <w:spacing w:after="0"/>
              <w:rPr>
                <w:sz w:val="14"/>
                <w:szCs w:val="14"/>
                <w:color w:val="auto"/>
              </w:rPr>
            </w:pPr>
          </w:p>
        </w:tc>
        <w:tc>
          <w:tcPr>
            <w:tcW w:w="40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8</w:t>
            </w:r>
          </w:p>
        </w:tc>
        <w:tc>
          <w:tcPr>
            <w:tcW w:w="780" w:type="dxa"/>
            <w:vAlign w:val="bottom"/>
          </w:tcPr>
          <w:p>
            <w:pPr>
              <w:spacing w:after="0"/>
              <w:rPr>
                <w:sz w:val="14"/>
                <w:szCs w:val="14"/>
                <w:color w:val="auto"/>
              </w:rPr>
            </w:pPr>
          </w:p>
        </w:tc>
        <w:tc>
          <w:tcPr>
            <w:tcW w:w="300" w:type="dxa"/>
            <w:vAlign w:val="bottom"/>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jc w:val="right"/>
              <w:spacing w:after="0" w:line="162" w:lineRule="exact"/>
              <w:rPr>
                <w:sz w:val="20"/>
                <w:szCs w:val="20"/>
                <w:color w:val="auto"/>
              </w:rPr>
            </w:pPr>
            <w:r>
              <w:rPr>
                <w:rFonts w:ascii="Arial" w:cs="Arial" w:eastAsia="Arial" w:hAnsi="Arial"/>
                <w:sz w:val="15"/>
                <w:szCs w:val="15"/>
                <w:color w:val="auto"/>
              </w:rPr>
              <w:t>16</w:t>
            </w:r>
          </w:p>
        </w:tc>
        <w:tc>
          <w:tcPr>
            <w:tcW w:w="1020" w:type="dxa"/>
            <w:vAlign w:val="bottom"/>
          </w:tcPr>
          <w:p>
            <w:pPr>
              <w:spacing w:after="0"/>
              <w:rPr>
                <w:sz w:val="14"/>
                <w:szCs w:val="14"/>
                <w:color w:val="auto"/>
              </w:rPr>
            </w:pPr>
          </w:p>
        </w:tc>
        <w:tc>
          <w:tcPr>
            <w:tcW w:w="220" w:type="dxa"/>
            <w:vAlign w:val="bottom"/>
          </w:tcPr>
          <w:p>
            <w:pPr>
              <w:jc w:val="right"/>
              <w:ind w:right="43"/>
              <w:spacing w:after="0" w:line="162" w:lineRule="exact"/>
              <w:rPr>
                <w:sz w:val="20"/>
                <w:szCs w:val="20"/>
                <w:color w:val="auto"/>
              </w:rPr>
            </w:pPr>
            <w:r>
              <w:rPr>
                <w:rFonts w:ascii="Arial" w:cs="Arial" w:eastAsia="Arial" w:hAnsi="Arial"/>
                <w:sz w:val="15"/>
                <w:szCs w:val="15"/>
                <w:color w:val="auto"/>
                <w:w w:val="95"/>
              </w:rPr>
              <w:t>0</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24</w:t>
            </w:r>
          </w:p>
        </w:tc>
        <w:tc>
          <w:tcPr>
            <w:tcW w:w="840" w:type="dxa"/>
            <w:vAlign w:val="bottom"/>
          </w:tcPr>
          <w:p>
            <w:pPr>
              <w:spacing w:after="0"/>
              <w:rPr>
                <w:sz w:val="14"/>
                <w:szCs w:val="14"/>
                <w:color w:val="auto"/>
              </w:rPr>
            </w:pPr>
          </w:p>
        </w:tc>
        <w:tc>
          <w:tcPr>
            <w:tcW w:w="300" w:type="dxa"/>
            <w:vAlign w:val="bottom"/>
          </w:tcPr>
          <w:p>
            <w:pPr>
              <w:jc w:val="right"/>
              <w:ind w:right="123"/>
              <w:spacing w:after="0" w:line="162" w:lineRule="exact"/>
              <w:rPr>
                <w:sz w:val="20"/>
                <w:szCs w:val="20"/>
                <w:color w:val="auto"/>
              </w:rPr>
            </w:pPr>
            <w:r>
              <w:rPr>
                <w:rFonts w:ascii="Arial" w:cs="Arial" w:eastAsia="Arial" w:hAnsi="Arial"/>
                <w:sz w:val="15"/>
                <w:szCs w:val="15"/>
                <w:color w:val="auto"/>
                <w:w w:val="95"/>
              </w:rPr>
              <w:t>0</w:t>
            </w:r>
          </w:p>
        </w:tc>
        <w:tc>
          <w:tcPr>
            <w:tcW w:w="9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Foreign corporate debt – financial</w:t>
            </w: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32</w:t>
            </w: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2</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w:t>
            </w: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w w:val="95"/>
              </w:rPr>
              <w:t>0</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39</w:t>
            </w: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w w:val="95"/>
              </w:rPr>
              <w:t>2</w:t>
            </w:r>
          </w:p>
        </w:tc>
        <w:tc>
          <w:tcPr>
            <w:tcW w:w="98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tcPr>
          <w:p>
            <w:pPr>
              <w:ind w:left="160"/>
              <w:spacing w:after="0" w:line="162" w:lineRule="exact"/>
              <w:rPr>
                <w:sz w:val="20"/>
                <w:szCs w:val="20"/>
                <w:color w:val="auto"/>
              </w:rPr>
            </w:pPr>
            <w:r>
              <w:rPr>
                <w:rFonts w:ascii="Arial" w:cs="Arial" w:eastAsia="Arial" w:hAnsi="Arial"/>
                <w:sz w:val="15"/>
                <w:szCs w:val="15"/>
                <w:color w:val="auto"/>
              </w:rPr>
              <w:t>Structured securities:</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shd w:val="clear" w:color="auto" w:fill="CCEEFF"/>
          </w:tcPr>
          <w:p>
            <w:pPr>
              <w:ind w:left="340"/>
              <w:spacing w:after="0" w:line="162" w:lineRule="exact"/>
              <w:rPr>
                <w:sz w:val="20"/>
                <w:szCs w:val="20"/>
                <w:color w:val="auto"/>
              </w:rPr>
            </w:pPr>
            <w:r>
              <w:rPr>
                <w:rFonts w:ascii="Arial" w:cs="Arial" w:eastAsia="Arial" w:hAnsi="Arial"/>
                <w:sz w:val="15"/>
                <w:szCs w:val="15"/>
                <w:color w:val="auto"/>
              </w:rPr>
              <w:t>Collateralized debt obligations</w:t>
            </w: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1</w:t>
            </w: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33</w:t>
            </w: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w w:val="95"/>
              </w:rPr>
              <w:t>5</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34</w:t>
            </w: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w w:val="95"/>
              </w:rPr>
              <w:t>5</w:t>
            </w:r>
          </w:p>
        </w:tc>
        <w:tc>
          <w:tcPr>
            <w:tcW w:w="98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tcPr>
          <w:p>
            <w:pPr>
              <w:ind w:left="340"/>
              <w:spacing w:after="0" w:line="162" w:lineRule="exact"/>
              <w:rPr>
                <w:sz w:val="20"/>
                <w:szCs w:val="20"/>
                <w:color w:val="auto"/>
              </w:rPr>
            </w:pPr>
            <w:r>
              <w:rPr>
                <w:rFonts w:ascii="Arial" w:cs="Arial" w:eastAsia="Arial" w:hAnsi="Arial"/>
                <w:sz w:val="15"/>
                <w:szCs w:val="15"/>
                <w:color w:val="auto"/>
              </w:rPr>
              <w:t>Commercial mortgage-backed</w:t>
            </w:r>
          </w:p>
        </w:tc>
        <w:tc>
          <w:tcPr>
            <w:tcW w:w="640" w:type="dxa"/>
            <w:vAlign w:val="bottom"/>
          </w:tcPr>
          <w:p>
            <w:pPr>
              <w:spacing w:after="0"/>
              <w:rPr>
                <w:sz w:val="14"/>
                <w:szCs w:val="14"/>
                <w:color w:val="auto"/>
              </w:rPr>
            </w:pPr>
          </w:p>
        </w:tc>
        <w:tc>
          <w:tcPr>
            <w:tcW w:w="40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0</w:t>
            </w:r>
          </w:p>
        </w:tc>
        <w:tc>
          <w:tcPr>
            <w:tcW w:w="780" w:type="dxa"/>
            <w:vAlign w:val="bottom"/>
          </w:tcPr>
          <w:p>
            <w:pPr>
              <w:spacing w:after="0"/>
              <w:rPr>
                <w:sz w:val="14"/>
                <w:szCs w:val="14"/>
                <w:color w:val="auto"/>
              </w:rPr>
            </w:pPr>
          </w:p>
        </w:tc>
        <w:tc>
          <w:tcPr>
            <w:tcW w:w="300" w:type="dxa"/>
            <w:vAlign w:val="bottom"/>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jc w:val="right"/>
              <w:spacing w:after="0" w:line="162" w:lineRule="exact"/>
              <w:rPr>
                <w:sz w:val="20"/>
                <w:szCs w:val="20"/>
                <w:color w:val="auto"/>
              </w:rPr>
            </w:pPr>
            <w:r>
              <w:rPr>
                <w:rFonts w:ascii="Arial" w:cs="Arial" w:eastAsia="Arial" w:hAnsi="Arial"/>
                <w:sz w:val="15"/>
                <w:szCs w:val="15"/>
                <w:color w:val="auto"/>
              </w:rPr>
              <w:t>12</w:t>
            </w:r>
          </w:p>
        </w:tc>
        <w:tc>
          <w:tcPr>
            <w:tcW w:w="1020" w:type="dxa"/>
            <w:vAlign w:val="bottom"/>
          </w:tcPr>
          <w:p>
            <w:pPr>
              <w:spacing w:after="0"/>
              <w:rPr>
                <w:sz w:val="14"/>
                <w:szCs w:val="14"/>
                <w:color w:val="auto"/>
              </w:rPr>
            </w:pPr>
          </w:p>
        </w:tc>
        <w:tc>
          <w:tcPr>
            <w:tcW w:w="220" w:type="dxa"/>
            <w:vAlign w:val="bottom"/>
          </w:tcPr>
          <w:p>
            <w:pPr>
              <w:jc w:val="right"/>
              <w:ind w:right="43"/>
              <w:spacing w:after="0" w:line="162" w:lineRule="exact"/>
              <w:rPr>
                <w:sz w:val="20"/>
                <w:szCs w:val="20"/>
                <w:color w:val="auto"/>
              </w:rPr>
            </w:pPr>
            <w:r>
              <w:rPr>
                <w:rFonts w:ascii="Arial" w:cs="Arial" w:eastAsia="Arial" w:hAnsi="Arial"/>
                <w:sz w:val="15"/>
                <w:szCs w:val="15"/>
                <w:color w:val="auto"/>
                <w:w w:val="95"/>
              </w:rPr>
              <w:t>1</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12</w:t>
            </w:r>
          </w:p>
        </w:tc>
        <w:tc>
          <w:tcPr>
            <w:tcW w:w="840" w:type="dxa"/>
            <w:vAlign w:val="bottom"/>
          </w:tcPr>
          <w:p>
            <w:pPr>
              <w:spacing w:after="0"/>
              <w:rPr>
                <w:sz w:val="14"/>
                <w:szCs w:val="14"/>
                <w:color w:val="auto"/>
              </w:rPr>
            </w:pPr>
          </w:p>
        </w:tc>
        <w:tc>
          <w:tcPr>
            <w:tcW w:w="300" w:type="dxa"/>
            <w:vAlign w:val="bottom"/>
          </w:tcPr>
          <w:p>
            <w:pPr>
              <w:jc w:val="right"/>
              <w:ind w:right="123"/>
              <w:spacing w:after="0" w:line="162" w:lineRule="exact"/>
              <w:rPr>
                <w:sz w:val="20"/>
                <w:szCs w:val="20"/>
                <w:color w:val="auto"/>
              </w:rPr>
            </w:pPr>
            <w:r>
              <w:rPr>
                <w:rFonts w:ascii="Arial" w:cs="Arial" w:eastAsia="Arial" w:hAnsi="Arial"/>
                <w:sz w:val="15"/>
                <w:szCs w:val="15"/>
                <w:color w:val="auto"/>
                <w:w w:val="95"/>
              </w:rPr>
              <w:t>1</w:t>
            </w:r>
          </w:p>
        </w:tc>
        <w:tc>
          <w:tcPr>
            <w:tcW w:w="9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Residential mortgage-backed:</w:t>
            </w: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tcPr>
          <w:p>
            <w:pPr>
              <w:ind w:left="520"/>
              <w:spacing w:after="0" w:line="162" w:lineRule="exact"/>
              <w:rPr>
                <w:sz w:val="20"/>
                <w:szCs w:val="20"/>
                <w:color w:val="auto"/>
              </w:rPr>
            </w:pPr>
            <w:r>
              <w:rPr>
                <w:rFonts w:ascii="Arial" w:cs="Arial" w:eastAsia="Arial" w:hAnsi="Arial"/>
                <w:sz w:val="15"/>
                <w:szCs w:val="15"/>
                <w:color w:val="auto"/>
              </w:rPr>
              <w:t>Government sponsored enterprises</w:t>
            </w:r>
          </w:p>
        </w:tc>
        <w:tc>
          <w:tcPr>
            <w:tcW w:w="640" w:type="dxa"/>
            <w:vAlign w:val="bottom"/>
          </w:tcPr>
          <w:p>
            <w:pPr>
              <w:spacing w:after="0"/>
              <w:rPr>
                <w:sz w:val="14"/>
                <w:szCs w:val="14"/>
                <w:color w:val="auto"/>
              </w:rPr>
            </w:pPr>
          </w:p>
        </w:tc>
        <w:tc>
          <w:tcPr>
            <w:tcW w:w="40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6</w:t>
            </w:r>
          </w:p>
        </w:tc>
        <w:tc>
          <w:tcPr>
            <w:tcW w:w="780" w:type="dxa"/>
            <w:vAlign w:val="bottom"/>
          </w:tcPr>
          <w:p>
            <w:pPr>
              <w:spacing w:after="0"/>
              <w:rPr>
                <w:sz w:val="14"/>
                <w:szCs w:val="14"/>
                <w:color w:val="auto"/>
              </w:rPr>
            </w:pPr>
          </w:p>
        </w:tc>
        <w:tc>
          <w:tcPr>
            <w:tcW w:w="300" w:type="dxa"/>
            <w:vAlign w:val="bottom"/>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1020" w:type="dxa"/>
            <w:vAlign w:val="bottom"/>
          </w:tcPr>
          <w:p>
            <w:pPr>
              <w:spacing w:after="0"/>
              <w:rPr>
                <w:sz w:val="14"/>
                <w:szCs w:val="14"/>
                <w:color w:val="auto"/>
              </w:rPr>
            </w:pPr>
          </w:p>
        </w:tc>
        <w:tc>
          <w:tcPr>
            <w:tcW w:w="220" w:type="dxa"/>
            <w:vAlign w:val="bottom"/>
          </w:tcPr>
          <w:p>
            <w:pPr>
              <w:jc w:val="right"/>
              <w:ind w:right="43"/>
              <w:spacing w:after="0" w:line="162" w:lineRule="exact"/>
              <w:rPr>
                <w:sz w:val="20"/>
                <w:szCs w:val="20"/>
                <w:color w:val="auto"/>
              </w:rPr>
            </w:pPr>
            <w:r>
              <w:rPr>
                <w:rFonts w:ascii="Arial" w:cs="Arial" w:eastAsia="Arial" w:hAnsi="Arial"/>
                <w:sz w:val="15"/>
                <w:szCs w:val="15"/>
                <w:color w:val="auto"/>
                <w:w w:val="95"/>
              </w:rPr>
              <w:t>0</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6</w:t>
            </w:r>
          </w:p>
        </w:tc>
        <w:tc>
          <w:tcPr>
            <w:tcW w:w="840" w:type="dxa"/>
            <w:vAlign w:val="bottom"/>
          </w:tcPr>
          <w:p>
            <w:pPr>
              <w:spacing w:after="0"/>
              <w:rPr>
                <w:sz w:val="14"/>
                <w:szCs w:val="14"/>
                <w:color w:val="auto"/>
              </w:rPr>
            </w:pPr>
          </w:p>
        </w:tc>
        <w:tc>
          <w:tcPr>
            <w:tcW w:w="300" w:type="dxa"/>
            <w:vAlign w:val="bottom"/>
          </w:tcPr>
          <w:p>
            <w:pPr>
              <w:jc w:val="right"/>
              <w:ind w:right="123"/>
              <w:spacing w:after="0" w:line="162" w:lineRule="exact"/>
              <w:rPr>
                <w:sz w:val="20"/>
                <w:szCs w:val="20"/>
                <w:color w:val="auto"/>
              </w:rPr>
            </w:pPr>
            <w:r>
              <w:rPr>
                <w:rFonts w:ascii="Arial" w:cs="Arial" w:eastAsia="Arial" w:hAnsi="Arial"/>
                <w:sz w:val="15"/>
                <w:szCs w:val="15"/>
                <w:color w:val="auto"/>
                <w:w w:val="95"/>
              </w:rPr>
              <w:t>0</w:t>
            </w:r>
          </w:p>
        </w:tc>
        <w:tc>
          <w:tcPr>
            <w:tcW w:w="9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shd w:val="clear" w:color="auto" w:fill="CCEEFF"/>
          </w:tcPr>
          <w:p>
            <w:pPr>
              <w:ind w:left="520"/>
              <w:spacing w:after="0" w:line="162" w:lineRule="exact"/>
              <w:rPr>
                <w:sz w:val="20"/>
                <w:szCs w:val="20"/>
                <w:color w:val="auto"/>
              </w:rPr>
            </w:pPr>
            <w:r>
              <w:rPr>
                <w:rFonts w:ascii="Arial" w:cs="Arial" w:eastAsia="Arial" w:hAnsi="Arial"/>
                <w:sz w:val="15"/>
                <w:szCs w:val="15"/>
                <w:color w:val="auto"/>
              </w:rPr>
              <w:t>Non-government sponsored enterprises</w:t>
            </w:r>
          </w:p>
        </w:tc>
        <w:tc>
          <w:tcPr>
            <w:tcW w:w="6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0</w:t>
            </w:r>
          </w:p>
        </w:tc>
        <w:tc>
          <w:tcPr>
            <w:tcW w:w="78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4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7</w:t>
            </w:r>
          </w:p>
        </w:tc>
        <w:tc>
          <w:tcPr>
            <w:tcW w:w="10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w w:val="95"/>
              </w:rPr>
              <w:t>1</w:t>
            </w:r>
          </w:p>
        </w:tc>
        <w:tc>
          <w:tcPr>
            <w:tcW w:w="12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7</w:t>
            </w:r>
          </w:p>
        </w:tc>
        <w:tc>
          <w:tcPr>
            <w:tcW w:w="84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w w:val="95"/>
              </w:rPr>
              <w:t>1</w:t>
            </w:r>
          </w:p>
        </w:tc>
        <w:tc>
          <w:tcPr>
            <w:tcW w:w="980" w:type="dxa"/>
            <w:vAlign w:val="bottom"/>
            <w:tcBorders>
              <w:bottom w:val="single" w:sz="8" w:color="auto"/>
            </w:tcBorders>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6"/>
        </w:trPr>
        <w:tc>
          <w:tcPr>
            <w:tcW w:w="3780" w:type="dxa"/>
            <w:vAlign w:val="bottom"/>
            <w:gridSpan w:val="2"/>
          </w:tcPr>
          <w:p>
            <w:pPr>
              <w:spacing w:after="0" w:line="156" w:lineRule="exact"/>
              <w:rPr>
                <w:sz w:val="20"/>
                <w:szCs w:val="20"/>
                <w:color w:val="auto"/>
              </w:rPr>
            </w:pPr>
            <w:r>
              <w:rPr>
                <w:rFonts w:ascii="Arial" w:cs="Arial" w:eastAsia="Arial" w:hAnsi="Arial"/>
                <w:sz w:val="15"/>
                <w:szCs w:val="15"/>
                <w:color w:val="auto"/>
              </w:rPr>
              <w:t>Total fixed maturities – Exchange</w:t>
            </w:r>
          </w:p>
        </w:tc>
        <w:tc>
          <w:tcPr>
            <w:tcW w:w="1040" w:type="dxa"/>
            <w:vAlign w:val="bottom"/>
            <w:tcBorders>
              <w:bottom w:val="single" w:sz="8" w:color="auto"/>
            </w:tcBorders>
            <w:gridSpan w:val="2"/>
          </w:tcPr>
          <w:p>
            <w:pPr>
              <w:jc w:val="right"/>
              <w:ind w:right="103"/>
              <w:spacing w:after="0" w:line="156" w:lineRule="exact"/>
              <w:rPr>
                <w:sz w:val="20"/>
                <w:szCs w:val="20"/>
                <w:color w:val="auto"/>
              </w:rPr>
            </w:pPr>
            <w:r>
              <w:rPr>
                <w:rFonts w:ascii="Arial" w:cs="Arial" w:eastAsia="Arial" w:hAnsi="Arial"/>
                <w:sz w:val="15"/>
                <w:szCs w:val="15"/>
                <w:color w:val="auto"/>
              </w:rPr>
              <w:t>$736</w:t>
            </w:r>
          </w:p>
        </w:tc>
        <w:tc>
          <w:tcPr>
            <w:tcW w:w="7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w w:val="95"/>
              </w:rPr>
              <w:t>16</w:t>
            </w:r>
          </w:p>
        </w:tc>
        <w:tc>
          <w:tcPr>
            <w:tcW w:w="140" w:type="dxa"/>
            <w:vAlign w:val="bottom"/>
          </w:tcPr>
          <w:p>
            <w:pPr>
              <w:spacing w:after="0"/>
              <w:rPr>
                <w:sz w:val="17"/>
                <w:szCs w:val="17"/>
                <w:color w:val="auto"/>
              </w:rPr>
            </w:pPr>
          </w:p>
        </w:tc>
        <w:tc>
          <w:tcPr>
            <w:tcW w:w="88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5"/>
                <w:szCs w:val="15"/>
                <w:color w:val="auto"/>
              </w:rPr>
              <w:t>$201</w:t>
            </w:r>
          </w:p>
        </w:tc>
        <w:tc>
          <w:tcPr>
            <w:tcW w:w="1240" w:type="dxa"/>
            <w:vAlign w:val="bottom"/>
            <w:tcBorders>
              <w:bottom w:val="single" w:sz="8" w:color="auto"/>
            </w:tcBorders>
            <w:gridSpan w:val="2"/>
          </w:tcPr>
          <w:p>
            <w:pPr>
              <w:jc w:val="right"/>
              <w:ind w:right="43"/>
              <w:spacing w:after="0" w:line="156" w:lineRule="exact"/>
              <w:rPr>
                <w:sz w:val="20"/>
                <w:szCs w:val="20"/>
                <w:color w:val="auto"/>
              </w:rPr>
            </w:pPr>
            <w:r>
              <w:rPr>
                <w:rFonts w:ascii="Arial" w:cs="Arial" w:eastAsia="Arial" w:hAnsi="Arial"/>
                <w:sz w:val="15"/>
                <w:szCs w:val="15"/>
                <w:color w:val="auto"/>
              </w:rPr>
              <w:t>$14</w:t>
            </w:r>
          </w:p>
        </w:tc>
        <w:tc>
          <w:tcPr>
            <w:tcW w:w="120" w:type="dxa"/>
            <w:vAlign w:val="bottom"/>
          </w:tcPr>
          <w:p>
            <w:pPr>
              <w:spacing w:after="0"/>
              <w:rPr>
                <w:sz w:val="17"/>
                <w:szCs w:val="17"/>
                <w:color w:val="auto"/>
              </w:rPr>
            </w:pPr>
          </w:p>
        </w:tc>
        <w:tc>
          <w:tcPr>
            <w:tcW w:w="1020" w:type="dxa"/>
            <w:vAlign w:val="bottom"/>
            <w:tcBorders>
              <w:bottom w:val="single" w:sz="8" w:color="auto"/>
            </w:tcBorders>
            <w:gridSpan w:val="2"/>
          </w:tcPr>
          <w:p>
            <w:pPr>
              <w:jc w:val="right"/>
              <w:ind w:right="103"/>
              <w:spacing w:after="0" w:line="156" w:lineRule="exact"/>
              <w:rPr>
                <w:sz w:val="20"/>
                <w:szCs w:val="20"/>
                <w:color w:val="auto"/>
              </w:rPr>
            </w:pPr>
            <w:r>
              <w:rPr>
                <w:rFonts w:ascii="Arial" w:cs="Arial" w:eastAsia="Arial" w:hAnsi="Arial"/>
                <w:sz w:val="15"/>
                <w:szCs w:val="15"/>
                <w:color w:val="auto"/>
              </w:rPr>
              <w:t>$937</w:t>
            </w:r>
          </w:p>
        </w:tc>
        <w:tc>
          <w:tcPr>
            <w:tcW w:w="1140" w:type="dxa"/>
            <w:vAlign w:val="bottom"/>
            <w:tcBorders>
              <w:bottom w:val="single" w:sz="8" w:color="auto"/>
            </w:tcBorders>
            <w:gridSpan w:val="2"/>
          </w:tcPr>
          <w:p>
            <w:pPr>
              <w:jc w:val="right"/>
              <w:ind w:right="123"/>
              <w:spacing w:after="0" w:line="156" w:lineRule="exact"/>
              <w:rPr>
                <w:sz w:val="20"/>
                <w:szCs w:val="20"/>
                <w:color w:val="auto"/>
              </w:rPr>
            </w:pPr>
            <w:r>
              <w:rPr>
                <w:rFonts w:ascii="Arial" w:cs="Arial" w:eastAsia="Arial" w:hAnsi="Arial"/>
                <w:sz w:val="15"/>
                <w:szCs w:val="15"/>
                <w:color w:val="auto"/>
              </w:rPr>
              <w:t>$30</w:t>
            </w:r>
          </w:p>
        </w:tc>
        <w:tc>
          <w:tcPr>
            <w:tcW w:w="980" w:type="dxa"/>
            <w:vAlign w:val="bottom"/>
            <w:tcBorders>
              <w:bottom w:val="single" w:sz="8" w:color="auto"/>
            </w:tcBorders>
          </w:tcPr>
          <w:p>
            <w:pPr>
              <w:jc w:val="right"/>
              <w:ind w:right="23"/>
              <w:spacing w:after="0" w:line="156" w:lineRule="exact"/>
              <w:rPr>
                <w:sz w:val="20"/>
                <w:szCs w:val="20"/>
                <w:color w:val="auto"/>
              </w:rPr>
            </w:pPr>
            <w:r>
              <w:rPr>
                <w:rFonts w:ascii="Arial" w:cs="Arial" w:eastAsia="Arial" w:hAnsi="Arial"/>
                <w:sz w:val="15"/>
                <w:szCs w:val="15"/>
                <w:color w:val="auto"/>
              </w:rPr>
              <w:t>176</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76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3"/>
                <w:szCs w:val="13"/>
                <w:color w:val="auto"/>
              </w:rPr>
              <w:t>Equity securities:</w:t>
            </w:r>
          </w:p>
        </w:tc>
        <w:tc>
          <w:tcPr>
            <w:tcW w:w="64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tcPr>
          <w:p>
            <w:pPr>
              <w:ind w:left="160"/>
              <w:spacing w:after="0" w:line="162" w:lineRule="exact"/>
              <w:rPr>
                <w:sz w:val="20"/>
                <w:szCs w:val="20"/>
                <w:color w:val="auto"/>
              </w:rPr>
            </w:pPr>
            <w:r>
              <w:rPr>
                <w:rFonts w:ascii="Arial" w:cs="Arial" w:eastAsia="Arial" w:hAnsi="Arial"/>
                <w:sz w:val="15"/>
                <w:szCs w:val="15"/>
                <w:color w:val="auto"/>
              </w:rPr>
              <w:t>U.S. nonredeemable preferred securities:</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shd w:val="clear" w:color="auto" w:fill="CCEEFF"/>
          </w:tcPr>
          <w:p>
            <w:pPr>
              <w:ind w:left="340"/>
              <w:spacing w:after="0" w:line="162" w:lineRule="exact"/>
              <w:rPr>
                <w:sz w:val="20"/>
                <w:szCs w:val="20"/>
                <w:color w:val="auto"/>
              </w:rPr>
            </w:pPr>
            <w:r>
              <w:rPr>
                <w:rFonts w:ascii="Arial" w:cs="Arial" w:eastAsia="Arial" w:hAnsi="Arial"/>
                <w:sz w:val="15"/>
                <w:szCs w:val="15"/>
                <w:color w:val="auto"/>
              </w:rPr>
              <w:t>Financial</w:t>
            </w: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25</w:t>
            </w: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24</w:t>
            </w: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w w:val="95"/>
              </w:rPr>
              <w:t>2</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49</w:t>
            </w: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w w:val="95"/>
              </w:rPr>
              <w:t>2</w:t>
            </w:r>
          </w:p>
        </w:tc>
        <w:tc>
          <w:tcPr>
            <w:tcW w:w="98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tcPr>
          <w:p>
            <w:pPr>
              <w:ind w:left="340"/>
              <w:spacing w:after="0" w:line="162" w:lineRule="exact"/>
              <w:rPr>
                <w:sz w:val="20"/>
                <w:szCs w:val="20"/>
                <w:color w:val="auto"/>
              </w:rPr>
            </w:pPr>
            <w:r>
              <w:rPr>
                <w:rFonts w:ascii="Arial" w:cs="Arial" w:eastAsia="Arial" w:hAnsi="Arial"/>
                <w:sz w:val="15"/>
                <w:szCs w:val="15"/>
                <w:color w:val="auto"/>
              </w:rPr>
              <w:t>Non-financial</w:t>
            </w:r>
          </w:p>
        </w:tc>
        <w:tc>
          <w:tcPr>
            <w:tcW w:w="640" w:type="dxa"/>
            <w:vAlign w:val="bottom"/>
          </w:tcPr>
          <w:p>
            <w:pPr>
              <w:spacing w:after="0"/>
              <w:rPr>
                <w:sz w:val="14"/>
                <w:szCs w:val="14"/>
                <w:color w:val="auto"/>
              </w:rPr>
            </w:pPr>
          </w:p>
        </w:tc>
        <w:tc>
          <w:tcPr>
            <w:tcW w:w="40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14</w:t>
            </w:r>
          </w:p>
        </w:tc>
        <w:tc>
          <w:tcPr>
            <w:tcW w:w="780" w:type="dxa"/>
            <w:vAlign w:val="bottom"/>
          </w:tcPr>
          <w:p>
            <w:pPr>
              <w:spacing w:after="0"/>
              <w:rPr>
                <w:sz w:val="14"/>
                <w:szCs w:val="14"/>
                <w:color w:val="auto"/>
              </w:rPr>
            </w:pPr>
          </w:p>
        </w:tc>
        <w:tc>
          <w:tcPr>
            <w:tcW w:w="300" w:type="dxa"/>
            <w:vAlign w:val="bottom"/>
          </w:tcPr>
          <w:p>
            <w:pPr>
              <w:jc w:val="right"/>
              <w:ind w:right="43"/>
              <w:spacing w:after="0" w:line="162" w:lineRule="exact"/>
              <w:rPr>
                <w:sz w:val="20"/>
                <w:szCs w:val="20"/>
                <w:color w:val="auto"/>
              </w:rPr>
            </w:pPr>
            <w:r>
              <w:rPr>
                <w:rFonts w:ascii="Arial" w:cs="Arial" w:eastAsia="Arial" w:hAnsi="Arial"/>
                <w:sz w:val="15"/>
                <w:szCs w:val="15"/>
                <w:color w:val="auto"/>
              </w:rPr>
              <w:t>1</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jc w:val="right"/>
              <w:spacing w:after="0" w:line="162" w:lineRule="exact"/>
              <w:rPr>
                <w:sz w:val="20"/>
                <w:szCs w:val="20"/>
                <w:color w:val="auto"/>
              </w:rPr>
            </w:pPr>
            <w:r>
              <w:rPr>
                <w:rFonts w:ascii="Arial" w:cs="Arial" w:eastAsia="Arial" w:hAnsi="Arial"/>
                <w:sz w:val="15"/>
                <w:szCs w:val="15"/>
                <w:color w:val="auto"/>
              </w:rPr>
              <w:t>20</w:t>
            </w:r>
          </w:p>
        </w:tc>
        <w:tc>
          <w:tcPr>
            <w:tcW w:w="1020" w:type="dxa"/>
            <w:vAlign w:val="bottom"/>
          </w:tcPr>
          <w:p>
            <w:pPr>
              <w:spacing w:after="0"/>
              <w:rPr>
                <w:sz w:val="14"/>
                <w:szCs w:val="14"/>
                <w:color w:val="auto"/>
              </w:rPr>
            </w:pPr>
          </w:p>
        </w:tc>
        <w:tc>
          <w:tcPr>
            <w:tcW w:w="220" w:type="dxa"/>
            <w:vAlign w:val="bottom"/>
          </w:tcPr>
          <w:p>
            <w:pPr>
              <w:jc w:val="right"/>
              <w:ind w:right="43"/>
              <w:spacing w:after="0" w:line="162" w:lineRule="exact"/>
              <w:rPr>
                <w:sz w:val="20"/>
                <w:szCs w:val="20"/>
                <w:color w:val="auto"/>
              </w:rPr>
            </w:pPr>
            <w:r>
              <w:rPr>
                <w:rFonts w:ascii="Arial" w:cs="Arial" w:eastAsia="Arial" w:hAnsi="Arial"/>
                <w:sz w:val="15"/>
                <w:szCs w:val="15"/>
                <w:color w:val="auto"/>
                <w:w w:val="95"/>
              </w:rPr>
              <w:t>1</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34</w:t>
            </w:r>
          </w:p>
        </w:tc>
        <w:tc>
          <w:tcPr>
            <w:tcW w:w="840" w:type="dxa"/>
            <w:vAlign w:val="bottom"/>
          </w:tcPr>
          <w:p>
            <w:pPr>
              <w:spacing w:after="0"/>
              <w:rPr>
                <w:sz w:val="14"/>
                <w:szCs w:val="14"/>
                <w:color w:val="auto"/>
              </w:rPr>
            </w:pPr>
          </w:p>
        </w:tc>
        <w:tc>
          <w:tcPr>
            <w:tcW w:w="300" w:type="dxa"/>
            <w:vAlign w:val="bottom"/>
          </w:tcPr>
          <w:p>
            <w:pPr>
              <w:jc w:val="right"/>
              <w:ind w:right="123"/>
              <w:spacing w:after="0" w:line="162" w:lineRule="exact"/>
              <w:rPr>
                <w:sz w:val="20"/>
                <w:szCs w:val="20"/>
                <w:color w:val="auto"/>
              </w:rPr>
            </w:pPr>
            <w:r>
              <w:rPr>
                <w:rFonts w:ascii="Arial" w:cs="Arial" w:eastAsia="Arial" w:hAnsi="Arial"/>
                <w:sz w:val="15"/>
                <w:szCs w:val="15"/>
                <w:color w:val="auto"/>
                <w:w w:val="95"/>
              </w:rPr>
              <w:t>2</w:t>
            </w:r>
          </w:p>
        </w:tc>
        <w:tc>
          <w:tcPr>
            <w:tcW w:w="9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Foreign nonredeemable preferred securities:</w:t>
            </w: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tcBorders>
              <w:bottom w:val="single" w:sz="8" w:color="CCEEFF"/>
            </w:tcBorders>
          </w:tcPr>
          <w:p>
            <w:pPr>
              <w:ind w:left="340"/>
              <w:spacing w:after="0" w:line="162" w:lineRule="exact"/>
              <w:rPr>
                <w:sz w:val="20"/>
                <w:szCs w:val="20"/>
                <w:color w:val="auto"/>
              </w:rPr>
            </w:pPr>
            <w:r>
              <w:rPr>
                <w:rFonts w:ascii="Arial" w:cs="Arial" w:eastAsia="Arial" w:hAnsi="Arial"/>
                <w:sz w:val="15"/>
                <w:szCs w:val="15"/>
                <w:color w:val="auto"/>
              </w:rPr>
              <w:t>Financial</w:t>
            </w:r>
          </w:p>
        </w:tc>
        <w:tc>
          <w:tcPr>
            <w:tcW w:w="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03"/>
              <w:spacing w:after="0" w:line="162" w:lineRule="exact"/>
              <w:rPr>
                <w:sz w:val="20"/>
                <w:szCs w:val="20"/>
                <w:color w:val="auto"/>
              </w:rPr>
            </w:pPr>
            <w:r>
              <w:rPr>
                <w:rFonts w:ascii="Arial" w:cs="Arial" w:eastAsia="Arial" w:hAnsi="Arial"/>
                <w:sz w:val="15"/>
                <w:szCs w:val="15"/>
                <w:color w:val="auto"/>
              </w:rPr>
              <w:t>6</w:t>
            </w:r>
          </w:p>
        </w:tc>
        <w:tc>
          <w:tcPr>
            <w:tcW w:w="7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1</w:t>
            </w:r>
          </w:p>
        </w:tc>
        <w:tc>
          <w:tcPr>
            <w:tcW w:w="1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15</w:t>
            </w: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w w:val="95"/>
              </w:rPr>
              <w:t>2</w:t>
            </w:r>
          </w:p>
        </w:tc>
        <w:tc>
          <w:tcPr>
            <w:tcW w:w="1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03"/>
              <w:spacing w:after="0" w:line="162" w:lineRule="exact"/>
              <w:rPr>
                <w:sz w:val="20"/>
                <w:szCs w:val="20"/>
                <w:color w:val="auto"/>
              </w:rPr>
            </w:pPr>
            <w:r>
              <w:rPr>
                <w:rFonts w:ascii="Arial" w:cs="Arial" w:eastAsia="Arial" w:hAnsi="Arial"/>
                <w:sz w:val="15"/>
                <w:szCs w:val="15"/>
                <w:color w:val="auto"/>
              </w:rPr>
              <w:t>21</w:t>
            </w:r>
          </w:p>
        </w:tc>
        <w:tc>
          <w:tcPr>
            <w:tcW w:w="8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123"/>
              <w:spacing w:after="0" w:line="162" w:lineRule="exact"/>
              <w:rPr>
                <w:sz w:val="20"/>
                <w:szCs w:val="20"/>
                <w:color w:val="auto"/>
              </w:rPr>
            </w:pPr>
            <w:r>
              <w:rPr>
                <w:rFonts w:ascii="Arial" w:cs="Arial" w:eastAsia="Arial" w:hAnsi="Arial"/>
                <w:sz w:val="15"/>
                <w:szCs w:val="15"/>
                <w:color w:val="auto"/>
                <w:w w:val="95"/>
              </w:rPr>
              <w:t>3</w:t>
            </w:r>
          </w:p>
        </w:tc>
        <w:tc>
          <w:tcPr>
            <w:tcW w:w="98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6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Total equity securities – Exchange</w:t>
            </w:r>
          </w:p>
        </w:tc>
        <w:tc>
          <w:tcPr>
            <w:tcW w:w="6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shd w:val="clear" w:color="auto" w:fill="CCEEFF"/>
          </w:tcPr>
          <w:p>
            <w:pPr>
              <w:jc w:val="right"/>
              <w:ind w:right="103"/>
              <w:spacing w:after="0" w:line="156" w:lineRule="exact"/>
              <w:rPr>
                <w:sz w:val="20"/>
                <w:szCs w:val="20"/>
                <w:color w:val="auto"/>
              </w:rPr>
            </w:pPr>
            <w:r>
              <w:rPr>
                <w:rFonts w:ascii="Arial" w:cs="Arial" w:eastAsia="Arial" w:hAnsi="Arial"/>
                <w:sz w:val="15"/>
                <w:szCs w:val="15"/>
                <w:color w:val="auto"/>
              </w:rPr>
              <w:t>45</w:t>
            </w:r>
          </w:p>
        </w:tc>
        <w:tc>
          <w:tcPr>
            <w:tcW w:w="7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shd w:val="clear" w:color="auto" w:fill="CCEEFF"/>
          </w:tcPr>
          <w:p>
            <w:pPr>
              <w:jc w:val="right"/>
              <w:ind w:right="43"/>
              <w:spacing w:after="0" w:line="156" w:lineRule="exact"/>
              <w:rPr>
                <w:sz w:val="20"/>
                <w:szCs w:val="20"/>
                <w:color w:val="auto"/>
              </w:rPr>
            </w:pPr>
            <w:r>
              <w:rPr>
                <w:rFonts w:ascii="Arial" w:cs="Arial" w:eastAsia="Arial" w:hAnsi="Arial"/>
                <w:sz w:val="15"/>
                <w:szCs w:val="15"/>
                <w:color w:val="auto"/>
              </w:rPr>
              <w:t>2</w:t>
            </w: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59</w:t>
            </w:r>
          </w:p>
        </w:tc>
        <w:tc>
          <w:tcPr>
            <w:tcW w:w="10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jc w:val="right"/>
              <w:ind w:right="43"/>
              <w:spacing w:after="0" w:line="156" w:lineRule="exact"/>
              <w:rPr>
                <w:sz w:val="20"/>
                <w:szCs w:val="20"/>
                <w:color w:val="auto"/>
              </w:rPr>
            </w:pPr>
            <w:r>
              <w:rPr>
                <w:rFonts w:ascii="Arial" w:cs="Arial" w:eastAsia="Arial" w:hAnsi="Arial"/>
                <w:sz w:val="15"/>
                <w:szCs w:val="15"/>
                <w:color w:val="auto"/>
                <w:w w:val="95"/>
              </w:rPr>
              <w:t>5</w:t>
            </w: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auto"/>
            </w:tcBorders>
            <w:gridSpan w:val="2"/>
            <w:shd w:val="clear" w:color="auto" w:fill="CCEEFF"/>
          </w:tcPr>
          <w:p>
            <w:pPr>
              <w:jc w:val="right"/>
              <w:ind w:right="103"/>
              <w:spacing w:after="0" w:line="156" w:lineRule="exact"/>
              <w:rPr>
                <w:sz w:val="20"/>
                <w:szCs w:val="20"/>
                <w:color w:val="auto"/>
              </w:rPr>
            </w:pPr>
            <w:r>
              <w:rPr>
                <w:rFonts w:ascii="Arial" w:cs="Arial" w:eastAsia="Arial" w:hAnsi="Arial"/>
                <w:sz w:val="15"/>
                <w:szCs w:val="15"/>
                <w:color w:val="auto"/>
              </w:rPr>
              <w:t>$104</w:t>
            </w:r>
          </w:p>
        </w:tc>
        <w:tc>
          <w:tcPr>
            <w:tcW w:w="8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shd w:val="clear" w:color="auto" w:fill="CCEEFF"/>
          </w:tcPr>
          <w:p>
            <w:pPr>
              <w:jc w:val="right"/>
              <w:ind w:right="123"/>
              <w:spacing w:after="0" w:line="156" w:lineRule="exact"/>
              <w:rPr>
                <w:sz w:val="20"/>
                <w:szCs w:val="20"/>
                <w:color w:val="auto"/>
              </w:rPr>
            </w:pPr>
            <w:r>
              <w:rPr>
                <w:rFonts w:ascii="Arial" w:cs="Arial" w:eastAsia="Arial" w:hAnsi="Arial"/>
                <w:sz w:val="15"/>
                <w:szCs w:val="15"/>
                <w:color w:val="auto"/>
                <w:w w:val="95"/>
              </w:rPr>
              <w:t>7</w:t>
            </w:r>
          </w:p>
        </w:tc>
        <w:tc>
          <w:tcPr>
            <w:tcW w:w="980" w:type="dxa"/>
            <w:vAlign w:val="bottom"/>
            <w:tcBorders>
              <w:bottom w:val="single" w:sz="8" w:color="auto"/>
            </w:tcBorders>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3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Quality breakdown of fixed maturities:</w:t>
            </w: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4"/>
                <w:szCs w:val="14"/>
                <w:color w:val="auto"/>
              </w:rPr>
              <w:t>Investment grade</w:t>
            </w:r>
          </w:p>
        </w:tc>
        <w:tc>
          <w:tcPr>
            <w:tcW w:w="1040" w:type="dxa"/>
            <w:vAlign w:val="bottom"/>
            <w:gridSpan w:val="2"/>
          </w:tcPr>
          <w:p>
            <w:pPr>
              <w:jc w:val="right"/>
              <w:ind w:right="103"/>
              <w:spacing w:after="0" w:line="162" w:lineRule="exact"/>
              <w:rPr>
                <w:sz w:val="20"/>
                <w:szCs w:val="20"/>
                <w:color w:val="auto"/>
              </w:rPr>
            </w:pPr>
            <w:r>
              <w:rPr>
                <w:rFonts w:ascii="Arial" w:cs="Arial" w:eastAsia="Arial" w:hAnsi="Arial"/>
                <w:sz w:val="15"/>
                <w:szCs w:val="15"/>
                <w:color w:val="auto"/>
              </w:rPr>
              <w:t>$703</w:t>
            </w:r>
          </w:p>
        </w:tc>
        <w:tc>
          <w:tcPr>
            <w:tcW w:w="7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00" w:type="dxa"/>
            <w:vAlign w:val="bottom"/>
          </w:tcPr>
          <w:p>
            <w:pPr>
              <w:jc w:val="right"/>
              <w:ind w:right="43"/>
              <w:spacing w:after="0" w:line="162" w:lineRule="exact"/>
              <w:rPr>
                <w:sz w:val="20"/>
                <w:szCs w:val="20"/>
                <w:color w:val="auto"/>
              </w:rPr>
            </w:pPr>
            <w:r>
              <w:rPr>
                <w:rFonts w:ascii="Arial" w:cs="Arial" w:eastAsia="Arial" w:hAnsi="Arial"/>
                <w:sz w:val="15"/>
                <w:szCs w:val="15"/>
                <w:color w:val="auto"/>
                <w:w w:val="95"/>
              </w:rPr>
              <w:t>16</w:t>
            </w:r>
          </w:p>
        </w:tc>
        <w:tc>
          <w:tcPr>
            <w:tcW w:w="140" w:type="dxa"/>
            <w:vAlign w:val="bottom"/>
          </w:tcPr>
          <w:p>
            <w:pPr>
              <w:spacing w:after="0"/>
              <w:rPr>
                <w:sz w:val="14"/>
                <w:szCs w:val="14"/>
                <w:color w:val="auto"/>
              </w:rPr>
            </w:pPr>
          </w:p>
        </w:tc>
        <w:tc>
          <w:tcPr>
            <w:tcW w:w="8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$155</w:t>
            </w:r>
          </w:p>
        </w:tc>
        <w:tc>
          <w:tcPr>
            <w:tcW w:w="1240" w:type="dxa"/>
            <w:vAlign w:val="bottom"/>
            <w:gridSpan w:val="2"/>
          </w:tcPr>
          <w:p>
            <w:pPr>
              <w:jc w:val="right"/>
              <w:ind w:right="43"/>
              <w:spacing w:after="0" w:line="162" w:lineRule="exact"/>
              <w:rPr>
                <w:sz w:val="20"/>
                <w:szCs w:val="20"/>
                <w:color w:val="auto"/>
              </w:rPr>
            </w:pPr>
            <w:r>
              <w:rPr>
                <w:rFonts w:ascii="Arial" w:cs="Arial" w:eastAsia="Arial" w:hAnsi="Arial"/>
                <w:sz w:val="15"/>
                <w:szCs w:val="15"/>
                <w:color w:val="auto"/>
              </w:rPr>
              <w:t>$11</w:t>
            </w:r>
          </w:p>
        </w:tc>
        <w:tc>
          <w:tcPr>
            <w:tcW w:w="120" w:type="dxa"/>
            <w:vAlign w:val="bottom"/>
          </w:tcPr>
          <w:p>
            <w:pPr>
              <w:spacing w:after="0"/>
              <w:rPr>
                <w:sz w:val="14"/>
                <w:szCs w:val="14"/>
                <w:color w:val="auto"/>
              </w:rPr>
            </w:pPr>
          </w:p>
        </w:tc>
        <w:tc>
          <w:tcPr>
            <w:tcW w:w="1020" w:type="dxa"/>
            <w:vAlign w:val="bottom"/>
            <w:gridSpan w:val="2"/>
          </w:tcPr>
          <w:p>
            <w:pPr>
              <w:jc w:val="right"/>
              <w:ind w:right="103"/>
              <w:spacing w:after="0" w:line="162" w:lineRule="exact"/>
              <w:rPr>
                <w:sz w:val="20"/>
                <w:szCs w:val="20"/>
                <w:color w:val="auto"/>
              </w:rPr>
            </w:pPr>
            <w:r>
              <w:rPr>
                <w:rFonts w:ascii="Arial" w:cs="Arial" w:eastAsia="Arial" w:hAnsi="Arial"/>
                <w:sz w:val="15"/>
                <w:szCs w:val="15"/>
                <w:color w:val="auto"/>
              </w:rPr>
              <w:t>$858</w:t>
            </w:r>
          </w:p>
        </w:tc>
        <w:tc>
          <w:tcPr>
            <w:tcW w:w="1140" w:type="dxa"/>
            <w:vAlign w:val="bottom"/>
            <w:gridSpan w:val="2"/>
          </w:tcPr>
          <w:p>
            <w:pPr>
              <w:jc w:val="right"/>
              <w:ind w:right="123"/>
              <w:spacing w:after="0" w:line="162" w:lineRule="exact"/>
              <w:rPr>
                <w:sz w:val="20"/>
                <w:szCs w:val="20"/>
                <w:color w:val="auto"/>
              </w:rPr>
            </w:pPr>
            <w:r>
              <w:rPr>
                <w:rFonts w:ascii="Arial" w:cs="Arial" w:eastAsia="Arial" w:hAnsi="Arial"/>
                <w:sz w:val="15"/>
                <w:szCs w:val="15"/>
                <w:color w:val="auto"/>
              </w:rPr>
              <w:t>$27</w:t>
            </w:r>
          </w:p>
        </w:tc>
        <w:tc>
          <w:tcPr>
            <w:tcW w:w="9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154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Non-investment grade</w:t>
            </w:r>
          </w:p>
        </w:tc>
        <w:tc>
          <w:tcPr>
            <w:tcW w:w="6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33</w:t>
            </w:r>
          </w:p>
        </w:tc>
        <w:tc>
          <w:tcPr>
            <w:tcW w:w="78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0</w:t>
            </w:r>
          </w:p>
        </w:tc>
        <w:tc>
          <w:tcPr>
            <w:tcW w:w="14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46</w:t>
            </w:r>
          </w:p>
        </w:tc>
        <w:tc>
          <w:tcPr>
            <w:tcW w:w="10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w w:val="95"/>
              </w:rPr>
              <w:t>3</w:t>
            </w:r>
          </w:p>
        </w:tc>
        <w:tc>
          <w:tcPr>
            <w:tcW w:w="12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79</w:t>
            </w:r>
          </w:p>
        </w:tc>
        <w:tc>
          <w:tcPr>
            <w:tcW w:w="84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w w:val="95"/>
              </w:rPr>
              <w:t>3</w:t>
            </w:r>
          </w:p>
        </w:tc>
        <w:tc>
          <w:tcPr>
            <w:tcW w:w="980" w:type="dxa"/>
            <w:vAlign w:val="bottom"/>
            <w:tcBorders>
              <w:bottom w:val="single" w:sz="8" w:color="auto"/>
            </w:tcBorders>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60" w:type="dxa"/>
            <w:vAlign w:val="bottom"/>
          </w:tcPr>
          <w:p>
            <w:pPr>
              <w:ind w:left="520"/>
              <w:spacing w:after="0" w:line="155" w:lineRule="exact"/>
              <w:rPr>
                <w:sz w:val="20"/>
                <w:szCs w:val="20"/>
                <w:color w:val="auto"/>
              </w:rPr>
            </w:pPr>
            <w:r>
              <w:rPr>
                <w:rFonts w:ascii="Arial" w:cs="Arial" w:eastAsia="Arial" w:hAnsi="Arial"/>
                <w:sz w:val="14"/>
                <w:szCs w:val="14"/>
                <w:color w:val="auto"/>
              </w:rPr>
              <w:t>Total fixed maturities – Exchange</w:t>
            </w:r>
          </w:p>
        </w:tc>
        <w:tc>
          <w:tcPr>
            <w:tcW w:w="1040" w:type="dxa"/>
            <w:vAlign w:val="bottom"/>
            <w:tcBorders>
              <w:bottom w:val="single" w:sz="8" w:color="auto"/>
            </w:tcBorders>
            <w:gridSpan w:val="2"/>
          </w:tcPr>
          <w:p>
            <w:pPr>
              <w:jc w:val="right"/>
              <w:ind w:right="103"/>
              <w:spacing w:after="0" w:line="156" w:lineRule="exact"/>
              <w:rPr>
                <w:sz w:val="20"/>
                <w:szCs w:val="20"/>
                <w:color w:val="auto"/>
              </w:rPr>
            </w:pPr>
            <w:r>
              <w:rPr>
                <w:rFonts w:ascii="Arial" w:cs="Arial" w:eastAsia="Arial" w:hAnsi="Arial"/>
                <w:sz w:val="15"/>
                <w:szCs w:val="15"/>
                <w:color w:val="auto"/>
              </w:rPr>
              <w:t>$736</w:t>
            </w:r>
          </w:p>
        </w:tc>
        <w:tc>
          <w:tcPr>
            <w:tcW w:w="7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w w:val="95"/>
              </w:rPr>
              <w:t>16</w:t>
            </w:r>
          </w:p>
        </w:tc>
        <w:tc>
          <w:tcPr>
            <w:tcW w:w="140" w:type="dxa"/>
            <w:vAlign w:val="bottom"/>
          </w:tcPr>
          <w:p>
            <w:pPr>
              <w:spacing w:after="0"/>
              <w:rPr>
                <w:sz w:val="13"/>
                <w:szCs w:val="13"/>
                <w:color w:val="auto"/>
              </w:rPr>
            </w:pPr>
          </w:p>
        </w:tc>
        <w:tc>
          <w:tcPr>
            <w:tcW w:w="88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5"/>
                <w:szCs w:val="15"/>
                <w:color w:val="auto"/>
              </w:rPr>
              <w:t>$201</w:t>
            </w:r>
          </w:p>
        </w:tc>
        <w:tc>
          <w:tcPr>
            <w:tcW w:w="1240" w:type="dxa"/>
            <w:vAlign w:val="bottom"/>
            <w:tcBorders>
              <w:bottom w:val="single" w:sz="8" w:color="auto"/>
            </w:tcBorders>
            <w:gridSpan w:val="2"/>
          </w:tcPr>
          <w:p>
            <w:pPr>
              <w:jc w:val="right"/>
              <w:ind w:right="43"/>
              <w:spacing w:after="0" w:line="156" w:lineRule="exact"/>
              <w:rPr>
                <w:sz w:val="20"/>
                <w:szCs w:val="20"/>
                <w:color w:val="auto"/>
              </w:rPr>
            </w:pPr>
            <w:r>
              <w:rPr>
                <w:rFonts w:ascii="Arial" w:cs="Arial" w:eastAsia="Arial" w:hAnsi="Arial"/>
                <w:sz w:val="15"/>
                <w:szCs w:val="15"/>
                <w:color w:val="auto"/>
              </w:rPr>
              <w:t>$14</w:t>
            </w:r>
          </w:p>
        </w:tc>
        <w:tc>
          <w:tcPr>
            <w:tcW w:w="120" w:type="dxa"/>
            <w:vAlign w:val="bottom"/>
          </w:tcPr>
          <w:p>
            <w:pPr>
              <w:spacing w:after="0"/>
              <w:rPr>
                <w:sz w:val="13"/>
                <w:szCs w:val="13"/>
                <w:color w:val="auto"/>
              </w:rPr>
            </w:pPr>
          </w:p>
        </w:tc>
        <w:tc>
          <w:tcPr>
            <w:tcW w:w="1020" w:type="dxa"/>
            <w:vAlign w:val="bottom"/>
            <w:tcBorders>
              <w:bottom w:val="single" w:sz="8" w:color="auto"/>
            </w:tcBorders>
            <w:gridSpan w:val="2"/>
          </w:tcPr>
          <w:p>
            <w:pPr>
              <w:jc w:val="right"/>
              <w:ind w:right="103"/>
              <w:spacing w:after="0" w:line="156" w:lineRule="exact"/>
              <w:rPr>
                <w:sz w:val="20"/>
                <w:szCs w:val="20"/>
                <w:color w:val="auto"/>
              </w:rPr>
            </w:pPr>
            <w:r>
              <w:rPr>
                <w:rFonts w:ascii="Arial" w:cs="Arial" w:eastAsia="Arial" w:hAnsi="Arial"/>
                <w:sz w:val="15"/>
                <w:szCs w:val="15"/>
                <w:color w:val="auto"/>
              </w:rPr>
              <w:t>$937</w:t>
            </w:r>
          </w:p>
        </w:tc>
        <w:tc>
          <w:tcPr>
            <w:tcW w:w="1140" w:type="dxa"/>
            <w:vAlign w:val="bottom"/>
            <w:tcBorders>
              <w:bottom w:val="single" w:sz="8" w:color="auto"/>
            </w:tcBorders>
            <w:gridSpan w:val="2"/>
          </w:tcPr>
          <w:p>
            <w:pPr>
              <w:jc w:val="right"/>
              <w:ind w:right="123"/>
              <w:spacing w:after="0" w:line="156" w:lineRule="exact"/>
              <w:rPr>
                <w:sz w:val="20"/>
                <w:szCs w:val="20"/>
                <w:color w:val="auto"/>
              </w:rPr>
            </w:pPr>
            <w:r>
              <w:rPr>
                <w:rFonts w:ascii="Arial" w:cs="Arial" w:eastAsia="Arial" w:hAnsi="Arial"/>
                <w:sz w:val="15"/>
                <w:szCs w:val="15"/>
                <w:color w:val="auto"/>
              </w:rPr>
              <w:t>$30</w:t>
            </w:r>
          </w:p>
        </w:tc>
        <w:tc>
          <w:tcPr>
            <w:tcW w:w="980" w:type="dxa"/>
            <w:vAlign w:val="bottom"/>
            <w:tcBorders>
              <w:bottom w:val="single" w:sz="8" w:color="auto"/>
            </w:tcBorders>
          </w:tcPr>
          <w:p>
            <w:pPr>
              <w:jc w:val="right"/>
              <w:ind w:right="23"/>
              <w:spacing w:after="0" w:line="156" w:lineRule="exact"/>
              <w:rPr>
                <w:sz w:val="20"/>
                <w:szCs w:val="20"/>
                <w:color w:val="auto"/>
              </w:rPr>
            </w:pPr>
            <w:r>
              <w:rPr>
                <w:rFonts w:ascii="Arial" w:cs="Arial" w:eastAsia="Arial" w:hAnsi="Arial"/>
                <w:sz w:val="15"/>
                <w:szCs w:val="15"/>
                <w:color w:val="auto"/>
              </w:rPr>
              <w:t>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net of expenses, was generated from the following portfolios: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color w:val="auto"/>
              </w:rPr>
              <w:t>Erie Insurance Group</w:t>
            </w:r>
          </w:p>
        </w:tc>
        <w:tc>
          <w:tcPr>
            <w:tcW w:w="300" w:type="dxa"/>
            <w:vAlign w:val="bottom"/>
            <w:tcBorders>
              <w:bottom w:val="single" w:sz="8" w:color="auto"/>
            </w:tcBorders>
          </w:tcPr>
          <w:p>
            <w:pPr>
              <w:spacing w:after="0"/>
              <w:rPr>
                <w:sz w:val="20"/>
                <w:szCs w:val="20"/>
                <w:color w:val="auto"/>
              </w:rPr>
            </w:pPr>
          </w:p>
        </w:tc>
      </w:tr>
      <w:tr>
        <w:trPr>
          <w:trHeight w:val="195"/>
        </w:trPr>
        <w:tc>
          <w:tcPr>
            <w:tcW w:w="5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40" w:type="dxa"/>
            <w:vAlign w:val="bottom"/>
            <w:gridSpan w:val="3"/>
          </w:tcPr>
          <w:p>
            <w:pPr>
              <w:ind w:left="380"/>
              <w:spacing w:after="0" w:line="195" w:lineRule="exact"/>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16"/>
                <w:szCs w:val="16"/>
                <w:color w:val="auto"/>
              </w:rPr>
            </w:pPr>
          </w:p>
        </w:tc>
      </w:tr>
      <w:tr>
        <w:trPr>
          <w:trHeight w:val="216"/>
        </w:trPr>
        <w:tc>
          <w:tcPr>
            <w:tcW w:w="5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50"/>
              <w:spacing w:after="0"/>
              <w:rPr>
                <w:sz w:val="20"/>
                <w:szCs w:val="20"/>
                <w:color w:val="auto"/>
              </w:rPr>
            </w:pPr>
            <w:r>
              <w:rPr>
                <w:rFonts w:ascii="Arial" w:cs="Arial" w:eastAsia="Arial" w:hAnsi="Arial"/>
                <w:sz w:val="18"/>
                <w:szCs w:val="18"/>
                <w:color w:val="auto"/>
              </w:rPr>
              <w:t>March 31,</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820" w:type="dxa"/>
            <w:vAlign w:val="bottom"/>
          </w:tcPr>
          <w:p>
            <w:pPr>
              <w:ind w:left="140"/>
              <w:spacing w:after="0"/>
              <w:rPr>
                <w:sz w:val="20"/>
                <w:szCs w:val="20"/>
                <w:color w:val="auto"/>
              </w:rPr>
            </w:pPr>
            <w:r>
              <w:rPr>
                <w:rFonts w:ascii="Arial" w:cs="Arial" w:eastAsia="Arial" w:hAnsi="Arial"/>
                <w:sz w:val="18"/>
                <w:szCs w:val="18"/>
                <w:color w:val="auto"/>
              </w:rPr>
              <w:t>2011</w:t>
            </w:r>
          </w:p>
        </w:tc>
        <w:tc>
          <w:tcPr>
            <w:tcW w:w="82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2010</w:t>
            </w:r>
          </w:p>
        </w:tc>
        <w:tc>
          <w:tcPr>
            <w:tcW w:w="300" w:type="dxa"/>
            <w:vAlign w:val="bottom"/>
          </w:tcPr>
          <w:p>
            <w:pPr>
              <w:spacing w:after="0"/>
              <w:rPr>
                <w:sz w:val="20"/>
                <w:szCs w:val="20"/>
                <w:color w:val="auto"/>
              </w:rPr>
            </w:pPr>
          </w:p>
        </w:tc>
      </w:tr>
      <w:tr>
        <w:trPr>
          <w:trHeight w:val="196"/>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Indemnity</w:t>
            </w:r>
          </w:p>
        </w:tc>
        <w:tc>
          <w:tcPr>
            <w:tcW w:w="3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Fixed maturities</w:t>
            </w:r>
          </w:p>
        </w:tc>
        <w:tc>
          <w:tcPr>
            <w:tcW w:w="820" w:type="dxa"/>
            <w:vAlign w:val="bottom"/>
          </w:tcPr>
          <w:p>
            <w:pPr>
              <w:ind w:left="6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50"/>
              <w:spacing w:after="0"/>
              <w:rPr>
                <w:sz w:val="20"/>
                <w:szCs w:val="20"/>
                <w:color w:val="auto"/>
              </w:rPr>
            </w:pPr>
            <w:r>
              <w:rPr>
                <w:rFonts w:ascii="Arial" w:cs="Arial" w:eastAsia="Arial" w:hAnsi="Arial"/>
                <w:sz w:val="18"/>
                <w:szCs w:val="18"/>
                <w:color w:val="auto"/>
              </w:rPr>
              <w:t>3</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Cash equivalents and other</w:t>
            </w:r>
          </w:p>
        </w:tc>
        <w:tc>
          <w:tcPr>
            <w:tcW w:w="820" w:type="dxa"/>
            <w:vAlign w:val="bottom"/>
          </w:tcPr>
          <w:p>
            <w:pPr>
              <w:spacing w:after="0"/>
              <w:rPr>
                <w:sz w:val="18"/>
                <w:szCs w:val="18"/>
                <w:color w:val="auto"/>
              </w:rPr>
            </w:pPr>
          </w:p>
        </w:tc>
        <w:tc>
          <w:tcPr>
            <w:tcW w:w="820" w:type="dxa"/>
            <w:vAlign w:val="bottom"/>
          </w:tcPr>
          <w:p>
            <w:pPr>
              <w:jc w:val="right"/>
              <w:ind w:right="550"/>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3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4</w:t>
            </w:r>
          </w:p>
        </w:tc>
        <w:tc>
          <w:tcPr>
            <w:tcW w:w="8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Less: investment expenses</w:t>
            </w:r>
          </w:p>
        </w:tc>
        <w:tc>
          <w:tcPr>
            <w:tcW w:w="820" w:type="dxa"/>
            <w:vAlign w:val="bottom"/>
          </w:tcPr>
          <w:p>
            <w:pPr>
              <w:spacing w:after="0"/>
              <w:rPr>
                <w:sz w:val="18"/>
                <w:szCs w:val="18"/>
                <w:color w:val="auto"/>
              </w:rPr>
            </w:pPr>
          </w:p>
        </w:tc>
        <w:tc>
          <w:tcPr>
            <w:tcW w:w="820" w:type="dxa"/>
            <w:vAlign w:val="bottom"/>
          </w:tcPr>
          <w:p>
            <w:pPr>
              <w:jc w:val="right"/>
              <w:ind w:right="550"/>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 net of expenses – Indemnity</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4</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196"/>
        </w:trPr>
        <w:tc>
          <w:tcPr>
            <w:tcW w:w="5620" w:type="dxa"/>
            <w:vAlign w:val="bottom"/>
          </w:tcPr>
          <w:p>
            <w:pPr>
              <w:spacing w:after="0" w:line="196" w:lineRule="exact"/>
              <w:rPr>
                <w:sz w:val="20"/>
                <w:szCs w:val="20"/>
                <w:color w:val="auto"/>
              </w:rPr>
            </w:pPr>
            <w:r>
              <w:rPr>
                <w:rFonts w:ascii="Arial" w:cs="Arial" w:eastAsia="Arial" w:hAnsi="Arial"/>
                <w:sz w:val="18"/>
                <w:szCs w:val="18"/>
                <w:b w:val="1"/>
                <w:bCs w:val="1"/>
                <w:color w:val="auto"/>
              </w:rPr>
              <w:t>Exchange</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92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86</w:t>
            </w: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820" w:type="dxa"/>
            <w:vAlign w:val="bottom"/>
          </w:tcPr>
          <w:p>
            <w:pPr>
              <w:spacing w:after="0"/>
              <w:rPr>
                <w:sz w:val="18"/>
                <w:szCs w:val="18"/>
                <w:color w:val="auto"/>
              </w:rPr>
            </w:pPr>
          </w:p>
        </w:tc>
        <w:tc>
          <w:tcPr>
            <w:tcW w:w="820" w:type="dxa"/>
            <w:vAlign w:val="bottom"/>
          </w:tcPr>
          <w:p>
            <w:pPr>
              <w:jc w:val="right"/>
              <w:ind w:right="550"/>
              <w:spacing w:after="0"/>
              <w:rPr>
                <w:sz w:val="20"/>
                <w:szCs w:val="20"/>
                <w:color w:val="auto"/>
              </w:rPr>
            </w:pPr>
            <w:r>
              <w:rPr>
                <w:rFonts w:ascii="Arial" w:cs="Arial" w:eastAsia="Arial" w:hAnsi="Arial"/>
                <w:sz w:val="18"/>
                <w:szCs w:val="18"/>
                <w:color w:val="auto"/>
                <w:w w:val="79"/>
              </w:rPr>
              <w:t>18</w:t>
            </w:r>
          </w:p>
        </w:tc>
        <w:tc>
          <w:tcPr>
            <w:tcW w:w="800" w:type="dxa"/>
            <w:vAlign w:val="bottom"/>
          </w:tcPr>
          <w:p>
            <w:pPr>
              <w:spacing w:after="0"/>
              <w:rPr>
                <w:sz w:val="18"/>
                <w:szCs w:val="18"/>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16</w:t>
            </w: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 and other</w:t>
            </w: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3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jc w:val="right"/>
              <w:ind w:right="550"/>
              <w:spacing w:after="0"/>
              <w:rPr>
                <w:sz w:val="20"/>
                <w:szCs w:val="20"/>
                <w:color w:val="auto"/>
              </w:rPr>
            </w:pPr>
            <w:r>
              <w:rPr>
                <w:rFonts w:ascii="Arial" w:cs="Arial" w:eastAsia="Arial" w:hAnsi="Arial"/>
                <w:sz w:val="18"/>
                <w:szCs w:val="18"/>
                <w:color w:val="auto"/>
              </w:rPr>
              <w:t>110</w:t>
            </w:r>
          </w:p>
        </w:tc>
        <w:tc>
          <w:tcPr>
            <w:tcW w:w="110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102</w:t>
            </w: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investment expenses</w:t>
            </w: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9</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1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Investment income, net of expenses – Exchange</w:t>
            </w:r>
          </w:p>
        </w:tc>
        <w:tc>
          <w:tcPr>
            <w:tcW w:w="3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gridSpan w:val="2"/>
          </w:tcPr>
          <w:p>
            <w:pPr>
              <w:jc w:val="right"/>
              <w:ind w:right="550"/>
              <w:spacing w:after="0"/>
              <w:rPr>
                <w:sz w:val="20"/>
                <w:szCs w:val="20"/>
                <w:color w:val="auto"/>
              </w:rPr>
            </w:pPr>
            <w:r>
              <w:rPr>
                <w:rFonts w:ascii="Arial" w:cs="Arial" w:eastAsia="Arial" w:hAnsi="Arial"/>
                <w:sz w:val="18"/>
                <w:szCs w:val="18"/>
                <w:color w:val="auto"/>
              </w:rPr>
              <w:t>$101</w:t>
            </w:r>
          </w:p>
        </w:tc>
        <w:tc>
          <w:tcPr>
            <w:tcW w:w="11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$ 95</w:t>
            </w:r>
          </w:p>
        </w:tc>
      </w:tr>
      <w:tr>
        <w:trPr>
          <w:trHeight w:val="210"/>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 net of expenses – Erie Insurance Group</w:t>
            </w:r>
          </w:p>
        </w:tc>
        <w:tc>
          <w:tcPr>
            <w:tcW w:w="3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$105</w:t>
            </w:r>
          </w:p>
        </w:tc>
        <w:tc>
          <w:tcPr>
            <w:tcW w:w="11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r>
      <w:tr>
        <w:trPr>
          <w:trHeight w:val="20"/>
        </w:trPr>
        <w:tc>
          <w:tcPr>
            <w:tcW w:w="5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629"/>
        </w:trPr>
        <w:tc>
          <w:tcPr>
            <w:tcW w:w="6000" w:type="dxa"/>
            <w:vAlign w:val="bottom"/>
            <w:gridSpan w:val="2"/>
          </w:tcPr>
          <w:p>
            <w:pPr>
              <w:spacing w:after="0"/>
              <w:rPr>
                <w:sz w:val="20"/>
                <w:szCs w:val="20"/>
                <w:color w:val="auto"/>
              </w:rPr>
            </w:pPr>
            <w:r>
              <w:rPr>
                <w:rFonts w:ascii="Arial" w:cs="Arial" w:eastAsia="Arial" w:hAnsi="Arial"/>
                <w:sz w:val="18"/>
                <w:szCs w:val="18"/>
                <w:color w:val="auto"/>
                <w:w w:val="91"/>
              </w:rPr>
              <w:t>Dividend income is recognized as earned and recorded to net investment income.</w:t>
            </w: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2"/>
        </w:trPr>
        <w:tc>
          <w:tcPr>
            <w:tcW w:w="6000" w:type="dxa"/>
            <w:vAlign w:val="bottom"/>
            <w:gridSpan w:val="2"/>
          </w:tcPr>
          <w:p>
            <w:pPr>
              <w:spacing w:after="0"/>
              <w:rPr>
                <w:sz w:val="20"/>
                <w:szCs w:val="20"/>
                <w:color w:val="auto"/>
              </w:rPr>
            </w:pPr>
            <w:r>
              <w:rPr>
                <w:rFonts w:ascii="Arial" w:cs="Arial" w:eastAsia="Arial" w:hAnsi="Arial"/>
                <w:sz w:val="18"/>
                <w:szCs w:val="18"/>
                <w:color w:val="auto"/>
              </w:rPr>
              <w:t>Realized gains (losses) on Indemnity’s investments were as follows:</w:t>
            </w: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2"/>
        </w:trPr>
        <w:tc>
          <w:tcPr>
            <w:tcW w:w="56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color w:val="auto"/>
              </w:rPr>
              <w:t>Erie Insurance Group</w:t>
            </w:r>
          </w:p>
        </w:tc>
        <w:tc>
          <w:tcPr>
            <w:tcW w:w="300" w:type="dxa"/>
            <w:vAlign w:val="bottom"/>
            <w:tcBorders>
              <w:bottom w:val="single" w:sz="8" w:color="auto"/>
            </w:tcBorders>
          </w:tcPr>
          <w:p>
            <w:pPr>
              <w:spacing w:after="0"/>
              <w:rPr>
                <w:sz w:val="24"/>
                <w:szCs w:val="24"/>
                <w:color w:val="auto"/>
              </w:rPr>
            </w:pPr>
          </w:p>
        </w:tc>
      </w:tr>
      <w:tr>
        <w:trPr>
          <w:trHeight w:val="195"/>
        </w:trPr>
        <w:tc>
          <w:tcPr>
            <w:tcW w:w="5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40" w:type="dxa"/>
            <w:vAlign w:val="bottom"/>
            <w:gridSpan w:val="3"/>
          </w:tcPr>
          <w:p>
            <w:pPr>
              <w:ind w:left="380"/>
              <w:spacing w:after="0" w:line="195" w:lineRule="exact"/>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16"/>
                <w:szCs w:val="16"/>
                <w:color w:val="auto"/>
              </w:rPr>
            </w:pPr>
          </w:p>
        </w:tc>
      </w:tr>
      <w:tr>
        <w:trPr>
          <w:trHeight w:val="212"/>
        </w:trPr>
        <w:tc>
          <w:tcPr>
            <w:tcW w:w="60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640" w:type="dxa"/>
            <w:vAlign w:val="bottom"/>
            <w:gridSpan w:val="2"/>
          </w:tcPr>
          <w:p>
            <w:pPr>
              <w:jc w:val="right"/>
              <w:ind w:right="50"/>
              <w:spacing w:after="0"/>
              <w:rPr>
                <w:sz w:val="20"/>
                <w:szCs w:val="20"/>
                <w:color w:val="auto"/>
              </w:rPr>
            </w:pPr>
            <w:r>
              <w:rPr>
                <w:rFonts w:ascii="Arial" w:cs="Arial" w:eastAsia="Arial" w:hAnsi="Arial"/>
                <w:sz w:val="18"/>
                <w:szCs w:val="18"/>
                <w:color w:val="auto"/>
              </w:rPr>
              <w:t>March 31,</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4"/>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Indemnity</w:t>
            </w:r>
          </w:p>
        </w:tc>
        <w:tc>
          <w:tcPr>
            <w:tcW w:w="820" w:type="dxa"/>
            <w:vAlign w:val="bottom"/>
          </w:tcPr>
          <w:p>
            <w:pPr>
              <w:ind w:left="140"/>
              <w:spacing w:after="0"/>
              <w:rPr>
                <w:sz w:val="20"/>
                <w:szCs w:val="20"/>
                <w:color w:val="auto"/>
              </w:rPr>
            </w:pPr>
            <w:r>
              <w:rPr>
                <w:rFonts w:ascii="Arial" w:cs="Arial" w:eastAsia="Arial" w:hAnsi="Arial"/>
                <w:sz w:val="18"/>
                <w:szCs w:val="18"/>
                <w:color w:val="auto"/>
              </w:rPr>
              <w:t>2011</w:t>
            </w:r>
          </w:p>
        </w:tc>
        <w:tc>
          <w:tcPr>
            <w:tcW w:w="82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2010</w:t>
            </w:r>
          </w:p>
        </w:tc>
        <w:tc>
          <w:tcPr>
            <w:tcW w:w="300" w:type="dxa"/>
            <w:vAlign w:val="bottom"/>
          </w:tcPr>
          <w:p>
            <w:pPr>
              <w:spacing w:after="0"/>
              <w:rPr>
                <w:sz w:val="20"/>
                <w:szCs w:val="20"/>
                <w:color w:val="auto"/>
              </w:rPr>
            </w:pPr>
          </w:p>
        </w:tc>
      </w:tr>
      <w:tr>
        <w:trPr>
          <w:trHeight w:val="196"/>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3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r>
      <w:tr>
        <w:trPr>
          <w:trHeight w:val="216"/>
        </w:trPr>
        <w:tc>
          <w:tcPr>
            <w:tcW w:w="6000" w:type="dxa"/>
            <w:vAlign w:val="bottom"/>
            <w:gridSpan w:val="2"/>
          </w:tcPr>
          <w:p>
            <w:pPr>
              <w:ind w:left="180"/>
              <w:spacing w:after="0"/>
              <w:rPr>
                <w:sz w:val="20"/>
                <w:szCs w:val="20"/>
                <w:color w:val="auto"/>
              </w:rPr>
            </w:pPr>
            <w:r>
              <w:rPr>
                <w:rFonts w:ascii="Arial" w:cs="Arial" w:eastAsia="Arial" w:hAnsi="Arial"/>
                <w:sz w:val="18"/>
                <w:szCs w:val="18"/>
                <w:color w:val="auto"/>
              </w:rPr>
              <w:t>Fixed maturities:</w:t>
            </w: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6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Gross realized gains</w:t>
            </w:r>
          </w:p>
        </w:tc>
        <w:tc>
          <w:tcPr>
            <w:tcW w:w="820" w:type="dxa"/>
            <w:vAlign w:val="bottom"/>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6000" w:type="dxa"/>
            <w:vAlign w:val="bottom"/>
            <w:gridSpan w:val="2"/>
          </w:tcPr>
          <w:p>
            <w:pPr>
              <w:ind w:left="360"/>
              <w:spacing w:after="0"/>
              <w:rPr>
                <w:sz w:val="20"/>
                <w:szCs w:val="20"/>
                <w:color w:val="auto"/>
              </w:rPr>
            </w:pPr>
            <w:r>
              <w:rPr>
                <w:rFonts w:ascii="Arial" w:cs="Arial" w:eastAsia="Arial" w:hAnsi="Arial"/>
                <w:sz w:val="18"/>
                <w:szCs w:val="18"/>
                <w:color w:val="auto"/>
              </w:rPr>
              <w:t>Gross realized losses</w:t>
            </w:r>
          </w:p>
        </w:tc>
        <w:tc>
          <w:tcPr>
            <w:tcW w:w="820" w:type="dxa"/>
            <w:vAlign w:val="bottom"/>
          </w:tcPr>
          <w:p>
            <w:pPr>
              <w:spacing w:after="0"/>
              <w:rPr>
                <w:sz w:val="18"/>
                <w:szCs w:val="18"/>
                <w:color w:val="auto"/>
              </w:rPr>
            </w:pPr>
          </w:p>
        </w:tc>
        <w:tc>
          <w:tcPr>
            <w:tcW w:w="820" w:type="dxa"/>
            <w:vAlign w:val="bottom"/>
          </w:tcPr>
          <w:p>
            <w:pPr>
              <w:jc w:val="right"/>
              <w:ind w:right="550"/>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0"/>
        </w:trPr>
        <w:tc>
          <w:tcPr>
            <w:tcW w:w="562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realized gains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0</w:t>
            </w: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196"/>
        </w:trPr>
        <w:tc>
          <w:tcPr>
            <w:tcW w:w="5620" w:type="dxa"/>
            <w:vAlign w:val="bottom"/>
          </w:tcPr>
          <w:p>
            <w:pPr>
              <w:ind w:left="180"/>
              <w:spacing w:after="0" w:line="196" w:lineRule="exact"/>
              <w:rPr>
                <w:sz w:val="20"/>
                <w:szCs w:val="20"/>
                <w:color w:val="auto"/>
              </w:rPr>
            </w:pPr>
            <w:r>
              <w:rPr>
                <w:rFonts w:ascii="Arial" w:cs="Arial" w:eastAsia="Arial" w:hAnsi="Arial"/>
                <w:sz w:val="18"/>
                <w:szCs w:val="18"/>
                <w:color w:val="auto"/>
              </w:rPr>
              <w:t>Equity securities:</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16"/>
        </w:trPr>
        <w:tc>
          <w:tcPr>
            <w:tcW w:w="6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Gross realized gains</w:t>
            </w: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000" w:type="dxa"/>
            <w:vAlign w:val="bottom"/>
            <w:gridSpan w:val="2"/>
          </w:tcPr>
          <w:p>
            <w:pPr>
              <w:ind w:left="360"/>
              <w:spacing w:after="0"/>
              <w:rPr>
                <w:sz w:val="20"/>
                <w:szCs w:val="20"/>
                <w:color w:val="auto"/>
              </w:rPr>
            </w:pPr>
            <w:r>
              <w:rPr>
                <w:rFonts w:ascii="Arial" w:cs="Arial" w:eastAsia="Arial" w:hAnsi="Arial"/>
                <w:sz w:val="18"/>
                <w:szCs w:val="18"/>
                <w:color w:val="auto"/>
              </w:rPr>
              <w:t>Gross realized losses</w:t>
            </w:r>
          </w:p>
        </w:tc>
        <w:tc>
          <w:tcPr>
            <w:tcW w:w="820" w:type="dxa"/>
            <w:vAlign w:val="bottom"/>
          </w:tcPr>
          <w:p>
            <w:pPr>
              <w:spacing w:after="0"/>
              <w:rPr>
                <w:sz w:val="18"/>
                <w:szCs w:val="18"/>
                <w:color w:val="auto"/>
              </w:rPr>
            </w:pPr>
          </w:p>
        </w:tc>
        <w:tc>
          <w:tcPr>
            <w:tcW w:w="820" w:type="dxa"/>
            <w:vAlign w:val="bottom"/>
          </w:tcPr>
          <w:p>
            <w:pPr>
              <w:jc w:val="right"/>
              <w:ind w:right="550"/>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0"/>
        </w:trPr>
        <w:tc>
          <w:tcPr>
            <w:tcW w:w="562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realized gains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1</w:t>
            </w: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196"/>
        </w:trPr>
        <w:tc>
          <w:tcPr>
            <w:tcW w:w="5620" w:type="dxa"/>
            <w:vAlign w:val="bottom"/>
          </w:tcPr>
          <w:p>
            <w:pPr>
              <w:spacing w:after="0" w:line="196" w:lineRule="exact"/>
              <w:rPr>
                <w:sz w:val="20"/>
                <w:szCs w:val="20"/>
                <w:color w:val="auto"/>
              </w:rPr>
            </w:pPr>
            <w:r>
              <w:rPr>
                <w:rFonts w:ascii="Arial" w:cs="Arial" w:eastAsia="Arial" w:hAnsi="Arial"/>
                <w:sz w:val="18"/>
                <w:szCs w:val="18"/>
                <w:color w:val="auto"/>
              </w:rPr>
              <w:t>Trading securities:</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16"/>
        </w:trPr>
        <w:tc>
          <w:tcPr>
            <w:tcW w:w="6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bl>
    <w:p>
      <w:pPr>
        <w:sectPr>
          <w:pgSz w:w="11900" w:h="16897" w:orient="portrait"/>
          <w:cols w:equalWidth="0" w:num="1">
            <w:col w:w="11420"/>
          </w:cols>
          <w:pgMar w:left="240" w:top="125" w:right="23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ind w:left="360"/>
              <w:spacing w:after="0"/>
              <w:rPr>
                <w:sz w:val="20"/>
                <w:szCs w:val="20"/>
                <w:color w:val="auto"/>
              </w:rPr>
            </w:pPr>
            <w:r>
              <w:rPr>
                <w:rFonts w:ascii="Arial" w:cs="Arial" w:eastAsia="Arial" w:hAnsi="Arial"/>
                <w:sz w:val="18"/>
                <w:szCs w:val="18"/>
                <w:color w:val="auto"/>
              </w:rPr>
              <w:t>Gross realized gains</w:t>
            </w:r>
          </w:p>
        </w:tc>
        <w:tc>
          <w:tcPr>
            <w:tcW w:w="2260" w:type="dxa"/>
            <w:vAlign w:val="bottom"/>
            <w:gridSpan w:val="2"/>
          </w:tcPr>
          <w:p>
            <w:pPr>
              <w:jc w:val="right"/>
              <w:ind w:right="550"/>
              <w:spacing w:after="0"/>
              <w:rPr>
                <w:sz w:val="20"/>
                <w:szCs w:val="20"/>
                <w:color w:val="auto"/>
              </w:rPr>
            </w:pPr>
            <w:r>
              <w:rPr>
                <w:rFonts w:ascii="Arial" w:cs="Arial" w:eastAsia="Arial" w:hAnsi="Arial"/>
                <w:sz w:val="18"/>
                <w:szCs w:val="18"/>
                <w:color w:val="auto"/>
              </w:rPr>
              <w:t>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720" w:type="dxa"/>
            <w:vAlign w:val="bottom"/>
          </w:tcPr>
          <w:p>
            <w:pPr>
              <w:spacing w:after="0"/>
              <w:rPr>
                <w:sz w:val="20"/>
                <w:szCs w:val="20"/>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realized losses</w:t>
            </w:r>
          </w:p>
        </w:tc>
        <w:tc>
          <w:tcPr>
            <w:tcW w:w="226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2720" w:type="dxa"/>
            <w:vAlign w:val="bottom"/>
          </w:tcPr>
          <w:p>
            <w:pPr>
              <w:spacing w:after="0"/>
              <w:rPr>
                <w:sz w:val="18"/>
                <w:szCs w:val="18"/>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Valuation adjustments</w:t>
            </w:r>
          </w:p>
        </w:tc>
        <w:tc>
          <w:tcPr>
            <w:tcW w:w="2260" w:type="dxa"/>
            <w:vAlign w:val="bottom"/>
            <w:gridSpan w:val="2"/>
          </w:tcPr>
          <w:p>
            <w:pPr>
              <w:jc w:val="right"/>
              <w:ind w:right="490"/>
              <w:spacing w:after="0"/>
              <w:rPr>
                <w:sz w:val="20"/>
                <w:szCs w:val="20"/>
                <w:color w:val="auto"/>
              </w:rPr>
            </w:pPr>
            <w:r>
              <w:rPr>
                <w:rFonts w:ascii="Arial" w:cs="Arial" w:eastAsia="Arial" w:hAnsi="Arial"/>
                <w:sz w:val="18"/>
                <w:szCs w:val="18"/>
                <w:color w:val="auto"/>
              </w:rPr>
              <w:t>(1)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720" w:type="dxa"/>
            <w:vAlign w:val="bottom"/>
          </w:tcPr>
          <w:p>
            <w:pPr>
              <w:spacing w:after="0"/>
              <w:rPr>
                <w:sz w:val="18"/>
                <w:szCs w:val="18"/>
                <w:color w:val="auto"/>
              </w:rPr>
            </w:pPr>
          </w:p>
        </w:tc>
      </w:tr>
      <w:tr>
        <w:trPr>
          <w:trHeight w:val="210"/>
        </w:trPr>
        <w:tc>
          <w:tcPr>
            <w:tcW w:w="538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realized gains</w:t>
            </w: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0</w:t>
            </w: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720" w:type="dxa"/>
            <w:vAlign w:val="bottom"/>
          </w:tcPr>
          <w:p>
            <w:pPr>
              <w:spacing w:after="0"/>
              <w:rPr>
                <w:sz w:val="18"/>
                <w:szCs w:val="18"/>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8"/>
                <w:szCs w:val="18"/>
                <w:color w:val="auto"/>
              </w:rPr>
              <w:t>Net realized gains on investments – Indemnity</w:t>
            </w:r>
          </w:p>
        </w:tc>
        <w:tc>
          <w:tcPr>
            <w:tcW w:w="240" w:type="dxa"/>
            <w:vAlign w:val="bottom"/>
          </w:tcPr>
          <w:p>
            <w:pPr>
              <w:spacing w:after="0"/>
              <w:rPr>
                <w:sz w:val="18"/>
                <w:szCs w:val="18"/>
                <w:color w:val="auto"/>
              </w:rPr>
            </w:pPr>
          </w:p>
        </w:tc>
        <w:tc>
          <w:tcPr>
            <w:tcW w:w="20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$ 1</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  5</w:t>
            </w:r>
          </w:p>
        </w:tc>
        <w:tc>
          <w:tcPr>
            <w:tcW w:w="272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413"/>
        </w:trPr>
        <w:tc>
          <w:tcPr>
            <w:tcW w:w="5380" w:type="dxa"/>
            <w:vAlign w:val="bottom"/>
          </w:tcPr>
          <w:p>
            <w:pPr>
              <w:spacing w:after="0"/>
              <w:rPr>
                <w:sz w:val="24"/>
                <w:szCs w:val="24"/>
                <w:color w:val="auto"/>
              </w:rPr>
            </w:pPr>
          </w:p>
        </w:tc>
        <w:tc>
          <w:tcPr>
            <w:tcW w:w="2260" w:type="dxa"/>
            <w:vAlign w:val="bottom"/>
            <w:gridSpan w:val="2"/>
          </w:tcPr>
          <w:p>
            <w:pPr>
              <w:jc w:val="right"/>
              <w:ind w:right="1750"/>
              <w:spacing w:after="0"/>
              <w:rPr>
                <w:sz w:val="20"/>
                <w:szCs w:val="20"/>
                <w:color w:val="auto"/>
              </w:rPr>
            </w:pPr>
            <w:r>
              <w:rPr>
                <w:rFonts w:ascii="Arial" w:cs="Arial" w:eastAsia="Arial" w:hAnsi="Arial"/>
                <w:sz w:val="18"/>
                <w:szCs w:val="18"/>
                <w:color w:val="auto"/>
              </w:rPr>
              <w:t>24</w:t>
            </w:r>
          </w:p>
        </w:tc>
        <w:tc>
          <w:tcPr>
            <w:tcW w:w="11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32"/>
        </w:trPr>
        <w:tc>
          <w:tcPr>
            <w:tcW w:w="53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02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720" w:type="dxa"/>
            <w:vAlign w:val="bottom"/>
            <w:tcBorders>
              <w:bottom w:val="single" w:sz="8" w:color="010101"/>
            </w:tcBorders>
          </w:tcPr>
          <w:p>
            <w:pPr>
              <w:spacing w:after="0"/>
              <w:rPr>
                <w:sz w:val="11"/>
                <w:szCs w:val="11"/>
                <w:color w:val="auto"/>
              </w:rPr>
            </w:pPr>
          </w:p>
        </w:tc>
      </w:tr>
      <w:tr>
        <w:trPr>
          <w:trHeight w:val="780"/>
        </w:trPr>
        <w:tc>
          <w:tcPr>
            <w:tcW w:w="5380" w:type="dxa"/>
            <w:vAlign w:val="bottom"/>
          </w:tcPr>
          <w:p>
            <w:pPr>
              <w:spacing w:after="0"/>
              <w:rPr>
                <w:sz w:val="20"/>
                <w:szCs w:val="20"/>
                <w:color w:val="auto"/>
              </w:rPr>
            </w:pPr>
            <w:r>
              <w:rPr>
                <w:rFonts w:ascii="Arial" w:cs="Arial" w:eastAsia="Arial" w:hAnsi="Arial"/>
                <w:sz w:val="18"/>
                <w:szCs w:val="18"/>
                <w:color w:val="auto"/>
                <w:w w:val="93"/>
              </w:rPr>
              <w:t>Realized gains (losses) on the Exchange’s investments were as follows:</w:t>
            </w: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432"/>
        </w:trPr>
        <w:tc>
          <w:tcPr>
            <w:tcW w:w="5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20" w:type="dxa"/>
            <w:vAlign w:val="bottom"/>
            <w:tcBorders>
              <w:bottom w:val="single" w:sz="8" w:color="auto"/>
            </w:tcBorders>
            <w:gridSpan w:val="2"/>
          </w:tcPr>
          <w:p>
            <w:pPr>
              <w:jc w:val="right"/>
              <w:ind w:right="750"/>
              <w:spacing w:after="0"/>
              <w:rPr>
                <w:sz w:val="20"/>
                <w:szCs w:val="20"/>
                <w:color w:val="auto"/>
              </w:rPr>
            </w:pPr>
            <w:r>
              <w:rPr>
                <w:rFonts w:ascii="Arial" w:cs="Arial" w:eastAsia="Arial" w:hAnsi="Arial"/>
                <w:sz w:val="18"/>
                <w:szCs w:val="18"/>
                <w:color w:val="auto"/>
              </w:rPr>
              <w:t>Erie Insurance Group</w:t>
            </w:r>
          </w:p>
        </w:tc>
        <w:tc>
          <w:tcPr>
            <w:tcW w:w="2720" w:type="dxa"/>
            <w:vAlign w:val="bottom"/>
          </w:tcPr>
          <w:p>
            <w:pPr>
              <w:spacing w:after="0"/>
              <w:rPr>
                <w:sz w:val="24"/>
                <w:szCs w:val="24"/>
                <w:color w:val="auto"/>
              </w:rPr>
            </w:pPr>
          </w:p>
        </w:tc>
      </w:tr>
      <w:tr>
        <w:trPr>
          <w:trHeight w:val="195"/>
        </w:trPr>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20" w:type="dxa"/>
            <w:vAlign w:val="bottom"/>
            <w:gridSpan w:val="2"/>
          </w:tcPr>
          <w:p>
            <w:pPr>
              <w:jc w:val="right"/>
              <w:ind w:right="810"/>
              <w:spacing w:after="0" w:line="195" w:lineRule="exact"/>
              <w:rPr>
                <w:sz w:val="20"/>
                <w:szCs w:val="20"/>
                <w:color w:val="auto"/>
              </w:rPr>
            </w:pPr>
            <w:r>
              <w:rPr>
                <w:rFonts w:ascii="Arial" w:cs="Arial" w:eastAsia="Arial" w:hAnsi="Arial"/>
                <w:sz w:val="18"/>
                <w:szCs w:val="18"/>
                <w:color w:val="auto"/>
              </w:rPr>
              <w:t>Three months ended</w:t>
            </w:r>
          </w:p>
        </w:tc>
        <w:tc>
          <w:tcPr>
            <w:tcW w:w="2720" w:type="dxa"/>
            <w:vAlign w:val="bottom"/>
          </w:tcPr>
          <w:p>
            <w:pPr>
              <w:spacing w:after="0"/>
              <w:rPr>
                <w:sz w:val="16"/>
                <w:szCs w:val="16"/>
                <w:color w:val="auto"/>
              </w:rPr>
            </w:pPr>
          </w:p>
        </w:tc>
      </w:tr>
      <w:tr>
        <w:trPr>
          <w:trHeight w:val="212"/>
        </w:trPr>
        <w:tc>
          <w:tcPr>
            <w:tcW w:w="538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Pr>
          <w:p>
            <w:pPr>
              <w:spacing w:after="0"/>
              <w:rPr>
                <w:sz w:val="18"/>
                <w:szCs w:val="18"/>
                <w:color w:val="auto"/>
              </w:rPr>
            </w:pPr>
          </w:p>
        </w:tc>
        <w:tc>
          <w:tcPr>
            <w:tcW w:w="2020" w:type="dxa"/>
            <w:vAlign w:val="bottom"/>
          </w:tcPr>
          <w:p>
            <w:pPr>
              <w:jc w:val="right"/>
              <w:ind w:right="50"/>
              <w:spacing w:after="0"/>
              <w:rPr>
                <w:sz w:val="20"/>
                <w:szCs w:val="20"/>
                <w:color w:val="auto"/>
              </w:rPr>
            </w:pPr>
            <w:r>
              <w:rPr>
                <w:rFonts w:ascii="Arial" w:cs="Arial" w:eastAsia="Arial" w:hAnsi="Arial"/>
                <w:sz w:val="18"/>
                <w:szCs w:val="18"/>
                <w:color w:val="auto"/>
              </w:rPr>
              <w:t>March 31,</w:t>
            </w:r>
          </w:p>
        </w:tc>
        <w:tc>
          <w:tcPr>
            <w:tcW w:w="1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34"/>
        </w:trPr>
        <w:tc>
          <w:tcPr>
            <w:tcW w:w="5380" w:type="dxa"/>
            <w:vAlign w:val="bottom"/>
          </w:tcPr>
          <w:p>
            <w:pPr>
              <w:spacing w:after="0"/>
              <w:rPr>
                <w:sz w:val="20"/>
                <w:szCs w:val="20"/>
                <w:color w:val="auto"/>
              </w:rPr>
            </w:pPr>
            <w:r>
              <w:rPr>
                <w:rFonts w:ascii="Arial" w:cs="Arial" w:eastAsia="Arial" w:hAnsi="Arial"/>
                <w:sz w:val="18"/>
                <w:szCs w:val="18"/>
                <w:b w:val="1"/>
                <w:bCs w:val="1"/>
                <w:color w:val="auto"/>
              </w:rPr>
              <w:t>Exchange</w:t>
            </w:r>
          </w:p>
        </w:tc>
        <w:tc>
          <w:tcPr>
            <w:tcW w:w="2260" w:type="dxa"/>
            <w:vAlign w:val="bottom"/>
            <w:gridSpan w:val="2"/>
          </w:tcPr>
          <w:p>
            <w:pPr>
              <w:jc w:val="right"/>
              <w:ind w:right="1050"/>
              <w:spacing w:after="0"/>
              <w:rPr>
                <w:sz w:val="20"/>
                <w:szCs w:val="20"/>
                <w:color w:val="auto"/>
              </w:rPr>
            </w:pPr>
            <w:r>
              <w:rPr>
                <w:rFonts w:ascii="Arial" w:cs="Arial" w:eastAsia="Arial" w:hAnsi="Arial"/>
                <w:sz w:val="18"/>
                <w:szCs w:val="18"/>
                <w:color w:val="auto"/>
              </w:rPr>
              <w:t>2011</w:t>
            </w:r>
          </w:p>
        </w:tc>
        <w:tc>
          <w:tcPr>
            <w:tcW w:w="1100" w:type="dxa"/>
            <w:vAlign w:val="bottom"/>
          </w:tcPr>
          <w:p>
            <w:pPr>
              <w:jc w:val="right"/>
              <w:ind w:right="510"/>
              <w:spacing w:after="0"/>
              <w:rPr>
                <w:sz w:val="20"/>
                <w:szCs w:val="20"/>
                <w:color w:val="auto"/>
              </w:rPr>
            </w:pPr>
            <w:r>
              <w:rPr>
                <w:rFonts w:ascii="Arial" w:cs="Arial" w:eastAsia="Arial" w:hAnsi="Arial"/>
                <w:sz w:val="18"/>
                <w:szCs w:val="18"/>
                <w:color w:val="auto"/>
              </w:rPr>
              <w:t>2010</w:t>
            </w:r>
          </w:p>
        </w:tc>
        <w:tc>
          <w:tcPr>
            <w:tcW w:w="2720" w:type="dxa"/>
            <w:vAlign w:val="bottom"/>
          </w:tcPr>
          <w:p>
            <w:pPr>
              <w:spacing w:after="0"/>
              <w:rPr>
                <w:sz w:val="20"/>
                <w:szCs w:val="20"/>
                <w:color w:val="auto"/>
              </w:rPr>
            </w:pPr>
          </w:p>
        </w:tc>
      </w:tr>
      <w:tr>
        <w:trPr>
          <w:trHeight w:val="196"/>
        </w:trPr>
        <w:tc>
          <w:tcPr>
            <w:tcW w:w="5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4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720" w:type="dxa"/>
            <w:vAlign w:val="bottom"/>
          </w:tcPr>
          <w:p>
            <w:pPr>
              <w:spacing w:after="0"/>
              <w:rPr>
                <w:sz w:val="17"/>
                <w:szCs w:val="17"/>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Fixed maturities:</w:t>
            </w: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realized gains</w:t>
            </w:r>
          </w:p>
        </w:tc>
        <w:tc>
          <w:tcPr>
            <w:tcW w:w="2260" w:type="dxa"/>
            <w:vAlign w:val="bottom"/>
            <w:gridSpan w:val="2"/>
            <w:shd w:val="clear" w:color="auto" w:fill="CCEEFF"/>
          </w:tcPr>
          <w:p>
            <w:pPr>
              <w:jc w:val="right"/>
              <w:ind w:right="1050"/>
              <w:spacing w:after="0"/>
              <w:rPr>
                <w:sz w:val="20"/>
                <w:szCs w:val="20"/>
                <w:color w:val="auto"/>
              </w:rPr>
            </w:pPr>
            <w:r>
              <w:rPr>
                <w:rFonts w:ascii="Arial" w:cs="Arial" w:eastAsia="Arial" w:hAnsi="Arial"/>
                <w:sz w:val="18"/>
                <w:szCs w:val="18"/>
                <w:color w:val="auto"/>
              </w:rPr>
              <w:t>$ 25</w:t>
            </w:r>
          </w:p>
        </w:tc>
        <w:tc>
          <w:tcPr>
            <w:tcW w:w="11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$ 21</w:t>
            </w:r>
          </w:p>
        </w:tc>
        <w:tc>
          <w:tcPr>
            <w:tcW w:w="2720" w:type="dxa"/>
            <w:vAlign w:val="bottom"/>
          </w:tcPr>
          <w:p>
            <w:pPr>
              <w:spacing w:after="0"/>
              <w:rPr>
                <w:sz w:val="18"/>
                <w:szCs w:val="18"/>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Gross realized losses</w:t>
            </w:r>
          </w:p>
        </w:tc>
        <w:tc>
          <w:tcPr>
            <w:tcW w:w="2260" w:type="dxa"/>
            <w:vAlign w:val="bottom"/>
            <w:gridSpan w:val="2"/>
          </w:tcPr>
          <w:p>
            <w:pPr>
              <w:jc w:val="right"/>
              <w:ind w:right="990"/>
              <w:spacing w:after="0"/>
              <w:rPr>
                <w:sz w:val="20"/>
                <w:szCs w:val="20"/>
                <w:color w:val="auto"/>
              </w:rPr>
            </w:pPr>
            <w:r>
              <w:rPr>
                <w:rFonts w:ascii="Arial" w:cs="Arial" w:eastAsia="Arial" w:hAnsi="Arial"/>
                <w:sz w:val="18"/>
                <w:szCs w:val="18"/>
                <w:color w:val="auto"/>
              </w:rPr>
              <w:t>(12)</w:t>
            </w:r>
          </w:p>
        </w:tc>
        <w:tc>
          <w:tcPr>
            <w:tcW w:w="1100" w:type="dxa"/>
            <w:vAlign w:val="bottom"/>
          </w:tcPr>
          <w:p>
            <w:pPr>
              <w:jc w:val="right"/>
              <w:ind w:right="470"/>
              <w:spacing w:after="0"/>
              <w:rPr>
                <w:sz w:val="20"/>
                <w:szCs w:val="20"/>
                <w:color w:val="auto"/>
              </w:rPr>
            </w:pPr>
            <w:r>
              <w:rPr>
                <w:rFonts w:ascii="Arial" w:cs="Arial" w:eastAsia="Arial" w:hAnsi="Arial"/>
                <w:sz w:val="18"/>
                <w:szCs w:val="18"/>
                <w:color w:val="auto"/>
              </w:rPr>
              <w:t>(9)</w:t>
            </w:r>
          </w:p>
        </w:tc>
        <w:tc>
          <w:tcPr>
            <w:tcW w:w="2720" w:type="dxa"/>
            <w:vAlign w:val="bottom"/>
          </w:tcPr>
          <w:p>
            <w:pPr>
              <w:spacing w:after="0"/>
              <w:rPr>
                <w:sz w:val="18"/>
                <w:szCs w:val="18"/>
                <w:color w:val="auto"/>
              </w:rPr>
            </w:pPr>
          </w:p>
        </w:tc>
      </w:tr>
      <w:tr>
        <w:trPr>
          <w:trHeight w:val="210"/>
        </w:trPr>
        <w:tc>
          <w:tcPr>
            <w:tcW w:w="538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realized gains</w:t>
            </w: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rPr>
              <w:t>13</w:t>
            </w:r>
          </w:p>
        </w:tc>
        <w:tc>
          <w:tcPr>
            <w:tcW w:w="110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12</w:t>
            </w:r>
          </w:p>
        </w:tc>
        <w:tc>
          <w:tcPr>
            <w:tcW w:w="2720" w:type="dxa"/>
            <w:vAlign w:val="bottom"/>
          </w:tcPr>
          <w:p>
            <w:pPr>
              <w:spacing w:after="0"/>
              <w:rPr>
                <w:sz w:val="18"/>
                <w:szCs w:val="18"/>
                <w:color w:val="auto"/>
              </w:rPr>
            </w:pPr>
          </w:p>
        </w:tc>
      </w:tr>
      <w:tr>
        <w:trPr>
          <w:trHeight w:val="196"/>
        </w:trPr>
        <w:tc>
          <w:tcPr>
            <w:tcW w:w="5380" w:type="dxa"/>
            <w:vAlign w:val="bottom"/>
          </w:tcPr>
          <w:p>
            <w:pPr>
              <w:ind w:left="180"/>
              <w:spacing w:after="0" w:line="196" w:lineRule="exact"/>
              <w:rPr>
                <w:sz w:val="20"/>
                <w:szCs w:val="20"/>
                <w:color w:val="auto"/>
              </w:rPr>
            </w:pPr>
            <w:r>
              <w:rPr>
                <w:rFonts w:ascii="Arial" w:cs="Arial" w:eastAsia="Arial" w:hAnsi="Arial"/>
                <w:sz w:val="18"/>
                <w:szCs w:val="18"/>
                <w:color w:val="auto"/>
              </w:rPr>
              <w:t>Equity securities:</w:t>
            </w:r>
          </w:p>
        </w:tc>
        <w:tc>
          <w:tcPr>
            <w:tcW w:w="2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realized gains</w:t>
            </w:r>
          </w:p>
        </w:tc>
        <w:tc>
          <w:tcPr>
            <w:tcW w:w="2260" w:type="dxa"/>
            <w:vAlign w:val="bottom"/>
            <w:gridSpan w:val="2"/>
            <w:shd w:val="clear" w:color="auto" w:fill="CCEEFF"/>
          </w:tcPr>
          <w:p>
            <w:pPr>
              <w:jc w:val="right"/>
              <w:ind w:right="1050"/>
              <w:spacing w:after="0"/>
              <w:rPr>
                <w:sz w:val="20"/>
                <w:szCs w:val="20"/>
                <w:color w:val="auto"/>
              </w:rPr>
            </w:pPr>
            <w:r>
              <w:rPr>
                <w:rFonts w:ascii="Arial" w:cs="Arial" w:eastAsia="Arial" w:hAnsi="Arial"/>
                <w:sz w:val="18"/>
                <w:szCs w:val="18"/>
                <w:color w:val="auto"/>
              </w:rPr>
              <w:t>6</w:t>
            </w:r>
          </w:p>
        </w:tc>
        <w:tc>
          <w:tcPr>
            <w:tcW w:w="11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4</w:t>
            </w:r>
          </w:p>
        </w:tc>
        <w:tc>
          <w:tcPr>
            <w:tcW w:w="2720" w:type="dxa"/>
            <w:vAlign w:val="bottom"/>
          </w:tcPr>
          <w:p>
            <w:pPr>
              <w:spacing w:after="0"/>
              <w:rPr>
                <w:sz w:val="18"/>
                <w:szCs w:val="18"/>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Gross realized losses</w:t>
            </w:r>
          </w:p>
        </w:tc>
        <w:tc>
          <w:tcPr>
            <w:tcW w:w="2260" w:type="dxa"/>
            <w:vAlign w:val="bottom"/>
            <w:gridSpan w:val="2"/>
          </w:tcPr>
          <w:p>
            <w:pPr>
              <w:jc w:val="right"/>
              <w:ind w:right="990"/>
              <w:spacing w:after="0"/>
              <w:rPr>
                <w:sz w:val="20"/>
                <w:szCs w:val="20"/>
                <w:color w:val="auto"/>
              </w:rPr>
            </w:pPr>
            <w:r>
              <w:rPr>
                <w:rFonts w:ascii="Arial" w:cs="Arial" w:eastAsia="Arial" w:hAnsi="Arial"/>
                <w:sz w:val="18"/>
                <w:szCs w:val="18"/>
                <w:color w:val="auto"/>
              </w:rPr>
              <w:t>(1)</w:t>
            </w:r>
          </w:p>
        </w:tc>
        <w:tc>
          <w:tcPr>
            <w:tcW w:w="1100" w:type="dxa"/>
            <w:vAlign w:val="bottom"/>
          </w:tcPr>
          <w:p>
            <w:pPr>
              <w:jc w:val="right"/>
              <w:ind w:right="530"/>
              <w:spacing w:after="0"/>
              <w:rPr>
                <w:sz w:val="20"/>
                <w:szCs w:val="20"/>
                <w:color w:val="auto"/>
              </w:rPr>
            </w:pPr>
            <w:r>
              <w:rPr>
                <w:rFonts w:ascii="Arial" w:cs="Arial" w:eastAsia="Arial" w:hAnsi="Arial"/>
                <w:sz w:val="18"/>
                <w:szCs w:val="18"/>
                <w:color w:val="auto"/>
              </w:rPr>
              <w:t>0</w:t>
            </w:r>
          </w:p>
        </w:tc>
        <w:tc>
          <w:tcPr>
            <w:tcW w:w="2720" w:type="dxa"/>
            <w:vAlign w:val="bottom"/>
          </w:tcPr>
          <w:p>
            <w:pPr>
              <w:spacing w:after="0"/>
              <w:rPr>
                <w:sz w:val="18"/>
                <w:szCs w:val="18"/>
                <w:color w:val="auto"/>
              </w:rPr>
            </w:pPr>
          </w:p>
        </w:tc>
      </w:tr>
      <w:tr>
        <w:trPr>
          <w:trHeight w:val="210"/>
        </w:trPr>
        <w:tc>
          <w:tcPr>
            <w:tcW w:w="538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realized gains</w:t>
            </w: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rPr>
              <w:t>5</w:t>
            </w:r>
          </w:p>
        </w:tc>
        <w:tc>
          <w:tcPr>
            <w:tcW w:w="110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4</w:t>
            </w:r>
          </w:p>
        </w:tc>
        <w:tc>
          <w:tcPr>
            <w:tcW w:w="2720" w:type="dxa"/>
            <w:vAlign w:val="bottom"/>
          </w:tcPr>
          <w:p>
            <w:pPr>
              <w:spacing w:after="0"/>
              <w:rPr>
                <w:sz w:val="18"/>
                <w:szCs w:val="18"/>
                <w:color w:val="auto"/>
              </w:rPr>
            </w:pPr>
          </w:p>
        </w:tc>
      </w:tr>
      <w:tr>
        <w:trPr>
          <w:trHeight w:val="196"/>
        </w:trPr>
        <w:tc>
          <w:tcPr>
            <w:tcW w:w="5380" w:type="dxa"/>
            <w:vAlign w:val="bottom"/>
          </w:tcPr>
          <w:p>
            <w:pPr>
              <w:spacing w:after="0" w:line="196" w:lineRule="exact"/>
              <w:rPr>
                <w:sz w:val="20"/>
                <w:szCs w:val="20"/>
                <w:color w:val="auto"/>
              </w:rPr>
            </w:pPr>
            <w:r>
              <w:rPr>
                <w:rFonts w:ascii="Arial" w:cs="Arial" w:eastAsia="Arial" w:hAnsi="Arial"/>
                <w:sz w:val="18"/>
                <w:szCs w:val="18"/>
                <w:color w:val="auto"/>
              </w:rPr>
              <w:t>Trading securities:</w:t>
            </w:r>
          </w:p>
        </w:tc>
        <w:tc>
          <w:tcPr>
            <w:tcW w:w="2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Gross realized gains</w:t>
            </w:r>
          </w:p>
        </w:tc>
        <w:tc>
          <w:tcPr>
            <w:tcW w:w="2260" w:type="dxa"/>
            <w:vAlign w:val="bottom"/>
            <w:gridSpan w:val="2"/>
          </w:tcPr>
          <w:p>
            <w:pPr>
              <w:jc w:val="right"/>
              <w:ind w:right="1050"/>
              <w:spacing w:after="0"/>
              <w:rPr>
                <w:sz w:val="20"/>
                <w:szCs w:val="20"/>
                <w:color w:val="auto"/>
              </w:rPr>
            </w:pPr>
            <w:r>
              <w:rPr>
                <w:rFonts w:ascii="Arial" w:cs="Arial" w:eastAsia="Arial" w:hAnsi="Arial"/>
                <w:sz w:val="18"/>
                <w:szCs w:val="18"/>
                <w:color w:val="auto"/>
              </w:rPr>
              <w:t>56</w:t>
            </w:r>
          </w:p>
        </w:tc>
        <w:tc>
          <w:tcPr>
            <w:tcW w:w="1100" w:type="dxa"/>
            <w:vAlign w:val="bottom"/>
          </w:tcPr>
          <w:p>
            <w:pPr>
              <w:jc w:val="right"/>
              <w:ind w:right="530"/>
              <w:spacing w:after="0"/>
              <w:rPr>
                <w:sz w:val="20"/>
                <w:szCs w:val="20"/>
                <w:color w:val="auto"/>
              </w:rPr>
            </w:pPr>
            <w:r>
              <w:rPr>
                <w:rFonts w:ascii="Arial" w:cs="Arial" w:eastAsia="Arial" w:hAnsi="Arial"/>
                <w:sz w:val="18"/>
                <w:szCs w:val="18"/>
                <w:color w:val="auto"/>
              </w:rPr>
              <w:t>45</w:t>
            </w:r>
          </w:p>
        </w:tc>
        <w:tc>
          <w:tcPr>
            <w:tcW w:w="2720" w:type="dxa"/>
            <w:vAlign w:val="bottom"/>
          </w:tcPr>
          <w:p>
            <w:pPr>
              <w:spacing w:after="0"/>
              <w:rPr>
                <w:sz w:val="18"/>
                <w:szCs w:val="18"/>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realized losses</w:t>
            </w:r>
          </w:p>
        </w:tc>
        <w:tc>
          <w:tcPr>
            <w:tcW w:w="226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(8)</w:t>
            </w:r>
          </w:p>
        </w:tc>
        <w:tc>
          <w:tcPr>
            <w:tcW w:w="11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w:t>
            </w:r>
          </w:p>
        </w:tc>
        <w:tc>
          <w:tcPr>
            <w:tcW w:w="2720" w:type="dxa"/>
            <w:vAlign w:val="bottom"/>
          </w:tcPr>
          <w:p>
            <w:pPr>
              <w:spacing w:after="0"/>
              <w:rPr>
                <w:sz w:val="18"/>
                <w:szCs w:val="18"/>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Valuation adjustments</w:t>
            </w:r>
          </w:p>
        </w:tc>
        <w:tc>
          <w:tcPr>
            <w:tcW w:w="2260" w:type="dxa"/>
            <w:vAlign w:val="bottom"/>
            <w:gridSpan w:val="2"/>
          </w:tcPr>
          <w:p>
            <w:pPr>
              <w:jc w:val="right"/>
              <w:ind w:right="1050"/>
              <w:spacing w:after="0"/>
              <w:rPr>
                <w:sz w:val="20"/>
                <w:szCs w:val="20"/>
                <w:color w:val="auto"/>
              </w:rPr>
            </w:pPr>
            <w:r>
              <w:rPr>
                <w:rFonts w:ascii="Arial" w:cs="Arial" w:eastAsia="Arial" w:hAnsi="Arial"/>
                <w:sz w:val="18"/>
                <w:szCs w:val="18"/>
                <w:color w:val="auto"/>
              </w:rPr>
              <w:t>82</w:t>
            </w:r>
          </w:p>
        </w:tc>
        <w:tc>
          <w:tcPr>
            <w:tcW w:w="1100" w:type="dxa"/>
            <w:vAlign w:val="bottom"/>
          </w:tcPr>
          <w:p>
            <w:pPr>
              <w:jc w:val="right"/>
              <w:ind w:right="530"/>
              <w:spacing w:after="0"/>
              <w:rPr>
                <w:sz w:val="20"/>
                <w:szCs w:val="20"/>
                <w:color w:val="auto"/>
              </w:rPr>
            </w:pPr>
            <w:r>
              <w:rPr>
                <w:rFonts w:ascii="Arial" w:cs="Arial" w:eastAsia="Arial" w:hAnsi="Arial"/>
                <w:sz w:val="18"/>
                <w:szCs w:val="18"/>
                <w:color w:val="auto"/>
              </w:rPr>
              <w:t>71</w:t>
            </w:r>
          </w:p>
        </w:tc>
        <w:tc>
          <w:tcPr>
            <w:tcW w:w="2720" w:type="dxa"/>
            <w:vAlign w:val="bottom"/>
          </w:tcPr>
          <w:p>
            <w:pPr>
              <w:spacing w:after="0"/>
              <w:rPr>
                <w:sz w:val="18"/>
                <w:szCs w:val="18"/>
                <w:color w:val="auto"/>
              </w:rPr>
            </w:pPr>
          </w:p>
        </w:tc>
      </w:tr>
      <w:tr>
        <w:trPr>
          <w:trHeight w:val="210"/>
        </w:trPr>
        <w:tc>
          <w:tcPr>
            <w:tcW w:w="538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realized gains</w:t>
            </w: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rPr>
              <w:t>130</w:t>
            </w:r>
          </w:p>
        </w:tc>
        <w:tc>
          <w:tcPr>
            <w:tcW w:w="110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104</w:t>
            </w:r>
          </w:p>
        </w:tc>
        <w:tc>
          <w:tcPr>
            <w:tcW w:w="2720" w:type="dxa"/>
            <w:vAlign w:val="bottom"/>
          </w:tcPr>
          <w:p>
            <w:pPr>
              <w:spacing w:after="0"/>
              <w:rPr>
                <w:sz w:val="18"/>
                <w:szCs w:val="18"/>
                <w:color w:val="auto"/>
              </w:rPr>
            </w:pPr>
          </w:p>
        </w:tc>
      </w:tr>
      <w:tr>
        <w:trPr>
          <w:trHeight w:val="210"/>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realized gains on investments – Exchange</w:t>
            </w:r>
          </w:p>
        </w:tc>
        <w:tc>
          <w:tcPr>
            <w:tcW w:w="24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$148</w:t>
            </w: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$120</w:t>
            </w:r>
          </w:p>
        </w:tc>
        <w:tc>
          <w:tcPr>
            <w:tcW w:w="2720" w:type="dxa"/>
            <w:vAlign w:val="bottom"/>
          </w:tcPr>
          <w:p>
            <w:pPr>
              <w:spacing w:after="0"/>
              <w:rPr>
                <w:sz w:val="18"/>
                <w:szCs w:val="18"/>
                <w:color w:val="auto"/>
              </w:rPr>
            </w:pPr>
          </w:p>
        </w:tc>
      </w:tr>
      <w:tr>
        <w:trPr>
          <w:trHeight w:val="210"/>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realized gains on investments – Erie Insurance Group</w:t>
            </w:r>
          </w:p>
        </w:tc>
        <w:tc>
          <w:tcPr>
            <w:tcW w:w="24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rPr>
              <w:t>$149</w:t>
            </w:r>
          </w:p>
        </w:tc>
        <w:tc>
          <w:tcPr>
            <w:tcW w:w="11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$125</w:t>
            </w:r>
          </w:p>
        </w:tc>
        <w:tc>
          <w:tcPr>
            <w:tcW w:w="272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-3620135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-3620135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other-than-temporary impairments on investments are included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1"/>
              </w:rPr>
              <w:t>Erie Insurance Group</w:t>
            </w:r>
          </w:p>
        </w:tc>
        <w:tc>
          <w:tcPr>
            <w:tcW w:w="800" w:type="dxa"/>
            <w:vAlign w:val="bottom"/>
            <w:tcBorders>
              <w:bottom w:val="single" w:sz="8" w:color="auto"/>
            </w:tcBorders>
          </w:tcPr>
          <w:p>
            <w:pPr>
              <w:spacing w:after="0"/>
              <w:rPr>
                <w:sz w:val="20"/>
                <w:szCs w:val="20"/>
                <w:color w:val="auto"/>
              </w:rPr>
            </w:pPr>
          </w:p>
        </w:tc>
      </w:tr>
      <w:tr>
        <w:trPr>
          <w:trHeight w:val="195"/>
        </w:trPr>
        <w:tc>
          <w:tcPr>
            <w:tcW w:w="5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0" w:type="dxa"/>
            <w:vAlign w:val="bottom"/>
            <w:gridSpan w:val="2"/>
          </w:tcPr>
          <w:p>
            <w:pPr>
              <w:ind w:left="40"/>
              <w:spacing w:after="0" w:line="195" w:lineRule="exact"/>
              <w:rPr>
                <w:sz w:val="20"/>
                <w:szCs w:val="20"/>
                <w:color w:val="auto"/>
              </w:rPr>
            </w:pPr>
            <w:r>
              <w:rPr>
                <w:rFonts w:ascii="Arial" w:cs="Arial" w:eastAsia="Arial" w:hAnsi="Arial"/>
                <w:sz w:val="18"/>
                <w:szCs w:val="18"/>
                <w:color w:val="auto"/>
                <w:w w:val="92"/>
              </w:rPr>
              <w:t>Three months ended</w:t>
            </w:r>
          </w:p>
        </w:tc>
        <w:tc>
          <w:tcPr>
            <w:tcW w:w="800" w:type="dxa"/>
            <w:vAlign w:val="bottom"/>
          </w:tcPr>
          <w:p>
            <w:pPr>
              <w:spacing w:after="0"/>
              <w:rPr>
                <w:sz w:val="16"/>
                <w:szCs w:val="16"/>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ind w:left="140"/>
              <w:spacing w:after="0"/>
              <w:rPr>
                <w:sz w:val="20"/>
                <w:szCs w:val="20"/>
                <w:color w:val="auto"/>
              </w:rPr>
            </w:pPr>
            <w:r>
              <w:rPr>
                <w:rFonts w:ascii="Arial" w:cs="Arial" w:eastAsia="Arial" w:hAnsi="Arial"/>
                <w:sz w:val="18"/>
                <w:szCs w:val="18"/>
                <w:color w:val="auto"/>
              </w:rPr>
              <w:t>March 31,</w:t>
            </w:r>
          </w:p>
        </w:tc>
        <w:tc>
          <w:tcPr>
            <w:tcW w:w="800" w:type="dxa"/>
            <w:vAlign w:val="bottom"/>
          </w:tcPr>
          <w:p>
            <w:pPr>
              <w:spacing w:after="0"/>
              <w:rPr>
                <w:sz w:val="18"/>
                <w:szCs w:val="18"/>
                <w:color w:val="auto"/>
              </w:rPr>
            </w:pPr>
          </w:p>
        </w:tc>
      </w:tr>
      <w:tr>
        <w:trPr>
          <w:trHeight w:val="230"/>
        </w:trPr>
        <w:tc>
          <w:tcPr>
            <w:tcW w:w="56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2011</w:t>
            </w:r>
          </w:p>
        </w:tc>
        <w:tc>
          <w:tcPr>
            <w:tcW w:w="2120" w:type="dxa"/>
            <w:vAlign w:val="bottom"/>
            <w:tcBorders>
              <w:bottom w:val="single" w:sz="8" w:color="auto"/>
            </w:tcBorders>
            <w:gridSpan w:val="2"/>
          </w:tcPr>
          <w:p>
            <w:pPr>
              <w:ind w:left="1160"/>
              <w:spacing w:after="0"/>
              <w:rPr>
                <w:sz w:val="20"/>
                <w:szCs w:val="20"/>
                <w:color w:val="auto"/>
              </w:rPr>
            </w:pPr>
            <w:r>
              <w:rPr>
                <w:rFonts w:ascii="Arial" w:cs="Arial" w:eastAsia="Arial" w:hAnsi="Arial"/>
                <w:sz w:val="18"/>
                <w:szCs w:val="18"/>
                <w:color w:val="auto"/>
              </w:rPr>
              <w:t>2010</w:t>
            </w:r>
          </w:p>
        </w:tc>
      </w:tr>
      <w:tr>
        <w:trPr>
          <w:trHeight w:val="196"/>
        </w:trPr>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Indemnity</w:t>
            </w: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Fixed maturities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320" w:type="dxa"/>
            <w:vAlign w:val="bottom"/>
          </w:tcPr>
          <w:p>
            <w:pPr>
              <w:ind w:left="11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3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7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0</w:t>
            </w:r>
          </w:p>
        </w:tc>
      </w:tr>
      <w:tr>
        <w:trPr>
          <w:trHeight w:val="210"/>
        </w:trPr>
        <w:tc>
          <w:tcPr>
            <w:tcW w:w="5620" w:type="dxa"/>
            <w:vAlign w:val="bottom"/>
          </w:tcPr>
          <w:p>
            <w:pPr>
              <w:ind w:left="18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8"/>
                <w:szCs w:val="18"/>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320" w:type="dxa"/>
            <w:vAlign w:val="bottom"/>
          </w:tcPr>
          <w:p>
            <w:pPr>
              <w:spacing w:after="0"/>
              <w:rPr>
                <w:sz w:val="18"/>
                <w:szCs w:val="18"/>
                <w:color w:val="auto"/>
              </w:rPr>
            </w:pPr>
          </w:p>
        </w:tc>
        <w:tc>
          <w:tcPr>
            <w:tcW w:w="800" w:type="dxa"/>
            <w:vAlign w:val="bottom"/>
          </w:tcPr>
          <w:p>
            <w:pPr>
              <w:jc w:val="right"/>
              <w:ind w:right="53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Portion recognized in other comprehensive income</w:t>
            </w:r>
          </w:p>
        </w:tc>
        <w:tc>
          <w:tcPr>
            <w:tcW w:w="7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0</w:t>
            </w:r>
          </w:p>
        </w:tc>
      </w:tr>
      <w:tr>
        <w:trPr>
          <w:trHeight w:val="21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impairment losses recognized in earnings – Indemnity</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132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0</w:t>
            </w:r>
          </w:p>
        </w:tc>
      </w:tr>
      <w:tr>
        <w:trPr>
          <w:trHeight w:val="196"/>
        </w:trPr>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Exchange</w:t>
            </w: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Fixed maturities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320" w:type="dxa"/>
            <w:vAlign w:val="bottom"/>
          </w:tcPr>
          <w:p>
            <w:pPr>
              <w:ind w:left="11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470"/>
              <w:spacing w:after="0"/>
              <w:rPr>
                <w:sz w:val="20"/>
                <w:szCs w:val="20"/>
                <w:color w:val="auto"/>
              </w:rPr>
            </w:pPr>
            <w:r>
              <w:rPr>
                <w:rFonts w:ascii="Arial" w:cs="Arial" w:eastAsia="Arial" w:hAnsi="Arial"/>
                <w:sz w:val="18"/>
                <w:szCs w:val="18"/>
                <w:color w:val="auto"/>
                <w:w w:val="99"/>
              </w:rPr>
              <w:t>(2)</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7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0</w:t>
            </w:r>
          </w:p>
        </w:tc>
      </w:tr>
      <w:tr>
        <w:trPr>
          <w:trHeight w:val="210"/>
        </w:trPr>
        <w:tc>
          <w:tcPr>
            <w:tcW w:w="5620" w:type="dxa"/>
            <w:vAlign w:val="bottom"/>
          </w:tcPr>
          <w:p>
            <w:pPr>
              <w:ind w:left="18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8"/>
                <w:szCs w:val="18"/>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320" w:type="dxa"/>
            <w:vAlign w:val="bottom"/>
          </w:tcPr>
          <w:p>
            <w:pPr>
              <w:spacing w:after="0"/>
              <w:rPr>
                <w:sz w:val="18"/>
                <w:szCs w:val="18"/>
                <w:color w:val="auto"/>
              </w:rPr>
            </w:pPr>
          </w:p>
        </w:tc>
        <w:tc>
          <w:tcPr>
            <w:tcW w:w="800" w:type="dxa"/>
            <w:vAlign w:val="bottom"/>
          </w:tcPr>
          <w:p>
            <w:pPr>
              <w:jc w:val="right"/>
              <w:ind w:right="470"/>
              <w:spacing w:after="0"/>
              <w:rPr>
                <w:sz w:val="20"/>
                <w:szCs w:val="20"/>
                <w:color w:val="auto"/>
              </w:rPr>
            </w:pPr>
            <w:r>
              <w:rPr>
                <w:rFonts w:ascii="Arial" w:cs="Arial" w:eastAsia="Arial" w:hAnsi="Arial"/>
                <w:sz w:val="18"/>
                <w:szCs w:val="18"/>
                <w:color w:val="auto"/>
                <w:w w:val="99"/>
              </w:rPr>
              <w:t>(2)</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Portion recognized in other comprehensive income</w:t>
            </w:r>
          </w:p>
        </w:tc>
        <w:tc>
          <w:tcPr>
            <w:tcW w:w="7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0</w:t>
            </w:r>
          </w:p>
        </w:tc>
      </w:tr>
      <w:tr>
        <w:trPr>
          <w:trHeight w:val="21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impairment losses recognized in earnings – Exchange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132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(2)</w:t>
            </w:r>
          </w:p>
        </w:tc>
      </w:tr>
      <w:tr>
        <w:trPr>
          <w:trHeight w:val="210"/>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impairment losses recognized in earnings – Erie Insurance Group</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32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(2)</w:t>
            </w:r>
          </w:p>
        </w:tc>
      </w:tr>
      <w:tr>
        <w:trPr>
          <w:trHeight w:val="20"/>
        </w:trPr>
        <w:tc>
          <w:tcPr>
            <w:tcW w:w="56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considering if fixed maturity securities were credit-impaired, some of the factors considered include: potential for the default of interest and/or principal, level of subordination, collateral of the issue, compliance with financial covenants, credit ratings and industry conditions. We have the intent to sell all credit-impaired fixed maturity securities, therefore the entire amount of the impairment charges were included in earnings and no non-credit impairments were recognized in other comprehensive income.</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Limited partnerships</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limited partnership investments are recorded using the equity method of accounting. As these investments are generally reported on a one-quarter lag, our limited partnership results through March 31, 2011 are comprised of general partnership financial results for the fourth quarter of 2010. Given the lag in reporting, our limited partnership results do not reflect the market conditions of the first quarter of 2011. Cash contributions made to and distributions received from the partnerships are recorded in the period in which the transaction occurs.</w:t>
      </w:r>
    </w:p>
    <w:p>
      <w:pPr>
        <w:spacing w:after="0" w:line="19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have provided summarized financial information in the following table for the three months ended March 31, 2011 and for the year ended December 31, 2010. Amounts provided in the table are presented using the latest available financial statements received from the partnerships. Limited partnership financial</w:t>
      </w:r>
    </w:p>
    <w:p>
      <w:pPr>
        <w:sectPr>
          <w:pgSz w:w="11900" w:h="16838" w:orient="portrait"/>
          <w:cols w:equalWidth="0" w:num="1">
            <w:col w:w="11460"/>
          </w:cols>
          <w:pgMar w:left="240" w:top="125" w:right="199" w:bottom="0" w:gutter="0" w:footer="0" w:header="0"/>
        </w:sectPr>
      </w:pPr>
    </w:p>
    <w:bookmarkStart w:id="17" w:name="page18"/>
    <w:bookmarkEnd w:id="17"/>
    <w:p>
      <w:pPr>
        <w:spacing w:after="0" w:line="6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information has been presented based on the investment percentage in the partnerships for the Erie Insurance Group consistent with how management evaluates the investments.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these investments are generally reported on a one-quarter lag, our limited partnership results through March 31, 2011 include the general partnership financial results for the fourth quarter of 2010.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ind w:left="140"/>
              <w:spacing w:after="0"/>
              <w:rPr>
                <w:sz w:val="20"/>
                <w:szCs w:val="20"/>
                <w:color w:val="auto"/>
              </w:rPr>
            </w:pPr>
            <w:r>
              <w:rPr>
                <w:rFonts w:ascii="Arial" w:cs="Arial" w:eastAsia="Arial" w:hAnsi="Arial"/>
                <w:sz w:val="14"/>
                <w:szCs w:val="14"/>
                <w:i w:val="1"/>
                <w:iCs w:val="1"/>
                <w:color w:val="auto"/>
              </w:rPr>
              <w:t>(dollars in millions)</w:t>
            </w:r>
          </w:p>
        </w:tc>
        <w:tc>
          <w:tcPr>
            <w:tcW w:w="520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8"/>
                <w:szCs w:val="18"/>
                <w:color w:val="auto"/>
              </w:rPr>
              <w:t>As of and for the three months ended March 31, 2011</w:t>
            </w:r>
          </w:p>
        </w:tc>
        <w:tc>
          <w:tcPr>
            <w:tcW w:w="1100" w:type="dxa"/>
            <w:vAlign w:val="bottom"/>
            <w:tcBorders>
              <w:bottom w:val="single" w:sz="8" w:color="auto"/>
            </w:tcBorders>
          </w:tcPr>
          <w:p>
            <w:pPr>
              <w:spacing w:after="0"/>
              <w:rPr>
                <w:sz w:val="20"/>
                <w:szCs w:val="20"/>
                <w:color w:val="auto"/>
              </w:rPr>
            </w:pPr>
          </w:p>
        </w:tc>
      </w:tr>
      <w:tr>
        <w:trPr>
          <w:trHeight w:val="186"/>
        </w:trPr>
        <w:tc>
          <w:tcPr>
            <w:tcW w:w="5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0" w:type="dxa"/>
            <w:vAlign w:val="bottom"/>
          </w:tcPr>
          <w:p>
            <w:pPr>
              <w:jc w:val="center"/>
              <w:ind w:right="372"/>
              <w:spacing w:after="0"/>
              <w:rPr>
                <w:sz w:val="20"/>
                <w:szCs w:val="20"/>
                <w:color w:val="auto"/>
              </w:rPr>
            </w:pPr>
            <w:r>
              <w:rPr>
                <w:rFonts w:ascii="Arial" w:cs="Arial" w:eastAsia="Arial" w:hAnsi="Arial"/>
                <w:sz w:val="16"/>
                <w:szCs w:val="16"/>
                <w:color w:val="auto"/>
                <w:w w:val="93"/>
              </w:rPr>
              <w:t>Income (loss)</w:t>
            </w:r>
          </w:p>
        </w:tc>
        <w:tc>
          <w:tcPr>
            <w:tcW w:w="1100" w:type="dxa"/>
            <w:vAlign w:val="bottom"/>
          </w:tcPr>
          <w:p>
            <w:pPr>
              <w:spacing w:after="0"/>
              <w:rPr>
                <w:sz w:val="16"/>
                <w:szCs w:val="16"/>
                <w:color w:val="auto"/>
              </w:rPr>
            </w:pPr>
          </w:p>
        </w:tc>
      </w:tr>
      <w:tr>
        <w:trPr>
          <w:trHeight w:val="203"/>
        </w:trPr>
        <w:tc>
          <w:tcPr>
            <w:tcW w:w="5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0" w:type="dxa"/>
            <w:vAlign w:val="bottom"/>
          </w:tcPr>
          <w:p>
            <w:pPr>
              <w:jc w:val="center"/>
              <w:ind w:right="372"/>
              <w:spacing w:after="0"/>
              <w:rPr>
                <w:sz w:val="20"/>
                <w:szCs w:val="20"/>
                <w:color w:val="auto"/>
              </w:rPr>
            </w:pPr>
            <w:r>
              <w:rPr>
                <w:rFonts w:ascii="Arial" w:cs="Arial" w:eastAsia="Arial" w:hAnsi="Arial"/>
                <w:sz w:val="16"/>
                <w:szCs w:val="16"/>
                <w:color w:val="auto"/>
                <w:w w:val="89"/>
              </w:rPr>
              <w:t>recognized</w:t>
            </w:r>
          </w:p>
        </w:tc>
        <w:tc>
          <w:tcPr>
            <w:tcW w:w="1100" w:type="dxa"/>
            <w:vAlign w:val="bottom"/>
          </w:tcPr>
          <w:p>
            <w:pPr>
              <w:spacing w:after="0"/>
              <w:rPr>
                <w:sz w:val="17"/>
                <w:szCs w:val="17"/>
                <w:color w:val="auto"/>
              </w:rPr>
            </w:pPr>
          </w:p>
        </w:tc>
      </w:tr>
      <w:tr>
        <w:trPr>
          <w:trHeight w:val="203"/>
        </w:trPr>
        <w:tc>
          <w:tcPr>
            <w:tcW w:w="5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0" w:type="dxa"/>
            <w:vAlign w:val="bottom"/>
          </w:tcPr>
          <w:p>
            <w:pPr>
              <w:jc w:val="center"/>
              <w:ind w:right="352"/>
              <w:spacing w:after="0"/>
              <w:rPr>
                <w:sz w:val="20"/>
                <w:szCs w:val="20"/>
                <w:color w:val="auto"/>
              </w:rPr>
            </w:pPr>
            <w:r>
              <w:rPr>
                <w:rFonts w:ascii="Arial" w:cs="Arial" w:eastAsia="Arial" w:hAnsi="Arial"/>
                <w:sz w:val="16"/>
                <w:szCs w:val="16"/>
                <w:color w:val="auto"/>
                <w:w w:val="89"/>
              </w:rPr>
              <w:t>due to</w:t>
            </w:r>
          </w:p>
        </w:tc>
        <w:tc>
          <w:tcPr>
            <w:tcW w:w="1100" w:type="dxa"/>
            <w:vAlign w:val="bottom"/>
          </w:tcPr>
          <w:p>
            <w:pPr>
              <w:spacing w:after="0"/>
              <w:rPr>
                <w:sz w:val="17"/>
                <w:szCs w:val="17"/>
                <w:color w:val="auto"/>
              </w:rPr>
            </w:pPr>
          </w:p>
        </w:tc>
      </w:tr>
      <w:tr>
        <w:trPr>
          <w:trHeight w:val="203"/>
        </w:trPr>
        <w:tc>
          <w:tcPr>
            <w:tcW w:w="5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0" w:type="dxa"/>
            <w:vAlign w:val="bottom"/>
          </w:tcPr>
          <w:p>
            <w:pPr>
              <w:jc w:val="center"/>
              <w:ind w:right="372"/>
              <w:spacing w:after="0"/>
              <w:rPr>
                <w:sz w:val="20"/>
                <w:szCs w:val="20"/>
                <w:color w:val="auto"/>
              </w:rPr>
            </w:pPr>
            <w:r>
              <w:rPr>
                <w:rFonts w:ascii="Arial" w:cs="Arial" w:eastAsia="Arial" w:hAnsi="Arial"/>
                <w:sz w:val="16"/>
                <w:szCs w:val="16"/>
                <w:color w:val="auto"/>
                <w:w w:val="96"/>
              </w:rPr>
              <w:t>valuation</w:t>
            </w:r>
          </w:p>
        </w:tc>
        <w:tc>
          <w:tcPr>
            <w:tcW w:w="1100" w:type="dxa"/>
            <w:vAlign w:val="bottom"/>
          </w:tcPr>
          <w:p>
            <w:pPr>
              <w:spacing w:after="0"/>
              <w:rPr>
                <w:sz w:val="17"/>
                <w:szCs w:val="17"/>
                <w:color w:val="auto"/>
              </w:rPr>
            </w:pPr>
          </w:p>
        </w:tc>
      </w:tr>
      <w:tr>
        <w:trPr>
          <w:trHeight w:val="203"/>
        </w:trPr>
        <w:tc>
          <w:tcPr>
            <w:tcW w:w="5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0" w:type="dxa"/>
            <w:vAlign w:val="bottom"/>
          </w:tcPr>
          <w:p>
            <w:pPr>
              <w:jc w:val="center"/>
              <w:ind w:right="372"/>
              <w:spacing w:after="0"/>
              <w:rPr>
                <w:sz w:val="20"/>
                <w:szCs w:val="20"/>
                <w:color w:val="auto"/>
              </w:rPr>
            </w:pPr>
            <w:r>
              <w:rPr>
                <w:rFonts w:ascii="Arial" w:cs="Arial" w:eastAsia="Arial" w:hAnsi="Arial"/>
                <w:sz w:val="16"/>
                <w:szCs w:val="16"/>
                <w:color w:val="auto"/>
                <w:w w:val="90"/>
              </w:rPr>
              <w:t>adjustments</w:t>
            </w:r>
          </w:p>
        </w:tc>
        <w:tc>
          <w:tcPr>
            <w:tcW w:w="1100" w:type="dxa"/>
            <w:vAlign w:val="bottom"/>
          </w:tcPr>
          <w:p>
            <w:pPr>
              <w:jc w:val="center"/>
              <w:ind w:right="171"/>
              <w:spacing w:after="0"/>
              <w:rPr>
                <w:sz w:val="20"/>
                <w:szCs w:val="20"/>
                <w:color w:val="auto"/>
              </w:rPr>
            </w:pPr>
            <w:r>
              <w:rPr>
                <w:rFonts w:ascii="Arial" w:cs="Arial" w:eastAsia="Arial" w:hAnsi="Arial"/>
                <w:sz w:val="16"/>
                <w:szCs w:val="16"/>
                <w:color w:val="auto"/>
                <w:w w:val="91"/>
              </w:rPr>
              <w:t>Income</w:t>
            </w:r>
          </w:p>
        </w:tc>
      </w:tr>
      <w:tr>
        <w:trPr>
          <w:trHeight w:val="203"/>
        </w:trPr>
        <w:tc>
          <w:tcPr>
            <w:tcW w:w="5120" w:type="dxa"/>
            <w:vAlign w:val="bottom"/>
          </w:tcPr>
          <w:p>
            <w:pPr>
              <w:ind w:left="1220"/>
              <w:spacing w:after="0"/>
              <w:rPr>
                <w:sz w:val="20"/>
                <w:szCs w:val="20"/>
                <w:color w:val="auto"/>
              </w:rPr>
            </w:pPr>
            <w:r>
              <w:rPr>
                <w:rFonts w:ascii="Arial" w:cs="Arial" w:eastAsia="Arial" w:hAnsi="Arial"/>
                <w:sz w:val="16"/>
                <w:szCs w:val="16"/>
                <w:color w:val="auto"/>
              </w:rPr>
              <w:t>Investment percentage in partnership</w:t>
            </w:r>
          </w:p>
        </w:tc>
        <w:tc>
          <w:tcPr>
            <w:tcW w:w="1360" w:type="dxa"/>
            <w:vAlign w:val="bottom"/>
          </w:tcPr>
          <w:p>
            <w:pPr>
              <w:jc w:val="right"/>
              <w:ind w:right="251"/>
              <w:spacing w:after="0"/>
              <w:rPr>
                <w:sz w:val="20"/>
                <w:szCs w:val="20"/>
                <w:color w:val="auto"/>
              </w:rPr>
            </w:pPr>
            <w:r>
              <w:rPr>
                <w:rFonts w:ascii="Arial" w:cs="Arial" w:eastAsia="Arial" w:hAnsi="Arial"/>
                <w:sz w:val="16"/>
                <w:szCs w:val="16"/>
                <w:color w:val="auto"/>
              </w:rPr>
              <w:t>Number of</w:t>
            </w:r>
          </w:p>
        </w:tc>
        <w:tc>
          <w:tcPr>
            <w:tcW w:w="1240" w:type="dxa"/>
            <w:vAlign w:val="bottom"/>
          </w:tcPr>
          <w:p>
            <w:pPr>
              <w:jc w:val="center"/>
              <w:ind w:left="593"/>
              <w:spacing w:after="0"/>
              <w:rPr>
                <w:sz w:val="20"/>
                <w:szCs w:val="20"/>
                <w:color w:val="auto"/>
              </w:rPr>
            </w:pPr>
            <w:r>
              <w:rPr>
                <w:rFonts w:ascii="Arial" w:cs="Arial" w:eastAsia="Arial" w:hAnsi="Arial"/>
                <w:sz w:val="16"/>
                <w:szCs w:val="16"/>
                <w:color w:val="auto"/>
                <w:w w:val="89"/>
              </w:rPr>
              <w:t>Asset</w:t>
            </w:r>
          </w:p>
        </w:tc>
        <w:tc>
          <w:tcPr>
            <w:tcW w:w="600" w:type="dxa"/>
            <w:vAlign w:val="bottom"/>
          </w:tcPr>
          <w:p>
            <w:pPr>
              <w:spacing w:after="0"/>
              <w:rPr>
                <w:sz w:val="17"/>
                <w:szCs w:val="17"/>
                <w:color w:val="auto"/>
              </w:rPr>
            </w:pPr>
          </w:p>
        </w:tc>
        <w:tc>
          <w:tcPr>
            <w:tcW w:w="2000" w:type="dxa"/>
            <w:vAlign w:val="bottom"/>
          </w:tcPr>
          <w:p>
            <w:pPr>
              <w:jc w:val="center"/>
              <w:ind w:right="352"/>
              <w:spacing w:after="0"/>
              <w:rPr>
                <w:sz w:val="20"/>
                <w:szCs w:val="20"/>
                <w:color w:val="auto"/>
              </w:rPr>
            </w:pPr>
            <w:r>
              <w:rPr>
                <w:rFonts w:ascii="Arial" w:cs="Arial" w:eastAsia="Arial" w:hAnsi="Arial"/>
                <w:sz w:val="16"/>
                <w:szCs w:val="16"/>
                <w:color w:val="auto"/>
                <w:w w:val="91"/>
              </w:rPr>
              <w:t>by the</w:t>
            </w:r>
          </w:p>
        </w:tc>
        <w:tc>
          <w:tcPr>
            <w:tcW w:w="1100" w:type="dxa"/>
            <w:vAlign w:val="bottom"/>
          </w:tcPr>
          <w:p>
            <w:pPr>
              <w:jc w:val="center"/>
              <w:ind w:right="171"/>
              <w:spacing w:after="0"/>
              <w:rPr>
                <w:sz w:val="20"/>
                <w:szCs w:val="20"/>
                <w:color w:val="auto"/>
              </w:rPr>
            </w:pPr>
            <w:r>
              <w:rPr>
                <w:rFonts w:ascii="Arial" w:cs="Arial" w:eastAsia="Arial" w:hAnsi="Arial"/>
                <w:sz w:val="16"/>
                <w:szCs w:val="16"/>
                <w:color w:val="auto"/>
                <w:w w:val="89"/>
              </w:rPr>
              <w:t>(1oss)</w:t>
            </w:r>
          </w:p>
        </w:tc>
      </w:tr>
      <w:tr>
        <w:trPr>
          <w:trHeight w:val="209"/>
        </w:trPr>
        <w:tc>
          <w:tcPr>
            <w:tcW w:w="5120" w:type="dxa"/>
            <w:vAlign w:val="bottom"/>
            <w:tcBorders>
              <w:bottom w:val="single" w:sz="8" w:color="auto"/>
            </w:tcBorders>
          </w:tcPr>
          <w:p>
            <w:pPr>
              <w:ind w:left="1600"/>
              <w:spacing w:after="0"/>
              <w:rPr>
                <w:sz w:val="20"/>
                <w:szCs w:val="20"/>
                <w:color w:val="auto"/>
              </w:rPr>
            </w:pPr>
            <w:r>
              <w:rPr>
                <w:rFonts w:ascii="Arial" w:cs="Arial" w:eastAsia="Arial" w:hAnsi="Arial"/>
                <w:sz w:val="16"/>
                <w:szCs w:val="16"/>
                <w:color w:val="auto"/>
              </w:rPr>
              <w:t>for Erie Insurance Group</w:t>
            </w:r>
          </w:p>
        </w:tc>
        <w:tc>
          <w:tcPr>
            <w:tcW w:w="136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color w:val="auto"/>
              </w:rPr>
              <w:t>partnerships</w:t>
            </w:r>
          </w:p>
        </w:tc>
        <w:tc>
          <w:tcPr>
            <w:tcW w:w="1240" w:type="dxa"/>
            <w:vAlign w:val="bottom"/>
            <w:tcBorders>
              <w:bottom w:val="single" w:sz="8" w:color="auto"/>
            </w:tcBorders>
          </w:tcPr>
          <w:p>
            <w:pPr>
              <w:jc w:val="center"/>
              <w:ind w:left="593"/>
              <w:spacing w:after="0"/>
              <w:rPr>
                <w:sz w:val="20"/>
                <w:szCs w:val="20"/>
                <w:color w:val="auto"/>
              </w:rPr>
            </w:pPr>
            <w:r>
              <w:rPr>
                <w:rFonts w:ascii="Arial" w:cs="Arial" w:eastAsia="Arial" w:hAnsi="Arial"/>
                <w:sz w:val="16"/>
                <w:szCs w:val="16"/>
                <w:color w:val="auto"/>
                <w:w w:val="88"/>
              </w:rPr>
              <w:t>recorded</w:t>
            </w:r>
          </w:p>
        </w:tc>
        <w:tc>
          <w:tcPr>
            <w:tcW w:w="6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center"/>
              <w:ind w:right="372"/>
              <w:spacing w:after="0"/>
              <w:rPr>
                <w:sz w:val="20"/>
                <w:szCs w:val="20"/>
                <w:color w:val="auto"/>
              </w:rPr>
            </w:pPr>
            <w:r>
              <w:rPr>
                <w:rFonts w:ascii="Arial" w:cs="Arial" w:eastAsia="Arial" w:hAnsi="Arial"/>
                <w:sz w:val="16"/>
                <w:szCs w:val="16"/>
                <w:color w:val="auto"/>
                <w:w w:val="88"/>
              </w:rPr>
              <w:t>partnerships</w:t>
            </w:r>
          </w:p>
        </w:tc>
        <w:tc>
          <w:tcPr>
            <w:tcW w:w="1100" w:type="dxa"/>
            <w:vAlign w:val="bottom"/>
            <w:tcBorders>
              <w:bottom w:val="single" w:sz="8" w:color="auto"/>
            </w:tcBorders>
          </w:tcPr>
          <w:p>
            <w:pPr>
              <w:jc w:val="center"/>
              <w:ind w:right="171"/>
              <w:spacing w:after="0"/>
              <w:rPr>
                <w:sz w:val="20"/>
                <w:szCs w:val="20"/>
                <w:color w:val="auto"/>
              </w:rPr>
            </w:pPr>
            <w:r>
              <w:rPr>
                <w:rFonts w:ascii="Arial" w:cs="Arial" w:eastAsia="Arial" w:hAnsi="Arial"/>
                <w:sz w:val="16"/>
                <w:szCs w:val="16"/>
                <w:color w:val="auto"/>
                <w:w w:val="88"/>
              </w:rPr>
              <w:t>recorded</w:t>
            </w:r>
          </w:p>
        </w:tc>
      </w:tr>
      <w:tr>
        <w:trPr>
          <w:trHeight w:val="213"/>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Indemnity</w:t>
            </w:r>
          </w:p>
        </w:tc>
        <w:tc>
          <w:tcPr>
            <w:tcW w:w="1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120" w:type="dxa"/>
            <w:vAlign w:val="bottom"/>
          </w:tcPr>
          <w:p>
            <w:pPr>
              <w:ind w:left="140"/>
              <w:spacing w:after="0"/>
              <w:rPr>
                <w:sz w:val="20"/>
                <w:szCs w:val="20"/>
                <w:color w:val="auto"/>
              </w:rPr>
            </w:pPr>
            <w:r>
              <w:rPr>
                <w:rFonts w:ascii="Arial" w:cs="Arial" w:eastAsia="Arial" w:hAnsi="Arial"/>
                <w:sz w:val="18"/>
                <w:szCs w:val="18"/>
                <w:color w:val="auto"/>
              </w:rPr>
              <w:t>Private equity:</w:t>
            </w:r>
          </w:p>
        </w:tc>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Less than 10%</w:t>
            </w:r>
          </w:p>
        </w:tc>
        <w:tc>
          <w:tcPr>
            <w:tcW w:w="13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82</w:t>
            </w:r>
          </w:p>
        </w:tc>
        <w:tc>
          <w:tcPr>
            <w:tcW w:w="200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rPr>
              <w:t>$ 5</w:t>
            </w: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$ 1</w:t>
            </w:r>
          </w:p>
        </w:tc>
      </w:tr>
      <w:tr>
        <w:trPr>
          <w:trHeight w:val="216"/>
        </w:trPr>
        <w:tc>
          <w:tcPr>
            <w:tcW w:w="5120" w:type="dxa"/>
            <w:vAlign w:val="bottom"/>
          </w:tcPr>
          <w:p>
            <w:pPr>
              <w:ind w:left="320"/>
              <w:spacing w:after="0"/>
              <w:rPr>
                <w:sz w:val="20"/>
                <w:szCs w:val="20"/>
                <w:color w:val="auto"/>
              </w:rPr>
            </w:pPr>
            <w:r>
              <w:rPr>
                <w:rFonts w:ascii="Arial" w:cs="Arial" w:eastAsia="Arial" w:hAnsi="Arial"/>
                <w:sz w:val="18"/>
                <w:szCs w:val="18"/>
                <w:color w:val="auto"/>
              </w:rPr>
              <w:t>Greater than or equal to 10% but less than 50%</w:t>
            </w: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1240" w:type="dxa"/>
            <w:vAlign w:val="bottom"/>
          </w:tcPr>
          <w:p>
            <w:pPr>
              <w:spacing w:after="0"/>
              <w:rPr>
                <w:sz w:val="18"/>
                <w:szCs w:val="18"/>
                <w:color w:val="auto"/>
              </w:rPr>
            </w:pP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8</w:t>
            </w:r>
          </w:p>
        </w:tc>
        <w:tc>
          <w:tcPr>
            <w:tcW w:w="2000" w:type="dxa"/>
            <w:vAlign w:val="bottom"/>
          </w:tcPr>
          <w:p>
            <w:pPr>
              <w:jc w:val="right"/>
              <w:ind w:right="812"/>
              <w:spacing w:after="0"/>
              <w:rPr>
                <w:sz w:val="20"/>
                <w:szCs w:val="20"/>
                <w:color w:val="auto"/>
              </w:rPr>
            </w:pPr>
            <w:r>
              <w:rPr>
                <w:rFonts w:ascii="Arial" w:cs="Arial" w:eastAsia="Arial" w:hAnsi="Arial"/>
                <w:sz w:val="18"/>
                <w:szCs w:val="18"/>
                <w:color w:val="auto"/>
              </w:rPr>
              <w:t>0</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w:t>
            </w:r>
          </w:p>
        </w:tc>
      </w:tr>
      <w:tr>
        <w:trPr>
          <w:trHeight w:val="216"/>
        </w:trPr>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Greater than 50%</w:t>
            </w:r>
          </w:p>
        </w:tc>
        <w:tc>
          <w:tcPr>
            <w:tcW w:w="13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2000" w:type="dxa"/>
            <w:vAlign w:val="bottom"/>
            <w:tcBorders>
              <w:bottom w:val="single" w:sz="8" w:color="auto"/>
            </w:tcBorders>
            <w:shd w:val="clear" w:color="auto" w:fill="CCEEFF"/>
          </w:tcPr>
          <w:p>
            <w:pPr>
              <w:jc w:val="right"/>
              <w:ind w:right="812"/>
              <w:spacing w:after="0"/>
              <w:rPr>
                <w:sz w:val="20"/>
                <w:szCs w:val="20"/>
                <w:color w:val="auto"/>
              </w:rPr>
            </w:pPr>
            <w:r>
              <w:rPr>
                <w:rFonts w:ascii="Arial" w:cs="Arial" w:eastAsia="Arial" w:hAnsi="Arial"/>
                <w:sz w:val="18"/>
                <w:szCs w:val="18"/>
                <w:color w:val="auto"/>
              </w:rPr>
              <w:t>0</w:t>
            </w:r>
          </w:p>
        </w:tc>
        <w:tc>
          <w:tcPr>
            <w:tcW w:w="11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0</w:t>
            </w:r>
          </w:p>
        </w:tc>
      </w:tr>
      <w:tr>
        <w:trPr>
          <w:trHeight w:val="210"/>
        </w:trPr>
        <w:tc>
          <w:tcPr>
            <w:tcW w:w="5120" w:type="dxa"/>
            <w:vAlign w:val="bottom"/>
          </w:tcPr>
          <w:p>
            <w:pPr>
              <w:ind w:left="500"/>
              <w:spacing w:after="0"/>
              <w:rPr>
                <w:sz w:val="20"/>
                <w:szCs w:val="20"/>
                <w:color w:val="auto"/>
              </w:rPr>
            </w:pPr>
            <w:r>
              <w:rPr>
                <w:rFonts w:ascii="Arial" w:cs="Arial" w:eastAsia="Arial" w:hAnsi="Arial"/>
                <w:sz w:val="18"/>
                <w:szCs w:val="18"/>
                <w:color w:val="auto"/>
              </w:rPr>
              <w:t>Total private equity</w:t>
            </w: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29</w:t>
            </w:r>
          </w:p>
        </w:tc>
        <w:tc>
          <w:tcPr>
            <w:tcW w:w="1240" w:type="dxa"/>
            <w:vAlign w:val="bottom"/>
          </w:tcPr>
          <w:p>
            <w:pPr>
              <w:spacing w:after="0"/>
              <w:rPr>
                <w:sz w:val="18"/>
                <w:szCs w:val="18"/>
                <w:color w:val="auto"/>
              </w:rPr>
            </w:pP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90</w:t>
            </w:r>
          </w:p>
        </w:tc>
        <w:tc>
          <w:tcPr>
            <w:tcW w:w="2000" w:type="dxa"/>
            <w:vAlign w:val="bottom"/>
          </w:tcPr>
          <w:p>
            <w:pPr>
              <w:jc w:val="right"/>
              <w:ind w:right="812"/>
              <w:spacing w:after="0"/>
              <w:rPr>
                <w:sz w:val="20"/>
                <w:szCs w:val="20"/>
                <w:color w:val="auto"/>
              </w:rPr>
            </w:pPr>
            <w:r>
              <w:rPr>
                <w:rFonts w:ascii="Arial" w:cs="Arial" w:eastAsia="Arial" w:hAnsi="Arial"/>
                <w:sz w:val="18"/>
                <w:szCs w:val="18"/>
                <w:color w:val="auto"/>
              </w:rPr>
              <w:t>5</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2</w:t>
            </w:r>
          </w:p>
        </w:tc>
      </w:tr>
      <w:tr>
        <w:trPr>
          <w:trHeight w:val="216"/>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Mezzanine debt:</w:t>
            </w:r>
          </w:p>
        </w:tc>
        <w:tc>
          <w:tcPr>
            <w:tcW w:w="1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120" w:type="dxa"/>
            <w:vAlign w:val="bottom"/>
          </w:tcPr>
          <w:p>
            <w:pPr>
              <w:ind w:left="320"/>
              <w:spacing w:after="0"/>
              <w:rPr>
                <w:sz w:val="20"/>
                <w:szCs w:val="20"/>
                <w:color w:val="auto"/>
              </w:rPr>
            </w:pPr>
            <w:r>
              <w:rPr>
                <w:rFonts w:ascii="Arial" w:cs="Arial" w:eastAsia="Arial" w:hAnsi="Arial"/>
                <w:sz w:val="18"/>
                <w:szCs w:val="18"/>
                <w:color w:val="auto"/>
              </w:rPr>
              <w:t>Less than 10%</w:t>
            </w: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11</w:t>
            </w:r>
          </w:p>
        </w:tc>
        <w:tc>
          <w:tcPr>
            <w:tcW w:w="1240" w:type="dxa"/>
            <w:vAlign w:val="bottom"/>
          </w:tcPr>
          <w:p>
            <w:pPr>
              <w:spacing w:after="0"/>
              <w:rPr>
                <w:sz w:val="18"/>
                <w:szCs w:val="18"/>
                <w:color w:val="auto"/>
              </w:rPr>
            </w:pP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29</w:t>
            </w:r>
          </w:p>
        </w:tc>
        <w:tc>
          <w:tcPr>
            <w:tcW w:w="2000" w:type="dxa"/>
            <w:vAlign w:val="bottom"/>
          </w:tcPr>
          <w:p>
            <w:pPr>
              <w:jc w:val="right"/>
              <w:ind w:right="812"/>
              <w:spacing w:after="0"/>
              <w:rPr>
                <w:sz w:val="20"/>
                <w:szCs w:val="20"/>
                <w:color w:val="auto"/>
              </w:rPr>
            </w:pPr>
            <w:r>
              <w:rPr>
                <w:rFonts w:ascii="Arial" w:cs="Arial" w:eastAsia="Arial" w:hAnsi="Arial"/>
                <w:sz w:val="18"/>
                <w:szCs w:val="18"/>
                <w:color w:val="auto"/>
              </w:rPr>
              <w:t>0</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2</w:t>
            </w:r>
          </w:p>
        </w:tc>
      </w:tr>
      <w:tr>
        <w:trPr>
          <w:trHeight w:val="216"/>
        </w:trPr>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Greater than or equal to 10% but less than 50%</w:t>
            </w:r>
          </w:p>
        </w:tc>
        <w:tc>
          <w:tcPr>
            <w:tcW w:w="13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w:t>
            </w: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15</w:t>
            </w:r>
          </w:p>
        </w:tc>
        <w:tc>
          <w:tcPr>
            <w:tcW w:w="200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w:t>
            </w:r>
          </w:p>
        </w:tc>
      </w:tr>
      <w:tr>
        <w:trPr>
          <w:trHeight w:val="216"/>
        </w:trPr>
        <w:tc>
          <w:tcPr>
            <w:tcW w:w="51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Greater than 50%</w:t>
            </w:r>
          </w:p>
        </w:tc>
        <w:tc>
          <w:tcPr>
            <w:tcW w:w="13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w:t>
            </w:r>
          </w:p>
        </w:tc>
        <w:tc>
          <w:tcPr>
            <w:tcW w:w="1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w:t>
            </w:r>
          </w:p>
        </w:tc>
        <w:tc>
          <w:tcPr>
            <w:tcW w:w="2000" w:type="dxa"/>
            <w:vAlign w:val="bottom"/>
            <w:tcBorders>
              <w:bottom w:val="single" w:sz="8" w:color="auto"/>
            </w:tcBorders>
          </w:tcPr>
          <w:p>
            <w:pPr>
              <w:jc w:val="right"/>
              <w:ind w:right="812"/>
              <w:spacing w:after="0"/>
              <w:rPr>
                <w:sz w:val="20"/>
                <w:szCs w:val="20"/>
                <w:color w:val="auto"/>
              </w:rPr>
            </w:pPr>
            <w:r>
              <w:rPr>
                <w:rFonts w:ascii="Arial" w:cs="Arial" w:eastAsia="Arial" w:hAnsi="Arial"/>
                <w:sz w:val="18"/>
                <w:szCs w:val="18"/>
                <w:color w:val="auto"/>
              </w:rPr>
              <w:t>0</w:t>
            </w:r>
          </w:p>
        </w:tc>
        <w:tc>
          <w:tcPr>
            <w:tcW w:w="11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0</w:t>
            </w:r>
          </w:p>
        </w:tc>
      </w:tr>
      <w:tr>
        <w:trPr>
          <w:trHeight w:val="210"/>
        </w:trPr>
        <w:tc>
          <w:tcPr>
            <w:tcW w:w="5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mezzanine debt</w:t>
            </w:r>
          </w:p>
        </w:tc>
        <w:tc>
          <w:tcPr>
            <w:tcW w:w="13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w:t>
            </w: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46</w:t>
            </w:r>
          </w:p>
        </w:tc>
        <w:tc>
          <w:tcPr>
            <w:tcW w:w="200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w:t>
            </w:r>
          </w:p>
        </w:tc>
      </w:tr>
      <w:tr>
        <w:trPr>
          <w:trHeight w:val="216"/>
        </w:trPr>
        <w:tc>
          <w:tcPr>
            <w:tcW w:w="5120" w:type="dxa"/>
            <w:vAlign w:val="bottom"/>
          </w:tcPr>
          <w:p>
            <w:pPr>
              <w:ind w:left="140"/>
              <w:spacing w:after="0"/>
              <w:rPr>
                <w:sz w:val="20"/>
                <w:szCs w:val="20"/>
                <w:color w:val="auto"/>
              </w:rPr>
            </w:pPr>
            <w:r>
              <w:rPr>
                <w:rFonts w:ascii="Arial" w:cs="Arial" w:eastAsia="Arial" w:hAnsi="Arial"/>
                <w:sz w:val="18"/>
                <w:szCs w:val="18"/>
                <w:color w:val="auto"/>
              </w:rPr>
              <w:t>Real estate:</w:t>
            </w:r>
          </w:p>
        </w:tc>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Less than 10%</w:t>
            </w:r>
          </w:p>
        </w:tc>
        <w:tc>
          <w:tcPr>
            <w:tcW w:w="13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w:t>
            </w: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60</w:t>
            </w:r>
          </w:p>
        </w:tc>
        <w:tc>
          <w:tcPr>
            <w:tcW w:w="200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rPr>
              <w:t>2</w:t>
            </w: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w:t>
            </w:r>
          </w:p>
        </w:tc>
      </w:tr>
      <w:tr>
        <w:trPr>
          <w:trHeight w:val="216"/>
        </w:trPr>
        <w:tc>
          <w:tcPr>
            <w:tcW w:w="5120" w:type="dxa"/>
            <w:vAlign w:val="bottom"/>
          </w:tcPr>
          <w:p>
            <w:pPr>
              <w:ind w:left="320"/>
              <w:spacing w:after="0"/>
              <w:rPr>
                <w:sz w:val="20"/>
                <w:szCs w:val="20"/>
                <w:color w:val="auto"/>
              </w:rPr>
            </w:pPr>
            <w:r>
              <w:rPr>
                <w:rFonts w:ascii="Arial" w:cs="Arial" w:eastAsia="Arial" w:hAnsi="Arial"/>
                <w:sz w:val="18"/>
                <w:szCs w:val="18"/>
                <w:color w:val="auto"/>
              </w:rPr>
              <w:t>Greater than or equal to 10% but less than 50%</w:t>
            </w: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1240" w:type="dxa"/>
            <w:vAlign w:val="bottom"/>
          </w:tcPr>
          <w:p>
            <w:pPr>
              <w:spacing w:after="0"/>
              <w:rPr>
                <w:sz w:val="18"/>
                <w:szCs w:val="18"/>
                <w:color w:val="auto"/>
              </w:rPr>
            </w:pP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16</w:t>
            </w:r>
          </w:p>
        </w:tc>
        <w:tc>
          <w:tcPr>
            <w:tcW w:w="2000" w:type="dxa"/>
            <w:vAlign w:val="bottom"/>
          </w:tcPr>
          <w:p>
            <w:pPr>
              <w:jc w:val="right"/>
              <w:ind w:right="812"/>
              <w:spacing w:after="0"/>
              <w:rPr>
                <w:sz w:val="20"/>
                <w:szCs w:val="20"/>
                <w:color w:val="auto"/>
              </w:rPr>
            </w:pPr>
            <w:r>
              <w:rPr>
                <w:rFonts w:ascii="Arial" w:cs="Arial" w:eastAsia="Arial" w:hAnsi="Arial"/>
                <w:sz w:val="18"/>
                <w:szCs w:val="18"/>
                <w:color w:val="auto"/>
              </w:rPr>
              <w:t>0</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0</w:t>
            </w:r>
          </w:p>
        </w:tc>
      </w:tr>
      <w:tr>
        <w:trPr>
          <w:trHeight w:val="216"/>
        </w:trPr>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Greater than 50%</w:t>
            </w:r>
          </w:p>
        </w:tc>
        <w:tc>
          <w:tcPr>
            <w:tcW w:w="13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w:t>
            </w:r>
          </w:p>
        </w:tc>
        <w:tc>
          <w:tcPr>
            <w:tcW w:w="1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10</w:t>
            </w:r>
          </w:p>
        </w:tc>
        <w:tc>
          <w:tcPr>
            <w:tcW w:w="2000" w:type="dxa"/>
            <w:vAlign w:val="bottom"/>
            <w:tcBorders>
              <w:bottom w:val="single" w:sz="8" w:color="auto"/>
            </w:tcBorders>
            <w:shd w:val="clear" w:color="auto" w:fill="CCEEFF"/>
          </w:tcPr>
          <w:p>
            <w:pPr>
              <w:jc w:val="right"/>
              <w:ind w:right="812"/>
              <w:spacing w:after="0"/>
              <w:rPr>
                <w:sz w:val="20"/>
                <w:szCs w:val="20"/>
                <w:color w:val="auto"/>
              </w:rPr>
            </w:pPr>
            <w:r>
              <w:rPr>
                <w:rFonts w:ascii="Arial" w:cs="Arial" w:eastAsia="Arial" w:hAnsi="Arial"/>
                <w:sz w:val="18"/>
                <w:szCs w:val="18"/>
                <w:color w:val="auto"/>
              </w:rPr>
              <w:t>0</w:t>
            </w:r>
          </w:p>
        </w:tc>
        <w:tc>
          <w:tcPr>
            <w:tcW w:w="11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0</w:t>
            </w:r>
          </w:p>
        </w:tc>
      </w:tr>
      <w:tr>
        <w:trPr>
          <w:trHeight w:val="210"/>
        </w:trPr>
        <w:tc>
          <w:tcPr>
            <w:tcW w:w="51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real estate</w:t>
            </w:r>
          </w:p>
        </w:tc>
        <w:tc>
          <w:tcPr>
            <w:tcW w:w="13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20</w:t>
            </w:r>
          </w:p>
        </w:tc>
        <w:tc>
          <w:tcPr>
            <w:tcW w:w="1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86</w:t>
            </w:r>
          </w:p>
        </w:tc>
        <w:tc>
          <w:tcPr>
            <w:tcW w:w="2000" w:type="dxa"/>
            <w:vAlign w:val="bottom"/>
            <w:tcBorders>
              <w:bottom w:val="single" w:sz="8" w:color="auto"/>
            </w:tcBorders>
          </w:tcPr>
          <w:p>
            <w:pPr>
              <w:jc w:val="right"/>
              <w:ind w:right="812"/>
              <w:spacing w:after="0"/>
              <w:rPr>
                <w:sz w:val="20"/>
                <w:szCs w:val="20"/>
                <w:color w:val="auto"/>
              </w:rPr>
            </w:pPr>
            <w:r>
              <w:rPr>
                <w:rFonts w:ascii="Arial" w:cs="Arial" w:eastAsia="Arial" w:hAnsi="Arial"/>
                <w:sz w:val="18"/>
                <w:szCs w:val="18"/>
                <w:color w:val="auto"/>
              </w:rPr>
              <w:t>2</w:t>
            </w:r>
          </w:p>
        </w:tc>
        <w:tc>
          <w:tcPr>
            <w:tcW w:w="11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0</w:t>
            </w:r>
          </w:p>
        </w:tc>
      </w:tr>
      <w:tr>
        <w:trPr>
          <w:trHeight w:val="21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limited partnerships – Indemnity</w:t>
            </w:r>
          </w:p>
        </w:tc>
        <w:tc>
          <w:tcPr>
            <w:tcW w:w="13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86"/>
              </w:rPr>
              <w:t>222</w:t>
            </w:r>
          </w:p>
        </w:tc>
        <w:tc>
          <w:tcPr>
            <w:tcW w:w="2000" w:type="dxa"/>
            <w:vAlign w:val="bottom"/>
            <w:tcBorders>
              <w:bottom w:val="single" w:sz="8" w:color="auto"/>
            </w:tcBorders>
            <w:shd w:val="clear" w:color="auto" w:fill="CCEEFF"/>
          </w:tcPr>
          <w:p>
            <w:pPr>
              <w:jc w:val="right"/>
              <w:ind w:right="812"/>
              <w:spacing w:after="0"/>
              <w:rPr>
                <w:sz w:val="20"/>
                <w:szCs w:val="20"/>
                <w:color w:val="auto"/>
              </w:rPr>
            </w:pPr>
            <w:r>
              <w:rPr>
                <w:rFonts w:ascii="Arial" w:cs="Arial" w:eastAsia="Arial" w:hAnsi="Arial"/>
                <w:sz w:val="18"/>
                <w:szCs w:val="18"/>
                <w:color w:val="auto"/>
              </w:rPr>
              <w:t>$ 7</w:t>
            </w:r>
          </w:p>
        </w:tc>
        <w:tc>
          <w:tcPr>
            <w:tcW w:w="11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$ 4</w:t>
            </w:r>
          </w:p>
        </w:tc>
      </w:tr>
      <w:tr>
        <w:trPr>
          <w:trHeight w:val="210"/>
        </w:trPr>
        <w:tc>
          <w:tcPr>
            <w:tcW w:w="5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Exchange</w:t>
            </w:r>
          </w:p>
        </w:tc>
        <w:tc>
          <w:tcPr>
            <w:tcW w:w="1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120" w:type="dxa"/>
            <w:vAlign w:val="bottom"/>
          </w:tcPr>
          <w:p>
            <w:pPr>
              <w:ind w:left="140"/>
              <w:spacing w:after="0"/>
              <w:rPr>
                <w:sz w:val="20"/>
                <w:szCs w:val="20"/>
                <w:color w:val="auto"/>
              </w:rPr>
            </w:pPr>
            <w:r>
              <w:rPr>
                <w:rFonts w:ascii="Arial" w:cs="Arial" w:eastAsia="Arial" w:hAnsi="Arial"/>
                <w:sz w:val="18"/>
                <w:szCs w:val="18"/>
                <w:color w:val="auto"/>
              </w:rPr>
              <w:t>Private equity:</w:t>
            </w:r>
          </w:p>
        </w:tc>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Less than 10%</w:t>
            </w:r>
          </w:p>
        </w:tc>
        <w:tc>
          <w:tcPr>
            <w:tcW w:w="13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41</w:t>
            </w:r>
          </w:p>
        </w:tc>
        <w:tc>
          <w:tcPr>
            <w:tcW w:w="18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$ 547</w:t>
            </w:r>
          </w:p>
        </w:tc>
        <w:tc>
          <w:tcPr>
            <w:tcW w:w="200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rPr>
              <w:t>$26</w:t>
            </w: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w:t>
            </w:r>
          </w:p>
        </w:tc>
      </w:tr>
      <w:tr>
        <w:trPr>
          <w:trHeight w:val="216"/>
        </w:trPr>
        <w:tc>
          <w:tcPr>
            <w:tcW w:w="5120" w:type="dxa"/>
            <w:vAlign w:val="bottom"/>
          </w:tcPr>
          <w:p>
            <w:pPr>
              <w:ind w:left="320"/>
              <w:spacing w:after="0"/>
              <w:rPr>
                <w:sz w:val="20"/>
                <w:szCs w:val="20"/>
                <w:color w:val="auto"/>
              </w:rPr>
            </w:pPr>
            <w:r>
              <w:rPr>
                <w:rFonts w:ascii="Arial" w:cs="Arial" w:eastAsia="Arial" w:hAnsi="Arial"/>
                <w:sz w:val="18"/>
                <w:szCs w:val="18"/>
                <w:color w:val="auto"/>
              </w:rPr>
              <w:t>Greater than or equal to 10% but less than 50%</w:t>
            </w: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1240" w:type="dxa"/>
            <w:vAlign w:val="bottom"/>
          </w:tcPr>
          <w:p>
            <w:pPr>
              <w:spacing w:after="0"/>
              <w:rPr>
                <w:sz w:val="18"/>
                <w:szCs w:val="18"/>
                <w:color w:val="auto"/>
              </w:rPr>
            </w:pP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35</w:t>
            </w:r>
          </w:p>
        </w:tc>
        <w:tc>
          <w:tcPr>
            <w:tcW w:w="2000" w:type="dxa"/>
            <w:vAlign w:val="bottom"/>
          </w:tcPr>
          <w:p>
            <w:pPr>
              <w:jc w:val="right"/>
              <w:ind w:right="752"/>
              <w:spacing w:after="0"/>
              <w:rPr>
                <w:sz w:val="20"/>
                <w:szCs w:val="20"/>
                <w:color w:val="auto"/>
              </w:rPr>
            </w:pPr>
            <w:r>
              <w:rPr>
                <w:rFonts w:ascii="Arial" w:cs="Arial" w:eastAsia="Arial" w:hAnsi="Arial"/>
                <w:sz w:val="18"/>
                <w:szCs w:val="18"/>
                <w:color w:val="auto"/>
              </w:rPr>
              <w:t>(1)</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4</w:t>
            </w:r>
          </w:p>
        </w:tc>
      </w:tr>
      <w:tr>
        <w:trPr>
          <w:trHeight w:val="216"/>
        </w:trPr>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Greater than 50%</w:t>
            </w:r>
          </w:p>
        </w:tc>
        <w:tc>
          <w:tcPr>
            <w:tcW w:w="13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2000" w:type="dxa"/>
            <w:vAlign w:val="bottom"/>
            <w:tcBorders>
              <w:bottom w:val="single" w:sz="8" w:color="auto"/>
            </w:tcBorders>
            <w:shd w:val="clear" w:color="auto" w:fill="CCEEFF"/>
          </w:tcPr>
          <w:p>
            <w:pPr>
              <w:jc w:val="right"/>
              <w:ind w:right="812"/>
              <w:spacing w:after="0"/>
              <w:rPr>
                <w:sz w:val="20"/>
                <w:szCs w:val="20"/>
                <w:color w:val="auto"/>
              </w:rPr>
            </w:pPr>
            <w:r>
              <w:rPr>
                <w:rFonts w:ascii="Arial" w:cs="Arial" w:eastAsia="Arial" w:hAnsi="Arial"/>
                <w:sz w:val="18"/>
                <w:szCs w:val="18"/>
                <w:color w:val="auto"/>
              </w:rPr>
              <w:t>0</w:t>
            </w:r>
          </w:p>
        </w:tc>
        <w:tc>
          <w:tcPr>
            <w:tcW w:w="11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0</w:t>
            </w:r>
          </w:p>
        </w:tc>
      </w:tr>
      <w:tr>
        <w:trPr>
          <w:trHeight w:val="210"/>
        </w:trPr>
        <w:tc>
          <w:tcPr>
            <w:tcW w:w="5120" w:type="dxa"/>
            <w:vAlign w:val="bottom"/>
          </w:tcPr>
          <w:p>
            <w:pPr>
              <w:ind w:left="500"/>
              <w:spacing w:after="0"/>
              <w:rPr>
                <w:sz w:val="20"/>
                <w:szCs w:val="20"/>
                <w:color w:val="auto"/>
              </w:rPr>
            </w:pPr>
            <w:r>
              <w:rPr>
                <w:rFonts w:ascii="Arial" w:cs="Arial" w:eastAsia="Arial" w:hAnsi="Arial"/>
                <w:sz w:val="18"/>
                <w:szCs w:val="18"/>
                <w:color w:val="auto"/>
              </w:rPr>
              <w:t>Total private equity</w:t>
            </w: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44</w:t>
            </w:r>
          </w:p>
        </w:tc>
        <w:tc>
          <w:tcPr>
            <w:tcW w:w="1240" w:type="dxa"/>
            <w:vAlign w:val="bottom"/>
          </w:tcPr>
          <w:p>
            <w:pPr>
              <w:spacing w:after="0"/>
              <w:rPr>
                <w:sz w:val="18"/>
                <w:szCs w:val="18"/>
                <w:color w:val="auto"/>
              </w:rPr>
            </w:pPr>
          </w:p>
        </w:tc>
        <w:tc>
          <w:tcPr>
            <w:tcW w:w="600" w:type="dxa"/>
            <w:vAlign w:val="bottom"/>
          </w:tcPr>
          <w:p>
            <w:pPr>
              <w:jc w:val="right"/>
              <w:ind w:right="230"/>
              <w:spacing w:after="0"/>
              <w:rPr>
                <w:sz w:val="20"/>
                <w:szCs w:val="20"/>
                <w:color w:val="auto"/>
              </w:rPr>
            </w:pPr>
            <w:r>
              <w:rPr>
                <w:rFonts w:ascii="Arial" w:cs="Arial" w:eastAsia="Arial" w:hAnsi="Arial"/>
                <w:sz w:val="18"/>
                <w:szCs w:val="18"/>
                <w:color w:val="auto"/>
                <w:w w:val="86"/>
              </w:rPr>
              <w:t>582</w:t>
            </w:r>
          </w:p>
        </w:tc>
        <w:tc>
          <w:tcPr>
            <w:tcW w:w="2000" w:type="dxa"/>
            <w:vAlign w:val="bottom"/>
          </w:tcPr>
          <w:p>
            <w:pPr>
              <w:jc w:val="right"/>
              <w:ind w:right="812"/>
              <w:spacing w:after="0"/>
              <w:rPr>
                <w:sz w:val="20"/>
                <w:szCs w:val="20"/>
                <w:color w:val="auto"/>
              </w:rPr>
            </w:pPr>
            <w:r>
              <w:rPr>
                <w:rFonts w:ascii="Arial" w:cs="Arial" w:eastAsia="Arial" w:hAnsi="Arial"/>
                <w:sz w:val="18"/>
                <w:szCs w:val="18"/>
                <w:color w:val="auto"/>
              </w:rPr>
              <w:t>25</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15</w:t>
            </w:r>
          </w:p>
        </w:tc>
      </w:tr>
      <w:tr>
        <w:trPr>
          <w:trHeight w:val="216"/>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Mezzanine debt:</w:t>
            </w:r>
          </w:p>
        </w:tc>
        <w:tc>
          <w:tcPr>
            <w:tcW w:w="1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120" w:type="dxa"/>
            <w:vAlign w:val="bottom"/>
          </w:tcPr>
          <w:p>
            <w:pPr>
              <w:ind w:left="320"/>
              <w:spacing w:after="0"/>
              <w:rPr>
                <w:sz w:val="20"/>
                <w:szCs w:val="20"/>
                <w:color w:val="auto"/>
              </w:rPr>
            </w:pPr>
            <w:r>
              <w:rPr>
                <w:rFonts w:ascii="Arial" w:cs="Arial" w:eastAsia="Arial" w:hAnsi="Arial"/>
                <w:sz w:val="18"/>
                <w:szCs w:val="18"/>
                <w:color w:val="auto"/>
              </w:rPr>
              <w:t>Less than 10%</w:t>
            </w: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14</w:t>
            </w:r>
          </w:p>
        </w:tc>
        <w:tc>
          <w:tcPr>
            <w:tcW w:w="1240" w:type="dxa"/>
            <w:vAlign w:val="bottom"/>
          </w:tcPr>
          <w:p>
            <w:pPr>
              <w:spacing w:after="0"/>
              <w:rPr>
                <w:sz w:val="18"/>
                <w:szCs w:val="18"/>
                <w:color w:val="auto"/>
              </w:rPr>
            </w:pPr>
          </w:p>
        </w:tc>
        <w:tc>
          <w:tcPr>
            <w:tcW w:w="600" w:type="dxa"/>
            <w:vAlign w:val="bottom"/>
          </w:tcPr>
          <w:p>
            <w:pPr>
              <w:jc w:val="right"/>
              <w:ind w:right="230"/>
              <w:spacing w:after="0"/>
              <w:rPr>
                <w:sz w:val="20"/>
                <w:szCs w:val="20"/>
                <w:color w:val="auto"/>
              </w:rPr>
            </w:pPr>
            <w:r>
              <w:rPr>
                <w:rFonts w:ascii="Arial" w:cs="Arial" w:eastAsia="Arial" w:hAnsi="Arial"/>
                <w:sz w:val="18"/>
                <w:szCs w:val="18"/>
                <w:color w:val="auto"/>
                <w:w w:val="86"/>
              </w:rPr>
              <w:t>141</w:t>
            </w:r>
          </w:p>
        </w:tc>
        <w:tc>
          <w:tcPr>
            <w:tcW w:w="2000" w:type="dxa"/>
            <w:vAlign w:val="bottom"/>
          </w:tcPr>
          <w:p>
            <w:pPr>
              <w:jc w:val="right"/>
              <w:ind w:right="752"/>
              <w:spacing w:after="0"/>
              <w:rPr>
                <w:sz w:val="20"/>
                <w:szCs w:val="20"/>
                <w:color w:val="auto"/>
              </w:rPr>
            </w:pPr>
            <w:r>
              <w:rPr>
                <w:rFonts w:ascii="Arial" w:cs="Arial" w:eastAsia="Arial" w:hAnsi="Arial"/>
                <w:sz w:val="18"/>
                <w:szCs w:val="18"/>
                <w:color w:val="auto"/>
              </w:rPr>
              <w:t>(1)</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7</w:t>
            </w:r>
          </w:p>
        </w:tc>
      </w:tr>
      <w:tr>
        <w:trPr>
          <w:trHeight w:val="216"/>
        </w:trPr>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Greater than or equal to 10% but less than 50%</w:t>
            </w:r>
          </w:p>
        </w:tc>
        <w:tc>
          <w:tcPr>
            <w:tcW w:w="13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w:t>
            </w: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42</w:t>
            </w:r>
          </w:p>
        </w:tc>
        <w:tc>
          <w:tcPr>
            <w:tcW w:w="200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rPr>
              <w:t>1</w:t>
            </w: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w:t>
            </w:r>
          </w:p>
        </w:tc>
      </w:tr>
      <w:tr>
        <w:trPr>
          <w:trHeight w:val="216"/>
        </w:trPr>
        <w:tc>
          <w:tcPr>
            <w:tcW w:w="51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Greater than 50%</w:t>
            </w:r>
          </w:p>
        </w:tc>
        <w:tc>
          <w:tcPr>
            <w:tcW w:w="13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w:t>
            </w:r>
          </w:p>
        </w:tc>
        <w:tc>
          <w:tcPr>
            <w:tcW w:w="1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32</w:t>
            </w:r>
          </w:p>
        </w:tc>
        <w:tc>
          <w:tcPr>
            <w:tcW w:w="2000" w:type="dxa"/>
            <w:vAlign w:val="bottom"/>
            <w:tcBorders>
              <w:bottom w:val="single" w:sz="8" w:color="auto"/>
            </w:tcBorders>
          </w:tcPr>
          <w:p>
            <w:pPr>
              <w:jc w:val="right"/>
              <w:ind w:right="812"/>
              <w:spacing w:after="0"/>
              <w:rPr>
                <w:sz w:val="20"/>
                <w:szCs w:val="20"/>
                <w:color w:val="auto"/>
              </w:rPr>
            </w:pPr>
            <w:r>
              <w:rPr>
                <w:rFonts w:ascii="Arial" w:cs="Arial" w:eastAsia="Arial" w:hAnsi="Arial"/>
                <w:sz w:val="18"/>
                <w:szCs w:val="18"/>
                <w:color w:val="auto"/>
              </w:rPr>
              <w:t>0</w:t>
            </w:r>
          </w:p>
        </w:tc>
        <w:tc>
          <w:tcPr>
            <w:tcW w:w="11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w:t>
            </w:r>
          </w:p>
        </w:tc>
      </w:tr>
      <w:tr>
        <w:trPr>
          <w:trHeight w:val="210"/>
        </w:trPr>
        <w:tc>
          <w:tcPr>
            <w:tcW w:w="5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mezzanine debt</w:t>
            </w:r>
          </w:p>
        </w:tc>
        <w:tc>
          <w:tcPr>
            <w:tcW w:w="13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w:t>
            </w: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6"/>
              </w:rPr>
              <w:t>215</w:t>
            </w:r>
          </w:p>
        </w:tc>
        <w:tc>
          <w:tcPr>
            <w:tcW w:w="200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w:t>
            </w:r>
          </w:p>
        </w:tc>
      </w:tr>
      <w:tr>
        <w:trPr>
          <w:trHeight w:val="216"/>
        </w:trPr>
        <w:tc>
          <w:tcPr>
            <w:tcW w:w="5120" w:type="dxa"/>
            <w:vAlign w:val="bottom"/>
          </w:tcPr>
          <w:p>
            <w:pPr>
              <w:ind w:left="140"/>
              <w:spacing w:after="0"/>
              <w:rPr>
                <w:sz w:val="20"/>
                <w:szCs w:val="20"/>
                <w:color w:val="auto"/>
              </w:rPr>
            </w:pPr>
            <w:r>
              <w:rPr>
                <w:rFonts w:ascii="Arial" w:cs="Arial" w:eastAsia="Arial" w:hAnsi="Arial"/>
                <w:sz w:val="18"/>
                <w:szCs w:val="18"/>
                <w:color w:val="auto"/>
              </w:rPr>
              <w:t>Real estate:</w:t>
            </w:r>
          </w:p>
        </w:tc>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Less than 10%</w:t>
            </w:r>
          </w:p>
        </w:tc>
        <w:tc>
          <w:tcPr>
            <w:tcW w:w="13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25</w:t>
            </w: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6"/>
              </w:rPr>
              <w:t>263</w:t>
            </w:r>
          </w:p>
        </w:tc>
        <w:tc>
          <w:tcPr>
            <w:tcW w:w="200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rPr>
              <w:t>14</w:t>
            </w: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w:t>
            </w:r>
          </w:p>
        </w:tc>
      </w:tr>
      <w:tr>
        <w:trPr>
          <w:trHeight w:val="216"/>
        </w:trPr>
        <w:tc>
          <w:tcPr>
            <w:tcW w:w="5120" w:type="dxa"/>
            <w:vAlign w:val="bottom"/>
          </w:tcPr>
          <w:p>
            <w:pPr>
              <w:ind w:left="320"/>
              <w:spacing w:after="0"/>
              <w:rPr>
                <w:sz w:val="20"/>
                <w:szCs w:val="20"/>
                <w:color w:val="auto"/>
              </w:rPr>
            </w:pPr>
            <w:r>
              <w:rPr>
                <w:rFonts w:ascii="Arial" w:cs="Arial" w:eastAsia="Arial" w:hAnsi="Arial"/>
                <w:sz w:val="18"/>
                <w:szCs w:val="18"/>
                <w:color w:val="auto"/>
              </w:rPr>
              <w:t>Greater than or equal to 10% but less than 50%</w:t>
            </w: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6</w:t>
            </w:r>
          </w:p>
        </w:tc>
        <w:tc>
          <w:tcPr>
            <w:tcW w:w="1240" w:type="dxa"/>
            <w:vAlign w:val="bottom"/>
          </w:tcPr>
          <w:p>
            <w:pPr>
              <w:spacing w:after="0"/>
              <w:rPr>
                <w:sz w:val="18"/>
                <w:szCs w:val="18"/>
                <w:color w:val="auto"/>
              </w:rPr>
            </w:pP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55</w:t>
            </w:r>
          </w:p>
        </w:tc>
        <w:tc>
          <w:tcPr>
            <w:tcW w:w="2000" w:type="dxa"/>
            <w:vAlign w:val="bottom"/>
          </w:tcPr>
          <w:p>
            <w:pPr>
              <w:jc w:val="right"/>
              <w:ind w:right="812"/>
              <w:spacing w:after="0"/>
              <w:rPr>
                <w:sz w:val="20"/>
                <w:szCs w:val="20"/>
                <w:color w:val="auto"/>
              </w:rPr>
            </w:pPr>
            <w:r>
              <w:rPr>
                <w:rFonts w:ascii="Arial" w:cs="Arial" w:eastAsia="Arial" w:hAnsi="Arial"/>
                <w:sz w:val="18"/>
                <w:szCs w:val="18"/>
                <w:color w:val="auto"/>
              </w:rPr>
              <w:t>1</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0</w:t>
            </w:r>
          </w:p>
        </w:tc>
      </w:tr>
      <w:tr>
        <w:trPr>
          <w:trHeight w:val="216"/>
        </w:trPr>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Greater than 50%</w:t>
            </w:r>
          </w:p>
        </w:tc>
        <w:tc>
          <w:tcPr>
            <w:tcW w:w="13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w:t>
            </w:r>
          </w:p>
        </w:tc>
        <w:tc>
          <w:tcPr>
            <w:tcW w:w="1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38</w:t>
            </w:r>
          </w:p>
        </w:tc>
        <w:tc>
          <w:tcPr>
            <w:tcW w:w="2000" w:type="dxa"/>
            <w:vAlign w:val="bottom"/>
            <w:tcBorders>
              <w:bottom w:val="single" w:sz="8" w:color="auto"/>
            </w:tcBorders>
            <w:shd w:val="clear" w:color="auto" w:fill="CCEEFF"/>
          </w:tcPr>
          <w:p>
            <w:pPr>
              <w:jc w:val="right"/>
              <w:ind w:right="812"/>
              <w:spacing w:after="0"/>
              <w:rPr>
                <w:sz w:val="20"/>
                <w:szCs w:val="20"/>
                <w:color w:val="auto"/>
              </w:rPr>
            </w:pPr>
            <w:r>
              <w:rPr>
                <w:rFonts w:ascii="Arial" w:cs="Arial" w:eastAsia="Arial" w:hAnsi="Arial"/>
                <w:sz w:val="18"/>
                <w:szCs w:val="18"/>
                <w:color w:val="auto"/>
              </w:rPr>
              <w:t>1</w:t>
            </w:r>
          </w:p>
        </w:tc>
        <w:tc>
          <w:tcPr>
            <w:tcW w:w="11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0</w:t>
            </w:r>
          </w:p>
        </w:tc>
      </w:tr>
      <w:tr>
        <w:trPr>
          <w:trHeight w:val="210"/>
        </w:trPr>
        <w:tc>
          <w:tcPr>
            <w:tcW w:w="51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real estate</w:t>
            </w:r>
          </w:p>
        </w:tc>
        <w:tc>
          <w:tcPr>
            <w:tcW w:w="13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35</w:t>
            </w:r>
          </w:p>
        </w:tc>
        <w:tc>
          <w:tcPr>
            <w:tcW w:w="1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6"/>
              </w:rPr>
              <w:t>356</w:t>
            </w:r>
          </w:p>
        </w:tc>
        <w:tc>
          <w:tcPr>
            <w:tcW w:w="2000" w:type="dxa"/>
            <w:vAlign w:val="bottom"/>
            <w:tcBorders>
              <w:bottom w:val="single" w:sz="8" w:color="auto"/>
            </w:tcBorders>
          </w:tcPr>
          <w:p>
            <w:pPr>
              <w:jc w:val="right"/>
              <w:ind w:right="812"/>
              <w:spacing w:after="0"/>
              <w:rPr>
                <w:sz w:val="20"/>
                <w:szCs w:val="20"/>
                <w:color w:val="auto"/>
              </w:rPr>
            </w:pPr>
            <w:r>
              <w:rPr>
                <w:rFonts w:ascii="Arial" w:cs="Arial" w:eastAsia="Arial" w:hAnsi="Arial"/>
                <w:sz w:val="18"/>
                <w:szCs w:val="18"/>
                <w:color w:val="auto"/>
              </w:rPr>
              <w:t>16</w:t>
            </w: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w:t>
            </w:r>
          </w:p>
        </w:tc>
      </w:tr>
      <w:tr>
        <w:trPr>
          <w:trHeight w:val="21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limited partnerships – Exchange</w:t>
            </w:r>
          </w:p>
        </w:tc>
        <w:tc>
          <w:tcPr>
            <w:tcW w:w="13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99</w:t>
            </w:r>
          </w:p>
        </w:tc>
        <w:tc>
          <w:tcPr>
            <w:tcW w:w="1840" w:type="dxa"/>
            <w:vAlign w:val="bottom"/>
            <w:tcBorders>
              <w:bottom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$1,153</w:t>
            </w:r>
          </w:p>
        </w:tc>
        <w:tc>
          <w:tcPr>
            <w:tcW w:w="2000" w:type="dxa"/>
            <w:vAlign w:val="bottom"/>
            <w:tcBorders>
              <w:bottom w:val="single" w:sz="8" w:color="auto"/>
            </w:tcBorders>
            <w:shd w:val="clear" w:color="auto" w:fill="CCEEFF"/>
          </w:tcPr>
          <w:p>
            <w:pPr>
              <w:jc w:val="right"/>
              <w:ind w:right="812"/>
              <w:spacing w:after="0"/>
              <w:rPr>
                <w:sz w:val="20"/>
                <w:szCs w:val="20"/>
                <w:color w:val="auto"/>
              </w:rPr>
            </w:pPr>
            <w:r>
              <w:rPr>
                <w:rFonts w:ascii="Arial" w:cs="Arial" w:eastAsia="Arial" w:hAnsi="Arial"/>
                <w:sz w:val="18"/>
                <w:szCs w:val="18"/>
                <w:color w:val="auto"/>
              </w:rPr>
              <w:t>$41</w:t>
            </w:r>
          </w:p>
        </w:tc>
        <w:tc>
          <w:tcPr>
            <w:tcW w:w="11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$20</w:t>
            </w:r>
          </w:p>
        </w:tc>
      </w:tr>
      <w:tr>
        <w:trPr>
          <w:trHeight w:val="210"/>
        </w:trPr>
        <w:tc>
          <w:tcPr>
            <w:tcW w:w="5120" w:type="dxa"/>
            <w:vAlign w:val="bottom"/>
          </w:tcPr>
          <w:p>
            <w:pPr>
              <w:ind w:left="140"/>
              <w:spacing w:after="0"/>
              <w:rPr>
                <w:sz w:val="20"/>
                <w:szCs w:val="20"/>
                <w:color w:val="auto"/>
              </w:rPr>
            </w:pPr>
            <w:r>
              <w:rPr>
                <w:rFonts w:ascii="Arial" w:cs="Arial" w:eastAsia="Arial" w:hAnsi="Arial"/>
                <w:sz w:val="18"/>
                <w:szCs w:val="18"/>
                <w:color w:val="auto"/>
              </w:rPr>
              <w:t>Total limited partnerships – Erie Insurance Group</w:t>
            </w:r>
          </w:p>
        </w:tc>
        <w:tc>
          <w:tcPr>
            <w:tcW w:w="1360" w:type="dxa"/>
            <w:vAlign w:val="bottom"/>
          </w:tcPr>
          <w:p>
            <w:pPr>
              <w:spacing w:after="0"/>
              <w:rPr>
                <w:sz w:val="18"/>
                <w:szCs w:val="18"/>
                <w:color w:val="auto"/>
              </w:rPr>
            </w:pPr>
          </w:p>
        </w:tc>
        <w:tc>
          <w:tcPr>
            <w:tcW w:w="184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$1,375</w:t>
            </w:r>
          </w:p>
        </w:tc>
        <w:tc>
          <w:tcPr>
            <w:tcW w:w="2000" w:type="dxa"/>
            <w:vAlign w:val="bottom"/>
            <w:tcBorders>
              <w:bottom w:val="single" w:sz="8" w:color="auto"/>
            </w:tcBorders>
          </w:tcPr>
          <w:p>
            <w:pPr>
              <w:jc w:val="right"/>
              <w:ind w:right="812"/>
              <w:spacing w:after="0"/>
              <w:rPr>
                <w:sz w:val="20"/>
                <w:szCs w:val="20"/>
                <w:color w:val="auto"/>
              </w:rPr>
            </w:pPr>
            <w:r>
              <w:rPr>
                <w:rFonts w:ascii="Arial" w:cs="Arial" w:eastAsia="Arial" w:hAnsi="Arial"/>
                <w:sz w:val="18"/>
                <w:szCs w:val="18"/>
                <w:color w:val="auto"/>
              </w:rPr>
              <w:t>$48</w:t>
            </w:r>
          </w:p>
        </w:tc>
        <w:tc>
          <w:tcPr>
            <w:tcW w:w="11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$24</w:t>
            </w:r>
          </w:p>
        </w:tc>
      </w:tr>
      <w:tr>
        <w:trPr>
          <w:trHeight w:val="20"/>
        </w:trPr>
        <w:tc>
          <w:tcPr>
            <w:tcW w:w="5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Per the limited partner financial statements, total partnership assets were $52 billion and total partnership liabilities were $5 billion at March 31, 2011 (as recorded in the December 31, 2010 limited partnership financial statements). For the three month period comparable to that presented in the preceding table (fourth quarter 2010), total partnership valuation adjustment gains were $2 billion and total partnership net income was $830 million.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these investments are generally reported on a one-quarter lag, our limited partnership results through December 31, 2010 include the general partnership results for the fourth quarter of 2009 and the first three quarters of 2010.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ind w:left="140"/>
              <w:spacing w:after="0"/>
              <w:rPr>
                <w:sz w:val="20"/>
                <w:szCs w:val="20"/>
                <w:color w:val="auto"/>
              </w:rPr>
            </w:pPr>
            <w:r>
              <w:rPr>
                <w:rFonts w:ascii="Arial" w:cs="Arial" w:eastAsia="Arial" w:hAnsi="Arial"/>
                <w:sz w:val="14"/>
                <w:szCs w:val="14"/>
                <w:i w:val="1"/>
                <w:iCs w:val="1"/>
                <w:color w:val="auto"/>
              </w:rPr>
              <w:t>(dollars in millions)</w:t>
            </w:r>
          </w:p>
        </w:tc>
        <w:tc>
          <w:tcPr>
            <w:tcW w:w="12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4"/>
              </w:rPr>
              <w:t>As of and for the year ended December 31, 2010</w:t>
            </w:r>
          </w:p>
        </w:tc>
        <w:tc>
          <w:tcPr>
            <w:tcW w:w="1180" w:type="dxa"/>
            <w:vAlign w:val="bottom"/>
            <w:tcBorders>
              <w:bottom w:val="single" w:sz="8" w:color="auto"/>
            </w:tcBorders>
          </w:tcPr>
          <w:p>
            <w:pPr>
              <w:spacing w:after="0"/>
              <w:rPr>
                <w:sz w:val="20"/>
                <w:szCs w:val="20"/>
                <w:color w:val="auto"/>
              </w:rPr>
            </w:pPr>
          </w:p>
        </w:tc>
      </w:tr>
      <w:tr>
        <w:trPr>
          <w:trHeight w:val="186"/>
        </w:trPr>
        <w:tc>
          <w:tcPr>
            <w:tcW w:w="5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60" w:type="dxa"/>
            <w:vAlign w:val="bottom"/>
          </w:tcPr>
          <w:p>
            <w:pPr>
              <w:jc w:val="center"/>
              <w:ind w:right="159"/>
              <w:spacing w:after="0"/>
              <w:rPr>
                <w:sz w:val="20"/>
                <w:szCs w:val="20"/>
                <w:color w:val="auto"/>
              </w:rPr>
            </w:pPr>
            <w:r>
              <w:rPr>
                <w:rFonts w:ascii="Arial" w:cs="Arial" w:eastAsia="Arial" w:hAnsi="Arial"/>
                <w:sz w:val="16"/>
                <w:szCs w:val="16"/>
                <w:color w:val="auto"/>
                <w:w w:val="93"/>
              </w:rPr>
              <w:t>Income (loss)</w:t>
            </w:r>
          </w:p>
        </w:tc>
        <w:tc>
          <w:tcPr>
            <w:tcW w:w="1180" w:type="dxa"/>
            <w:vAlign w:val="bottom"/>
          </w:tcPr>
          <w:p>
            <w:pPr>
              <w:spacing w:after="0"/>
              <w:rPr>
                <w:sz w:val="16"/>
                <w:szCs w:val="16"/>
                <w:color w:val="auto"/>
              </w:rPr>
            </w:pPr>
          </w:p>
        </w:tc>
      </w:tr>
      <w:tr>
        <w:trPr>
          <w:trHeight w:val="203"/>
        </w:trPr>
        <w:tc>
          <w:tcPr>
            <w:tcW w:w="5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60" w:type="dxa"/>
            <w:vAlign w:val="bottom"/>
          </w:tcPr>
          <w:p>
            <w:pPr>
              <w:jc w:val="center"/>
              <w:ind w:right="159"/>
              <w:spacing w:after="0"/>
              <w:rPr>
                <w:sz w:val="20"/>
                <w:szCs w:val="20"/>
                <w:color w:val="auto"/>
              </w:rPr>
            </w:pPr>
            <w:r>
              <w:rPr>
                <w:rFonts w:ascii="Arial" w:cs="Arial" w:eastAsia="Arial" w:hAnsi="Arial"/>
                <w:sz w:val="16"/>
                <w:szCs w:val="16"/>
                <w:color w:val="auto"/>
                <w:w w:val="89"/>
              </w:rPr>
              <w:t>recognized</w:t>
            </w:r>
          </w:p>
        </w:tc>
        <w:tc>
          <w:tcPr>
            <w:tcW w:w="1180" w:type="dxa"/>
            <w:vAlign w:val="bottom"/>
          </w:tcPr>
          <w:p>
            <w:pPr>
              <w:spacing w:after="0"/>
              <w:rPr>
                <w:sz w:val="17"/>
                <w:szCs w:val="17"/>
                <w:color w:val="auto"/>
              </w:rPr>
            </w:pPr>
          </w:p>
        </w:tc>
      </w:tr>
      <w:tr>
        <w:trPr>
          <w:trHeight w:val="203"/>
        </w:trPr>
        <w:tc>
          <w:tcPr>
            <w:tcW w:w="5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60" w:type="dxa"/>
            <w:vAlign w:val="bottom"/>
          </w:tcPr>
          <w:p>
            <w:pPr>
              <w:jc w:val="center"/>
              <w:ind w:right="139"/>
              <w:spacing w:after="0"/>
              <w:rPr>
                <w:sz w:val="20"/>
                <w:szCs w:val="20"/>
                <w:color w:val="auto"/>
              </w:rPr>
            </w:pPr>
            <w:r>
              <w:rPr>
                <w:rFonts w:ascii="Arial" w:cs="Arial" w:eastAsia="Arial" w:hAnsi="Arial"/>
                <w:sz w:val="16"/>
                <w:szCs w:val="16"/>
                <w:color w:val="auto"/>
                <w:w w:val="89"/>
              </w:rPr>
              <w:t>due to</w:t>
            </w:r>
          </w:p>
        </w:tc>
        <w:tc>
          <w:tcPr>
            <w:tcW w:w="1180" w:type="dxa"/>
            <w:vAlign w:val="bottom"/>
          </w:tcPr>
          <w:p>
            <w:pPr>
              <w:spacing w:after="0"/>
              <w:rPr>
                <w:sz w:val="17"/>
                <w:szCs w:val="17"/>
                <w:color w:val="auto"/>
              </w:rPr>
            </w:pPr>
          </w:p>
        </w:tc>
      </w:tr>
      <w:tr>
        <w:trPr>
          <w:trHeight w:val="203"/>
        </w:trPr>
        <w:tc>
          <w:tcPr>
            <w:tcW w:w="5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60" w:type="dxa"/>
            <w:vAlign w:val="bottom"/>
          </w:tcPr>
          <w:p>
            <w:pPr>
              <w:jc w:val="center"/>
              <w:ind w:right="159"/>
              <w:spacing w:after="0"/>
              <w:rPr>
                <w:sz w:val="20"/>
                <w:szCs w:val="20"/>
                <w:color w:val="auto"/>
              </w:rPr>
            </w:pPr>
            <w:r>
              <w:rPr>
                <w:rFonts w:ascii="Arial" w:cs="Arial" w:eastAsia="Arial" w:hAnsi="Arial"/>
                <w:sz w:val="16"/>
                <w:szCs w:val="16"/>
                <w:color w:val="auto"/>
                <w:w w:val="96"/>
              </w:rPr>
              <w:t>valuation</w:t>
            </w:r>
          </w:p>
        </w:tc>
        <w:tc>
          <w:tcPr>
            <w:tcW w:w="1180" w:type="dxa"/>
            <w:vAlign w:val="bottom"/>
          </w:tcPr>
          <w:p>
            <w:pPr>
              <w:spacing w:after="0"/>
              <w:rPr>
                <w:sz w:val="17"/>
                <w:szCs w:val="17"/>
                <w:color w:val="auto"/>
              </w:rPr>
            </w:pPr>
          </w:p>
        </w:tc>
      </w:tr>
      <w:tr>
        <w:trPr>
          <w:trHeight w:val="203"/>
        </w:trPr>
        <w:tc>
          <w:tcPr>
            <w:tcW w:w="5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60" w:type="dxa"/>
            <w:vAlign w:val="bottom"/>
          </w:tcPr>
          <w:p>
            <w:pPr>
              <w:jc w:val="center"/>
              <w:ind w:right="159"/>
              <w:spacing w:after="0"/>
              <w:rPr>
                <w:sz w:val="20"/>
                <w:szCs w:val="20"/>
                <w:color w:val="auto"/>
              </w:rPr>
            </w:pPr>
            <w:r>
              <w:rPr>
                <w:rFonts w:ascii="Arial" w:cs="Arial" w:eastAsia="Arial" w:hAnsi="Arial"/>
                <w:sz w:val="16"/>
                <w:szCs w:val="16"/>
                <w:color w:val="auto"/>
                <w:w w:val="90"/>
              </w:rPr>
              <w:t>adjustments</w:t>
            </w:r>
          </w:p>
        </w:tc>
        <w:tc>
          <w:tcPr>
            <w:tcW w:w="1180" w:type="dxa"/>
            <w:vAlign w:val="bottom"/>
          </w:tcPr>
          <w:p>
            <w:pPr>
              <w:jc w:val="center"/>
              <w:ind w:right="99"/>
              <w:spacing w:after="0"/>
              <w:rPr>
                <w:sz w:val="20"/>
                <w:szCs w:val="20"/>
                <w:color w:val="auto"/>
              </w:rPr>
            </w:pPr>
            <w:r>
              <w:rPr>
                <w:rFonts w:ascii="Arial" w:cs="Arial" w:eastAsia="Arial" w:hAnsi="Arial"/>
                <w:sz w:val="16"/>
                <w:szCs w:val="16"/>
                <w:color w:val="auto"/>
                <w:w w:val="91"/>
              </w:rPr>
              <w:t>Income</w:t>
            </w:r>
          </w:p>
        </w:tc>
      </w:tr>
      <w:tr>
        <w:trPr>
          <w:trHeight w:val="203"/>
        </w:trPr>
        <w:tc>
          <w:tcPr>
            <w:tcW w:w="5120" w:type="dxa"/>
            <w:vAlign w:val="bottom"/>
          </w:tcPr>
          <w:p>
            <w:pPr>
              <w:jc w:val="center"/>
              <w:ind w:right="202"/>
              <w:spacing w:after="0"/>
              <w:rPr>
                <w:sz w:val="20"/>
                <w:szCs w:val="20"/>
                <w:color w:val="auto"/>
              </w:rPr>
            </w:pPr>
            <w:r>
              <w:rPr>
                <w:rFonts w:ascii="Arial" w:cs="Arial" w:eastAsia="Arial" w:hAnsi="Arial"/>
                <w:sz w:val="16"/>
                <w:szCs w:val="16"/>
                <w:color w:val="auto"/>
                <w:w w:val="90"/>
              </w:rPr>
              <w:t>Investment percentage in partnership</w:t>
            </w:r>
          </w:p>
        </w:tc>
        <w:tc>
          <w:tcPr>
            <w:tcW w:w="1240" w:type="dxa"/>
            <w:vAlign w:val="bottom"/>
          </w:tcPr>
          <w:p>
            <w:pPr>
              <w:jc w:val="center"/>
              <w:ind w:left="19"/>
              <w:spacing w:after="0"/>
              <w:rPr>
                <w:sz w:val="20"/>
                <w:szCs w:val="20"/>
                <w:color w:val="auto"/>
              </w:rPr>
            </w:pPr>
            <w:r>
              <w:rPr>
                <w:rFonts w:ascii="Arial" w:cs="Arial" w:eastAsia="Arial" w:hAnsi="Arial"/>
                <w:sz w:val="16"/>
                <w:szCs w:val="16"/>
                <w:color w:val="auto"/>
                <w:w w:val="93"/>
              </w:rPr>
              <w:t>Number of</w:t>
            </w:r>
          </w:p>
        </w:tc>
        <w:tc>
          <w:tcPr>
            <w:tcW w:w="1820" w:type="dxa"/>
            <w:vAlign w:val="bottom"/>
          </w:tcPr>
          <w:p>
            <w:pPr>
              <w:jc w:val="center"/>
              <w:ind w:left="256"/>
              <w:spacing w:after="0"/>
              <w:rPr>
                <w:sz w:val="20"/>
                <w:szCs w:val="20"/>
                <w:color w:val="auto"/>
              </w:rPr>
            </w:pPr>
            <w:r>
              <w:rPr>
                <w:rFonts w:ascii="Arial" w:cs="Arial" w:eastAsia="Arial" w:hAnsi="Arial"/>
                <w:sz w:val="16"/>
                <w:szCs w:val="16"/>
                <w:color w:val="auto"/>
                <w:w w:val="89"/>
              </w:rPr>
              <w:t>Asset</w:t>
            </w:r>
          </w:p>
        </w:tc>
        <w:tc>
          <w:tcPr>
            <w:tcW w:w="2060" w:type="dxa"/>
            <w:vAlign w:val="bottom"/>
          </w:tcPr>
          <w:p>
            <w:pPr>
              <w:jc w:val="center"/>
              <w:ind w:right="139"/>
              <w:spacing w:after="0"/>
              <w:rPr>
                <w:sz w:val="20"/>
                <w:szCs w:val="20"/>
                <w:color w:val="auto"/>
              </w:rPr>
            </w:pPr>
            <w:r>
              <w:rPr>
                <w:rFonts w:ascii="Arial" w:cs="Arial" w:eastAsia="Arial" w:hAnsi="Arial"/>
                <w:sz w:val="16"/>
                <w:szCs w:val="16"/>
                <w:color w:val="auto"/>
                <w:w w:val="91"/>
              </w:rPr>
              <w:t>by the</w:t>
            </w:r>
          </w:p>
        </w:tc>
        <w:tc>
          <w:tcPr>
            <w:tcW w:w="1180" w:type="dxa"/>
            <w:vAlign w:val="bottom"/>
          </w:tcPr>
          <w:p>
            <w:pPr>
              <w:jc w:val="center"/>
              <w:ind w:right="99"/>
              <w:spacing w:after="0"/>
              <w:rPr>
                <w:sz w:val="20"/>
                <w:szCs w:val="20"/>
                <w:color w:val="auto"/>
              </w:rPr>
            </w:pPr>
            <w:r>
              <w:rPr>
                <w:rFonts w:ascii="Arial" w:cs="Arial" w:eastAsia="Arial" w:hAnsi="Arial"/>
                <w:sz w:val="16"/>
                <w:szCs w:val="16"/>
                <w:color w:val="auto"/>
                <w:w w:val="89"/>
              </w:rPr>
              <w:t>(1oss)</w:t>
            </w:r>
          </w:p>
        </w:tc>
      </w:tr>
      <w:tr>
        <w:trPr>
          <w:trHeight w:val="209"/>
        </w:trPr>
        <w:tc>
          <w:tcPr>
            <w:tcW w:w="5120" w:type="dxa"/>
            <w:vAlign w:val="bottom"/>
            <w:tcBorders>
              <w:bottom w:val="single" w:sz="8" w:color="auto"/>
            </w:tcBorders>
          </w:tcPr>
          <w:p>
            <w:pPr>
              <w:jc w:val="center"/>
              <w:ind w:right="202"/>
              <w:spacing w:after="0"/>
              <w:rPr>
                <w:sz w:val="20"/>
                <w:szCs w:val="20"/>
                <w:color w:val="auto"/>
              </w:rPr>
            </w:pPr>
            <w:r>
              <w:rPr>
                <w:rFonts w:ascii="Arial" w:cs="Arial" w:eastAsia="Arial" w:hAnsi="Arial"/>
                <w:sz w:val="16"/>
                <w:szCs w:val="16"/>
                <w:color w:val="auto"/>
                <w:w w:val="93"/>
              </w:rPr>
              <w:t>for Erie Insurance Group</w:t>
            </w:r>
          </w:p>
        </w:tc>
        <w:tc>
          <w:tcPr>
            <w:tcW w:w="124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w w:val="90"/>
              </w:rPr>
              <w:t>partnerships</w:t>
            </w:r>
          </w:p>
        </w:tc>
        <w:tc>
          <w:tcPr>
            <w:tcW w:w="1820" w:type="dxa"/>
            <w:vAlign w:val="bottom"/>
            <w:tcBorders>
              <w:bottom w:val="single" w:sz="8" w:color="auto"/>
            </w:tcBorders>
          </w:tcPr>
          <w:p>
            <w:pPr>
              <w:jc w:val="center"/>
              <w:ind w:left="256"/>
              <w:spacing w:after="0"/>
              <w:rPr>
                <w:sz w:val="20"/>
                <w:szCs w:val="20"/>
                <w:color w:val="auto"/>
              </w:rPr>
            </w:pPr>
            <w:r>
              <w:rPr>
                <w:rFonts w:ascii="Arial" w:cs="Arial" w:eastAsia="Arial" w:hAnsi="Arial"/>
                <w:sz w:val="16"/>
                <w:szCs w:val="16"/>
                <w:color w:val="auto"/>
                <w:w w:val="88"/>
              </w:rPr>
              <w:t>recorded</w:t>
            </w:r>
          </w:p>
        </w:tc>
        <w:tc>
          <w:tcPr>
            <w:tcW w:w="206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88"/>
              </w:rPr>
              <w:t>partnerships</w:t>
            </w: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88"/>
              </w:rPr>
              <w:t>recorded</w:t>
            </w:r>
          </w:p>
        </w:tc>
      </w:tr>
      <w:tr>
        <w:trPr>
          <w:trHeight w:val="175"/>
        </w:trPr>
        <w:tc>
          <w:tcPr>
            <w:tcW w:w="5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bl>
    <w:p>
      <w:pPr>
        <w:sectPr>
          <w:pgSz w:w="11900" w:h="16900" w:orient="portrait"/>
          <w:cols w:equalWidth="0" w:num="1">
            <w:col w:w="11420"/>
          </w:cols>
          <w:pgMar w:left="240" w:top="125" w:right="239" w:bottom="0" w:gutter="0" w:footer="0" w:header="0"/>
        </w:sectPr>
      </w:pPr>
    </w:p>
    <w:bookmarkStart w:id="18" w:name="page19"/>
    <w:bookmarkEnd w:id="18"/>
    <w:p>
      <w:pPr>
        <w:ind w:left="140"/>
        <w:spacing w:after="0"/>
        <w:rPr>
          <w:sz w:val="20"/>
          <w:szCs w:val="20"/>
          <w:color w:val="auto"/>
        </w:rPr>
      </w:pPr>
      <w:r>
        <w:rPr>
          <w:rFonts w:ascii="Arial" w:cs="Arial" w:eastAsia="Arial" w:hAnsi="Arial"/>
          <w:sz w:val="18"/>
          <w:szCs w:val="18"/>
          <w:b w:val="1"/>
          <w:bCs w:val="1"/>
          <w:color w:val="auto"/>
        </w:rPr>
        <w:t>Indemnity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ind w:left="140"/>
              <w:spacing w:after="0"/>
              <w:rPr>
                <w:sz w:val="20"/>
                <w:szCs w:val="20"/>
                <w:color w:val="auto"/>
              </w:rPr>
            </w:pPr>
            <w:r>
              <w:rPr>
                <w:rFonts w:ascii="Arial" w:cs="Arial" w:eastAsia="Arial" w:hAnsi="Arial"/>
                <w:sz w:val="18"/>
                <w:szCs w:val="18"/>
                <w:color w:val="auto"/>
              </w:rPr>
              <w:t>Private equity:</w:t>
            </w: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Less than 10%</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78</w:t>
            </w:r>
          </w:p>
        </w:tc>
        <w:tc>
          <w:tcPr>
            <w:tcW w:w="16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  4</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$ 7</w:t>
            </w:r>
          </w:p>
        </w:tc>
      </w:tr>
      <w:tr>
        <w:trPr>
          <w:trHeight w:val="216"/>
        </w:trPr>
        <w:tc>
          <w:tcPr>
            <w:tcW w:w="5120" w:type="dxa"/>
            <w:vAlign w:val="bottom"/>
          </w:tcPr>
          <w:p>
            <w:pPr>
              <w:ind w:left="320"/>
              <w:spacing w:after="0"/>
              <w:rPr>
                <w:sz w:val="20"/>
                <w:szCs w:val="20"/>
                <w:color w:val="auto"/>
              </w:rPr>
            </w:pPr>
            <w:r>
              <w:rPr>
                <w:rFonts w:ascii="Arial" w:cs="Arial" w:eastAsia="Arial" w:hAnsi="Arial"/>
                <w:sz w:val="18"/>
                <w:szCs w:val="18"/>
                <w:color w:val="auto"/>
              </w:rPr>
              <w:t>Greater than or equal to 10% but less than 50%</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1180" w:type="dxa"/>
            <w:vAlign w:val="bottom"/>
          </w:tcPr>
          <w:p>
            <w:pPr>
              <w:spacing w:after="0"/>
              <w:rPr>
                <w:sz w:val="18"/>
                <w:szCs w:val="18"/>
                <w:color w:val="auto"/>
              </w:rPr>
            </w:pPr>
          </w:p>
        </w:tc>
        <w:tc>
          <w:tcPr>
            <w:tcW w:w="880" w:type="dxa"/>
            <w:vAlign w:val="bottom"/>
          </w:tcPr>
          <w:p>
            <w:pPr>
              <w:jc w:val="right"/>
              <w:ind w:right="450"/>
              <w:spacing w:after="0"/>
              <w:rPr>
                <w:sz w:val="20"/>
                <w:szCs w:val="20"/>
                <w:color w:val="auto"/>
              </w:rPr>
            </w:pPr>
            <w:r>
              <w:rPr>
                <w:rFonts w:ascii="Arial" w:cs="Arial" w:eastAsia="Arial" w:hAnsi="Arial"/>
                <w:sz w:val="18"/>
                <w:szCs w:val="18"/>
                <w:color w:val="auto"/>
              </w:rPr>
              <w:t>8</w:t>
            </w:r>
          </w:p>
        </w:tc>
        <w:tc>
          <w:tcPr>
            <w:tcW w:w="1620" w:type="dxa"/>
            <w:vAlign w:val="bottom"/>
          </w:tcPr>
          <w:p>
            <w:pPr>
              <w:jc w:val="right"/>
              <w:ind w:right="630"/>
              <w:spacing w:after="0"/>
              <w:rPr>
                <w:sz w:val="20"/>
                <w:szCs w:val="20"/>
                <w:color w:val="auto"/>
              </w:rPr>
            </w:pPr>
            <w:r>
              <w:rPr>
                <w:rFonts w:ascii="Arial" w:cs="Arial" w:eastAsia="Arial" w:hAnsi="Arial"/>
                <w:sz w:val="18"/>
                <w:szCs w:val="18"/>
                <w:color w:val="auto"/>
              </w:rPr>
              <w:t>3</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0</w:t>
            </w:r>
          </w:p>
        </w:tc>
      </w:tr>
      <w:tr>
        <w:trPr>
          <w:trHeight w:val="216"/>
        </w:trPr>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Greater than 50%</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1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0</w:t>
            </w:r>
          </w:p>
        </w:tc>
        <w:tc>
          <w:tcPr>
            <w:tcW w:w="16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0</w:t>
            </w:r>
          </w:p>
        </w:tc>
      </w:tr>
      <w:tr>
        <w:trPr>
          <w:trHeight w:val="210"/>
        </w:trPr>
        <w:tc>
          <w:tcPr>
            <w:tcW w:w="5120" w:type="dxa"/>
            <w:vAlign w:val="bottom"/>
          </w:tcPr>
          <w:p>
            <w:pPr>
              <w:ind w:left="500"/>
              <w:spacing w:after="0"/>
              <w:rPr>
                <w:sz w:val="20"/>
                <w:szCs w:val="20"/>
                <w:color w:val="auto"/>
              </w:rPr>
            </w:pPr>
            <w:r>
              <w:rPr>
                <w:rFonts w:ascii="Arial" w:cs="Arial" w:eastAsia="Arial" w:hAnsi="Arial"/>
                <w:sz w:val="18"/>
                <w:szCs w:val="18"/>
                <w:color w:val="auto"/>
              </w:rPr>
              <w:t>Total private equity</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29</w:t>
            </w:r>
          </w:p>
        </w:tc>
        <w:tc>
          <w:tcPr>
            <w:tcW w:w="1180" w:type="dxa"/>
            <w:vAlign w:val="bottom"/>
          </w:tcPr>
          <w:p>
            <w:pPr>
              <w:spacing w:after="0"/>
              <w:rPr>
                <w:sz w:val="18"/>
                <w:szCs w:val="18"/>
                <w:color w:val="auto"/>
              </w:rPr>
            </w:pPr>
          </w:p>
        </w:tc>
        <w:tc>
          <w:tcPr>
            <w:tcW w:w="880" w:type="dxa"/>
            <w:vAlign w:val="bottom"/>
          </w:tcPr>
          <w:p>
            <w:pPr>
              <w:jc w:val="right"/>
              <w:ind w:right="450"/>
              <w:spacing w:after="0"/>
              <w:rPr>
                <w:sz w:val="20"/>
                <w:szCs w:val="20"/>
                <w:color w:val="auto"/>
              </w:rPr>
            </w:pPr>
            <w:r>
              <w:rPr>
                <w:rFonts w:ascii="Arial" w:cs="Arial" w:eastAsia="Arial" w:hAnsi="Arial"/>
                <w:sz w:val="18"/>
                <w:szCs w:val="18"/>
                <w:color w:val="auto"/>
              </w:rPr>
              <w:t>86</w:t>
            </w:r>
          </w:p>
        </w:tc>
        <w:tc>
          <w:tcPr>
            <w:tcW w:w="1620" w:type="dxa"/>
            <w:vAlign w:val="bottom"/>
          </w:tcPr>
          <w:p>
            <w:pPr>
              <w:jc w:val="right"/>
              <w:ind w:right="630"/>
              <w:spacing w:after="0"/>
              <w:rPr>
                <w:sz w:val="20"/>
                <w:szCs w:val="20"/>
                <w:color w:val="auto"/>
              </w:rPr>
            </w:pPr>
            <w:r>
              <w:rPr>
                <w:rFonts w:ascii="Arial" w:cs="Arial" w:eastAsia="Arial" w:hAnsi="Arial"/>
                <w:sz w:val="18"/>
                <w:szCs w:val="18"/>
                <w:color w:val="auto"/>
              </w:rPr>
              <w:t>7</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7</w:t>
            </w:r>
          </w:p>
        </w:tc>
      </w:tr>
      <w:tr>
        <w:trPr>
          <w:trHeight w:val="216"/>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Mezzanine debt:</w:t>
            </w:r>
          </w:p>
        </w:tc>
        <w:tc>
          <w:tcPr>
            <w:tcW w:w="1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5120" w:type="dxa"/>
            <w:vAlign w:val="bottom"/>
          </w:tcPr>
          <w:p>
            <w:pPr>
              <w:ind w:left="320"/>
              <w:spacing w:after="0"/>
              <w:rPr>
                <w:sz w:val="20"/>
                <w:szCs w:val="20"/>
                <w:color w:val="auto"/>
              </w:rPr>
            </w:pPr>
            <w:r>
              <w:rPr>
                <w:rFonts w:ascii="Arial" w:cs="Arial" w:eastAsia="Arial" w:hAnsi="Arial"/>
                <w:sz w:val="18"/>
                <w:szCs w:val="18"/>
                <w:color w:val="auto"/>
              </w:rPr>
              <w:t>Less than 10%</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1180" w:type="dxa"/>
            <w:vAlign w:val="bottom"/>
          </w:tcPr>
          <w:p>
            <w:pPr>
              <w:spacing w:after="0"/>
              <w:rPr>
                <w:sz w:val="18"/>
                <w:szCs w:val="18"/>
                <w:color w:val="auto"/>
              </w:rPr>
            </w:pPr>
          </w:p>
        </w:tc>
        <w:tc>
          <w:tcPr>
            <w:tcW w:w="880" w:type="dxa"/>
            <w:vAlign w:val="bottom"/>
          </w:tcPr>
          <w:p>
            <w:pPr>
              <w:jc w:val="right"/>
              <w:ind w:right="450"/>
              <w:spacing w:after="0"/>
              <w:rPr>
                <w:sz w:val="20"/>
                <w:szCs w:val="20"/>
                <w:color w:val="auto"/>
              </w:rPr>
            </w:pPr>
            <w:r>
              <w:rPr>
                <w:rFonts w:ascii="Arial" w:cs="Arial" w:eastAsia="Arial" w:hAnsi="Arial"/>
                <w:sz w:val="18"/>
                <w:szCs w:val="18"/>
                <w:color w:val="auto"/>
              </w:rPr>
              <w:t>30</w:t>
            </w:r>
          </w:p>
        </w:tc>
        <w:tc>
          <w:tcPr>
            <w:tcW w:w="1620" w:type="dxa"/>
            <w:vAlign w:val="bottom"/>
          </w:tcPr>
          <w:p>
            <w:pPr>
              <w:jc w:val="right"/>
              <w:ind w:right="630"/>
              <w:spacing w:after="0"/>
              <w:rPr>
                <w:sz w:val="20"/>
                <w:szCs w:val="20"/>
                <w:color w:val="auto"/>
              </w:rPr>
            </w:pPr>
            <w:r>
              <w:rPr>
                <w:rFonts w:ascii="Arial" w:cs="Arial" w:eastAsia="Arial" w:hAnsi="Arial"/>
                <w:sz w:val="18"/>
                <w:szCs w:val="18"/>
                <w:color w:val="auto"/>
              </w:rPr>
              <w:t>4</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3</w:t>
            </w:r>
          </w:p>
        </w:tc>
      </w:tr>
      <w:tr>
        <w:trPr>
          <w:trHeight w:val="216"/>
        </w:trPr>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Greater than or equal to 10% but less than 50%</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1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w:t>
            </w:r>
          </w:p>
        </w:tc>
        <w:tc>
          <w:tcPr>
            <w:tcW w:w="16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2</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r>
      <w:tr>
        <w:trPr>
          <w:trHeight w:val="216"/>
        </w:trPr>
        <w:tc>
          <w:tcPr>
            <w:tcW w:w="51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Greater than 50%</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1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w:t>
            </w:r>
          </w:p>
        </w:tc>
        <w:tc>
          <w:tcPr>
            <w:tcW w:w="16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w:t>
            </w:r>
          </w:p>
        </w:tc>
      </w:tr>
      <w:tr>
        <w:trPr>
          <w:trHeight w:val="210"/>
        </w:trPr>
        <w:tc>
          <w:tcPr>
            <w:tcW w:w="5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mezzanine debt</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1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47</w:t>
            </w:r>
          </w:p>
        </w:tc>
        <w:tc>
          <w:tcPr>
            <w:tcW w:w="16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6</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r>
      <w:tr>
        <w:trPr>
          <w:trHeight w:val="216"/>
        </w:trPr>
        <w:tc>
          <w:tcPr>
            <w:tcW w:w="5120" w:type="dxa"/>
            <w:vAlign w:val="bottom"/>
          </w:tcPr>
          <w:p>
            <w:pPr>
              <w:ind w:left="140"/>
              <w:spacing w:after="0"/>
              <w:rPr>
                <w:sz w:val="20"/>
                <w:szCs w:val="20"/>
                <w:color w:val="auto"/>
              </w:rPr>
            </w:pPr>
            <w:r>
              <w:rPr>
                <w:rFonts w:ascii="Arial" w:cs="Arial" w:eastAsia="Arial" w:hAnsi="Arial"/>
                <w:sz w:val="18"/>
                <w:szCs w:val="18"/>
                <w:color w:val="auto"/>
              </w:rPr>
              <w:t>Real estate:</w:t>
            </w: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Less than 10%</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1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59</w:t>
            </w:r>
          </w:p>
        </w:tc>
        <w:tc>
          <w:tcPr>
            <w:tcW w:w="16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30</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w:t>
            </w:r>
          </w:p>
        </w:tc>
      </w:tr>
      <w:tr>
        <w:trPr>
          <w:trHeight w:val="216"/>
        </w:trPr>
        <w:tc>
          <w:tcPr>
            <w:tcW w:w="5120" w:type="dxa"/>
            <w:vAlign w:val="bottom"/>
          </w:tcPr>
          <w:p>
            <w:pPr>
              <w:ind w:left="320"/>
              <w:spacing w:after="0"/>
              <w:rPr>
                <w:sz w:val="20"/>
                <w:szCs w:val="20"/>
                <w:color w:val="auto"/>
              </w:rPr>
            </w:pPr>
            <w:r>
              <w:rPr>
                <w:rFonts w:ascii="Arial" w:cs="Arial" w:eastAsia="Arial" w:hAnsi="Arial"/>
                <w:sz w:val="18"/>
                <w:szCs w:val="18"/>
                <w:color w:val="auto"/>
              </w:rPr>
              <w:t>Greater than or equal to 10% but less than 50%</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1180" w:type="dxa"/>
            <w:vAlign w:val="bottom"/>
          </w:tcPr>
          <w:p>
            <w:pPr>
              <w:spacing w:after="0"/>
              <w:rPr>
                <w:sz w:val="18"/>
                <w:szCs w:val="18"/>
                <w:color w:val="auto"/>
              </w:rPr>
            </w:pPr>
          </w:p>
        </w:tc>
        <w:tc>
          <w:tcPr>
            <w:tcW w:w="880" w:type="dxa"/>
            <w:vAlign w:val="bottom"/>
          </w:tcPr>
          <w:p>
            <w:pPr>
              <w:jc w:val="right"/>
              <w:ind w:right="450"/>
              <w:spacing w:after="0"/>
              <w:rPr>
                <w:sz w:val="20"/>
                <w:szCs w:val="20"/>
                <w:color w:val="auto"/>
              </w:rPr>
            </w:pPr>
            <w:r>
              <w:rPr>
                <w:rFonts w:ascii="Arial" w:cs="Arial" w:eastAsia="Arial" w:hAnsi="Arial"/>
                <w:sz w:val="18"/>
                <w:szCs w:val="18"/>
                <w:color w:val="auto"/>
              </w:rPr>
              <w:t>14</w:t>
            </w:r>
          </w:p>
        </w:tc>
        <w:tc>
          <w:tcPr>
            <w:tcW w:w="1620" w:type="dxa"/>
            <w:vAlign w:val="bottom"/>
          </w:tcPr>
          <w:p>
            <w:pPr>
              <w:jc w:val="right"/>
              <w:ind w:right="630"/>
              <w:spacing w:after="0"/>
              <w:rPr>
                <w:sz w:val="20"/>
                <w:szCs w:val="20"/>
                <w:color w:val="auto"/>
              </w:rPr>
            </w:pPr>
            <w:r>
              <w:rPr>
                <w:rFonts w:ascii="Arial" w:cs="Arial" w:eastAsia="Arial" w:hAnsi="Arial"/>
                <w:sz w:val="18"/>
                <w:szCs w:val="18"/>
                <w:color w:val="auto"/>
              </w:rPr>
              <w:t>10</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(10)</w:t>
            </w:r>
          </w:p>
        </w:tc>
      </w:tr>
      <w:tr>
        <w:trPr>
          <w:trHeight w:val="216"/>
        </w:trPr>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Greater than 50%</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1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10</w:t>
            </w:r>
          </w:p>
        </w:tc>
        <w:tc>
          <w:tcPr>
            <w:tcW w:w="16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4</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r>
      <w:tr>
        <w:trPr>
          <w:trHeight w:val="210"/>
        </w:trPr>
        <w:tc>
          <w:tcPr>
            <w:tcW w:w="51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real estate</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w:t>
            </w:r>
          </w:p>
        </w:tc>
        <w:tc>
          <w:tcPr>
            <w:tcW w:w="1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83</w:t>
            </w:r>
          </w:p>
        </w:tc>
        <w:tc>
          <w:tcPr>
            <w:tcW w:w="16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44</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(44)</w:t>
            </w:r>
          </w:p>
        </w:tc>
      </w:tr>
      <w:tr>
        <w:trPr>
          <w:trHeight w:val="21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limited partnerships – Indemnity</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216</w:t>
            </w:r>
          </w:p>
        </w:tc>
        <w:tc>
          <w:tcPr>
            <w:tcW w:w="16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$ 57</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$(36)</w:t>
            </w:r>
          </w:p>
        </w:tc>
      </w:tr>
      <w:tr>
        <w:trPr>
          <w:trHeight w:val="210"/>
        </w:trPr>
        <w:tc>
          <w:tcPr>
            <w:tcW w:w="5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Exchange</w:t>
            </w:r>
          </w:p>
        </w:tc>
        <w:tc>
          <w:tcPr>
            <w:tcW w:w="1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5120" w:type="dxa"/>
            <w:vAlign w:val="bottom"/>
          </w:tcPr>
          <w:p>
            <w:pPr>
              <w:ind w:left="140"/>
              <w:spacing w:after="0"/>
              <w:rPr>
                <w:sz w:val="20"/>
                <w:szCs w:val="20"/>
                <w:color w:val="auto"/>
              </w:rPr>
            </w:pPr>
            <w:r>
              <w:rPr>
                <w:rFonts w:ascii="Arial" w:cs="Arial" w:eastAsia="Arial" w:hAnsi="Arial"/>
                <w:sz w:val="18"/>
                <w:szCs w:val="18"/>
                <w:color w:val="auto"/>
              </w:rPr>
              <w:t>Private equity:</w:t>
            </w: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Less than 10%</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517</w:t>
            </w:r>
          </w:p>
        </w:tc>
        <w:tc>
          <w:tcPr>
            <w:tcW w:w="16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$ 28</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$40</w:t>
            </w:r>
          </w:p>
        </w:tc>
      </w:tr>
      <w:tr>
        <w:trPr>
          <w:trHeight w:val="216"/>
        </w:trPr>
        <w:tc>
          <w:tcPr>
            <w:tcW w:w="5120" w:type="dxa"/>
            <w:vAlign w:val="bottom"/>
          </w:tcPr>
          <w:p>
            <w:pPr>
              <w:ind w:left="320"/>
              <w:spacing w:after="0"/>
              <w:rPr>
                <w:sz w:val="20"/>
                <w:szCs w:val="20"/>
                <w:color w:val="auto"/>
              </w:rPr>
            </w:pPr>
            <w:r>
              <w:rPr>
                <w:rFonts w:ascii="Arial" w:cs="Arial" w:eastAsia="Arial" w:hAnsi="Arial"/>
                <w:sz w:val="18"/>
                <w:szCs w:val="18"/>
                <w:color w:val="auto"/>
              </w:rPr>
              <w:t>Greater than or equal to 10% but less than 50%</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1180" w:type="dxa"/>
            <w:vAlign w:val="bottom"/>
          </w:tcPr>
          <w:p>
            <w:pPr>
              <w:spacing w:after="0"/>
              <w:rPr>
                <w:sz w:val="18"/>
                <w:szCs w:val="18"/>
                <w:color w:val="auto"/>
              </w:rPr>
            </w:pPr>
          </w:p>
        </w:tc>
        <w:tc>
          <w:tcPr>
            <w:tcW w:w="880" w:type="dxa"/>
            <w:vAlign w:val="bottom"/>
          </w:tcPr>
          <w:p>
            <w:pPr>
              <w:jc w:val="right"/>
              <w:ind w:right="450"/>
              <w:spacing w:after="0"/>
              <w:rPr>
                <w:sz w:val="20"/>
                <w:szCs w:val="20"/>
                <w:color w:val="auto"/>
              </w:rPr>
            </w:pPr>
            <w:r>
              <w:rPr>
                <w:rFonts w:ascii="Arial" w:cs="Arial" w:eastAsia="Arial" w:hAnsi="Arial"/>
                <w:sz w:val="18"/>
                <w:szCs w:val="18"/>
                <w:color w:val="auto"/>
              </w:rPr>
              <w:t>38</w:t>
            </w:r>
          </w:p>
        </w:tc>
        <w:tc>
          <w:tcPr>
            <w:tcW w:w="1620" w:type="dxa"/>
            <w:vAlign w:val="bottom"/>
          </w:tcPr>
          <w:p>
            <w:pPr>
              <w:jc w:val="right"/>
              <w:ind w:right="630"/>
              <w:spacing w:after="0"/>
              <w:rPr>
                <w:sz w:val="20"/>
                <w:szCs w:val="20"/>
                <w:color w:val="auto"/>
              </w:rPr>
            </w:pPr>
            <w:r>
              <w:rPr>
                <w:rFonts w:ascii="Arial" w:cs="Arial" w:eastAsia="Arial" w:hAnsi="Arial"/>
                <w:sz w:val="18"/>
                <w:szCs w:val="18"/>
                <w:color w:val="auto"/>
              </w:rPr>
              <w:t>10</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0</w:t>
            </w:r>
          </w:p>
        </w:tc>
      </w:tr>
      <w:tr>
        <w:trPr>
          <w:trHeight w:val="216"/>
        </w:trPr>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Greater than 50%</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1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0</w:t>
            </w:r>
          </w:p>
        </w:tc>
        <w:tc>
          <w:tcPr>
            <w:tcW w:w="16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r>
      <w:tr>
        <w:trPr>
          <w:trHeight w:val="210"/>
        </w:trPr>
        <w:tc>
          <w:tcPr>
            <w:tcW w:w="5120" w:type="dxa"/>
            <w:vAlign w:val="bottom"/>
          </w:tcPr>
          <w:p>
            <w:pPr>
              <w:ind w:left="500"/>
              <w:spacing w:after="0"/>
              <w:rPr>
                <w:sz w:val="20"/>
                <w:szCs w:val="20"/>
                <w:color w:val="auto"/>
              </w:rPr>
            </w:pPr>
            <w:r>
              <w:rPr>
                <w:rFonts w:ascii="Arial" w:cs="Arial" w:eastAsia="Arial" w:hAnsi="Arial"/>
                <w:sz w:val="18"/>
                <w:szCs w:val="18"/>
                <w:color w:val="auto"/>
              </w:rPr>
              <w:t>Total private equity</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44</w:t>
            </w:r>
          </w:p>
        </w:tc>
        <w:tc>
          <w:tcPr>
            <w:tcW w:w="1180" w:type="dxa"/>
            <w:vAlign w:val="bottom"/>
          </w:tcPr>
          <w:p>
            <w:pPr>
              <w:spacing w:after="0"/>
              <w:rPr>
                <w:sz w:val="18"/>
                <w:szCs w:val="18"/>
                <w:color w:val="auto"/>
              </w:rPr>
            </w:pPr>
          </w:p>
        </w:tc>
        <w:tc>
          <w:tcPr>
            <w:tcW w:w="880" w:type="dxa"/>
            <w:vAlign w:val="bottom"/>
          </w:tcPr>
          <w:p>
            <w:pPr>
              <w:jc w:val="right"/>
              <w:ind w:right="450"/>
              <w:spacing w:after="0"/>
              <w:rPr>
                <w:sz w:val="20"/>
                <w:szCs w:val="20"/>
                <w:color w:val="auto"/>
              </w:rPr>
            </w:pPr>
            <w:r>
              <w:rPr>
                <w:rFonts w:ascii="Arial" w:cs="Arial" w:eastAsia="Arial" w:hAnsi="Arial"/>
                <w:sz w:val="18"/>
                <w:szCs w:val="18"/>
                <w:color w:val="auto"/>
              </w:rPr>
              <w:t>555</w:t>
            </w:r>
          </w:p>
        </w:tc>
        <w:tc>
          <w:tcPr>
            <w:tcW w:w="1620" w:type="dxa"/>
            <w:vAlign w:val="bottom"/>
          </w:tcPr>
          <w:p>
            <w:pPr>
              <w:jc w:val="right"/>
              <w:ind w:right="630"/>
              <w:spacing w:after="0"/>
              <w:rPr>
                <w:sz w:val="20"/>
                <w:szCs w:val="20"/>
                <w:color w:val="auto"/>
              </w:rPr>
            </w:pPr>
            <w:r>
              <w:rPr>
                <w:rFonts w:ascii="Arial" w:cs="Arial" w:eastAsia="Arial" w:hAnsi="Arial"/>
                <w:sz w:val="18"/>
                <w:szCs w:val="18"/>
                <w:color w:val="auto"/>
              </w:rPr>
              <w:t>38</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39</w:t>
            </w:r>
          </w:p>
        </w:tc>
      </w:tr>
      <w:tr>
        <w:trPr>
          <w:trHeight w:val="216"/>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Mezzanine debt:</w:t>
            </w:r>
          </w:p>
        </w:tc>
        <w:tc>
          <w:tcPr>
            <w:tcW w:w="1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5120" w:type="dxa"/>
            <w:vAlign w:val="bottom"/>
          </w:tcPr>
          <w:p>
            <w:pPr>
              <w:ind w:left="320"/>
              <w:spacing w:after="0"/>
              <w:rPr>
                <w:sz w:val="20"/>
                <w:szCs w:val="20"/>
                <w:color w:val="auto"/>
              </w:rPr>
            </w:pPr>
            <w:r>
              <w:rPr>
                <w:rFonts w:ascii="Arial" w:cs="Arial" w:eastAsia="Arial" w:hAnsi="Arial"/>
                <w:sz w:val="18"/>
                <w:szCs w:val="18"/>
                <w:color w:val="auto"/>
              </w:rPr>
              <w:t>Less than 10%</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1180" w:type="dxa"/>
            <w:vAlign w:val="bottom"/>
          </w:tcPr>
          <w:p>
            <w:pPr>
              <w:spacing w:after="0"/>
              <w:rPr>
                <w:sz w:val="18"/>
                <w:szCs w:val="18"/>
                <w:color w:val="auto"/>
              </w:rPr>
            </w:pPr>
          </w:p>
        </w:tc>
        <w:tc>
          <w:tcPr>
            <w:tcW w:w="880" w:type="dxa"/>
            <w:vAlign w:val="bottom"/>
          </w:tcPr>
          <w:p>
            <w:pPr>
              <w:jc w:val="right"/>
              <w:ind w:right="450"/>
              <w:spacing w:after="0"/>
              <w:rPr>
                <w:sz w:val="20"/>
                <w:szCs w:val="20"/>
                <w:color w:val="auto"/>
              </w:rPr>
            </w:pPr>
            <w:r>
              <w:rPr>
                <w:rFonts w:ascii="Arial" w:cs="Arial" w:eastAsia="Arial" w:hAnsi="Arial"/>
                <w:sz w:val="18"/>
                <w:szCs w:val="18"/>
                <w:color w:val="auto"/>
              </w:rPr>
              <w:t>142</w:t>
            </w:r>
          </w:p>
        </w:tc>
        <w:tc>
          <w:tcPr>
            <w:tcW w:w="1620" w:type="dxa"/>
            <w:vAlign w:val="bottom"/>
          </w:tcPr>
          <w:p>
            <w:pPr>
              <w:jc w:val="right"/>
              <w:ind w:right="630"/>
              <w:spacing w:after="0"/>
              <w:rPr>
                <w:sz w:val="20"/>
                <w:szCs w:val="20"/>
                <w:color w:val="auto"/>
              </w:rPr>
            </w:pPr>
            <w:r>
              <w:rPr>
                <w:rFonts w:ascii="Arial" w:cs="Arial" w:eastAsia="Arial" w:hAnsi="Arial"/>
                <w:sz w:val="18"/>
                <w:szCs w:val="18"/>
                <w:color w:val="auto"/>
              </w:rPr>
              <w:t>12</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13</w:t>
            </w:r>
          </w:p>
        </w:tc>
      </w:tr>
      <w:tr>
        <w:trPr>
          <w:trHeight w:val="216"/>
        </w:trPr>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Greater than or equal to 10% but less than 50%</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1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41</w:t>
            </w:r>
          </w:p>
        </w:tc>
        <w:tc>
          <w:tcPr>
            <w:tcW w:w="16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2</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r>
      <w:tr>
        <w:trPr>
          <w:trHeight w:val="216"/>
        </w:trPr>
        <w:tc>
          <w:tcPr>
            <w:tcW w:w="51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Greater than 50%</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w:t>
            </w:r>
          </w:p>
        </w:tc>
        <w:tc>
          <w:tcPr>
            <w:tcW w:w="1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31</w:t>
            </w:r>
          </w:p>
        </w:tc>
        <w:tc>
          <w:tcPr>
            <w:tcW w:w="16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w:t>
            </w:r>
          </w:p>
        </w:tc>
      </w:tr>
      <w:tr>
        <w:trPr>
          <w:trHeight w:val="210"/>
        </w:trPr>
        <w:tc>
          <w:tcPr>
            <w:tcW w:w="5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mezzanine debt</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w:t>
            </w:r>
          </w:p>
        </w:tc>
        <w:tc>
          <w:tcPr>
            <w:tcW w:w="1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214</w:t>
            </w:r>
          </w:p>
        </w:tc>
        <w:tc>
          <w:tcPr>
            <w:tcW w:w="16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14</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13</w:t>
            </w:r>
          </w:p>
        </w:tc>
      </w:tr>
      <w:tr>
        <w:trPr>
          <w:trHeight w:val="216"/>
        </w:trPr>
        <w:tc>
          <w:tcPr>
            <w:tcW w:w="5120" w:type="dxa"/>
            <w:vAlign w:val="bottom"/>
          </w:tcPr>
          <w:p>
            <w:pPr>
              <w:ind w:left="140"/>
              <w:spacing w:after="0"/>
              <w:rPr>
                <w:sz w:val="20"/>
                <w:szCs w:val="20"/>
                <w:color w:val="auto"/>
              </w:rPr>
            </w:pPr>
            <w:r>
              <w:rPr>
                <w:rFonts w:ascii="Arial" w:cs="Arial" w:eastAsia="Arial" w:hAnsi="Arial"/>
                <w:sz w:val="18"/>
                <w:szCs w:val="18"/>
                <w:color w:val="auto"/>
              </w:rPr>
              <w:t>Real estate:</w:t>
            </w: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Less than 10%</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1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250</w:t>
            </w:r>
          </w:p>
        </w:tc>
        <w:tc>
          <w:tcPr>
            <w:tcW w:w="16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(11)</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w:t>
            </w:r>
          </w:p>
        </w:tc>
      </w:tr>
      <w:tr>
        <w:trPr>
          <w:trHeight w:val="216"/>
        </w:trPr>
        <w:tc>
          <w:tcPr>
            <w:tcW w:w="5120" w:type="dxa"/>
            <w:vAlign w:val="bottom"/>
          </w:tcPr>
          <w:p>
            <w:pPr>
              <w:ind w:left="320"/>
              <w:spacing w:after="0"/>
              <w:rPr>
                <w:sz w:val="20"/>
                <w:szCs w:val="20"/>
                <w:color w:val="auto"/>
              </w:rPr>
            </w:pPr>
            <w:r>
              <w:rPr>
                <w:rFonts w:ascii="Arial" w:cs="Arial" w:eastAsia="Arial" w:hAnsi="Arial"/>
                <w:sz w:val="18"/>
                <w:szCs w:val="18"/>
                <w:color w:val="auto"/>
              </w:rPr>
              <w:t>Greater than or equal to 10% but less than 50%</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1180" w:type="dxa"/>
            <w:vAlign w:val="bottom"/>
          </w:tcPr>
          <w:p>
            <w:pPr>
              <w:spacing w:after="0"/>
              <w:rPr>
                <w:sz w:val="18"/>
                <w:szCs w:val="18"/>
                <w:color w:val="auto"/>
              </w:rPr>
            </w:pPr>
          </w:p>
        </w:tc>
        <w:tc>
          <w:tcPr>
            <w:tcW w:w="880" w:type="dxa"/>
            <w:vAlign w:val="bottom"/>
          </w:tcPr>
          <w:p>
            <w:pPr>
              <w:jc w:val="right"/>
              <w:ind w:right="450"/>
              <w:spacing w:after="0"/>
              <w:rPr>
                <w:sz w:val="20"/>
                <w:szCs w:val="20"/>
                <w:color w:val="auto"/>
              </w:rPr>
            </w:pPr>
            <w:r>
              <w:rPr>
                <w:rFonts w:ascii="Arial" w:cs="Arial" w:eastAsia="Arial" w:hAnsi="Arial"/>
                <w:sz w:val="18"/>
                <w:szCs w:val="18"/>
                <w:color w:val="auto"/>
              </w:rPr>
              <w:t>52</w:t>
            </w:r>
          </w:p>
        </w:tc>
        <w:tc>
          <w:tcPr>
            <w:tcW w:w="1620" w:type="dxa"/>
            <w:vAlign w:val="bottom"/>
          </w:tcPr>
          <w:p>
            <w:pPr>
              <w:jc w:val="right"/>
              <w:ind w:right="630"/>
              <w:spacing w:after="0"/>
              <w:rPr>
                <w:sz w:val="20"/>
                <w:szCs w:val="20"/>
                <w:color w:val="auto"/>
              </w:rPr>
            </w:pPr>
            <w:r>
              <w:rPr>
                <w:rFonts w:ascii="Arial" w:cs="Arial" w:eastAsia="Arial" w:hAnsi="Arial"/>
                <w:sz w:val="18"/>
                <w:szCs w:val="18"/>
                <w:color w:val="auto"/>
              </w:rPr>
              <w:t>7</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(7)</w:t>
            </w:r>
          </w:p>
        </w:tc>
      </w:tr>
      <w:tr>
        <w:trPr>
          <w:trHeight w:val="216"/>
        </w:trPr>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Greater than 50%</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1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37</w:t>
            </w:r>
          </w:p>
        </w:tc>
        <w:tc>
          <w:tcPr>
            <w:tcW w:w="16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15</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w:t>
            </w:r>
          </w:p>
        </w:tc>
      </w:tr>
      <w:tr>
        <w:trPr>
          <w:trHeight w:val="210"/>
        </w:trPr>
        <w:tc>
          <w:tcPr>
            <w:tcW w:w="51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real estate</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w:t>
            </w:r>
          </w:p>
        </w:tc>
        <w:tc>
          <w:tcPr>
            <w:tcW w:w="1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339</w:t>
            </w:r>
          </w:p>
        </w:tc>
        <w:tc>
          <w:tcPr>
            <w:tcW w:w="16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11</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w:t>
            </w:r>
          </w:p>
        </w:tc>
      </w:tr>
      <w:tr>
        <w:trPr>
          <w:trHeight w:val="21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limited partnerships – Exchange</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99</w:t>
            </w:r>
          </w:p>
        </w:tc>
        <w:tc>
          <w:tcPr>
            <w:tcW w:w="2060" w:type="dxa"/>
            <w:vAlign w:val="bottom"/>
            <w:tcBorders>
              <w:bottom w:val="single" w:sz="8" w:color="auto"/>
            </w:tcBorders>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$1,108</w:t>
            </w:r>
          </w:p>
        </w:tc>
        <w:tc>
          <w:tcPr>
            <w:tcW w:w="16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$ 63</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$44</w:t>
            </w:r>
          </w:p>
        </w:tc>
      </w:tr>
      <w:tr>
        <w:trPr>
          <w:trHeight w:val="210"/>
        </w:trPr>
        <w:tc>
          <w:tcPr>
            <w:tcW w:w="5120" w:type="dxa"/>
            <w:vAlign w:val="bottom"/>
          </w:tcPr>
          <w:p>
            <w:pPr>
              <w:ind w:left="140"/>
              <w:spacing w:after="0"/>
              <w:rPr>
                <w:sz w:val="20"/>
                <w:szCs w:val="20"/>
                <w:color w:val="auto"/>
              </w:rPr>
            </w:pPr>
            <w:r>
              <w:rPr>
                <w:rFonts w:ascii="Arial" w:cs="Arial" w:eastAsia="Arial" w:hAnsi="Arial"/>
                <w:sz w:val="18"/>
                <w:szCs w:val="18"/>
                <w:color w:val="auto"/>
              </w:rPr>
              <w:t>Total limited partnerships – Erie Insurance Group</w:t>
            </w:r>
          </w:p>
        </w:tc>
        <w:tc>
          <w:tcPr>
            <w:tcW w:w="1360" w:type="dxa"/>
            <w:vAlign w:val="bottom"/>
          </w:tcPr>
          <w:p>
            <w:pPr>
              <w:spacing w:after="0"/>
              <w:rPr>
                <w:sz w:val="18"/>
                <w:szCs w:val="18"/>
                <w:color w:val="auto"/>
              </w:rPr>
            </w:pPr>
          </w:p>
        </w:tc>
        <w:tc>
          <w:tcPr>
            <w:tcW w:w="206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$1,324</w:t>
            </w:r>
          </w:p>
        </w:tc>
        <w:tc>
          <w:tcPr>
            <w:tcW w:w="16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$120</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$ 8</w:t>
            </w:r>
          </w:p>
        </w:tc>
      </w:tr>
      <w:tr>
        <w:trPr>
          <w:trHeight w:val="20"/>
        </w:trPr>
        <w:tc>
          <w:tcPr>
            <w:tcW w:w="5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Per the limited partner financial statements, total partnership assets were $58 billion and total partnership liabilities were $10 billion at December 31, 2010 (as recorded in the September 30, 2010 limited partnership financial statements). For the twelve month period comparable to that presented in the preceding table (fourth quarter of 2009 and first three quarters of 2010), total partnership valuation adjustment gains were $4 billion and total partnership net income was $3 billion.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also Note 12, “Commitments and Contingencies,” for investment commitments related to limited partnerships.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Bank Line of Credit</w:t>
      </w:r>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As of March 31, 2011, Indemnity has available a $100 million line of credit that expires on December 31, 2011. There were no borrowings outstanding on the line of credit as of March 31, 2011. Bonds with a fair value of $134 million are pledged as collateral on the line at March 31, 2011.</w:t>
      </w:r>
    </w:p>
    <w:p>
      <w:pPr>
        <w:spacing w:after="0" w:line="14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As of March 31, 2011, the Exchange has available a $200 million revolving line of credit that expires on September 30, 2012. There were no borrowings outstanding on the line of credit as of March 31, 2011. Bonds with a fair value of $258 million are pledged as collateral on the line at March 31, 2011.</w:t>
      </w:r>
    </w:p>
    <w:p>
      <w:pPr>
        <w:spacing w:after="0" w:line="12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Securities pledged as collateral on both lines have no restrictions and are reported as available-for-sale fixed maturities in the Consolidated Statements of Financial Position as of March 31, 2011. The banks require compliance with certain covenants, which include statutory surplus and risk based capital ratios for the Exchange’s line of credit and minimum net worth and leverage ratios for Indemnity’s line of credit. We are in compliance with all covenants at March 31, 2011.</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Deferred tax assets and liabilities are recognized for the expected future tax consequences of events that have been included in the financial statement or tax returns. Valuation allowances are established, when necessary, to reduce deferred tax assets to the amount expected to be realized. At March 31, 2011, we recorded a net deferred tax liability of $323 million on our Consolidated Statements of Financial Position. Of this amount, $309 million is attributable to the Exchange and $14 million is attributable to Indemnity. There was no deferred tax valuation allowance recorded at March 31, 2011. Our effective tax rate is calculated after consideration of permanent differences related to our investment revenues as described in FASB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Given that these amounts represent 99% of the total permanent differences, the effective tax rate is approximately 35% for both Indemnity and Exchange when the investment related permanent differences are considered using FASB ASC 740.</w:t>
      </w:r>
    </w:p>
    <w:p>
      <w:pPr>
        <w:sectPr>
          <w:pgSz w:w="11900" w:h="16838" w:orient="portrait"/>
          <w:cols w:equalWidth="0" w:num="1">
            <w:col w:w="11420"/>
          </w:cols>
          <w:pgMar w:left="240" w:top="121" w:right="239" w:bottom="0" w:gutter="0" w:footer="0" w:header="0"/>
        </w:sect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Postretirement Benefits</w:t>
      </w:r>
    </w:p>
    <w:p>
      <w:pPr>
        <w:sectPr>
          <w:pgSz w:w="11900" w:h="16838" w:orient="portrait"/>
          <w:cols w:equalWidth="0" w:num="1">
            <w:col w:w="11420"/>
          </w:cols>
          <w:pgMar w:left="240" w:top="121" w:right="239" w:bottom="0" w:gutter="0" w:footer="0" w:header="0"/>
          <w:type w:val="continuous"/>
        </w:sectPr>
      </w:pPr>
    </w:p>
    <w:bookmarkStart w:id="19" w:name="page20"/>
    <w:bookmarkEnd w:id="19"/>
    <w:p>
      <w:pPr>
        <w:ind w:right="80"/>
        <w:spacing w:after="0" w:line="264" w:lineRule="auto"/>
        <w:rPr>
          <w:sz w:val="20"/>
          <w:szCs w:val="20"/>
          <w:color w:val="auto"/>
        </w:rPr>
      </w:pPr>
      <w:r>
        <w:rPr>
          <w:rFonts w:ascii="Arial" w:cs="Arial" w:eastAsia="Arial" w:hAnsi="Arial"/>
          <w:sz w:val="18"/>
          <w:szCs w:val="18"/>
          <w:color w:val="auto"/>
        </w:rPr>
        <w:t>The liabilities for the plans described in this note are presented in total for all employees of the Erie Insurance Group. The gross liability for the pension plans is presented in the Consolidated Statements of Financial Position as part of other liabilities. A portion of annual expenses related to the pension plans is allocated to related entities within the Erie Insurance Group.</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offer a noncontributory defined benefit pension plan that covers substantially all employees. This is the largest benefit plan we offer. We also offer an unfunded supplemental retirement plan (SERP) for certain members of executive and senior management of the Erie Insurance Group. The components of net periodic benefit cost for our pension benefits are:</w:t>
      </w:r>
    </w:p>
    <w:p>
      <w:pPr>
        <w:spacing w:after="0" w:line="18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Three months ended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ind w:left="120"/>
              <w:spacing w:after="0"/>
              <w:rPr>
                <w:sz w:val="20"/>
                <w:szCs w:val="20"/>
                <w:color w:val="auto"/>
              </w:rPr>
            </w:pPr>
            <w:r>
              <w:rPr>
                <w:rFonts w:ascii="Arial" w:cs="Arial" w:eastAsia="Arial" w:hAnsi="Arial"/>
                <w:sz w:val="14"/>
                <w:szCs w:val="14"/>
                <w:i w:val="1"/>
                <w:iCs w:val="1"/>
                <w:color w:val="auto"/>
              </w:rPr>
              <w:t>(in millions)</w:t>
            </w:r>
          </w:p>
        </w:tc>
        <w:tc>
          <w:tcPr>
            <w:tcW w:w="1800" w:type="dxa"/>
            <w:vAlign w:val="bottom"/>
          </w:tcPr>
          <w:p>
            <w:pPr>
              <w:jc w:val="right"/>
              <w:spacing w:after="0"/>
              <w:rPr>
                <w:sz w:val="20"/>
                <w:szCs w:val="20"/>
                <w:color w:val="auto"/>
              </w:rPr>
            </w:pPr>
            <w:r>
              <w:rPr>
                <w:rFonts w:ascii="Arial" w:cs="Arial" w:eastAsia="Arial" w:hAnsi="Arial"/>
                <w:sz w:val="18"/>
                <w:szCs w:val="18"/>
                <w:color w:val="auto"/>
              </w:rPr>
              <w:t>March 31,</w:t>
            </w:r>
          </w:p>
        </w:tc>
        <w:tc>
          <w:tcPr>
            <w:tcW w:w="900" w:type="dxa"/>
            <w:vAlign w:val="bottom"/>
          </w:tcPr>
          <w:p>
            <w:pPr>
              <w:spacing w:after="0"/>
              <w:rPr>
                <w:sz w:val="17"/>
                <w:szCs w:val="17"/>
                <w:color w:val="auto"/>
              </w:rPr>
            </w:pPr>
          </w:p>
        </w:tc>
        <w:tc>
          <w:tcPr>
            <w:tcW w:w="4600" w:type="dxa"/>
            <w:vAlign w:val="bottom"/>
          </w:tcPr>
          <w:p>
            <w:pPr>
              <w:spacing w:after="0"/>
              <w:rPr>
                <w:sz w:val="17"/>
                <w:szCs w:val="17"/>
                <w:color w:val="auto"/>
              </w:rPr>
            </w:pPr>
          </w:p>
        </w:tc>
      </w:tr>
      <w:tr>
        <w:trPr>
          <w:trHeight w:val="230"/>
        </w:trPr>
        <w:tc>
          <w:tcPr>
            <w:tcW w:w="416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rPr>
              <w:t>2011</w:t>
            </w: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2010</w:t>
            </w:r>
          </w:p>
        </w:tc>
        <w:tc>
          <w:tcPr>
            <w:tcW w:w="4600" w:type="dxa"/>
            <w:vAlign w:val="bottom"/>
          </w:tcPr>
          <w:p>
            <w:pPr>
              <w:spacing w:after="0"/>
              <w:rPr>
                <w:sz w:val="20"/>
                <w:szCs w:val="20"/>
                <w:color w:val="auto"/>
              </w:rPr>
            </w:pPr>
          </w:p>
        </w:tc>
      </w:tr>
      <w:tr>
        <w:trPr>
          <w:trHeight w:val="210"/>
        </w:trPr>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 cost</w:t>
            </w:r>
          </w:p>
        </w:tc>
        <w:tc>
          <w:tcPr>
            <w:tcW w:w="18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$4</w:t>
            </w: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$ 4</w:t>
            </w:r>
          </w:p>
        </w:tc>
        <w:tc>
          <w:tcPr>
            <w:tcW w:w="4600" w:type="dxa"/>
            <w:vAlign w:val="bottom"/>
          </w:tcPr>
          <w:p>
            <w:pPr>
              <w:spacing w:after="0"/>
              <w:rPr>
                <w:sz w:val="18"/>
                <w:szCs w:val="18"/>
                <w:color w:val="auto"/>
              </w:rPr>
            </w:pPr>
          </w:p>
        </w:tc>
      </w:tr>
      <w:tr>
        <w:trPr>
          <w:trHeight w:val="216"/>
        </w:trPr>
        <w:tc>
          <w:tcPr>
            <w:tcW w:w="4160" w:type="dxa"/>
            <w:vAlign w:val="bottom"/>
          </w:tcPr>
          <w:p>
            <w:pPr>
              <w:ind w:left="120"/>
              <w:spacing w:after="0"/>
              <w:rPr>
                <w:sz w:val="20"/>
                <w:szCs w:val="20"/>
                <w:color w:val="auto"/>
              </w:rPr>
            </w:pPr>
            <w:r>
              <w:rPr>
                <w:rFonts w:ascii="Arial" w:cs="Arial" w:eastAsia="Arial" w:hAnsi="Arial"/>
                <w:sz w:val="18"/>
                <w:szCs w:val="18"/>
                <w:color w:val="auto"/>
              </w:rPr>
              <w:t>Interest cost</w:t>
            </w:r>
          </w:p>
        </w:tc>
        <w:tc>
          <w:tcPr>
            <w:tcW w:w="1800" w:type="dxa"/>
            <w:vAlign w:val="bottom"/>
          </w:tcPr>
          <w:p>
            <w:pPr>
              <w:jc w:val="right"/>
              <w:ind w:right="790"/>
              <w:spacing w:after="0"/>
              <w:rPr>
                <w:sz w:val="20"/>
                <w:szCs w:val="20"/>
                <w:color w:val="auto"/>
              </w:rPr>
            </w:pPr>
            <w:r>
              <w:rPr>
                <w:rFonts w:ascii="Arial" w:cs="Arial" w:eastAsia="Arial" w:hAnsi="Arial"/>
                <w:sz w:val="18"/>
                <w:szCs w:val="18"/>
                <w:color w:val="auto"/>
              </w:rPr>
              <w:t>6</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4600" w:type="dxa"/>
            <w:vAlign w:val="bottom"/>
          </w:tcPr>
          <w:p>
            <w:pPr>
              <w:spacing w:after="0"/>
              <w:rPr>
                <w:sz w:val="18"/>
                <w:szCs w:val="18"/>
                <w:color w:val="auto"/>
              </w:rPr>
            </w:pPr>
          </w:p>
        </w:tc>
      </w:tr>
      <w:tr>
        <w:trPr>
          <w:trHeight w:val="216"/>
        </w:trPr>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Expected return on plan assets</w:t>
            </w:r>
          </w:p>
        </w:tc>
        <w:tc>
          <w:tcPr>
            <w:tcW w:w="180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(7)</w:t>
            </w:r>
          </w:p>
        </w:tc>
        <w:tc>
          <w:tcPr>
            <w:tcW w:w="9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w:t>
            </w:r>
          </w:p>
        </w:tc>
        <w:tc>
          <w:tcPr>
            <w:tcW w:w="4600" w:type="dxa"/>
            <w:vAlign w:val="bottom"/>
          </w:tcPr>
          <w:p>
            <w:pPr>
              <w:spacing w:after="0"/>
              <w:rPr>
                <w:sz w:val="18"/>
                <w:szCs w:val="18"/>
                <w:color w:val="auto"/>
              </w:rPr>
            </w:pPr>
          </w:p>
        </w:tc>
      </w:tr>
      <w:tr>
        <w:trPr>
          <w:trHeight w:val="216"/>
        </w:trPr>
        <w:tc>
          <w:tcPr>
            <w:tcW w:w="4160" w:type="dxa"/>
            <w:vAlign w:val="bottom"/>
          </w:tcPr>
          <w:p>
            <w:pPr>
              <w:ind w:left="120"/>
              <w:spacing w:after="0"/>
              <w:rPr>
                <w:sz w:val="20"/>
                <w:szCs w:val="20"/>
                <w:color w:val="auto"/>
              </w:rPr>
            </w:pPr>
            <w:r>
              <w:rPr>
                <w:rFonts w:ascii="Arial" w:cs="Arial" w:eastAsia="Arial" w:hAnsi="Arial"/>
                <w:sz w:val="18"/>
                <w:szCs w:val="18"/>
                <w:color w:val="auto"/>
              </w:rPr>
              <w:t>Amortization of prior service cost</w:t>
            </w:r>
          </w:p>
        </w:tc>
        <w:tc>
          <w:tcPr>
            <w:tcW w:w="1800" w:type="dxa"/>
            <w:vAlign w:val="bottom"/>
          </w:tcPr>
          <w:p>
            <w:pPr>
              <w:jc w:val="right"/>
              <w:ind w:right="790"/>
              <w:spacing w:after="0"/>
              <w:rPr>
                <w:sz w:val="20"/>
                <w:szCs w:val="20"/>
                <w:color w:val="auto"/>
              </w:rPr>
            </w:pPr>
            <w:r>
              <w:rPr>
                <w:rFonts w:ascii="Arial" w:cs="Arial" w:eastAsia="Arial" w:hAnsi="Arial"/>
                <w:sz w:val="18"/>
                <w:szCs w:val="18"/>
                <w:color w:val="auto"/>
              </w:rPr>
              <w:t>0</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4600" w:type="dxa"/>
            <w:vAlign w:val="bottom"/>
          </w:tcPr>
          <w:p>
            <w:pPr>
              <w:spacing w:after="0"/>
              <w:rPr>
                <w:sz w:val="18"/>
                <w:szCs w:val="18"/>
                <w:color w:val="auto"/>
              </w:rPr>
            </w:pPr>
          </w:p>
        </w:tc>
      </w:tr>
      <w:tr>
        <w:trPr>
          <w:trHeight w:val="216"/>
        </w:trPr>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actuarial loss</w:t>
            </w:r>
          </w:p>
        </w:tc>
        <w:tc>
          <w:tcPr>
            <w:tcW w:w="18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2</w:t>
            </w:r>
          </w:p>
        </w:tc>
        <w:tc>
          <w:tcPr>
            <w:tcW w:w="9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4600" w:type="dxa"/>
            <w:vAlign w:val="bottom"/>
          </w:tcPr>
          <w:p>
            <w:pPr>
              <w:spacing w:after="0"/>
              <w:rPr>
                <w:sz w:val="18"/>
                <w:szCs w:val="18"/>
                <w:color w:val="auto"/>
              </w:rPr>
            </w:pPr>
          </w:p>
        </w:tc>
      </w:tr>
      <w:tr>
        <w:trPr>
          <w:trHeight w:val="210"/>
        </w:trPr>
        <w:tc>
          <w:tcPr>
            <w:tcW w:w="4160" w:type="dxa"/>
            <w:vAlign w:val="bottom"/>
          </w:tcPr>
          <w:p>
            <w:pPr>
              <w:ind w:left="120"/>
              <w:spacing w:after="0"/>
              <w:rPr>
                <w:sz w:val="20"/>
                <w:szCs w:val="20"/>
                <w:color w:val="auto"/>
              </w:rPr>
            </w:pPr>
            <w:r>
              <w:rPr>
                <w:rFonts w:ascii="Arial" w:cs="Arial" w:eastAsia="Arial" w:hAnsi="Arial"/>
                <w:sz w:val="18"/>
                <w:szCs w:val="18"/>
                <w:color w:val="auto"/>
              </w:rPr>
              <w:t>Net periodic benefit cost</w:t>
            </w:r>
          </w:p>
        </w:tc>
        <w:tc>
          <w:tcPr>
            <w:tcW w:w="18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$5</w:t>
            </w: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$ 4</w:t>
            </w:r>
          </w:p>
        </w:tc>
        <w:tc>
          <w:tcPr>
            <w:tcW w:w="460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413"/>
        </w:trPr>
        <w:tc>
          <w:tcPr>
            <w:tcW w:w="4160" w:type="dxa"/>
            <w:vAlign w:val="bottom"/>
          </w:tcPr>
          <w:p>
            <w:pPr>
              <w:spacing w:after="0"/>
              <w:rPr>
                <w:sz w:val="24"/>
                <w:szCs w:val="24"/>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29</w:t>
            </w:r>
          </w:p>
        </w:tc>
        <w:tc>
          <w:tcPr>
            <w:tcW w:w="9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132"/>
        </w:trPr>
        <w:tc>
          <w:tcPr>
            <w:tcW w:w="416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6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Reconciliation of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shareholders’ equity follows for the year-to-date December 31, 2010 and March 31, 2011: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94"/>
              </w:rPr>
              <w:t>Indemnity</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Exchange</w:t>
            </w: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Erie</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90"/>
              </w:rPr>
              <w:t>shareholders’</w:t>
            </w: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noncontrolling</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Insurance</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gridSpan w:val="2"/>
          </w:tcPr>
          <w:p>
            <w:pPr>
              <w:ind w:left="120"/>
              <w:spacing w:after="0"/>
              <w:rPr>
                <w:sz w:val="20"/>
                <w:szCs w:val="20"/>
                <w:color w:val="auto"/>
              </w:rPr>
            </w:pPr>
            <w:r>
              <w:rPr>
                <w:rFonts w:ascii="Arial" w:cs="Arial" w:eastAsia="Arial" w:hAnsi="Arial"/>
                <w:sz w:val="14"/>
                <w:szCs w:val="14"/>
                <w:i w:val="1"/>
                <w:iCs w:val="1"/>
                <w:color w:val="auto"/>
              </w:rPr>
              <w:t>(in millions, except per share data)</w:t>
            </w: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1"/>
              </w:rPr>
              <w:t>interest</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interest</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Group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140" w:type="dxa"/>
            <w:vAlign w:val="bottom"/>
            <w:gridSpan w:val="2"/>
          </w:tcPr>
          <w:p>
            <w:pPr>
              <w:ind w:left="120"/>
              <w:spacing w:after="0"/>
              <w:rPr>
                <w:sz w:val="20"/>
                <w:szCs w:val="20"/>
                <w:color w:val="auto"/>
              </w:rPr>
            </w:pPr>
            <w:r>
              <w:rPr>
                <w:rFonts w:ascii="Arial" w:cs="Arial" w:eastAsia="Arial" w:hAnsi="Arial"/>
                <w:sz w:val="18"/>
                <w:szCs w:val="18"/>
                <w:b w:val="1"/>
                <w:bCs w:val="1"/>
                <w:color w:val="auto"/>
              </w:rPr>
              <w:t>Balance at December 31, 2009</w:t>
            </w: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$902</w:t>
            </w:r>
          </w:p>
        </w:tc>
        <w:tc>
          <w:tcPr>
            <w:tcW w:w="1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$4,823</w:t>
            </w: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$5,725</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120" w:type="dxa"/>
            <w:vAlign w:val="bottom"/>
          </w:tcPr>
          <w:p>
            <w:pPr>
              <w:spacing w:after="0"/>
              <w:rPr>
                <w:sz w:val="14"/>
                <w:szCs w:val="14"/>
                <w:color w:val="auto"/>
              </w:rPr>
            </w:pPr>
          </w:p>
        </w:tc>
        <w:tc>
          <w:tcPr>
            <w:tcW w:w="60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Comprehensive income:</w:t>
            </w:r>
          </w:p>
        </w:tc>
        <w:tc>
          <w:tcPr>
            <w:tcW w:w="134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162</w:t>
            </w:r>
          </w:p>
        </w:tc>
        <w:tc>
          <w:tcPr>
            <w:tcW w:w="1600" w:type="dxa"/>
            <w:vAlign w:val="bottom"/>
          </w:tcPr>
          <w:p>
            <w:pPr>
              <w:jc w:val="right"/>
              <w:ind w:right="390"/>
              <w:spacing w:after="0"/>
              <w:rPr>
                <w:sz w:val="20"/>
                <w:szCs w:val="20"/>
                <w:color w:val="auto"/>
              </w:rPr>
            </w:pPr>
            <w:r>
              <w:rPr>
                <w:rFonts w:ascii="Arial" w:cs="Arial" w:eastAsia="Arial" w:hAnsi="Arial"/>
                <w:sz w:val="18"/>
                <w:szCs w:val="18"/>
                <w:color w:val="auto"/>
              </w:rPr>
              <w:t>498</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660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net of tax:</w:t>
            </w:r>
          </w:p>
        </w:tc>
        <w:tc>
          <w:tcPr>
            <w:tcW w:w="1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20" w:type="dxa"/>
            <w:vAlign w:val="bottom"/>
          </w:tcPr>
          <w:p>
            <w:pPr>
              <w:ind w:left="360"/>
              <w:spacing w:after="0"/>
              <w:rPr>
                <w:sz w:val="20"/>
                <w:szCs w:val="20"/>
                <w:color w:val="auto"/>
              </w:rPr>
            </w:pPr>
            <w:r>
              <w:rPr>
                <w:rFonts w:ascii="Arial" w:cs="Arial" w:eastAsia="Arial" w:hAnsi="Arial"/>
                <w:sz w:val="18"/>
                <w:szCs w:val="18"/>
                <w:color w:val="auto"/>
              </w:rPr>
              <w:t>Unrealized gains on securities</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9</w:t>
            </w:r>
          </w:p>
        </w:tc>
        <w:tc>
          <w:tcPr>
            <w:tcW w:w="1600" w:type="dxa"/>
            <w:vAlign w:val="bottom"/>
          </w:tcPr>
          <w:p>
            <w:pPr>
              <w:jc w:val="right"/>
              <w:ind w:right="390"/>
              <w:spacing w:after="0"/>
              <w:rPr>
                <w:sz w:val="20"/>
                <w:szCs w:val="20"/>
                <w:color w:val="auto"/>
              </w:rPr>
            </w:pPr>
            <w:r>
              <w:rPr>
                <w:rFonts w:ascii="Arial" w:cs="Arial" w:eastAsia="Arial" w:hAnsi="Arial"/>
                <w:sz w:val="18"/>
                <w:szCs w:val="18"/>
                <w:color w:val="auto"/>
              </w:rPr>
              <w:t>101</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110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Reclassification of unrealized gain on sale of P&amp;C affiliated subsidiaries</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w:t>
            </w:r>
          </w:p>
        </w:tc>
        <w:tc>
          <w:tcPr>
            <w:tcW w:w="1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20" w:type="dxa"/>
            <w:vAlign w:val="bottom"/>
          </w:tcPr>
          <w:p>
            <w:pPr>
              <w:ind w:left="360"/>
              <w:spacing w:after="0"/>
              <w:rPr>
                <w:sz w:val="20"/>
                <w:szCs w:val="20"/>
                <w:color w:val="auto"/>
              </w:rPr>
            </w:pPr>
            <w:r>
              <w:rPr>
                <w:rFonts w:ascii="Arial" w:cs="Arial" w:eastAsia="Arial" w:hAnsi="Arial"/>
                <w:sz w:val="18"/>
                <w:szCs w:val="18"/>
                <w:color w:val="auto"/>
              </w:rPr>
              <w:t>Postretirement plans:</w:t>
            </w:r>
          </w:p>
        </w:tc>
        <w:tc>
          <w:tcPr>
            <w:tcW w:w="1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Amortization of prior service cost</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20" w:type="dxa"/>
            <w:vAlign w:val="bottom"/>
          </w:tcPr>
          <w:p>
            <w:pPr>
              <w:ind w:left="540"/>
              <w:spacing w:after="0"/>
              <w:rPr>
                <w:sz w:val="20"/>
                <w:szCs w:val="20"/>
                <w:color w:val="auto"/>
              </w:rPr>
            </w:pPr>
            <w:r>
              <w:rPr>
                <w:rFonts w:ascii="Arial" w:cs="Arial" w:eastAsia="Arial" w:hAnsi="Arial"/>
                <w:sz w:val="18"/>
                <w:szCs w:val="18"/>
                <w:color w:val="auto"/>
              </w:rPr>
              <w:t>Amortization of net actuarial loss</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2</w:t>
            </w:r>
          </w:p>
        </w:tc>
        <w:tc>
          <w:tcPr>
            <w:tcW w:w="16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actuarial loss during year</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w:t>
            </w:r>
          </w:p>
        </w:tc>
        <w:tc>
          <w:tcPr>
            <w:tcW w:w="1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20" w:type="dxa"/>
            <w:vAlign w:val="bottom"/>
          </w:tcPr>
          <w:p>
            <w:pPr>
              <w:ind w:left="540"/>
              <w:spacing w:after="0"/>
              <w:rPr>
                <w:sz w:val="20"/>
                <w:szCs w:val="20"/>
                <w:color w:val="auto"/>
              </w:rPr>
            </w:pPr>
            <w:r>
              <w:rPr>
                <w:rFonts w:ascii="Arial" w:cs="Arial" w:eastAsia="Arial" w:hAnsi="Arial"/>
                <w:sz w:val="18"/>
                <w:szCs w:val="18"/>
                <w:color w:val="auto"/>
              </w:rPr>
              <w:t>Loss due to plan changes during year</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6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Curtailment/settlement loss arising during year</w:t>
            </w:r>
          </w:p>
        </w:tc>
        <w:tc>
          <w:tcPr>
            <w:tcW w:w="13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6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Postretirement plans</w:t>
            </w: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w:t>
            </w:r>
          </w:p>
        </w:tc>
        <w:tc>
          <w:tcPr>
            <w:tcW w:w="1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(loss) income, net of tax</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w:t>
            </w:r>
          </w:p>
        </w:tc>
        <w:tc>
          <w:tcPr>
            <w:tcW w:w="1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101</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91</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6020" w:type="dxa"/>
            <w:vAlign w:val="bottom"/>
          </w:tcPr>
          <w:p>
            <w:pPr>
              <w:ind w:left="180"/>
              <w:spacing w:after="0" w:line="201" w:lineRule="exact"/>
              <w:rPr>
                <w:sz w:val="20"/>
                <w:szCs w:val="20"/>
                <w:color w:val="auto"/>
              </w:rPr>
            </w:pPr>
            <w:r>
              <w:rPr>
                <w:rFonts w:ascii="Arial" w:cs="Arial" w:eastAsia="Arial" w:hAnsi="Arial"/>
                <w:sz w:val="18"/>
                <w:szCs w:val="18"/>
                <w:color w:val="auto"/>
                <w:w w:val="96"/>
              </w:rPr>
              <w:t>Reclassification of unrealized gain on sale of P&amp;C affiliated subsidiaries, net</w:t>
            </w:r>
          </w:p>
        </w:tc>
        <w:tc>
          <w:tcPr>
            <w:tcW w:w="1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6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of tax</w:t>
            </w: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15</w:t>
            </w:r>
          </w:p>
        </w:tc>
        <w:tc>
          <w:tcPr>
            <w:tcW w:w="1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15</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3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167</w:t>
            </w:r>
          </w:p>
        </w:tc>
        <w:tc>
          <w:tcPr>
            <w:tcW w:w="1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599</w:t>
            </w: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766</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(58)</w:t>
            </w:r>
          </w:p>
        </w:tc>
        <w:tc>
          <w:tcPr>
            <w:tcW w:w="16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(58)</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1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20" w:type="dxa"/>
            <w:vAlign w:val="bottom"/>
          </w:tcPr>
          <w:p>
            <w:pPr>
              <w:ind w:left="180"/>
              <w:spacing w:after="0"/>
              <w:rPr>
                <w:sz w:val="20"/>
                <w:szCs w:val="20"/>
                <w:color w:val="auto"/>
              </w:rPr>
            </w:pPr>
            <w:r>
              <w:rPr>
                <w:rFonts w:ascii="Arial" w:cs="Arial" w:eastAsia="Arial" w:hAnsi="Arial"/>
                <w:sz w:val="18"/>
                <w:szCs w:val="18"/>
                <w:color w:val="auto"/>
              </w:rPr>
              <w:t>Class A $1.995 per share</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(99)</w:t>
            </w:r>
          </w:p>
        </w:tc>
        <w:tc>
          <w:tcPr>
            <w:tcW w:w="16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(99)</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B $293.25 per share</w:t>
            </w:r>
          </w:p>
        </w:tc>
        <w:tc>
          <w:tcPr>
            <w:tcW w:w="13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140" w:type="dxa"/>
            <w:vAlign w:val="bottom"/>
            <w:gridSpan w:val="2"/>
          </w:tcPr>
          <w:p>
            <w:pPr>
              <w:ind w:left="120"/>
              <w:spacing w:after="0"/>
              <w:rPr>
                <w:sz w:val="20"/>
                <w:szCs w:val="20"/>
                <w:color w:val="auto"/>
              </w:rPr>
            </w:pPr>
            <w:r>
              <w:rPr>
                <w:rFonts w:ascii="Arial" w:cs="Arial" w:eastAsia="Arial" w:hAnsi="Arial"/>
                <w:sz w:val="18"/>
                <w:szCs w:val="18"/>
                <w:b w:val="1"/>
                <w:bCs w:val="1"/>
                <w:color w:val="auto"/>
              </w:rPr>
              <w:t>Balance at December 31, 2010</w:t>
            </w: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$912</w:t>
            </w:r>
          </w:p>
        </w:tc>
        <w:tc>
          <w:tcPr>
            <w:tcW w:w="1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$5,422</w:t>
            </w: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$6,334</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120" w:type="dxa"/>
            <w:vAlign w:val="bottom"/>
          </w:tcPr>
          <w:p>
            <w:pPr>
              <w:spacing w:after="0"/>
              <w:rPr>
                <w:sz w:val="14"/>
                <w:szCs w:val="14"/>
                <w:color w:val="auto"/>
              </w:rPr>
            </w:pPr>
          </w:p>
        </w:tc>
        <w:tc>
          <w:tcPr>
            <w:tcW w:w="60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Comprehensive income:</w:t>
            </w:r>
          </w:p>
        </w:tc>
        <w:tc>
          <w:tcPr>
            <w:tcW w:w="134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44</w:t>
            </w:r>
          </w:p>
        </w:tc>
        <w:tc>
          <w:tcPr>
            <w:tcW w:w="1600" w:type="dxa"/>
            <w:vAlign w:val="bottom"/>
          </w:tcPr>
          <w:p>
            <w:pPr>
              <w:jc w:val="right"/>
              <w:ind w:right="390"/>
              <w:spacing w:after="0"/>
              <w:rPr>
                <w:sz w:val="20"/>
                <w:szCs w:val="20"/>
                <w:color w:val="auto"/>
              </w:rPr>
            </w:pPr>
            <w:r>
              <w:rPr>
                <w:rFonts w:ascii="Arial" w:cs="Arial" w:eastAsia="Arial" w:hAnsi="Arial"/>
                <w:sz w:val="18"/>
                <w:szCs w:val="18"/>
                <w:color w:val="auto"/>
              </w:rPr>
              <w:t>230</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274</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net of tax:</w:t>
            </w:r>
          </w:p>
        </w:tc>
        <w:tc>
          <w:tcPr>
            <w:tcW w:w="1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20" w:type="dxa"/>
            <w:vAlign w:val="bottom"/>
          </w:tcPr>
          <w:p>
            <w:pPr>
              <w:ind w:left="360"/>
              <w:spacing w:after="0"/>
              <w:rPr>
                <w:sz w:val="20"/>
                <w:szCs w:val="20"/>
                <w:color w:val="auto"/>
              </w:rPr>
            </w:pPr>
            <w:r>
              <w:rPr>
                <w:rFonts w:ascii="Arial" w:cs="Arial" w:eastAsia="Arial" w:hAnsi="Arial"/>
                <w:sz w:val="18"/>
                <w:szCs w:val="18"/>
                <w:color w:val="auto"/>
              </w:rPr>
              <w:t>Unrealized (loss) gains on securities</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(1)</w:t>
            </w:r>
          </w:p>
        </w:tc>
        <w:tc>
          <w:tcPr>
            <w:tcW w:w="1600" w:type="dxa"/>
            <w:vAlign w:val="bottom"/>
          </w:tcPr>
          <w:p>
            <w:pPr>
              <w:jc w:val="right"/>
              <w:ind w:right="390"/>
              <w:spacing w:after="0"/>
              <w:rPr>
                <w:sz w:val="20"/>
                <w:szCs w:val="20"/>
                <w:color w:val="auto"/>
              </w:rPr>
            </w:pPr>
            <w:r>
              <w:rPr>
                <w:rFonts w:ascii="Arial" w:cs="Arial" w:eastAsia="Arial" w:hAnsi="Arial"/>
                <w:sz w:val="18"/>
                <w:szCs w:val="18"/>
                <w:color w:val="auto"/>
              </w:rPr>
              <w:t>6</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Reclassification of unrealized gain on sale of EFL</w:t>
            </w:r>
          </w:p>
        </w:tc>
        <w:tc>
          <w:tcPr>
            <w:tcW w:w="13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(9)</w:t>
            </w:r>
          </w:p>
        </w:tc>
        <w:tc>
          <w:tcPr>
            <w:tcW w:w="1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(9)</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6020" w:type="dxa"/>
            <w:vAlign w:val="bottom"/>
          </w:tcPr>
          <w:p>
            <w:pPr>
              <w:ind w:left="180"/>
              <w:spacing w:after="0"/>
              <w:rPr>
                <w:sz w:val="20"/>
                <w:szCs w:val="20"/>
                <w:color w:val="auto"/>
              </w:rPr>
            </w:pPr>
            <w:r>
              <w:rPr>
                <w:rFonts w:ascii="Arial" w:cs="Arial" w:eastAsia="Arial" w:hAnsi="Arial"/>
                <w:sz w:val="18"/>
                <w:szCs w:val="18"/>
                <w:color w:val="auto"/>
              </w:rPr>
              <w:t>Other comprehensive (loss) income, net of tax</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(10)</w:t>
            </w:r>
          </w:p>
        </w:tc>
        <w:tc>
          <w:tcPr>
            <w:tcW w:w="1600" w:type="dxa"/>
            <w:vAlign w:val="bottom"/>
          </w:tcPr>
          <w:p>
            <w:pPr>
              <w:jc w:val="right"/>
              <w:ind w:right="390"/>
              <w:spacing w:after="0"/>
              <w:rPr>
                <w:sz w:val="20"/>
                <w:szCs w:val="20"/>
                <w:color w:val="auto"/>
              </w:rPr>
            </w:pPr>
            <w:r>
              <w:rPr>
                <w:rFonts w:ascii="Arial" w:cs="Arial" w:eastAsia="Arial" w:hAnsi="Arial"/>
                <w:sz w:val="18"/>
                <w:szCs w:val="18"/>
                <w:color w:val="auto"/>
              </w:rPr>
              <w:t>6</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(4)</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Reclassification of unrealized gain on sale of EFL, net of tax</w:t>
            </w:r>
          </w:p>
        </w:tc>
        <w:tc>
          <w:tcPr>
            <w:tcW w:w="13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9</w:t>
            </w:r>
          </w:p>
        </w:tc>
        <w:tc>
          <w:tcPr>
            <w:tcW w:w="1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9</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Comprehensive income</w:t>
            </w: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43</w:t>
            </w:r>
          </w:p>
        </w:tc>
        <w:tc>
          <w:tcPr>
            <w:tcW w:w="1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236</w:t>
            </w: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279</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(36)</w:t>
            </w:r>
          </w:p>
        </w:tc>
        <w:tc>
          <w:tcPr>
            <w:tcW w:w="1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(36)</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Dividends declared:</w:t>
            </w:r>
          </w:p>
        </w:tc>
        <w:tc>
          <w:tcPr>
            <w:tcW w:w="1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A $0.515 per share</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(26)</w:t>
            </w:r>
          </w:p>
        </w:tc>
        <w:tc>
          <w:tcPr>
            <w:tcW w:w="1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(26)</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Class B $77.25 per share</w:t>
            </w: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w:t>
            </w:r>
          </w:p>
        </w:tc>
        <w:tc>
          <w:tcPr>
            <w:tcW w:w="1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2011</w:t>
            </w:r>
          </w:p>
        </w:tc>
        <w:tc>
          <w:tcPr>
            <w:tcW w:w="13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$893</w:t>
            </w:r>
          </w:p>
        </w:tc>
        <w:tc>
          <w:tcPr>
            <w:tcW w:w="1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$5,658</w:t>
            </w: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$6,551</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jc w:val="right"/>
              <w:ind w:right="250"/>
              <w:spacing w:after="0"/>
              <w:rPr>
                <w:sz w:val="20"/>
                <w:szCs w:val="20"/>
                <w:color w:val="auto"/>
              </w:rPr>
            </w:pPr>
            <w:r>
              <w:rPr>
                <w:rFonts w:ascii="Arial" w:cs="Arial" w:eastAsia="Arial" w:hAnsi="Arial"/>
                <w:sz w:val="18"/>
                <w:szCs w:val="18"/>
                <w:color w:val="auto"/>
              </w:rPr>
              <w:t>30</w:t>
            </w:r>
          </w:p>
        </w:tc>
        <w:tc>
          <w:tcPr>
            <w:tcW w:w="1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4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0" w:type="dxa"/>
            <w:vAlign w:val="bottom"/>
            <w:tcBorders>
              <w:bottom w:val="single" w:sz="8" w:color="010101"/>
            </w:tcBorders>
          </w:tcPr>
          <w:p>
            <w:pPr>
              <w:spacing w:after="0"/>
              <w:rPr>
                <w:sz w:val="11"/>
                <w:szCs w:val="11"/>
                <w:color w:val="auto"/>
              </w:rPr>
            </w:pPr>
          </w:p>
        </w:tc>
        <w:tc>
          <w:tcPr>
            <w:tcW w:w="602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ectPr>
          <w:pgSz w:w="11900" w:h="16838" w:orient="portrait"/>
          <w:cols w:equalWidth="0" w:num="1">
            <w:col w:w="11460"/>
          </w:cols>
          <w:pgMar w:left="240" w:top="341" w:right="199" w:bottom="198" w:gutter="0" w:footer="0" w:header="0"/>
        </w:sectPr>
      </w:pPr>
    </w:p>
    <w:bookmarkStart w:id="20" w:name="page21"/>
    <w:bookmarkEnd w:id="20"/>
    <w:p>
      <w:pPr>
        <w:jc w:val="both"/>
        <w:ind w:right="200"/>
        <w:spacing w:after="0" w:line="264" w:lineRule="auto"/>
        <w:rPr>
          <w:sz w:val="20"/>
          <w:szCs w:val="20"/>
          <w:color w:val="auto"/>
        </w:rPr>
      </w:pPr>
      <w:r>
        <w:rPr>
          <w:rFonts w:ascii="Arial" w:cs="Arial" w:eastAsia="Arial" w:hAnsi="Arial"/>
          <w:sz w:val="18"/>
          <w:szCs w:val="18"/>
          <w:color w:val="auto"/>
        </w:rPr>
        <w:t>Indemnity has contractual commitments to invest up to $47 million related to its limited partnership investments at March 31, 2011. These commitments are split between private equity securities of $20 million, real estate activities of $15 million and mezzanine debt securities of $12 million. These commitments will be funded as required by the partnership agreements.</w:t>
      </w:r>
    </w:p>
    <w:p>
      <w:pPr>
        <w:spacing w:after="0" w:line="18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Exchange, including EFL, has contractual commitments to invest up to $429 million related to its limited partnership investments at March 31, 2011. These commitments are split between private equity securities of $170 million, real estate activities of $132 million and mezzanine debt securities of $127 million. These commitments will be funded as required by the partnership agreements.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are involved in litigation arising in the ordinary course of business. In our opinion, the effects, if any, of such litigation are not expected to be material to our consolidated financial condition, operations or cash flows.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Statutory Information</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Cash and securities with a carrying value of $14 million were deposited by the property and casualty and life entities with regulatory authorities under statutory requirements at March 31, 2011 and December 31, 2010.</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r>
              <w:rPr>
                <w:rFonts w:ascii="Arial" w:cs="Arial" w:eastAsia="Arial" w:hAnsi="Arial"/>
                <w:sz w:val="18"/>
                <w:szCs w:val="18"/>
                <w:b w:val="1"/>
                <w:bCs w:val="1"/>
                <w:color w:val="auto"/>
              </w:rPr>
              <w:t>Note 14. Indemnity Supplemental Information</w:t>
            </w: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3"/>
          </w:tcPr>
          <w:p>
            <w:pPr>
              <w:jc w:val="center"/>
              <w:ind w:right="30"/>
              <w:spacing w:after="0"/>
              <w:rPr>
                <w:sz w:val="20"/>
                <w:szCs w:val="20"/>
                <w:color w:val="auto"/>
              </w:rPr>
            </w:pPr>
            <w:r>
              <w:rPr>
                <w:rFonts w:ascii="Arial" w:cs="Arial" w:eastAsia="Arial" w:hAnsi="Arial"/>
                <w:sz w:val="18"/>
                <w:szCs w:val="18"/>
                <w:color w:val="auto"/>
                <w:w w:val="91"/>
              </w:rPr>
              <w:t>Consolidating Statement of Financial Position</w:t>
            </w:r>
          </w:p>
        </w:tc>
        <w:tc>
          <w:tcPr>
            <w:tcW w:w="13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40" w:type="dxa"/>
            <w:vAlign w:val="bottom"/>
            <w:gridSpan w:val="2"/>
          </w:tcPr>
          <w:p>
            <w:pPr>
              <w:jc w:val="center"/>
              <w:ind w:left="770"/>
              <w:spacing w:after="0" w:line="195" w:lineRule="exact"/>
              <w:rPr>
                <w:sz w:val="20"/>
                <w:szCs w:val="20"/>
                <w:color w:val="auto"/>
              </w:rPr>
            </w:pPr>
            <w:r>
              <w:rPr>
                <w:rFonts w:ascii="Arial" w:cs="Arial" w:eastAsia="Arial" w:hAnsi="Arial"/>
                <w:sz w:val="18"/>
                <w:szCs w:val="18"/>
                <w:color w:val="auto"/>
                <w:w w:val="91"/>
              </w:rPr>
              <w:t>March 31, 2011</w:t>
            </w:r>
          </w:p>
        </w:tc>
        <w:tc>
          <w:tcPr>
            <w:tcW w:w="9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4"/>
              </w:rPr>
              <w:t>Indemnity</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9"/>
              </w:rPr>
              <w:t>Exchange</w:t>
            </w:r>
          </w:p>
        </w:tc>
        <w:tc>
          <w:tcPr>
            <w:tcW w:w="2020" w:type="dxa"/>
            <w:vAlign w:val="bottom"/>
            <w:gridSpan w:val="2"/>
          </w:tcPr>
          <w:p>
            <w:pPr>
              <w:jc w:val="center"/>
              <w:ind w:right="70"/>
              <w:spacing w:after="0"/>
              <w:rPr>
                <w:sz w:val="20"/>
                <w:szCs w:val="20"/>
                <w:color w:val="auto"/>
              </w:rPr>
            </w:pPr>
            <w:r>
              <w:rPr>
                <w:rFonts w:ascii="Arial" w:cs="Arial" w:eastAsia="Arial" w:hAnsi="Arial"/>
                <w:sz w:val="18"/>
                <w:szCs w:val="18"/>
                <w:color w:val="auto"/>
                <w:w w:val="90"/>
              </w:rPr>
              <w:t>Reclassifications</w:t>
            </w: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Erie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8"/>
              </w:rPr>
              <w:t>shareholder</w:t>
            </w:r>
          </w:p>
        </w:tc>
        <w:tc>
          <w:tcPr>
            <w:tcW w:w="1780" w:type="dxa"/>
            <w:vAlign w:val="bottom"/>
          </w:tcPr>
          <w:p>
            <w:pPr>
              <w:jc w:val="center"/>
              <w:ind w:left="30"/>
              <w:spacing w:after="0"/>
              <w:rPr>
                <w:sz w:val="20"/>
                <w:szCs w:val="20"/>
                <w:color w:val="auto"/>
              </w:rPr>
            </w:pPr>
            <w:r>
              <w:rPr>
                <w:rFonts w:ascii="Arial" w:cs="Arial" w:eastAsia="Arial" w:hAnsi="Arial"/>
                <w:sz w:val="18"/>
                <w:szCs w:val="18"/>
                <w:color w:val="auto"/>
                <w:w w:val="94"/>
              </w:rPr>
              <w:t>noncontrolling</w:t>
            </w:r>
          </w:p>
        </w:tc>
        <w:tc>
          <w:tcPr>
            <w:tcW w:w="1060" w:type="dxa"/>
            <w:vAlign w:val="bottom"/>
          </w:tcPr>
          <w:p>
            <w:pPr>
              <w:jc w:val="center"/>
              <w:ind w:left="710"/>
              <w:spacing w:after="0"/>
              <w:rPr>
                <w:sz w:val="20"/>
                <w:szCs w:val="20"/>
                <w:color w:val="auto"/>
              </w:rPr>
            </w:pPr>
            <w:r>
              <w:rPr>
                <w:rFonts w:ascii="Arial" w:cs="Arial" w:eastAsia="Arial" w:hAnsi="Arial"/>
                <w:sz w:val="18"/>
                <w:szCs w:val="18"/>
                <w:color w:val="auto"/>
                <w:w w:val="86"/>
              </w:rPr>
              <w:t>and</w:t>
            </w:r>
          </w:p>
        </w:tc>
        <w:tc>
          <w:tcPr>
            <w:tcW w:w="9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Insurance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Assets</w:t>
            </w:r>
          </w:p>
        </w:tc>
        <w:tc>
          <w:tcPr>
            <w:tcW w:w="94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88"/>
              </w:rPr>
              <w:t>interest</w:t>
            </w:r>
          </w:p>
        </w:tc>
        <w:tc>
          <w:tcPr>
            <w:tcW w:w="4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8"/>
              </w:rPr>
              <w:t>interest</w:t>
            </w:r>
          </w:p>
        </w:tc>
        <w:tc>
          <w:tcPr>
            <w:tcW w:w="202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color w:val="auto"/>
                <w:w w:val="92"/>
              </w:rPr>
              <w:t>eliminations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Group</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Available-for-sale securities, at fair value:</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maturities</w:t>
            </w:r>
          </w:p>
        </w:tc>
        <w:tc>
          <w:tcPr>
            <w:tcW w:w="1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$513</w:t>
            </w:r>
          </w:p>
        </w:tc>
        <w:tc>
          <w:tcPr>
            <w:tcW w:w="17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$7,254</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Equity securities</w:t>
            </w:r>
          </w:p>
        </w:tc>
        <w:tc>
          <w:tcPr>
            <w:tcW w:w="940" w:type="dxa"/>
            <w:vAlign w:val="bottom"/>
          </w:tcPr>
          <w:p>
            <w:pPr>
              <w:spacing w:after="0"/>
              <w:rPr>
                <w:sz w:val="18"/>
                <w:szCs w:val="18"/>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22</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603</w:t>
            </w:r>
          </w:p>
        </w:tc>
        <w:tc>
          <w:tcPr>
            <w:tcW w:w="106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Trading securities, at fair value</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c>
          <w:tcPr>
            <w:tcW w:w="17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2,462</w:t>
            </w:r>
          </w:p>
        </w:tc>
        <w:tc>
          <w:tcPr>
            <w:tcW w:w="10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Limited partnerships</w:t>
            </w:r>
          </w:p>
        </w:tc>
        <w:tc>
          <w:tcPr>
            <w:tcW w:w="940" w:type="dxa"/>
            <w:vAlign w:val="bottom"/>
          </w:tcPr>
          <w:p>
            <w:pPr>
              <w:spacing w:after="0"/>
              <w:rPr>
                <w:sz w:val="18"/>
                <w:szCs w:val="18"/>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w w:val="86"/>
              </w:rPr>
              <w:t>222</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1,153</w:t>
            </w:r>
          </w:p>
        </w:tc>
        <w:tc>
          <w:tcPr>
            <w:tcW w:w="106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invested assets</w:t>
            </w:r>
          </w:p>
        </w:tc>
        <w:tc>
          <w:tcPr>
            <w:tcW w:w="9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7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18</w:t>
            </w:r>
          </w:p>
        </w:tc>
        <w:tc>
          <w:tcPr>
            <w:tcW w:w="10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Pr>
          <w:p>
            <w:pPr>
              <w:ind w:left="360"/>
              <w:spacing w:after="0"/>
              <w:rPr>
                <w:sz w:val="20"/>
                <w:szCs w:val="20"/>
                <w:color w:val="auto"/>
              </w:rPr>
            </w:pPr>
            <w:r>
              <w:rPr>
                <w:rFonts w:ascii="Arial" w:cs="Arial" w:eastAsia="Arial" w:hAnsi="Arial"/>
                <w:sz w:val="18"/>
                <w:szCs w:val="18"/>
                <w:color w:val="auto"/>
              </w:rPr>
              <w:t>Total investments</w:t>
            </w:r>
          </w:p>
        </w:tc>
        <w:tc>
          <w:tcPr>
            <w:tcW w:w="940" w:type="dxa"/>
            <w:vAlign w:val="bottom"/>
          </w:tcPr>
          <w:p>
            <w:pPr>
              <w:spacing w:after="0"/>
              <w:rPr>
                <w:sz w:val="18"/>
                <w:szCs w:val="18"/>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w w:val="86"/>
              </w:rPr>
              <w:t>787</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11,490</w:t>
            </w:r>
          </w:p>
        </w:tc>
        <w:tc>
          <w:tcPr>
            <w:tcW w:w="106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12,277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86</w:t>
            </w:r>
          </w:p>
        </w:tc>
        <w:tc>
          <w:tcPr>
            <w:tcW w:w="17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125</w:t>
            </w:r>
          </w:p>
        </w:tc>
        <w:tc>
          <w:tcPr>
            <w:tcW w:w="10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Premiums receivable from policyholders</w:t>
            </w:r>
          </w:p>
        </w:tc>
        <w:tc>
          <w:tcPr>
            <w:tcW w:w="940" w:type="dxa"/>
            <w:vAlign w:val="bottom"/>
          </w:tcPr>
          <w:p>
            <w:pPr>
              <w:spacing w:after="0"/>
              <w:rPr>
                <w:sz w:val="18"/>
                <w:szCs w:val="18"/>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959</w:t>
            </w:r>
          </w:p>
        </w:tc>
        <w:tc>
          <w:tcPr>
            <w:tcW w:w="106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Reinsurance recoverable</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199</w:t>
            </w:r>
          </w:p>
        </w:tc>
        <w:tc>
          <w:tcPr>
            <w:tcW w:w="10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Deferred acquisition costs</w:t>
            </w:r>
          </w:p>
        </w:tc>
        <w:tc>
          <w:tcPr>
            <w:tcW w:w="940" w:type="dxa"/>
            <w:vAlign w:val="bottom"/>
          </w:tcPr>
          <w:p>
            <w:pPr>
              <w:spacing w:after="0"/>
              <w:rPr>
                <w:sz w:val="18"/>
                <w:szCs w:val="18"/>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469</w:t>
            </w:r>
          </w:p>
        </w:tc>
        <w:tc>
          <w:tcPr>
            <w:tcW w:w="106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6"/>
              </w:rPr>
              <w:t>106</w:t>
            </w:r>
          </w:p>
        </w:tc>
        <w:tc>
          <w:tcPr>
            <w:tcW w:w="17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332</w:t>
            </w:r>
          </w:p>
        </w:tc>
        <w:tc>
          <w:tcPr>
            <w:tcW w:w="10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Receivables from Exchange and other affiliates</w:t>
            </w:r>
          </w:p>
        </w:tc>
        <w:tc>
          <w:tcPr>
            <w:tcW w:w="940" w:type="dxa"/>
            <w:vAlign w:val="bottom"/>
          </w:tcPr>
          <w:p>
            <w:pPr>
              <w:spacing w:after="0"/>
              <w:rPr>
                <w:sz w:val="18"/>
                <w:szCs w:val="18"/>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w w:val="86"/>
              </w:rPr>
              <w:t>239</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710"/>
              <w:spacing w:after="0"/>
              <w:rPr>
                <w:sz w:val="20"/>
                <w:szCs w:val="20"/>
                <w:color w:val="auto"/>
              </w:rPr>
            </w:pPr>
            <w:r>
              <w:rPr>
                <w:rFonts w:ascii="Arial" w:cs="Arial" w:eastAsia="Arial" w:hAnsi="Arial"/>
                <w:sz w:val="18"/>
                <w:szCs w:val="18"/>
                <w:color w:val="auto"/>
              </w:rPr>
              <w:t>(239)</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from EFL</w:t>
            </w:r>
          </w:p>
        </w:tc>
        <w:tc>
          <w:tcPr>
            <w:tcW w:w="9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17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(25)</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14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$1,243</w:t>
            </w:r>
          </w:p>
        </w:tc>
        <w:tc>
          <w:tcPr>
            <w:tcW w:w="1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$13,574</w:t>
            </w:r>
          </w:p>
        </w:tc>
        <w:tc>
          <w:tcPr>
            <w:tcW w:w="2020" w:type="dxa"/>
            <w:vAlign w:val="bottom"/>
            <w:tcBorders>
              <w:bottom w:val="single" w:sz="8" w:color="auto"/>
            </w:tcBorders>
            <w:gridSpan w:val="2"/>
          </w:tcPr>
          <w:p>
            <w:pPr>
              <w:jc w:val="right"/>
              <w:ind w:right="710"/>
              <w:spacing w:after="0"/>
              <w:rPr>
                <w:sz w:val="20"/>
                <w:szCs w:val="20"/>
                <w:color w:val="auto"/>
              </w:rPr>
            </w:pPr>
            <w:r>
              <w:rPr>
                <w:rFonts w:ascii="Arial" w:cs="Arial" w:eastAsia="Arial" w:hAnsi="Arial"/>
                <w:sz w:val="18"/>
                <w:szCs w:val="18"/>
                <w:color w:val="auto"/>
              </w:rPr>
              <w:t>$(264)</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$14,553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492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w:t>
            </w:r>
          </w:p>
        </w:tc>
        <w:tc>
          <w:tcPr>
            <w:tcW w:w="9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Losses and loss expense reserves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$3,559</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$3,559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Life policy and deposit contract reserves</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1,615</w:t>
            </w:r>
          </w:p>
        </w:tc>
        <w:tc>
          <w:tcPr>
            <w:tcW w:w="10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Unearned premiums</w:t>
            </w:r>
          </w:p>
        </w:tc>
        <w:tc>
          <w:tcPr>
            <w:tcW w:w="940" w:type="dxa"/>
            <w:vAlign w:val="bottom"/>
          </w:tcPr>
          <w:p>
            <w:pPr>
              <w:spacing w:after="0"/>
              <w:rPr>
                <w:sz w:val="18"/>
                <w:szCs w:val="18"/>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2,093</w:t>
            </w:r>
          </w:p>
        </w:tc>
        <w:tc>
          <w:tcPr>
            <w:tcW w:w="106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2,093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17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309</w:t>
            </w:r>
          </w:p>
        </w:tc>
        <w:tc>
          <w:tcPr>
            <w:tcW w:w="10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9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6"/>
              </w:rPr>
              <w:t>336</w:t>
            </w:r>
          </w:p>
        </w:tc>
        <w:tc>
          <w:tcPr>
            <w:tcW w:w="1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340</w:t>
            </w:r>
          </w:p>
        </w:tc>
        <w:tc>
          <w:tcPr>
            <w:tcW w:w="2020" w:type="dxa"/>
            <w:vAlign w:val="bottom"/>
            <w:tcBorders>
              <w:bottom w:val="single" w:sz="8" w:color="auto"/>
            </w:tcBorders>
            <w:gridSpan w:val="2"/>
          </w:tcPr>
          <w:p>
            <w:pPr>
              <w:jc w:val="right"/>
              <w:ind w:right="710"/>
              <w:spacing w:after="0"/>
              <w:rPr>
                <w:sz w:val="20"/>
                <w:szCs w:val="20"/>
                <w:color w:val="auto"/>
              </w:rPr>
            </w:pPr>
            <w:r>
              <w:rPr>
                <w:rFonts w:ascii="Arial" w:cs="Arial" w:eastAsia="Arial" w:hAnsi="Arial"/>
                <w:sz w:val="18"/>
                <w:szCs w:val="18"/>
                <w:color w:val="auto"/>
              </w:rPr>
              <w:t>(264)</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9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86"/>
              </w:rPr>
              <w:t>350</w:t>
            </w:r>
          </w:p>
        </w:tc>
        <w:tc>
          <w:tcPr>
            <w:tcW w:w="17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7,916</w:t>
            </w:r>
          </w:p>
        </w:tc>
        <w:tc>
          <w:tcPr>
            <w:tcW w:w="2020" w:type="dxa"/>
            <w:vAlign w:val="bottom"/>
            <w:tcBorders>
              <w:bottom w:val="single" w:sz="8" w:color="auto"/>
            </w:tcBorders>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(264)</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line="196" w:lineRule="exact"/>
              <w:rPr>
                <w:sz w:val="20"/>
                <w:szCs w:val="20"/>
                <w:color w:val="auto"/>
              </w:rPr>
            </w:pPr>
            <w:r>
              <w:rPr>
                <w:rFonts w:ascii="Arial" w:cs="Arial" w:eastAsia="Arial" w:hAnsi="Arial"/>
                <w:sz w:val="18"/>
                <w:szCs w:val="18"/>
                <w:b w:val="1"/>
                <w:bCs w:val="1"/>
                <w:color w:val="auto"/>
              </w:rPr>
              <w:t>Shareholders’ equity and noncontrolling interest</w:t>
            </w: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Indemnity shareholders’ equity</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6"/>
              </w:rPr>
              <w:t>893</w:t>
            </w:r>
          </w:p>
        </w:tc>
        <w:tc>
          <w:tcPr>
            <w:tcW w:w="17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20" w:type="dxa"/>
            <w:vAlign w:val="bottom"/>
          </w:tcPr>
          <w:p>
            <w:pPr>
              <w:spacing w:after="0" w:line="201" w:lineRule="exact"/>
              <w:rPr>
                <w:sz w:val="20"/>
                <w:szCs w:val="20"/>
                <w:color w:val="auto"/>
              </w:rPr>
            </w:pPr>
            <w:r>
              <w:rPr>
                <w:rFonts w:ascii="Arial" w:cs="Arial" w:eastAsia="Arial" w:hAnsi="Arial"/>
                <w:sz w:val="18"/>
                <w:szCs w:val="18"/>
                <w:color w:val="auto"/>
              </w:rPr>
              <w:t>Noncontrolling interest in consolidated entity</w:t>
            </w: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 Exchange</w:t>
            </w:r>
          </w:p>
        </w:tc>
        <w:tc>
          <w:tcPr>
            <w:tcW w:w="9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5,658</w:t>
            </w:r>
          </w:p>
        </w:tc>
        <w:tc>
          <w:tcPr>
            <w:tcW w:w="10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5,658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9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86"/>
              </w:rPr>
              <w:t>893</w:t>
            </w:r>
          </w:p>
        </w:tc>
        <w:tc>
          <w:tcPr>
            <w:tcW w:w="17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5,658</w:t>
            </w:r>
          </w:p>
        </w:tc>
        <w:tc>
          <w:tcPr>
            <w:tcW w:w="10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920" w:type="dxa"/>
            <w:vAlign w:val="bottom"/>
          </w:tcPr>
          <w:p>
            <w:pPr>
              <w:ind w:left="540"/>
              <w:spacing w:after="0" w:line="182" w:lineRule="exact"/>
              <w:rPr>
                <w:sz w:val="20"/>
                <w:szCs w:val="20"/>
                <w:color w:val="auto"/>
              </w:rPr>
            </w:pPr>
            <w:r>
              <w:rPr>
                <w:rFonts w:ascii="Arial" w:cs="Arial" w:eastAsia="Arial" w:hAnsi="Arial"/>
                <w:sz w:val="18"/>
                <w:szCs w:val="18"/>
                <w:color w:val="auto"/>
                <w:w w:val="99"/>
              </w:rPr>
              <w:t>Total liabilities, shareholders’ equity and noncontrolling</w:t>
            </w:r>
          </w:p>
        </w:tc>
        <w:tc>
          <w:tcPr>
            <w:tcW w:w="140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$1,243</w:t>
            </w:r>
          </w:p>
        </w:tc>
        <w:tc>
          <w:tcPr>
            <w:tcW w:w="1780" w:type="dxa"/>
            <w:vAlign w:val="bottom"/>
            <w:vMerge w:val="restart"/>
          </w:tcPr>
          <w:p>
            <w:pPr>
              <w:jc w:val="right"/>
              <w:ind w:right="310"/>
              <w:spacing w:after="0"/>
              <w:rPr>
                <w:sz w:val="20"/>
                <w:szCs w:val="20"/>
                <w:color w:val="auto"/>
              </w:rPr>
            </w:pPr>
            <w:r>
              <w:rPr>
                <w:rFonts w:ascii="Arial" w:cs="Arial" w:eastAsia="Arial" w:hAnsi="Arial"/>
                <w:sz w:val="18"/>
                <w:szCs w:val="18"/>
                <w:color w:val="auto"/>
              </w:rPr>
              <w:t>$13,574</w:t>
            </w:r>
          </w:p>
        </w:tc>
        <w:tc>
          <w:tcPr>
            <w:tcW w:w="2020" w:type="dxa"/>
            <w:vAlign w:val="bottom"/>
            <w:gridSpan w:val="2"/>
            <w:vMerge w:val="restart"/>
          </w:tcPr>
          <w:p>
            <w:pPr>
              <w:jc w:val="right"/>
              <w:ind w:right="710"/>
              <w:spacing w:after="0"/>
              <w:rPr>
                <w:sz w:val="20"/>
                <w:szCs w:val="20"/>
                <w:color w:val="auto"/>
              </w:rPr>
            </w:pPr>
            <w:r>
              <w:rPr>
                <w:rFonts w:ascii="Arial" w:cs="Arial" w:eastAsia="Arial" w:hAnsi="Arial"/>
                <w:sz w:val="18"/>
                <w:szCs w:val="18"/>
                <w:color w:val="auto"/>
              </w:rPr>
              <w:t>$(264)</w:t>
            </w:r>
          </w:p>
        </w:tc>
        <w:tc>
          <w:tcPr>
            <w:tcW w:w="1300" w:type="dxa"/>
            <w:vAlign w:val="bottom"/>
            <w:vMerge w:val="restart"/>
          </w:tcPr>
          <w:p>
            <w:pPr>
              <w:jc w:val="right"/>
              <w:ind w:right="30"/>
              <w:spacing w:after="0"/>
              <w:rPr>
                <w:sz w:val="20"/>
                <w:szCs w:val="20"/>
                <w:color w:val="auto"/>
              </w:rPr>
            </w:pPr>
            <w:r>
              <w:rPr>
                <w:rFonts w:ascii="Arial" w:cs="Arial" w:eastAsia="Arial" w:hAnsi="Arial"/>
                <w:sz w:val="18"/>
                <w:szCs w:val="18"/>
                <w:color w:val="auto"/>
              </w:rPr>
              <w:t>$14,553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920" w:type="dxa"/>
            <w:vAlign w:val="bottom"/>
          </w:tcPr>
          <w:p>
            <w:pPr>
              <w:ind w:left="720"/>
              <w:spacing w:after="0"/>
              <w:rPr>
                <w:sz w:val="20"/>
                <w:szCs w:val="20"/>
                <w:color w:val="auto"/>
              </w:rPr>
            </w:pPr>
            <w:r>
              <w:rPr>
                <w:rFonts w:ascii="Arial" w:cs="Arial" w:eastAsia="Arial" w:hAnsi="Arial"/>
                <w:sz w:val="18"/>
                <w:szCs w:val="18"/>
                <w:color w:val="auto"/>
              </w:rPr>
              <w:t>interest</w:t>
            </w:r>
          </w:p>
        </w:tc>
        <w:tc>
          <w:tcPr>
            <w:tcW w:w="1400" w:type="dxa"/>
            <w:vAlign w:val="bottom"/>
            <w:tcBorders>
              <w:bottom w:val="single" w:sz="8" w:color="auto"/>
            </w:tcBorders>
            <w:gridSpan w:val="2"/>
            <w:vMerge w:val="continue"/>
          </w:tcPr>
          <w:p>
            <w:pPr>
              <w:spacing w:after="0"/>
              <w:rPr>
                <w:sz w:val="18"/>
                <w:szCs w:val="18"/>
                <w:color w:val="auto"/>
              </w:rPr>
            </w:pPr>
          </w:p>
        </w:tc>
        <w:tc>
          <w:tcPr>
            <w:tcW w:w="1780" w:type="dxa"/>
            <w:vAlign w:val="bottom"/>
            <w:tcBorders>
              <w:bottom w:val="single" w:sz="8" w:color="auto"/>
            </w:tcBorders>
            <w:vMerge w:val="continue"/>
          </w:tcPr>
          <w:p>
            <w:pPr>
              <w:spacing w:after="0"/>
              <w:rPr>
                <w:sz w:val="18"/>
                <w:szCs w:val="18"/>
                <w:color w:val="auto"/>
              </w:rPr>
            </w:pPr>
          </w:p>
        </w:tc>
        <w:tc>
          <w:tcPr>
            <w:tcW w:w="2020" w:type="dxa"/>
            <w:vAlign w:val="bottom"/>
            <w:tcBorders>
              <w:bottom w:val="single" w:sz="8" w:color="auto"/>
            </w:tcBorders>
            <w:gridSpan w:val="2"/>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20" w:type="dxa"/>
            <w:vAlign w:val="bottom"/>
          </w:tcPr>
          <w:p>
            <w:pPr>
              <w:spacing w:after="0"/>
              <w:rPr>
                <w:sz w:val="24"/>
                <w:szCs w:val="24"/>
                <w:color w:val="auto"/>
              </w:rPr>
            </w:pPr>
          </w:p>
        </w:tc>
        <w:tc>
          <w:tcPr>
            <w:tcW w:w="940" w:type="dxa"/>
            <w:vAlign w:val="bottom"/>
          </w:tcPr>
          <w:p>
            <w:pPr>
              <w:ind w:left="700"/>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92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3800" w:type="dxa"/>
            <w:vAlign w:val="bottom"/>
            <w:tcBorders>
              <w:bottom w:val="single" w:sz="8" w:color="010101"/>
            </w:tcBorders>
            <w:gridSpan w:val="3"/>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49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3"/>
          </w:tcPr>
          <w:p>
            <w:pPr>
              <w:jc w:val="center"/>
              <w:ind w:right="30"/>
              <w:spacing w:after="0"/>
              <w:rPr>
                <w:sz w:val="20"/>
                <w:szCs w:val="20"/>
                <w:color w:val="auto"/>
              </w:rPr>
            </w:pPr>
            <w:r>
              <w:rPr>
                <w:rFonts w:ascii="Arial" w:cs="Arial" w:eastAsia="Arial" w:hAnsi="Arial"/>
                <w:sz w:val="18"/>
                <w:szCs w:val="18"/>
                <w:color w:val="auto"/>
                <w:w w:val="91"/>
              </w:rPr>
              <w:t>Consolidating Statement of Financial Position</w:t>
            </w:r>
          </w:p>
        </w:tc>
        <w:tc>
          <w:tcPr>
            <w:tcW w:w="13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40" w:type="dxa"/>
            <w:vAlign w:val="bottom"/>
            <w:gridSpan w:val="2"/>
          </w:tcPr>
          <w:p>
            <w:pPr>
              <w:jc w:val="center"/>
              <w:ind w:left="770"/>
              <w:spacing w:after="0" w:line="195" w:lineRule="exact"/>
              <w:rPr>
                <w:sz w:val="20"/>
                <w:szCs w:val="20"/>
                <w:color w:val="auto"/>
              </w:rPr>
            </w:pPr>
            <w:r>
              <w:rPr>
                <w:rFonts w:ascii="Arial" w:cs="Arial" w:eastAsia="Arial" w:hAnsi="Arial"/>
                <w:sz w:val="18"/>
                <w:szCs w:val="18"/>
                <w:color w:val="auto"/>
                <w:w w:val="89"/>
              </w:rPr>
              <w:t>December 31, 2010</w:t>
            </w:r>
          </w:p>
        </w:tc>
        <w:tc>
          <w:tcPr>
            <w:tcW w:w="9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4"/>
              </w:rPr>
              <w:t>Indemnity</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9"/>
              </w:rPr>
              <w:t>Exchange</w:t>
            </w:r>
          </w:p>
        </w:tc>
        <w:tc>
          <w:tcPr>
            <w:tcW w:w="2020" w:type="dxa"/>
            <w:vAlign w:val="bottom"/>
            <w:gridSpan w:val="2"/>
          </w:tcPr>
          <w:p>
            <w:pPr>
              <w:jc w:val="center"/>
              <w:ind w:right="70"/>
              <w:spacing w:after="0"/>
              <w:rPr>
                <w:sz w:val="20"/>
                <w:szCs w:val="20"/>
                <w:color w:val="auto"/>
              </w:rPr>
            </w:pPr>
            <w:r>
              <w:rPr>
                <w:rFonts w:ascii="Arial" w:cs="Arial" w:eastAsia="Arial" w:hAnsi="Arial"/>
                <w:sz w:val="18"/>
                <w:szCs w:val="18"/>
                <w:color w:val="auto"/>
                <w:w w:val="90"/>
              </w:rPr>
              <w:t>Reclassifications</w:t>
            </w: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Erie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8"/>
              </w:rPr>
              <w:t>shareholder</w:t>
            </w:r>
          </w:p>
        </w:tc>
        <w:tc>
          <w:tcPr>
            <w:tcW w:w="1780" w:type="dxa"/>
            <w:vAlign w:val="bottom"/>
          </w:tcPr>
          <w:p>
            <w:pPr>
              <w:jc w:val="center"/>
              <w:ind w:left="30"/>
              <w:spacing w:after="0"/>
              <w:rPr>
                <w:sz w:val="20"/>
                <w:szCs w:val="20"/>
                <w:color w:val="auto"/>
              </w:rPr>
            </w:pPr>
            <w:r>
              <w:rPr>
                <w:rFonts w:ascii="Arial" w:cs="Arial" w:eastAsia="Arial" w:hAnsi="Arial"/>
                <w:sz w:val="18"/>
                <w:szCs w:val="18"/>
                <w:color w:val="auto"/>
                <w:w w:val="94"/>
              </w:rPr>
              <w:t>noncontrolling</w:t>
            </w:r>
          </w:p>
        </w:tc>
        <w:tc>
          <w:tcPr>
            <w:tcW w:w="1060" w:type="dxa"/>
            <w:vAlign w:val="bottom"/>
          </w:tcPr>
          <w:p>
            <w:pPr>
              <w:jc w:val="center"/>
              <w:ind w:left="710"/>
              <w:spacing w:after="0"/>
              <w:rPr>
                <w:sz w:val="20"/>
                <w:szCs w:val="20"/>
                <w:color w:val="auto"/>
              </w:rPr>
            </w:pPr>
            <w:r>
              <w:rPr>
                <w:rFonts w:ascii="Arial" w:cs="Arial" w:eastAsia="Arial" w:hAnsi="Arial"/>
                <w:sz w:val="18"/>
                <w:szCs w:val="18"/>
                <w:color w:val="auto"/>
                <w:w w:val="86"/>
              </w:rPr>
              <w:t>and</w:t>
            </w:r>
          </w:p>
        </w:tc>
        <w:tc>
          <w:tcPr>
            <w:tcW w:w="9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Insurance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Assets</w:t>
            </w:r>
          </w:p>
        </w:tc>
        <w:tc>
          <w:tcPr>
            <w:tcW w:w="94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88"/>
              </w:rPr>
              <w:t>interest</w:t>
            </w:r>
          </w:p>
        </w:tc>
        <w:tc>
          <w:tcPr>
            <w:tcW w:w="4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8"/>
              </w:rPr>
              <w:t>interest</w:t>
            </w:r>
          </w:p>
        </w:tc>
        <w:tc>
          <w:tcPr>
            <w:tcW w:w="202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color w:val="auto"/>
                <w:w w:val="92"/>
              </w:rPr>
              <w:t>eliminations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Group</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Available-for-sale securities, at fair value:</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maturities</w:t>
            </w:r>
          </w:p>
        </w:tc>
        <w:tc>
          <w:tcPr>
            <w:tcW w:w="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6"/>
              </w:rPr>
              <w:t>264</w:t>
            </w:r>
          </w:p>
        </w:tc>
        <w:tc>
          <w:tcPr>
            <w:tcW w:w="17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$ 7,279</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$ 7,543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Equity securities</w:t>
            </w:r>
          </w:p>
        </w:tc>
        <w:tc>
          <w:tcPr>
            <w:tcW w:w="940" w:type="dxa"/>
            <w:vAlign w:val="bottom"/>
          </w:tcPr>
          <w:p>
            <w:pPr>
              <w:spacing w:after="0"/>
              <w:rPr>
                <w:sz w:val="18"/>
                <w:szCs w:val="18"/>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570</w:t>
            </w:r>
          </w:p>
        </w:tc>
        <w:tc>
          <w:tcPr>
            <w:tcW w:w="106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Trading securities, at fair value</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17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2,306</w:t>
            </w:r>
          </w:p>
        </w:tc>
        <w:tc>
          <w:tcPr>
            <w:tcW w:w="10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Limited partnerships</w:t>
            </w:r>
          </w:p>
        </w:tc>
        <w:tc>
          <w:tcPr>
            <w:tcW w:w="940" w:type="dxa"/>
            <w:vAlign w:val="bottom"/>
          </w:tcPr>
          <w:p>
            <w:pPr>
              <w:spacing w:after="0"/>
              <w:rPr>
                <w:sz w:val="18"/>
                <w:szCs w:val="18"/>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w w:val="86"/>
              </w:rPr>
              <w:t>216</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1,108</w:t>
            </w:r>
          </w:p>
        </w:tc>
        <w:tc>
          <w:tcPr>
            <w:tcW w:w="106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invested assets</w:t>
            </w:r>
          </w:p>
        </w:tc>
        <w:tc>
          <w:tcPr>
            <w:tcW w:w="9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7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19</w:t>
            </w:r>
          </w:p>
        </w:tc>
        <w:tc>
          <w:tcPr>
            <w:tcW w:w="10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-2051050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-2051050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21" w:name="page22"/>
    <w:bookmarkEnd w:id="21"/>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ind w:left="360"/>
              <w:spacing w:after="0"/>
              <w:rPr>
                <w:sz w:val="20"/>
                <w:szCs w:val="20"/>
                <w:color w:val="auto"/>
              </w:rPr>
            </w:pPr>
            <w:r>
              <w:rPr>
                <w:rFonts w:ascii="Arial" w:cs="Arial" w:eastAsia="Arial" w:hAnsi="Arial"/>
                <w:sz w:val="18"/>
                <w:szCs w:val="18"/>
                <w:color w:val="auto"/>
              </w:rPr>
              <w:t>Total investments</w:t>
            </w:r>
          </w:p>
        </w:tc>
        <w:tc>
          <w:tcPr>
            <w:tcW w:w="900" w:type="dxa"/>
            <w:vAlign w:val="bottom"/>
          </w:tcPr>
          <w:p>
            <w:pPr>
              <w:spacing w:after="0"/>
              <w:rPr>
                <w:sz w:val="20"/>
                <w:szCs w:val="20"/>
                <w:color w:val="auto"/>
              </w:rPr>
            </w:pPr>
          </w:p>
        </w:tc>
        <w:tc>
          <w:tcPr>
            <w:tcW w:w="800" w:type="dxa"/>
            <w:vAlign w:val="bottom"/>
          </w:tcPr>
          <w:p>
            <w:pPr>
              <w:jc w:val="right"/>
              <w:ind w:right="390"/>
              <w:spacing w:after="0"/>
              <w:rPr>
                <w:sz w:val="20"/>
                <w:szCs w:val="20"/>
                <w:color w:val="auto"/>
              </w:rPr>
            </w:pPr>
            <w:r>
              <w:rPr>
                <w:rFonts w:ascii="Arial" w:cs="Arial" w:eastAsia="Arial" w:hAnsi="Arial"/>
                <w:sz w:val="18"/>
                <w:szCs w:val="18"/>
                <w:color w:val="auto"/>
                <w:w w:val="99"/>
              </w:rPr>
              <w:t>533</w:t>
            </w:r>
          </w:p>
        </w:tc>
        <w:tc>
          <w:tcPr>
            <w:tcW w:w="58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color w:val="auto"/>
                <w:w w:val="87"/>
              </w:rPr>
              <w:t>11,282</w:t>
            </w:r>
          </w:p>
        </w:tc>
        <w:tc>
          <w:tcPr>
            <w:tcW w:w="720" w:type="dxa"/>
            <w:vAlign w:val="bottom"/>
          </w:tcPr>
          <w:p>
            <w:pPr>
              <w:spacing w:after="0"/>
              <w:rPr>
                <w:sz w:val="20"/>
                <w:szCs w:val="20"/>
                <w:color w:val="auto"/>
              </w:rPr>
            </w:pPr>
          </w:p>
        </w:tc>
        <w:tc>
          <w:tcPr>
            <w:tcW w:w="104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11,815</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310</w:t>
            </w: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120</w:t>
            </w:r>
          </w:p>
        </w:tc>
        <w:tc>
          <w:tcPr>
            <w:tcW w:w="7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Premiums receivable from policyholders</w:t>
            </w:r>
          </w:p>
        </w:tc>
        <w:tc>
          <w:tcPr>
            <w:tcW w:w="900" w:type="dxa"/>
            <w:vAlign w:val="bottom"/>
          </w:tcPr>
          <w:p>
            <w:pPr>
              <w:spacing w:after="0"/>
              <w:rPr>
                <w:sz w:val="18"/>
                <w:szCs w:val="18"/>
                <w:color w:val="auto"/>
              </w:rPr>
            </w:pPr>
          </w:p>
        </w:tc>
        <w:tc>
          <w:tcPr>
            <w:tcW w:w="8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color w:val="auto"/>
              </w:rPr>
              <w:t>942</w:t>
            </w:r>
          </w:p>
        </w:tc>
        <w:tc>
          <w:tcPr>
            <w:tcW w:w="720" w:type="dxa"/>
            <w:vAlign w:val="bottom"/>
          </w:tcPr>
          <w:p>
            <w:pPr>
              <w:spacing w:after="0"/>
              <w:rPr>
                <w:sz w:val="18"/>
                <w:szCs w:val="18"/>
                <w:color w:val="auto"/>
              </w:rPr>
            </w:pPr>
          </w:p>
        </w:tc>
        <w:tc>
          <w:tcPr>
            <w:tcW w:w="104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Reinsurance recoverable</w:t>
            </w:r>
          </w:p>
        </w:tc>
        <w:tc>
          <w:tcPr>
            <w:tcW w:w="9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201</w:t>
            </w:r>
          </w:p>
        </w:tc>
        <w:tc>
          <w:tcPr>
            <w:tcW w:w="7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Deferred acquisition costs</w:t>
            </w:r>
          </w:p>
        </w:tc>
        <w:tc>
          <w:tcPr>
            <w:tcW w:w="900" w:type="dxa"/>
            <w:vAlign w:val="bottom"/>
          </w:tcPr>
          <w:p>
            <w:pPr>
              <w:spacing w:after="0"/>
              <w:rPr>
                <w:sz w:val="18"/>
                <w:szCs w:val="18"/>
                <w:color w:val="auto"/>
              </w:rPr>
            </w:pPr>
          </w:p>
        </w:tc>
        <w:tc>
          <w:tcPr>
            <w:tcW w:w="8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color w:val="auto"/>
              </w:rPr>
              <w:t>467</w:t>
            </w:r>
          </w:p>
        </w:tc>
        <w:tc>
          <w:tcPr>
            <w:tcW w:w="720" w:type="dxa"/>
            <w:vAlign w:val="bottom"/>
          </w:tcPr>
          <w:p>
            <w:pPr>
              <w:spacing w:after="0"/>
              <w:rPr>
                <w:sz w:val="18"/>
                <w:szCs w:val="18"/>
                <w:color w:val="auto"/>
              </w:rPr>
            </w:pPr>
          </w:p>
        </w:tc>
        <w:tc>
          <w:tcPr>
            <w:tcW w:w="104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9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132</w:t>
            </w: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357</w:t>
            </w:r>
          </w:p>
        </w:tc>
        <w:tc>
          <w:tcPr>
            <w:tcW w:w="7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Receivables from Exchange and other affiliates</w:t>
            </w:r>
          </w:p>
        </w:tc>
        <w:tc>
          <w:tcPr>
            <w:tcW w:w="900" w:type="dxa"/>
            <w:vAlign w:val="bottom"/>
          </w:tcPr>
          <w:p>
            <w:pPr>
              <w:spacing w:after="0"/>
              <w:rPr>
                <w:sz w:val="18"/>
                <w:szCs w:val="18"/>
                <w:color w:val="auto"/>
              </w:rPr>
            </w:pPr>
          </w:p>
        </w:tc>
        <w:tc>
          <w:tcPr>
            <w:tcW w:w="800" w:type="dxa"/>
            <w:vAlign w:val="bottom"/>
          </w:tcPr>
          <w:p>
            <w:pPr>
              <w:jc w:val="right"/>
              <w:ind w:right="390"/>
              <w:spacing w:after="0"/>
              <w:rPr>
                <w:sz w:val="20"/>
                <w:szCs w:val="20"/>
                <w:color w:val="auto"/>
              </w:rPr>
            </w:pPr>
            <w:r>
              <w:rPr>
                <w:rFonts w:ascii="Arial" w:cs="Arial" w:eastAsia="Arial" w:hAnsi="Arial"/>
                <w:sz w:val="18"/>
                <w:szCs w:val="18"/>
                <w:color w:val="auto"/>
                <w:w w:val="99"/>
              </w:rPr>
              <w:t>232</w:t>
            </w:r>
          </w:p>
        </w:tc>
        <w:tc>
          <w:tcPr>
            <w:tcW w:w="580" w:type="dxa"/>
            <w:vAlign w:val="bottom"/>
          </w:tcPr>
          <w:p>
            <w:pPr>
              <w:spacing w:after="0"/>
              <w:rPr>
                <w:sz w:val="18"/>
                <w:szCs w:val="18"/>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610"/>
              <w:spacing w:after="0"/>
              <w:rPr>
                <w:sz w:val="20"/>
                <w:szCs w:val="20"/>
                <w:color w:val="auto"/>
              </w:rPr>
            </w:pPr>
            <w:r>
              <w:rPr>
                <w:rFonts w:ascii="Arial" w:cs="Arial" w:eastAsia="Arial" w:hAnsi="Arial"/>
                <w:sz w:val="18"/>
                <w:szCs w:val="18"/>
                <w:color w:val="auto"/>
              </w:rPr>
              <w:t>(232)</w:t>
            </w:r>
          </w:p>
        </w:tc>
        <w:tc>
          <w:tcPr>
            <w:tcW w:w="7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from EFL</w:t>
            </w:r>
          </w:p>
        </w:tc>
        <w:tc>
          <w:tcPr>
            <w:tcW w:w="9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25</w:t>
            </w: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(25)</w:t>
            </w: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tcPr>
          <w:p>
            <w:pPr>
              <w:spacing w:after="0" w:line="216" w:lineRule="exact"/>
              <w:rPr>
                <w:sz w:val="20"/>
                <w:szCs w:val="20"/>
                <w:color w:val="auto"/>
              </w:rPr>
            </w:pPr>
            <w:r>
              <w:rPr>
                <w:rFonts w:ascii="Arial" w:cs="Arial" w:eastAsia="Arial" w:hAnsi="Arial"/>
                <w:sz w:val="18"/>
                <w:szCs w:val="18"/>
                <w:color w:val="auto"/>
              </w:rPr>
              <w:t>Equity in EFL</w:t>
            </w:r>
            <w:r>
              <w:rPr>
                <w:rFonts w:ascii="Arial" w:cs="Arial" w:eastAsia="Arial" w:hAnsi="Arial"/>
                <w:sz w:val="23"/>
                <w:szCs w:val="23"/>
                <w:color w:val="auto"/>
                <w:vertAlign w:val="superscript"/>
              </w:rPr>
              <w:t>(1)</w:t>
            </w:r>
          </w:p>
        </w:tc>
        <w:tc>
          <w:tcPr>
            <w:tcW w:w="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80</w:t>
            </w: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(80)</w:t>
            </w:r>
          </w:p>
        </w:tc>
        <w:tc>
          <w:tcPr>
            <w:tcW w:w="7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700" w:type="dxa"/>
            <w:vAlign w:val="bottom"/>
            <w:tcBorders>
              <w:bottom w:val="single" w:sz="8" w:color="auto"/>
            </w:tcBorders>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$1,312</w:t>
            </w:r>
          </w:p>
        </w:tc>
        <w:tc>
          <w:tcPr>
            <w:tcW w:w="1640" w:type="dxa"/>
            <w:vAlign w:val="bottom"/>
            <w:tcBorders>
              <w:bottom w:val="single" w:sz="8" w:color="auto"/>
            </w:tcBorders>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$13,369</w:t>
            </w:r>
          </w:p>
        </w:tc>
        <w:tc>
          <w:tcPr>
            <w:tcW w:w="1760" w:type="dxa"/>
            <w:vAlign w:val="bottom"/>
            <w:tcBorders>
              <w:bottom w:val="single" w:sz="8" w:color="auto"/>
            </w:tcBorders>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$(337)</w:t>
            </w:r>
          </w:p>
        </w:tc>
        <w:tc>
          <w:tcPr>
            <w:tcW w:w="140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$14,344</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92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Losses and loss expense reserves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3,584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3,584</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Life policy and deposit contract reserves</w:t>
            </w:r>
          </w:p>
        </w:tc>
        <w:tc>
          <w:tcPr>
            <w:tcW w:w="900" w:type="dxa"/>
            <w:vAlign w:val="bottom"/>
          </w:tcPr>
          <w:p>
            <w:pPr>
              <w:spacing w:after="0"/>
              <w:rPr>
                <w:sz w:val="18"/>
                <w:szCs w:val="18"/>
                <w:color w:val="auto"/>
              </w:rPr>
            </w:pPr>
          </w:p>
        </w:tc>
        <w:tc>
          <w:tcPr>
            <w:tcW w:w="8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color w:val="auto"/>
              </w:rPr>
              <w:t>1,603</w:t>
            </w:r>
          </w:p>
        </w:tc>
        <w:tc>
          <w:tcPr>
            <w:tcW w:w="720" w:type="dxa"/>
            <w:vAlign w:val="bottom"/>
          </w:tcPr>
          <w:p>
            <w:pPr>
              <w:spacing w:after="0"/>
              <w:rPr>
                <w:sz w:val="18"/>
                <w:szCs w:val="18"/>
                <w:color w:val="auto"/>
              </w:rPr>
            </w:pPr>
          </w:p>
        </w:tc>
        <w:tc>
          <w:tcPr>
            <w:tcW w:w="104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Unearned premiums</w:t>
            </w:r>
          </w:p>
        </w:tc>
        <w:tc>
          <w:tcPr>
            <w:tcW w:w="9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2,082</w:t>
            </w:r>
          </w:p>
        </w:tc>
        <w:tc>
          <w:tcPr>
            <w:tcW w:w="7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Deferred income taxes</w:t>
            </w:r>
          </w:p>
        </w:tc>
        <w:tc>
          <w:tcPr>
            <w:tcW w:w="900" w:type="dxa"/>
            <w:vAlign w:val="bottom"/>
          </w:tcPr>
          <w:p>
            <w:pPr>
              <w:spacing w:after="0"/>
              <w:rPr>
                <w:sz w:val="18"/>
                <w:szCs w:val="18"/>
                <w:color w:val="auto"/>
              </w:rPr>
            </w:pPr>
          </w:p>
        </w:tc>
        <w:tc>
          <w:tcPr>
            <w:tcW w:w="800" w:type="dxa"/>
            <w:vAlign w:val="bottom"/>
          </w:tcPr>
          <w:p>
            <w:pPr>
              <w:jc w:val="right"/>
              <w:ind w:right="390"/>
              <w:spacing w:after="0"/>
              <w:rPr>
                <w:sz w:val="20"/>
                <w:szCs w:val="20"/>
                <w:color w:val="auto"/>
              </w:rPr>
            </w:pPr>
            <w:r>
              <w:rPr>
                <w:rFonts w:ascii="Arial" w:cs="Arial" w:eastAsia="Arial" w:hAnsi="Arial"/>
                <w:sz w:val="18"/>
                <w:szCs w:val="18"/>
                <w:color w:val="auto"/>
              </w:rPr>
              <w:t>26</w:t>
            </w:r>
          </w:p>
        </w:tc>
        <w:tc>
          <w:tcPr>
            <w:tcW w:w="580" w:type="dxa"/>
            <w:vAlign w:val="bottom"/>
          </w:tcPr>
          <w:p>
            <w:pPr>
              <w:spacing w:after="0"/>
              <w:rPr>
                <w:sz w:val="18"/>
                <w:szCs w:val="18"/>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color w:val="auto"/>
              </w:rPr>
              <w:t>257</w:t>
            </w:r>
          </w:p>
        </w:tc>
        <w:tc>
          <w:tcPr>
            <w:tcW w:w="720" w:type="dxa"/>
            <w:vAlign w:val="bottom"/>
          </w:tcPr>
          <w:p>
            <w:pPr>
              <w:spacing w:after="0"/>
              <w:rPr>
                <w:sz w:val="18"/>
                <w:szCs w:val="18"/>
                <w:color w:val="auto"/>
              </w:rPr>
            </w:pPr>
          </w:p>
        </w:tc>
        <w:tc>
          <w:tcPr>
            <w:tcW w:w="104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9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374</w:t>
            </w:r>
          </w:p>
        </w:tc>
        <w:tc>
          <w:tcPr>
            <w:tcW w:w="5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341</w:t>
            </w:r>
          </w:p>
        </w:tc>
        <w:tc>
          <w:tcPr>
            <w:tcW w:w="1760" w:type="dxa"/>
            <w:vAlign w:val="bottom"/>
            <w:tcBorders>
              <w:bottom w:val="single" w:sz="8" w:color="auto"/>
            </w:tcBorders>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(257)</w:t>
            </w:r>
          </w:p>
        </w:tc>
        <w:tc>
          <w:tcPr>
            <w:tcW w:w="7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0"/>
        </w:trPr>
        <w:tc>
          <w:tcPr>
            <w:tcW w:w="49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liabilities</w:t>
            </w:r>
          </w:p>
        </w:tc>
        <w:tc>
          <w:tcPr>
            <w:tcW w:w="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400</w:t>
            </w: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7,867</w:t>
            </w:r>
          </w:p>
        </w:tc>
        <w:tc>
          <w:tcPr>
            <w:tcW w:w="176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8"/>
                <w:szCs w:val="18"/>
                <w:color w:val="auto"/>
              </w:rPr>
              <w:t>(257)</w:t>
            </w:r>
          </w:p>
        </w:tc>
        <w:tc>
          <w:tcPr>
            <w:tcW w:w="7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8,010</w:t>
            </w:r>
          </w:p>
        </w:tc>
        <w:tc>
          <w:tcPr>
            <w:tcW w:w="0" w:type="dxa"/>
            <w:vAlign w:val="bottom"/>
          </w:tcPr>
          <w:p>
            <w:pPr>
              <w:spacing w:after="0"/>
              <w:rPr>
                <w:sz w:val="1"/>
                <w:szCs w:val="1"/>
                <w:color w:val="auto"/>
              </w:rPr>
            </w:pPr>
          </w:p>
        </w:tc>
      </w:tr>
      <w:tr>
        <w:trPr>
          <w:trHeight w:val="196"/>
        </w:trPr>
        <w:tc>
          <w:tcPr>
            <w:tcW w:w="4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Shareholders’ equity and noncontrolling interest</w:t>
            </w:r>
          </w:p>
        </w:tc>
        <w:tc>
          <w:tcPr>
            <w:tcW w:w="9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Total Indemnity shareholders’ equity</w:t>
            </w:r>
          </w:p>
        </w:tc>
        <w:tc>
          <w:tcPr>
            <w:tcW w:w="900" w:type="dxa"/>
            <w:vAlign w:val="bottom"/>
          </w:tcPr>
          <w:p>
            <w:pPr>
              <w:spacing w:after="0"/>
              <w:rPr>
                <w:sz w:val="18"/>
                <w:szCs w:val="18"/>
                <w:color w:val="auto"/>
              </w:rPr>
            </w:pPr>
          </w:p>
        </w:tc>
        <w:tc>
          <w:tcPr>
            <w:tcW w:w="800" w:type="dxa"/>
            <w:vAlign w:val="bottom"/>
          </w:tcPr>
          <w:p>
            <w:pPr>
              <w:jc w:val="right"/>
              <w:ind w:right="390"/>
              <w:spacing w:after="0"/>
              <w:rPr>
                <w:sz w:val="20"/>
                <w:szCs w:val="20"/>
                <w:color w:val="auto"/>
              </w:rPr>
            </w:pPr>
            <w:r>
              <w:rPr>
                <w:rFonts w:ascii="Arial" w:cs="Arial" w:eastAsia="Arial" w:hAnsi="Arial"/>
                <w:sz w:val="18"/>
                <w:szCs w:val="18"/>
                <w:color w:val="auto"/>
                <w:w w:val="99"/>
              </w:rPr>
              <w:t>912</w:t>
            </w:r>
          </w:p>
        </w:tc>
        <w:tc>
          <w:tcPr>
            <w:tcW w:w="580" w:type="dxa"/>
            <w:vAlign w:val="bottom"/>
          </w:tcPr>
          <w:p>
            <w:pPr>
              <w:spacing w:after="0"/>
              <w:rPr>
                <w:sz w:val="18"/>
                <w:szCs w:val="18"/>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4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02"/>
        </w:trPr>
        <w:tc>
          <w:tcPr>
            <w:tcW w:w="4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Noncontrolling interest in consolidated entity</w:t>
            </w:r>
          </w:p>
        </w:tc>
        <w:tc>
          <w:tcPr>
            <w:tcW w:w="9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Exchange</w:t>
            </w:r>
          </w:p>
        </w:tc>
        <w:tc>
          <w:tcPr>
            <w:tcW w:w="9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5,502</w:t>
            </w:r>
          </w:p>
        </w:tc>
        <w:tc>
          <w:tcPr>
            <w:tcW w:w="7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(80)</w:t>
            </w:r>
          </w:p>
        </w:tc>
        <w:tc>
          <w:tcPr>
            <w:tcW w:w="7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5,422</w:t>
            </w:r>
          </w:p>
        </w:tc>
        <w:tc>
          <w:tcPr>
            <w:tcW w:w="0" w:type="dxa"/>
            <w:vAlign w:val="bottom"/>
          </w:tcPr>
          <w:p>
            <w:pPr>
              <w:spacing w:after="0"/>
              <w:rPr>
                <w:sz w:val="1"/>
                <w:szCs w:val="1"/>
                <w:color w:val="auto"/>
              </w:rPr>
            </w:pPr>
          </w:p>
        </w:tc>
      </w:tr>
      <w:tr>
        <w:trPr>
          <w:trHeight w:val="210"/>
        </w:trPr>
        <w:tc>
          <w:tcPr>
            <w:tcW w:w="49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equity</w:t>
            </w:r>
          </w:p>
        </w:tc>
        <w:tc>
          <w:tcPr>
            <w:tcW w:w="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912</w:t>
            </w: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5,502</w:t>
            </w:r>
          </w:p>
        </w:tc>
        <w:tc>
          <w:tcPr>
            <w:tcW w:w="7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(80)</w:t>
            </w:r>
          </w:p>
        </w:tc>
        <w:tc>
          <w:tcPr>
            <w:tcW w:w="7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6,334</w:t>
            </w:r>
          </w:p>
        </w:tc>
        <w:tc>
          <w:tcPr>
            <w:tcW w:w="0" w:type="dxa"/>
            <w:vAlign w:val="bottom"/>
          </w:tcPr>
          <w:p>
            <w:pPr>
              <w:spacing w:after="0"/>
              <w:rPr>
                <w:sz w:val="1"/>
                <w:szCs w:val="1"/>
                <w:color w:val="auto"/>
              </w:rPr>
            </w:pPr>
          </w:p>
        </w:tc>
      </w:tr>
      <w:tr>
        <w:trPr>
          <w:trHeight w:val="182"/>
        </w:trPr>
        <w:tc>
          <w:tcPr>
            <w:tcW w:w="4920" w:type="dxa"/>
            <w:vAlign w:val="bottom"/>
            <w:shd w:val="clear" w:color="auto" w:fill="CCEEFF"/>
          </w:tcPr>
          <w:p>
            <w:pPr>
              <w:ind w:left="540"/>
              <w:spacing w:after="0" w:line="182" w:lineRule="exact"/>
              <w:rPr>
                <w:sz w:val="20"/>
                <w:szCs w:val="20"/>
                <w:color w:val="auto"/>
              </w:rPr>
            </w:pPr>
            <w:r>
              <w:rPr>
                <w:rFonts w:ascii="Arial" w:cs="Arial" w:eastAsia="Arial" w:hAnsi="Arial"/>
                <w:sz w:val="18"/>
                <w:szCs w:val="18"/>
                <w:color w:val="auto"/>
                <w:w w:val="99"/>
              </w:rPr>
              <w:t>Total liabilities, shareholders’ equity and noncontrolling</w:t>
            </w:r>
          </w:p>
        </w:tc>
        <w:tc>
          <w:tcPr>
            <w:tcW w:w="1700" w:type="dxa"/>
            <w:vAlign w:val="bottom"/>
            <w:gridSpan w:val="2"/>
            <w:vMerge w:val="restart"/>
            <w:shd w:val="clear" w:color="auto" w:fill="CCEEFF"/>
          </w:tcPr>
          <w:p>
            <w:pPr>
              <w:jc w:val="right"/>
              <w:ind w:right="390"/>
              <w:spacing w:after="0"/>
              <w:rPr>
                <w:sz w:val="20"/>
                <w:szCs w:val="20"/>
                <w:color w:val="auto"/>
              </w:rPr>
            </w:pPr>
            <w:r>
              <w:rPr>
                <w:rFonts w:ascii="Arial" w:cs="Arial" w:eastAsia="Arial" w:hAnsi="Arial"/>
                <w:sz w:val="18"/>
                <w:szCs w:val="18"/>
                <w:color w:val="auto"/>
              </w:rPr>
              <w:t>$1,312</w:t>
            </w:r>
          </w:p>
        </w:tc>
        <w:tc>
          <w:tcPr>
            <w:tcW w:w="1640" w:type="dxa"/>
            <w:vAlign w:val="bottom"/>
            <w:gridSpan w:val="2"/>
            <w:vMerge w:val="restart"/>
            <w:shd w:val="clear" w:color="auto" w:fill="CCEEFF"/>
          </w:tcPr>
          <w:p>
            <w:pPr>
              <w:jc w:val="right"/>
              <w:ind w:right="470"/>
              <w:spacing w:after="0"/>
              <w:rPr>
                <w:sz w:val="20"/>
                <w:szCs w:val="20"/>
                <w:color w:val="auto"/>
              </w:rPr>
            </w:pPr>
            <w:r>
              <w:rPr>
                <w:rFonts w:ascii="Arial" w:cs="Arial" w:eastAsia="Arial" w:hAnsi="Arial"/>
                <w:sz w:val="18"/>
                <w:szCs w:val="18"/>
                <w:color w:val="auto"/>
              </w:rPr>
              <w:t>$13,369</w:t>
            </w:r>
          </w:p>
        </w:tc>
        <w:tc>
          <w:tcPr>
            <w:tcW w:w="1760" w:type="dxa"/>
            <w:vAlign w:val="bottom"/>
            <w:gridSpan w:val="2"/>
            <w:vMerge w:val="restart"/>
            <w:shd w:val="clear" w:color="auto" w:fill="CCEEFF"/>
          </w:tcPr>
          <w:p>
            <w:pPr>
              <w:jc w:val="right"/>
              <w:ind w:right="610"/>
              <w:spacing w:after="0"/>
              <w:rPr>
                <w:sz w:val="20"/>
                <w:szCs w:val="20"/>
                <w:color w:val="auto"/>
              </w:rPr>
            </w:pPr>
            <w:r>
              <w:rPr>
                <w:rFonts w:ascii="Arial" w:cs="Arial" w:eastAsia="Arial" w:hAnsi="Arial"/>
                <w:sz w:val="18"/>
                <w:szCs w:val="18"/>
                <w:color w:val="auto"/>
              </w:rPr>
              <w:t>$(337)</w:t>
            </w:r>
          </w:p>
        </w:tc>
        <w:tc>
          <w:tcPr>
            <w:tcW w:w="140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$14,344</w:t>
            </w:r>
          </w:p>
        </w:tc>
        <w:tc>
          <w:tcPr>
            <w:tcW w:w="0" w:type="dxa"/>
            <w:vAlign w:val="bottom"/>
          </w:tcPr>
          <w:p>
            <w:pPr>
              <w:spacing w:after="0"/>
              <w:rPr>
                <w:sz w:val="1"/>
                <w:szCs w:val="1"/>
                <w:color w:val="auto"/>
              </w:rPr>
            </w:pPr>
          </w:p>
        </w:tc>
      </w:tr>
      <w:tr>
        <w:trPr>
          <w:trHeight w:val="217"/>
        </w:trPr>
        <w:tc>
          <w:tcPr>
            <w:tcW w:w="4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w:t>
            </w:r>
          </w:p>
        </w:tc>
        <w:tc>
          <w:tcPr>
            <w:tcW w:w="1700" w:type="dxa"/>
            <w:vAlign w:val="bottom"/>
            <w:tcBorders>
              <w:bottom w:val="single" w:sz="8" w:color="auto"/>
            </w:tcBorders>
            <w:gridSpan w:val="2"/>
            <w:vMerge w:val="continue"/>
            <w:shd w:val="clear" w:color="auto" w:fill="CCEEFF"/>
          </w:tcPr>
          <w:p>
            <w:pPr>
              <w:spacing w:after="0"/>
              <w:rPr>
                <w:sz w:val="18"/>
                <w:szCs w:val="18"/>
                <w:color w:val="auto"/>
              </w:rPr>
            </w:pPr>
          </w:p>
        </w:tc>
        <w:tc>
          <w:tcPr>
            <w:tcW w:w="1640" w:type="dxa"/>
            <w:vAlign w:val="bottom"/>
            <w:tcBorders>
              <w:bottom w:val="single" w:sz="8" w:color="auto"/>
            </w:tcBorders>
            <w:gridSpan w:val="2"/>
            <w:vMerge w:val="continue"/>
            <w:shd w:val="clear" w:color="auto" w:fill="CCEEFF"/>
          </w:tcPr>
          <w:p>
            <w:pPr>
              <w:spacing w:after="0"/>
              <w:rPr>
                <w:sz w:val="18"/>
                <w:szCs w:val="18"/>
                <w:color w:val="auto"/>
              </w:rPr>
            </w:pPr>
          </w:p>
        </w:tc>
        <w:tc>
          <w:tcPr>
            <w:tcW w:w="1760" w:type="dxa"/>
            <w:vAlign w:val="bottom"/>
            <w:tcBorders>
              <w:bottom w:val="single" w:sz="8" w:color="auto"/>
            </w:tcBorders>
            <w:gridSpan w:val="2"/>
            <w:vMerge w:val="continue"/>
            <w:shd w:val="clear" w:color="auto" w:fill="CCEEFF"/>
          </w:tcPr>
          <w:p>
            <w:pPr>
              <w:spacing w:after="0"/>
              <w:rPr>
                <w:sz w:val="18"/>
                <w:szCs w:val="18"/>
                <w:color w:val="auto"/>
              </w:rPr>
            </w:pPr>
          </w:p>
        </w:tc>
        <w:tc>
          <w:tcPr>
            <w:tcW w:w="1400" w:type="dxa"/>
            <w:vAlign w:val="bottom"/>
            <w:tcBorders>
              <w:bottom w:val="single" w:sz="8" w:color="auto"/>
            </w:tcBorders>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On March 31, 2011, Indemnity sold its 21.6% ownership interest in EFL to the Exchange. (See Note 1, “Nature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Receivable from EFL</w:t>
      </w:r>
    </w:p>
    <w:p>
      <w:pPr>
        <w:spacing w:after="0" w:line="23" w:lineRule="exact"/>
        <w:rPr>
          <w:sz w:val="20"/>
          <w:szCs w:val="20"/>
          <w:color w:val="auto"/>
        </w:rPr>
      </w:pPr>
    </w:p>
    <w:p>
      <w:pPr>
        <w:jc w:val="both"/>
        <w:ind w:right="120"/>
        <w:spacing w:after="0" w:line="281" w:lineRule="auto"/>
        <w:rPr>
          <w:sz w:val="20"/>
          <w:szCs w:val="20"/>
          <w:color w:val="auto"/>
        </w:rPr>
      </w:pPr>
      <w:r>
        <w:rPr>
          <w:rFonts w:ascii="Arial" w:cs="Arial" w:eastAsia="Arial" w:hAnsi="Arial"/>
          <w:sz w:val="16"/>
          <w:szCs w:val="16"/>
          <w:color w:val="auto"/>
        </w:rPr>
        <w:t>Indemnity is due $25 million from EFL in the form of a surplus note that was issued in 2003. The note may be repaid only out of unassigned surplus of EFL. Both principal and interest payments are subject to prior approval by the Pennsylvania Insurance Commissioner. The note bears an annual interest rate of</w:t>
      </w:r>
    </w:p>
    <w:p>
      <w:pPr>
        <w:spacing w:after="0" w:line="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6.7% and will be payable on demand on or after December 31, 2018, with interest scheduled to be paid semi-annually. EFL accrued interest to Indemnity of $0.4 million in each of the first quarters ended March 31, 2011 and 2010.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230"/>
              <w:spacing w:after="0"/>
              <w:rPr>
                <w:sz w:val="20"/>
                <w:szCs w:val="20"/>
                <w:color w:val="auto"/>
              </w:rPr>
            </w:pPr>
            <w:r>
              <w:rPr>
                <w:rFonts w:ascii="Arial" w:cs="Arial" w:eastAsia="Arial" w:hAnsi="Arial"/>
                <w:sz w:val="18"/>
                <w:szCs w:val="18"/>
                <w:color w:val="auto"/>
                <w:w w:val="90"/>
              </w:rPr>
              <w:t>Income attributable to</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400" w:type="dxa"/>
            <w:vAlign w:val="bottom"/>
          </w:tcPr>
          <w:p>
            <w:pPr>
              <w:spacing w:after="0"/>
              <w:rPr>
                <w:sz w:val="20"/>
                <w:szCs w:val="20"/>
                <w:color w:val="auto"/>
              </w:rPr>
            </w:pPr>
          </w:p>
        </w:tc>
        <w:tc>
          <w:tcPr>
            <w:tcW w:w="30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Indemnity shareholder interest</w:t>
            </w:r>
          </w:p>
        </w:tc>
        <w:tc>
          <w:tcPr>
            <w:tcW w:w="4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5"/>
        </w:trPr>
        <w:tc>
          <w:tcPr>
            <w:tcW w:w="6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2"/>
          </w:tcPr>
          <w:p>
            <w:pPr>
              <w:jc w:val="right"/>
              <w:ind w:right="90"/>
              <w:spacing w:after="0" w:line="195" w:lineRule="exact"/>
              <w:rPr>
                <w:sz w:val="20"/>
                <w:szCs w:val="20"/>
                <w:color w:val="auto"/>
              </w:rPr>
            </w:pPr>
            <w:r>
              <w:rPr>
                <w:rFonts w:ascii="Arial" w:cs="Arial" w:eastAsia="Arial" w:hAnsi="Arial"/>
                <w:sz w:val="18"/>
                <w:szCs w:val="18"/>
                <w:color w:val="auto"/>
              </w:rPr>
              <w:t>Three months ended</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6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March 31,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4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 millions)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Percent</w:t>
            </w:r>
          </w:p>
        </w:tc>
        <w:tc>
          <w:tcPr>
            <w:tcW w:w="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right"/>
              <w:ind w:right="950"/>
              <w:spacing w:after="0"/>
              <w:rPr>
                <w:sz w:val="20"/>
                <w:szCs w:val="20"/>
                <w:color w:val="auto"/>
              </w:rPr>
            </w:pPr>
            <w:r>
              <w:rPr>
                <w:rFonts w:ascii="Arial" w:cs="Arial" w:eastAsia="Arial" w:hAnsi="Arial"/>
                <w:sz w:val="18"/>
                <w:szCs w:val="18"/>
                <w:color w:val="auto"/>
              </w:rPr>
              <w:t>2011</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2010</w:t>
            </w: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r>
      <w:tr>
        <w:trPr>
          <w:trHeight w:val="196"/>
        </w:trPr>
        <w:tc>
          <w:tcPr>
            <w:tcW w:w="6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Management operations:</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Management fee revenue, net</w:t>
            </w: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1900" w:type="dxa"/>
            <w:vAlign w:val="bottom"/>
            <w:gridSpan w:val="2"/>
          </w:tcPr>
          <w:p>
            <w:pPr>
              <w:jc w:val="right"/>
              <w:ind w:right="690"/>
              <w:spacing w:after="0"/>
              <w:rPr>
                <w:sz w:val="20"/>
                <w:szCs w:val="20"/>
                <w:color w:val="auto"/>
              </w:rPr>
            </w:pPr>
            <w:r>
              <w:rPr>
                <w:rFonts w:ascii="Arial" w:cs="Arial" w:eastAsia="Arial" w:hAnsi="Arial"/>
                <w:sz w:val="18"/>
                <w:szCs w:val="18"/>
                <w:color w:val="auto"/>
              </w:rPr>
              <w:t>$251</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8"/>
                <w:szCs w:val="18"/>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agreement revenue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r>
      <w:tr>
        <w:trPr>
          <w:trHeight w:val="210"/>
        </w:trPr>
        <w:tc>
          <w:tcPr>
            <w:tcW w:w="6400" w:type="dxa"/>
            <w:vAlign w:val="bottom"/>
          </w:tcPr>
          <w:p>
            <w:pPr>
              <w:ind w:left="180"/>
              <w:spacing w:after="0"/>
              <w:rPr>
                <w:sz w:val="20"/>
                <w:szCs w:val="20"/>
                <w:color w:val="auto"/>
              </w:rPr>
            </w:pPr>
            <w:r>
              <w:rPr>
                <w:rFonts w:ascii="Arial" w:cs="Arial" w:eastAsia="Arial" w:hAnsi="Arial"/>
                <w:sz w:val="18"/>
                <w:szCs w:val="18"/>
                <w:color w:val="auto"/>
              </w:rPr>
              <w:t>Total revenue from management operations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rPr>
              <w:t>259</w:t>
            </w:r>
          </w:p>
        </w:tc>
        <w:tc>
          <w:tcPr>
            <w:tcW w:w="4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245</w:t>
            </w:r>
          </w:p>
        </w:tc>
        <w:tc>
          <w:tcPr>
            <w:tcW w:w="120" w:type="dxa"/>
            <w:vAlign w:val="bottom"/>
          </w:tcPr>
          <w:p>
            <w:pPr>
              <w:spacing w:after="0"/>
              <w:rPr>
                <w:sz w:val="18"/>
                <w:szCs w:val="18"/>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management operations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211</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192</w:t>
            </w:r>
          </w:p>
        </w:tc>
        <w:tc>
          <w:tcPr>
            <w:tcW w:w="120" w:type="dxa"/>
            <w:vAlign w:val="bottom"/>
            <w:shd w:val="clear" w:color="auto" w:fill="CCEEFF"/>
          </w:tcPr>
          <w:p>
            <w:pPr>
              <w:spacing w:after="0"/>
              <w:rPr>
                <w:sz w:val="18"/>
                <w:szCs w:val="18"/>
                <w:color w:val="auto"/>
              </w:rPr>
            </w:pPr>
          </w:p>
        </w:tc>
      </w:tr>
      <w:tr>
        <w:trPr>
          <w:trHeight w:val="210"/>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i w:val="1"/>
                <w:iCs w:val="1"/>
                <w:color w:val="auto"/>
              </w:rPr>
              <w:t>Income from management operations before taxes</w:t>
            </w:r>
          </w:p>
        </w:tc>
        <w:tc>
          <w:tcPr>
            <w:tcW w:w="9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48</w:t>
            </w:r>
          </w:p>
        </w:tc>
        <w:tc>
          <w:tcPr>
            <w:tcW w:w="4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tcPr>
          <w:p>
            <w:pPr>
              <w:spacing w:after="0"/>
              <w:rPr>
                <w:sz w:val="18"/>
                <w:szCs w:val="18"/>
                <w:color w:val="auto"/>
              </w:rPr>
            </w:pPr>
          </w:p>
        </w:tc>
      </w:tr>
      <w:tr>
        <w:trPr>
          <w:trHeight w:val="196"/>
        </w:trPr>
        <w:tc>
          <w:tcPr>
            <w:tcW w:w="640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Property and casualty insurance operations: </w:t>
            </w:r>
            <w:r>
              <w:rPr>
                <w:rFonts w:ascii="Arial" w:cs="Arial" w:eastAsia="Arial" w:hAnsi="Arial"/>
                <w:sz w:val="22"/>
                <w:szCs w:val="22"/>
                <w:color w:val="auto"/>
                <w:vertAlign w:val="superscript"/>
              </w:rPr>
              <w:t>(2)</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94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jc w:val="right"/>
              <w:spacing w:after="0"/>
              <w:rPr>
                <w:sz w:val="20"/>
                <w:szCs w:val="20"/>
                <w:color w:val="auto"/>
              </w:rPr>
            </w:pPr>
            <w:r>
              <w:rPr>
                <w:rFonts w:ascii="Arial" w:cs="Arial" w:eastAsia="Arial" w:hAnsi="Arial"/>
                <w:sz w:val="12"/>
                <w:szCs w:val="12"/>
                <w:color w:val="auto"/>
                <w:w w:val="95"/>
              </w:rPr>
              <w:t>(2)</w:t>
            </w:r>
          </w:p>
        </w:tc>
        <w:tc>
          <w:tcPr>
            <w:tcW w:w="120" w:type="dxa"/>
            <w:vAlign w:val="bottom"/>
          </w:tcPr>
          <w:p>
            <w:pPr>
              <w:spacing w:after="0"/>
              <w:rPr>
                <w:sz w:val="18"/>
                <w:szCs w:val="18"/>
                <w:color w:val="auto"/>
              </w:rPr>
            </w:pPr>
          </w:p>
        </w:tc>
        <w:tc>
          <w:tcPr>
            <w:tcW w:w="178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Losses and loss expenses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(2)</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r>
      <w:tr>
        <w:trPr>
          <w:trHeight w:val="216"/>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Policy acquisition and other underwriting expenses</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5.5%</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w w:val="95"/>
              </w:rPr>
              <w:t>(2)</w:t>
            </w:r>
          </w:p>
        </w:tc>
        <w:tc>
          <w:tcPr>
            <w:tcW w:w="12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8"/>
                <w:szCs w:val="18"/>
                <w:color w:val="auto"/>
              </w:rPr>
            </w:pPr>
          </w:p>
        </w:tc>
      </w:tr>
      <w:tr>
        <w:trPr>
          <w:trHeight w:val="210"/>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Loss from property and casualty insurance operations before taxes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r>
      <w:tr>
        <w:trPr>
          <w:trHeight w:val="196"/>
        </w:trPr>
        <w:tc>
          <w:tcPr>
            <w:tcW w:w="6400" w:type="dxa"/>
            <w:vAlign w:val="bottom"/>
          </w:tcPr>
          <w:p>
            <w:pPr>
              <w:spacing w:after="0" w:line="197" w:lineRule="exact"/>
              <w:rPr>
                <w:sz w:val="20"/>
                <w:szCs w:val="20"/>
                <w:color w:val="auto"/>
              </w:rPr>
            </w:pPr>
            <w:r>
              <w:rPr>
                <w:rFonts w:ascii="Arial" w:cs="Arial" w:eastAsia="Arial" w:hAnsi="Arial"/>
                <w:sz w:val="17"/>
                <w:szCs w:val="17"/>
                <w:b w:val="1"/>
                <w:bCs w:val="1"/>
                <w:color w:val="auto"/>
              </w:rPr>
              <w:t xml:space="preserve">Life insurance operations: </w:t>
            </w:r>
            <w:r>
              <w:rPr>
                <w:rFonts w:ascii="Arial" w:cs="Arial" w:eastAsia="Arial" w:hAnsi="Arial"/>
                <w:sz w:val="22"/>
                <w:szCs w:val="22"/>
                <w:color w:val="auto"/>
                <w:vertAlign w:val="superscript"/>
              </w:rPr>
              <w:t>(1)</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(3)</w:t>
            </w:r>
          </w:p>
        </w:tc>
        <w:tc>
          <w:tcPr>
            <w:tcW w:w="190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Total benefits and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21.6%</w:t>
            </w:r>
          </w:p>
        </w:tc>
        <w:tc>
          <w:tcPr>
            <w:tcW w:w="160" w:type="dxa"/>
            <w:vAlign w:val="bottom"/>
          </w:tcPr>
          <w:p>
            <w:pPr>
              <w:jc w:val="right"/>
              <w:spacing w:after="0"/>
              <w:rPr>
                <w:sz w:val="20"/>
                <w:szCs w:val="20"/>
                <w:color w:val="auto"/>
              </w:rPr>
            </w:pPr>
            <w:r>
              <w:rPr>
                <w:rFonts w:ascii="Arial" w:cs="Arial" w:eastAsia="Arial" w:hAnsi="Arial"/>
                <w:sz w:val="12"/>
                <w:szCs w:val="12"/>
                <w:color w:val="auto"/>
                <w:w w:val="95"/>
              </w:rPr>
              <w:t>(3)</w:t>
            </w:r>
          </w:p>
        </w:tc>
        <w:tc>
          <w:tcPr>
            <w:tcW w:w="1900" w:type="dxa"/>
            <w:vAlign w:val="bottom"/>
            <w:gridSpan w:val="2"/>
          </w:tcPr>
          <w:p>
            <w:pPr>
              <w:jc w:val="right"/>
              <w:ind w:right="670"/>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8"/>
                <w:szCs w:val="18"/>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r>
      <w:tr>
        <w:trPr>
          <w:trHeight w:val="210"/>
        </w:trPr>
        <w:tc>
          <w:tcPr>
            <w:tcW w:w="64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Income from life insurance operations before taxes</w:t>
            </w:r>
          </w:p>
        </w:tc>
        <w:tc>
          <w:tcPr>
            <w:tcW w:w="9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3</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8"/>
                <w:szCs w:val="18"/>
                <w:color w:val="auto"/>
              </w:rPr>
            </w:pPr>
          </w:p>
        </w:tc>
      </w:tr>
      <w:tr>
        <w:trPr>
          <w:trHeight w:val="196"/>
        </w:trPr>
        <w:tc>
          <w:tcPr>
            <w:tcW w:w="6400" w:type="dxa"/>
            <w:vAlign w:val="bottom"/>
          </w:tcPr>
          <w:p>
            <w:pPr>
              <w:spacing w:after="0" w:line="196" w:lineRule="exact"/>
              <w:rPr>
                <w:sz w:val="20"/>
                <w:szCs w:val="20"/>
                <w:color w:val="auto"/>
              </w:rPr>
            </w:pPr>
            <w:r>
              <w:rPr>
                <w:rFonts w:ascii="Arial" w:cs="Arial" w:eastAsia="Arial" w:hAnsi="Arial"/>
                <w:sz w:val="18"/>
                <w:szCs w:val="18"/>
                <w:b w:val="1"/>
                <w:bCs w:val="1"/>
                <w:color w:val="auto"/>
              </w:rPr>
              <w:t>Investment operations:</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4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23"/>
                <w:szCs w:val="23"/>
                <w:color w:val="auto"/>
                <w:vertAlign w:val="superscript"/>
              </w:rPr>
              <w:t>(2)</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r>
      <w:tr>
        <w:trPr>
          <w:trHeight w:val="216"/>
        </w:trPr>
        <w:tc>
          <w:tcPr>
            <w:tcW w:w="640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Net realized gains on investments </w:t>
            </w:r>
            <w:r>
              <w:rPr>
                <w:rFonts w:ascii="Arial" w:cs="Arial" w:eastAsia="Arial" w:hAnsi="Arial"/>
                <w:sz w:val="23"/>
                <w:szCs w:val="23"/>
                <w:color w:val="auto"/>
                <w:vertAlign w:val="superscript"/>
              </w:rPr>
              <w:t>(2)</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67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r>
      <w:tr>
        <w:trPr>
          <w:trHeight w:val="216"/>
        </w:trPr>
        <w:tc>
          <w:tcPr>
            <w:tcW w:w="64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Net impairment losses recognized in earnings </w:t>
            </w:r>
            <w:r>
              <w:rPr>
                <w:rFonts w:ascii="Arial" w:cs="Arial" w:eastAsia="Arial" w:hAnsi="Arial"/>
                <w:sz w:val="23"/>
                <w:szCs w:val="23"/>
                <w:color w:val="auto"/>
                <w:vertAlign w:val="superscript"/>
              </w:rPr>
              <w:t>(2)</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Equity in earnings of limited partnerships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67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8"/>
                <w:szCs w:val="18"/>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r>
      <w:tr>
        <w:trPr>
          <w:trHeight w:val="210"/>
        </w:trPr>
        <w:tc>
          <w:tcPr>
            <w:tcW w:w="6400" w:type="dxa"/>
            <w:vAlign w:val="bottom"/>
            <w:tcBorders>
              <w:top w:val="single" w:sz="8" w:color="CCEEFF"/>
            </w:tcBorders>
            <w:shd w:val="clear" w:color="auto" w:fill="CCEEFF"/>
          </w:tcPr>
          <w:p>
            <w:pPr>
              <w:ind w:left="360"/>
              <w:spacing w:after="0" w:line="210" w:lineRule="exact"/>
              <w:rPr>
                <w:sz w:val="20"/>
                <w:szCs w:val="20"/>
                <w:color w:val="auto"/>
              </w:rPr>
            </w:pPr>
            <w:r>
              <w:rPr>
                <w:rFonts w:ascii="Arial" w:cs="Arial" w:eastAsia="Arial" w:hAnsi="Arial"/>
                <w:sz w:val="18"/>
                <w:szCs w:val="18"/>
                <w:b w:val="1"/>
                <w:bCs w:val="1"/>
                <w:i w:val="1"/>
                <w:iCs w:val="1"/>
                <w:color w:val="auto"/>
              </w:rPr>
              <w:t xml:space="preserve">Income from investment operations before taxes </w:t>
            </w:r>
            <w:r>
              <w:rPr>
                <w:rFonts w:ascii="Arial" w:cs="Arial" w:eastAsia="Arial" w:hAnsi="Arial"/>
                <w:sz w:val="23"/>
                <w:szCs w:val="23"/>
                <w:color w:val="auto"/>
                <w:vertAlign w:val="superscript"/>
              </w:rPr>
              <w:t>(2)</w:t>
            </w:r>
          </w:p>
        </w:tc>
        <w:tc>
          <w:tcPr>
            <w:tcW w:w="9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16</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8"/>
                <w:szCs w:val="18"/>
                <w:b w:val="1"/>
                <w:bCs w:val="1"/>
                <w:color w:val="auto"/>
              </w:rPr>
              <w:t>Income from operations before income taxes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right"/>
              <w:ind w:right="690"/>
              <w:spacing w:after="0"/>
              <w:rPr>
                <w:sz w:val="20"/>
                <w:szCs w:val="20"/>
                <w:color w:val="auto"/>
              </w:rPr>
            </w:pPr>
            <w:r>
              <w:rPr>
                <w:rFonts w:ascii="Arial" w:cs="Arial" w:eastAsia="Arial" w:hAnsi="Arial"/>
                <w:sz w:val="18"/>
                <w:szCs w:val="18"/>
                <w:color w:val="auto"/>
              </w:rPr>
              <w:t>67</w:t>
            </w:r>
          </w:p>
        </w:tc>
        <w:tc>
          <w:tcPr>
            <w:tcW w:w="400" w:type="dxa"/>
            <w:vAlign w:val="bottom"/>
          </w:tcPr>
          <w:p>
            <w:pPr>
              <w:spacing w:after="0"/>
              <w:rPr>
                <w:sz w:val="18"/>
                <w:szCs w:val="18"/>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$ 44</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3" w:lineRule="exact"/>
        <w:rPr>
          <w:sz w:val="20"/>
          <w:szCs w:val="20"/>
          <w:color w:val="auto"/>
        </w:rPr>
      </w:pPr>
    </w:p>
    <w:p>
      <w:pPr>
        <w:ind w:left="340" w:right="280" w:hanging="332"/>
        <w:spacing w:after="0" w:line="238" w:lineRule="auto"/>
        <w:tabs>
          <w:tab w:leader="none" w:pos="319"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Earnings on life insurance related invested assets are integral to the evaluation of the life insurance operations because of the long duration of life products. On that basis, for presentation purposes, the life insurance operations in the table above include life insurance related investment results. However, the life insurance investment results are included in the investment operations segment discussion in Note 5, “Segment Information”.</w:t>
      </w:r>
    </w:p>
    <w:p>
      <w:pPr>
        <w:spacing w:after="0" w:line="47" w:lineRule="exact"/>
        <w:rPr>
          <w:rFonts w:ascii="Arial" w:cs="Arial" w:eastAsia="Arial" w:hAnsi="Arial"/>
          <w:sz w:val="14"/>
          <w:szCs w:val="14"/>
          <w:i w:val="1"/>
          <w:iCs w:val="1"/>
          <w:color w:val="auto"/>
        </w:rPr>
      </w:pPr>
    </w:p>
    <w:p>
      <w:pPr>
        <w:ind w:left="340" w:hanging="332"/>
        <w:spacing w:after="0" w:line="264" w:lineRule="auto"/>
        <w:tabs>
          <w:tab w:leader="none" w:pos="319" w:val="left"/>
        </w:tabs>
        <w:numPr>
          <w:ilvl w:val="0"/>
          <w:numId w:val="4"/>
        </w:numPr>
        <w:rPr>
          <w:rFonts w:ascii="Arial" w:cs="Arial" w:eastAsia="Arial" w:hAnsi="Arial"/>
          <w:sz w:val="13"/>
          <w:szCs w:val="13"/>
          <w:i w:val="1"/>
          <w:iCs w:val="1"/>
          <w:color w:val="auto"/>
        </w:rPr>
      </w:pPr>
      <w:r>
        <w:rPr>
          <w:rFonts w:ascii="Arial" w:cs="Arial" w:eastAsia="Arial" w:hAnsi="Arial"/>
          <w:sz w:val="13"/>
          <w:szCs w:val="13"/>
          <w:i w:val="1"/>
          <w:iCs w:val="1"/>
          <w:color w:val="auto"/>
        </w:rPr>
        <w:t>Prior to and through December 31, 2010, the underwriting results retained by EIC and ENY and the investment results of EIC, ENY and EPC accrued to the benefit of the Indemnity shareholder interest. Due to the sale of Indemnity’s property and casualty subsidiaries to the Exchange on December 31, 2010, all property and casualty underwriting results and all investment results for these companies accrue to the benefit of the subscribers (policyholders) of the Exchange, or noncontrolling interest, after December 31, 2010. (See Note 1, “Nature of Operations”.)</w:t>
      </w:r>
    </w:p>
    <w:p>
      <w:pPr>
        <w:spacing w:after="0" w:line="33" w:lineRule="exact"/>
        <w:rPr>
          <w:rFonts w:ascii="Arial" w:cs="Arial" w:eastAsia="Arial" w:hAnsi="Arial"/>
          <w:sz w:val="13"/>
          <w:szCs w:val="13"/>
          <w:i w:val="1"/>
          <w:iCs w:val="1"/>
          <w:color w:val="auto"/>
        </w:rPr>
      </w:pPr>
    </w:p>
    <w:p>
      <w:pPr>
        <w:jc w:val="both"/>
        <w:ind w:left="340" w:right="180" w:hanging="332"/>
        <w:spacing w:after="0" w:line="234" w:lineRule="auto"/>
        <w:tabs>
          <w:tab w:leader="none" w:pos="319"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Prior to and through March 31, 2011, Indemnity retained a 21.6% ownership interest in EFL, which accrued to the benefit of the Indemnity shareholder interest, and the Exchange retained a 78.4% ownership interest in EFL, which accrued to the benefit of the subscribers (policyholders) of the Exchange or noncontrolling interest. Due to the sale of Indemnity’s 21.6% ownership interest in EFL to the Exchange on March 31, 2011, 100% of the life insurance results of EFL will accrue to the benefit of the subscribers (policyholders) of the Exchange, or noncontrolling interest, after March 31, 2011. (See Note 1, “Nature of Operations”.)</w:t>
      </w:r>
    </w:p>
    <w:p>
      <w:pPr>
        <w:sectPr>
          <w:pgSz w:w="11900" w:h="16851" w:orient="portrait"/>
          <w:cols w:equalWidth="0" w:num="1">
            <w:col w:w="11420"/>
          </w:cols>
          <w:pgMar w:left="240" w:top="125" w:right="239" w:bottom="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51" w:orient="portrait"/>
          <w:cols w:equalWidth="0" w:num="1">
            <w:col w:w="11420"/>
          </w:cols>
          <w:pgMar w:left="240" w:top="125" w:right="239" w:bottom="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 method of cash flows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Indemnity’s components of direct cash flows as presented in the Consolidated Statements of Cash Flows is as follows for the three months ended March 31:</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Indemnity</w:t>
      </w:r>
    </w:p>
    <w:p>
      <w:pPr>
        <w:spacing w:after="0" w:line="9" w:lineRule="exact"/>
        <w:rPr>
          <w:sz w:val="20"/>
          <w:szCs w:val="20"/>
          <w:color w:val="auto"/>
        </w:rPr>
      </w:pPr>
    </w:p>
    <w:p>
      <w:pPr>
        <w:jc w:val="center"/>
        <w:ind w:left="2540"/>
        <w:spacing w:after="0"/>
        <w:rPr>
          <w:sz w:val="20"/>
          <w:szCs w:val="20"/>
          <w:color w:val="auto"/>
        </w:rPr>
      </w:pPr>
      <w:r>
        <w:rPr>
          <w:rFonts w:ascii="Arial" w:cs="Arial" w:eastAsia="Arial" w:hAnsi="Arial"/>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16205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3" w:lineRule="exact"/>
        <w:rPr>
          <w:sz w:val="20"/>
          <w:szCs w:val="20"/>
          <w:color w:val="auto"/>
        </w:rPr>
      </w:pPr>
    </w:p>
    <w:p>
      <w:pPr>
        <w:jc w:val="center"/>
        <w:ind w:left="2540"/>
        <w:spacing w:after="0"/>
        <w:rPr>
          <w:sz w:val="20"/>
          <w:szCs w:val="20"/>
          <w:color w:val="auto"/>
        </w:rPr>
      </w:pPr>
      <w:r>
        <w:rPr>
          <w:rFonts w:ascii="Arial" w:cs="Arial" w:eastAsia="Arial" w:hAnsi="Arial"/>
          <w:sz w:val="18"/>
          <w:szCs w:val="18"/>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millions)</w:t>
            </w: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2011</w:t>
            </w: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CCEEFF"/>
            </w:tcBorders>
          </w:tcPr>
          <w:p>
            <w:pPr>
              <w:spacing w:after="0"/>
              <w:rPr>
                <w:sz w:val="18"/>
                <w:szCs w:val="18"/>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received</w:t>
            </w:r>
          </w:p>
        </w:tc>
        <w:tc>
          <w:tcPr>
            <w:tcW w:w="13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$ 252</w:t>
            </w:r>
          </w:p>
        </w:tc>
        <w:tc>
          <w:tcPr>
            <w:tcW w:w="12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$ 225</w:t>
            </w: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Service agreement fee received</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8</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Premiums collected </w:t>
            </w:r>
            <w:r>
              <w:rPr>
                <w:rFonts w:ascii="Arial" w:cs="Arial" w:eastAsia="Arial" w:hAnsi="Arial"/>
                <w:sz w:val="23"/>
                <w:szCs w:val="23"/>
                <w:color w:val="auto"/>
                <w:vertAlign w:val="superscript"/>
              </w:rPr>
              <w:t>(1)</w:t>
            </w:r>
          </w:p>
        </w:tc>
        <w:tc>
          <w:tcPr>
            <w:tcW w:w="13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line="216" w:lineRule="exact"/>
              <w:rPr>
                <w:sz w:val="20"/>
                <w:szCs w:val="20"/>
                <w:color w:val="auto"/>
              </w:rPr>
            </w:pPr>
            <w:r>
              <w:rPr>
                <w:rFonts w:ascii="Arial" w:cs="Arial" w:eastAsia="Arial" w:hAnsi="Arial"/>
                <w:sz w:val="18"/>
                <w:szCs w:val="18"/>
                <w:color w:val="auto"/>
              </w:rPr>
              <w:t xml:space="preserve">Net investment income received </w:t>
            </w:r>
            <w:r>
              <w:rPr>
                <w:rFonts w:ascii="Arial" w:cs="Arial" w:eastAsia="Arial" w:hAnsi="Arial"/>
                <w:sz w:val="23"/>
                <w:szCs w:val="23"/>
                <w:color w:val="auto"/>
                <w:vertAlign w:val="superscript"/>
              </w:rPr>
              <w:t>(1)</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4</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partnership distributions</w:t>
            </w:r>
          </w:p>
        </w:tc>
        <w:tc>
          <w:tcPr>
            <w:tcW w:w="13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w:t>
            </w:r>
          </w:p>
        </w:tc>
        <w:tc>
          <w:tcPr>
            <w:tcW w:w="12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Decrease in reimbursements collected from affiliates</w:t>
            </w:r>
          </w:p>
        </w:tc>
        <w:tc>
          <w:tcPr>
            <w:tcW w:w="1360" w:type="dxa"/>
            <w:vAlign w:val="bottom"/>
          </w:tcPr>
          <w:p>
            <w:pPr>
              <w:jc w:val="right"/>
              <w:ind w:right="350"/>
              <w:spacing w:after="0"/>
              <w:rPr>
                <w:sz w:val="20"/>
                <w:szCs w:val="20"/>
                <w:color w:val="auto"/>
              </w:rPr>
            </w:pPr>
            <w:r>
              <w:rPr>
                <w:rFonts w:ascii="Arial" w:cs="Arial" w:eastAsia="Arial" w:hAnsi="Arial"/>
                <w:sz w:val="18"/>
                <w:szCs w:val="18"/>
                <w:color w:val="auto"/>
              </w:rPr>
              <w:t>(8)</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Commissions and bonuses paid to agents</w:t>
            </w:r>
          </w:p>
        </w:tc>
        <w:tc>
          <w:tcPr>
            <w:tcW w:w="13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(178)</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Salaries and wages paid</w:t>
            </w:r>
          </w:p>
        </w:tc>
        <w:tc>
          <w:tcPr>
            <w:tcW w:w="1360" w:type="dxa"/>
            <w:vAlign w:val="bottom"/>
          </w:tcPr>
          <w:p>
            <w:pPr>
              <w:jc w:val="right"/>
              <w:ind w:right="350"/>
              <w:spacing w:after="0"/>
              <w:rPr>
                <w:sz w:val="20"/>
                <w:szCs w:val="20"/>
                <w:color w:val="auto"/>
              </w:rPr>
            </w:pPr>
            <w:r>
              <w:rPr>
                <w:rFonts w:ascii="Arial" w:cs="Arial" w:eastAsia="Arial" w:hAnsi="Arial"/>
                <w:sz w:val="18"/>
                <w:szCs w:val="18"/>
                <w:color w:val="auto"/>
              </w:rPr>
              <w:t>(38)</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benefits paid</w:t>
            </w:r>
          </w:p>
        </w:tc>
        <w:tc>
          <w:tcPr>
            <w:tcW w:w="13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line="216" w:lineRule="exact"/>
              <w:rPr>
                <w:sz w:val="20"/>
                <w:szCs w:val="20"/>
                <w:color w:val="auto"/>
              </w:rPr>
            </w:pPr>
            <w:r>
              <w:rPr>
                <w:rFonts w:ascii="Arial" w:cs="Arial" w:eastAsia="Arial" w:hAnsi="Arial"/>
                <w:sz w:val="18"/>
                <w:szCs w:val="18"/>
                <w:color w:val="auto"/>
              </w:rPr>
              <w:t xml:space="preserve">Losses paid </w:t>
            </w:r>
            <w:r>
              <w:rPr>
                <w:rFonts w:ascii="Arial" w:cs="Arial" w:eastAsia="Arial" w:hAnsi="Arial"/>
                <w:sz w:val="23"/>
                <w:szCs w:val="23"/>
                <w:color w:val="auto"/>
                <w:vertAlign w:val="superscript"/>
              </w:rPr>
              <w:t>(1)</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Loss expenses paid </w:t>
            </w:r>
            <w:r>
              <w:rPr>
                <w:rFonts w:ascii="Arial" w:cs="Arial" w:eastAsia="Arial" w:hAnsi="Arial"/>
                <w:sz w:val="23"/>
                <w:szCs w:val="23"/>
                <w:color w:val="auto"/>
                <w:vertAlign w:val="superscript"/>
              </w:rPr>
              <w:t>(1)</w:t>
            </w:r>
          </w:p>
        </w:tc>
        <w:tc>
          <w:tcPr>
            <w:tcW w:w="13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line="216" w:lineRule="exact"/>
              <w:rPr>
                <w:sz w:val="20"/>
                <w:szCs w:val="20"/>
                <w:color w:val="auto"/>
              </w:rPr>
            </w:pPr>
            <w:r>
              <w:rPr>
                <w:rFonts w:ascii="Arial" w:cs="Arial" w:eastAsia="Arial" w:hAnsi="Arial"/>
                <w:sz w:val="18"/>
                <w:szCs w:val="18"/>
                <w:color w:val="auto"/>
              </w:rPr>
              <w:t xml:space="preserve">Other underwriting and acquisition costs paid </w:t>
            </w:r>
            <w:r>
              <w:rPr>
                <w:rFonts w:ascii="Arial" w:cs="Arial" w:eastAsia="Arial" w:hAnsi="Arial"/>
                <w:sz w:val="23"/>
                <w:szCs w:val="23"/>
                <w:color w:val="auto"/>
                <w:vertAlign w:val="superscript"/>
              </w:rPr>
              <w:t>(1)</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General operating expenses paid</w:t>
            </w:r>
          </w:p>
        </w:tc>
        <w:tc>
          <w:tcPr>
            <w:tcW w:w="13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(35)</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taxes paid</w:t>
            </w: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0</w:t>
            </w: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8"/>
                <w:szCs w:val="18"/>
                <w:color w:val="auto"/>
              </w:rPr>
            </w:pPr>
          </w:p>
        </w:tc>
      </w:tr>
      <w:tr>
        <w:trPr>
          <w:trHeight w:val="210"/>
        </w:trPr>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13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w:t>
            </w:r>
          </w:p>
        </w:tc>
        <w:tc>
          <w:tcPr>
            <w:tcW w:w="12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360" w:type="dxa"/>
            <w:vAlign w:val="bottom"/>
          </w:tcPr>
          <w:p>
            <w:pPr>
              <w:jc w:val="right"/>
              <w:ind w:right="350"/>
              <w:spacing w:after="0"/>
              <w:rPr>
                <w:sz w:val="20"/>
                <w:szCs w:val="20"/>
                <w:color w:val="auto"/>
              </w:rPr>
            </w:pPr>
            <w:r>
              <w:rPr>
                <w:rFonts w:ascii="Arial" w:cs="Arial" w:eastAsia="Arial" w:hAnsi="Arial"/>
                <w:sz w:val="18"/>
                <w:szCs w:val="18"/>
                <w:color w:val="auto"/>
              </w:rPr>
              <w:t>(168)</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w:t>
            </w:r>
          </w:p>
        </w:tc>
        <w:tc>
          <w:tcPr>
            <w:tcW w:w="13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(62)</w:t>
            </w: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8"/>
                <w:szCs w:val="18"/>
                <w:color w:val="auto"/>
              </w:rPr>
              <w:t>Net decrease in cash</w:t>
            </w:r>
          </w:p>
        </w:tc>
        <w:tc>
          <w:tcPr>
            <w:tcW w:w="1360" w:type="dxa"/>
            <w:vAlign w:val="bottom"/>
          </w:tcPr>
          <w:p>
            <w:pPr>
              <w:jc w:val="right"/>
              <w:ind w:right="350"/>
              <w:spacing w:after="0"/>
              <w:rPr>
                <w:sz w:val="20"/>
                <w:szCs w:val="20"/>
                <w:color w:val="auto"/>
              </w:rPr>
            </w:pPr>
            <w:r>
              <w:rPr>
                <w:rFonts w:ascii="Arial" w:cs="Arial" w:eastAsia="Arial" w:hAnsi="Arial"/>
                <w:sz w:val="18"/>
                <w:szCs w:val="18"/>
                <w:color w:val="auto"/>
              </w:rPr>
              <w:t>(224)</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3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310</w:t>
            </w:r>
          </w:p>
        </w:tc>
        <w:tc>
          <w:tcPr>
            <w:tcW w:w="12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r>
      <w:tr>
        <w:trPr>
          <w:trHeight w:val="210"/>
        </w:trPr>
        <w:tc>
          <w:tcPr>
            <w:tcW w:w="5700" w:type="dxa"/>
            <w:vAlign w:val="bottom"/>
          </w:tcPr>
          <w:p>
            <w:pPr>
              <w:ind w:left="340"/>
              <w:spacing w:after="0"/>
              <w:rPr>
                <w:sz w:val="20"/>
                <w:szCs w:val="20"/>
                <w:color w:val="auto"/>
              </w:rPr>
            </w:pPr>
            <w:r>
              <w:rPr>
                <w:rFonts w:ascii="Arial" w:cs="Arial" w:eastAsia="Arial" w:hAnsi="Arial"/>
                <w:sz w:val="18"/>
                <w:szCs w:val="18"/>
                <w:color w:val="auto"/>
              </w:rPr>
              <w:t>Cash and cash equivalents at end of period</w:t>
            </w: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$ 86</w:t>
            </w: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$ 30</w:t>
            </w:r>
          </w:p>
        </w:tc>
        <w:tc>
          <w:tcPr>
            <w:tcW w:w="100" w:type="dxa"/>
            <w:vAlign w:val="bottom"/>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340" w:hanging="332"/>
        <w:spacing w:after="0" w:line="264" w:lineRule="auto"/>
        <w:tabs>
          <w:tab w:leader="none" w:pos="319"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Prior to and through December 31, 2010, the underwriting results retained by EIC and ENY and the investment results of EIC, ENY and EPC accrued to the benefit of the Indemnity shareholder interest. Due to the sale of Indemnity’s property and casualty subsidiaries to the Exchange on December 31, 2010, all property and casualty underwriting results and all investment results for these companies accrue to the benefit of the subscribers (policyholders) of the Exchange, or noncontrolling interest, after December 31, 2010. (See Note 1, “Nature of Operations”.)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repurchase program</w:t>
      </w:r>
    </w:p>
    <w:p>
      <w:pPr>
        <w:spacing w:after="0" w:line="23" w:lineRule="exact"/>
        <w:rPr>
          <w:sz w:val="20"/>
          <w:szCs w:val="20"/>
          <w:color w:val="auto"/>
        </w:rPr>
      </w:pPr>
    </w:p>
    <w:p>
      <w:pPr>
        <w:ind w:right="740"/>
        <w:spacing w:after="0" w:line="290" w:lineRule="auto"/>
        <w:rPr>
          <w:sz w:val="20"/>
          <w:szCs w:val="20"/>
          <w:color w:val="auto"/>
        </w:rPr>
      </w:pPr>
      <w:r>
        <w:rPr>
          <w:rFonts w:ascii="Arial" w:cs="Arial" w:eastAsia="Arial" w:hAnsi="Arial"/>
          <w:sz w:val="17"/>
          <w:szCs w:val="17"/>
          <w:color w:val="auto"/>
        </w:rPr>
        <w:t>In December 2010, our Board of Directors approved a continuation of the current stock repurchase program for a total of $150 million, with no time limitation. Indemnity had approximately $109.7 million of repurchase authority remaining under this program at March 31, 2011.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have evaluated for recognized and nonrecognized subsequent events through the date of financial statement issuance. No items were identified in this period subsequent to the financial statement date that required adjustment or disclosure.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following discussion of financial condition and results of operations highlights significant factors influencing the Erie Insurance Group (“we,” “us,” “our”). This discussion should be read in conjunction with the historical financial information and the related notes thereto included in Item 1. “Financial Statements” of this Quarterly Report on Form 10-Q and with Item 7. “Management’s Discussion and Analysis of Financial Condition and Results of Operations” for the year ended December 31, 2010 contained in our Annual Report on Form 10-K as filed with the Securities and Exchange Commission on February 24, 2011.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960" w:type="dxa"/>
            <w:vAlign w:val="bottom"/>
            <w:gridSpan w:val="15"/>
            <w:vMerge w:val="restart"/>
          </w:tcPr>
          <w:p>
            <w:pPr>
              <w:spacing w:after="0"/>
              <w:rPr>
                <w:rFonts w:ascii="Arial" w:cs="Arial" w:eastAsia="Arial" w:hAnsi="Arial"/>
                <w:sz w:val="16"/>
                <w:szCs w:val="16"/>
                <w:color w:val="0000EE"/>
                <w:w w:val="93"/>
              </w:rPr>
            </w:pPr>
            <w:hyperlink w:anchor="page23">
              <w:r>
                <w:rPr>
                  <w:rFonts w:ascii="Arial" w:cs="Arial" w:eastAsia="Arial" w:hAnsi="Arial"/>
                  <w:sz w:val="16"/>
                  <w:szCs w:val="16"/>
                  <w:color w:val="0000EE"/>
                  <w:w w:val="93"/>
                </w:rPr>
                <w:t>Cautionary statement regarding forward-looking information</w:t>
              </w:r>
            </w:hyperlink>
          </w:p>
        </w:tc>
        <w:tc>
          <w:tcPr>
            <w:tcW w:w="6260" w:type="dxa"/>
            <w:vAlign w:val="bottom"/>
            <w:vMerge w:val="restart"/>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Page Number</w:t>
            </w:r>
          </w:p>
        </w:tc>
        <w:tc>
          <w:tcPr>
            <w:tcW w:w="0" w:type="dxa"/>
            <w:vAlign w:val="bottom"/>
          </w:tcPr>
          <w:p>
            <w:pPr>
              <w:spacing w:after="0"/>
              <w:rPr>
                <w:sz w:val="1"/>
                <w:szCs w:val="1"/>
                <w:color w:val="auto"/>
              </w:rPr>
            </w:pPr>
          </w:p>
        </w:tc>
      </w:tr>
      <w:tr>
        <w:trPr>
          <w:trHeight w:val="150"/>
        </w:trPr>
        <w:tc>
          <w:tcPr>
            <w:tcW w:w="3960" w:type="dxa"/>
            <w:vAlign w:val="bottom"/>
            <w:tcBorders>
              <w:bottom w:val="single" w:sz="8" w:color="0000EE"/>
            </w:tcBorders>
            <w:gridSpan w:val="15"/>
            <w:vMerge w:val="continue"/>
          </w:tcPr>
          <w:p>
            <w:pPr>
              <w:spacing w:after="0"/>
              <w:rPr>
                <w:sz w:val="12"/>
                <w:szCs w:val="12"/>
                <w:color w:val="auto"/>
              </w:rPr>
            </w:pPr>
          </w:p>
        </w:tc>
        <w:tc>
          <w:tcPr>
            <w:tcW w:w="6260" w:type="dxa"/>
            <w:vAlign w:val="bottom"/>
            <w:vMerge w:val="continue"/>
          </w:tcPr>
          <w:p>
            <w:pPr>
              <w:spacing w:after="0"/>
              <w:rPr>
                <w:sz w:val="12"/>
                <w:szCs w:val="12"/>
                <w:color w:val="auto"/>
              </w:rPr>
            </w:pPr>
          </w:p>
        </w:tc>
        <w:tc>
          <w:tcPr>
            <w:tcW w:w="1200" w:type="dxa"/>
            <w:vAlign w:val="bottom"/>
          </w:tcPr>
          <w:p>
            <w:pPr>
              <w:jc w:val="center"/>
              <w:spacing w:after="0" w:line="12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96"/>
        </w:trPr>
        <w:tc>
          <w:tcPr>
            <w:tcW w:w="10220" w:type="dxa"/>
            <w:vAlign w:val="bottom"/>
            <w:gridSpan w:val="16"/>
          </w:tcPr>
          <w:p>
            <w:pPr>
              <w:spacing w:after="0"/>
              <w:rPr>
                <w:rFonts w:ascii="Arial" w:cs="Arial" w:eastAsia="Arial" w:hAnsi="Arial"/>
                <w:sz w:val="16"/>
                <w:szCs w:val="16"/>
                <w:color w:val="0000EE"/>
              </w:rPr>
            </w:pPr>
            <w:hyperlink w:anchor="page24">
              <w:r>
                <w:rPr>
                  <w:rFonts w:ascii="Arial" w:cs="Arial" w:eastAsia="Arial" w:hAnsi="Arial"/>
                  <w:sz w:val="16"/>
                  <w:szCs w:val="16"/>
                  <w:color w:val="0000EE"/>
                </w:rPr>
                <w:t>Recent accounting pronouncements</w:t>
              </w:r>
            </w:hyperlink>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37</w:t>
            </w:r>
          </w:p>
        </w:tc>
        <w:tc>
          <w:tcPr>
            <w:tcW w:w="0" w:type="dxa"/>
            <w:vAlign w:val="bottom"/>
          </w:tcPr>
          <w:p>
            <w:pPr>
              <w:spacing w:after="0"/>
              <w:rPr>
                <w:sz w:val="1"/>
                <w:szCs w:val="1"/>
                <w:color w:val="auto"/>
              </w:rPr>
            </w:pPr>
          </w:p>
        </w:tc>
      </w:tr>
      <w:tr>
        <w:trPr>
          <w:trHeight w:val="183"/>
        </w:trPr>
        <w:tc>
          <w:tcPr>
            <w:tcW w:w="920" w:type="dxa"/>
            <w:vAlign w:val="bottom"/>
            <w:tcBorders>
              <w:top w:val="single" w:sz="8" w:color="0000EE"/>
              <w:bottom w:val="single" w:sz="8" w:color="0000EE"/>
            </w:tcBorders>
            <w:gridSpan w:val="3"/>
          </w:tcPr>
          <w:p>
            <w:pPr>
              <w:spacing w:after="0" w:line="183" w:lineRule="exact"/>
              <w:rPr>
                <w:rFonts w:ascii="Arial" w:cs="Arial" w:eastAsia="Arial" w:hAnsi="Arial"/>
                <w:sz w:val="16"/>
                <w:szCs w:val="16"/>
                <w:color w:val="0000EE"/>
                <w:w w:val="87"/>
              </w:rPr>
            </w:pPr>
            <w:hyperlink w:anchor="page24">
              <w:r>
                <w:rPr>
                  <w:rFonts w:ascii="Arial" w:cs="Arial" w:eastAsia="Arial" w:hAnsi="Arial"/>
                  <w:sz w:val="16"/>
                  <w:szCs w:val="16"/>
                  <w:color w:val="0000EE"/>
                  <w:w w:val="87"/>
                </w:rPr>
                <w:t>Recent events</w:t>
              </w:r>
            </w:hyperlink>
          </w:p>
        </w:tc>
        <w:tc>
          <w:tcPr>
            <w:tcW w:w="1400" w:type="dxa"/>
            <w:vAlign w:val="bottom"/>
            <w:tcBorders>
              <w:top w:val="single" w:sz="8" w:color="0000EE"/>
            </w:tcBorders>
            <w:gridSpan w:val="10"/>
          </w:tcPr>
          <w:p>
            <w:pPr>
              <w:spacing w:after="0"/>
              <w:rPr>
                <w:sz w:val="15"/>
                <w:szCs w:val="15"/>
                <w:color w:val="auto"/>
              </w:rPr>
            </w:pPr>
          </w:p>
        </w:tc>
        <w:tc>
          <w:tcPr>
            <w:tcW w:w="7900" w:type="dxa"/>
            <w:vAlign w:val="bottom"/>
            <w:gridSpan w:val="3"/>
          </w:tcPr>
          <w:p>
            <w:pPr>
              <w:spacing w:after="0"/>
              <w:rPr>
                <w:sz w:val="15"/>
                <w:szCs w:val="15"/>
                <w:color w:val="auto"/>
              </w:rPr>
            </w:pPr>
          </w:p>
        </w:tc>
        <w:tc>
          <w:tcPr>
            <w:tcW w:w="1200" w:type="dxa"/>
            <w:vAlign w:val="bottom"/>
          </w:tcPr>
          <w:p>
            <w:pPr>
              <w:jc w:val="center"/>
              <w:spacing w:after="0" w:line="183" w:lineRule="exact"/>
              <w:rPr>
                <w:sz w:val="20"/>
                <w:szCs w:val="20"/>
                <w:color w:val="auto"/>
              </w:rPr>
            </w:pPr>
            <w:r>
              <w:rPr>
                <w:rFonts w:ascii="Arial" w:cs="Arial" w:eastAsia="Arial" w:hAnsi="Arial"/>
                <w:sz w:val="16"/>
                <w:szCs w:val="16"/>
                <w:color w:val="auto"/>
                <w:w w:val="89"/>
              </w:rPr>
              <w:t>37</w:t>
            </w:r>
          </w:p>
        </w:tc>
        <w:tc>
          <w:tcPr>
            <w:tcW w:w="0" w:type="dxa"/>
            <w:vAlign w:val="bottom"/>
          </w:tcPr>
          <w:p>
            <w:pPr>
              <w:spacing w:after="0"/>
              <w:rPr>
                <w:sz w:val="1"/>
                <w:szCs w:val="1"/>
                <w:color w:val="auto"/>
              </w:rPr>
            </w:pPr>
          </w:p>
        </w:tc>
      </w:tr>
      <w:tr>
        <w:trPr>
          <w:trHeight w:val="183"/>
        </w:trPr>
        <w:tc>
          <w:tcPr>
            <w:tcW w:w="1140" w:type="dxa"/>
            <w:vAlign w:val="bottom"/>
            <w:tcBorders>
              <w:bottom w:val="single" w:sz="8" w:color="0000EE"/>
            </w:tcBorders>
            <w:gridSpan w:val="5"/>
          </w:tcPr>
          <w:p>
            <w:pPr>
              <w:spacing w:after="0" w:line="183" w:lineRule="exact"/>
              <w:rPr>
                <w:rFonts w:ascii="Arial" w:cs="Arial" w:eastAsia="Arial" w:hAnsi="Arial"/>
                <w:sz w:val="16"/>
                <w:szCs w:val="16"/>
                <w:color w:val="0000EE"/>
                <w:w w:val="92"/>
              </w:rPr>
            </w:pPr>
            <w:hyperlink w:anchor="page24">
              <w:r>
                <w:rPr>
                  <w:rFonts w:ascii="Arial" w:cs="Arial" w:eastAsia="Arial" w:hAnsi="Arial"/>
                  <w:sz w:val="16"/>
                  <w:szCs w:val="16"/>
                  <w:color w:val="0000EE"/>
                  <w:w w:val="92"/>
                </w:rPr>
                <w:t>Operating review</w:t>
              </w:r>
            </w:hyperlink>
          </w:p>
        </w:tc>
        <w:tc>
          <w:tcPr>
            <w:tcW w:w="9080" w:type="dxa"/>
            <w:vAlign w:val="bottom"/>
            <w:gridSpan w:val="11"/>
          </w:tcPr>
          <w:p>
            <w:pPr>
              <w:spacing w:after="0"/>
              <w:rPr>
                <w:sz w:val="15"/>
                <w:szCs w:val="15"/>
                <w:color w:val="auto"/>
              </w:rPr>
            </w:pPr>
          </w:p>
        </w:tc>
        <w:tc>
          <w:tcPr>
            <w:tcW w:w="1200" w:type="dxa"/>
            <w:vAlign w:val="bottom"/>
          </w:tcPr>
          <w:p>
            <w:pPr>
              <w:jc w:val="center"/>
              <w:spacing w:after="0" w:line="183" w:lineRule="exact"/>
              <w:rPr>
                <w:sz w:val="20"/>
                <w:szCs w:val="20"/>
                <w:color w:val="auto"/>
              </w:rPr>
            </w:pPr>
            <w:r>
              <w:rPr>
                <w:rFonts w:ascii="Arial" w:cs="Arial" w:eastAsia="Arial" w:hAnsi="Arial"/>
                <w:sz w:val="16"/>
                <w:szCs w:val="16"/>
                <w:color w:val="auto"/>
                <w:w w:val="89"/>
              </w:rPr>
              <w:t>38</w:t>
            </w:r>
          </w:p>
        </w:tc>
        <w:tc>
          <w:tcPr>
            <w:tcW w:w="0" w:type="dxa"/>
            <w:vAlign w:val="bottom"/>
          </w:tcPr>
          <w:p>
            <w:pPr>
              <w:spacing w:after="0"/>
              <w:rPr>
                <w:sz w:val="1"/>
                <w:szCs w:val="1"/>
                <w:color w:val="auto"/>
              </w:rPr>
            </w:pPr>
          </w:p>
        </w:tc>
      </w:tr>
      <w:tr>
        <w:trPr>
          <w:trHeight w:val="183"/>
        </w:trPr>
        <w:tc>
          <w:tcPr>
            <w:tcW w:w="1380" w:type="dxa"/>
            <w:vAlign w:val="bottom"/>
            <w:tcBorders>
              <w:bottom w:val="single" w:sz="8" w:color="0000EE"/>
            </w:tcBorders>
            <w:gridSpan w:val="8"/>
          </w:tcPr>
          <w:p>
            <w:pPr>
              <w:spacing w:after="0" w:line="183" w:lineRule="exact"/>
              <w:rPr>
                <w:rFonts w:ascii="Arial" w:cs="Arial" w:eastAsia="Arial" w:hAnsi="Arial"/>
                <w:sz w:val="16"/>
                <w:szCs w:val="16"/>
                <w:color w:val="0000EE"/>
                <w:w w:val="90"/>
              </w:rPr>
            </w:pPr>
            <w:hyperlink w:anchor="page28">
              <w:r>
                <w:rPr>
                  <w:rFonts w:ascii="Arial" w:cs="Arial" w:eastAsia="Arial" w:hAnsi="Arial"/>
                  <w:sz w:val="16"/>
                  <w:szCs w:val="16"/>
                  <w:color w:val="0000EE"/>
                  <w:w w:val="90"/>
                </w:rPr>
                <w:t>Results of operations</w:t>
              </w:r>
            </w:hyperlink>
          </w:p>
        </w:tc>
        <w:tc>
          <w:tcPr>
            <w:tcW w:w="8840" w:type="dxa"/>
            <w:vAlign w:val="bottom"/>
            <w:gridSpan w:val="8"/>
          </w:tcPr>
          <w:p>
            <w:pPr>
              <w:spacing w:after="0"/>
              <w:rPr>
                <w:sz w:val="15"/>
                <w:szCs w:val="15"/>
                <w:color w:val="auto"/>
              </w:rPr>
            </w:pPr>
          </w:p>
        </w:tc>
        <w:tc>
          <w:tcPr>
            <w:tcW w:w="1200" w:type="dxa"/>
            <w:vAlign w:val="bottom"/>
          </w:tcPr>
          <w:p>
            <w:pPr>
              <w:jc w:val="center"/>
              <w:spacing w:after="0" w:line="183" w:lineRule="exact"/>
              <w:rPr>
                <w:sz w:val="20"/>
                <w:szCs w:val="20"/>
                <w:color w:val="auto"/>
              </w:rPr>
            </w:pPr>
            <w:r>
              <w:rPr>
                <w:rFonts w:ascii="Arial" w:cs="Arial" w:eastAsia="Arial" w:hAnsi="Arial"/>
                <w:sz w:val="16"/>
                <w:szCs w:val="16"/>
                <w:color w:val="auto"/>
                <w:w w:val="89"/>
              </w:rPr>
              <w:t>43</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0040" w:type="dxa"/>
            <w:vAlign w:val="bottom"/>
            <w:gridSpan w:val="15"/>
          </w:tcPr>
          <w:p>
            <w:pPr>
              <w:spacing w:after="0" w:line="183" w:lineRule="exact"/>
              <w:rPr>
                <w:rFonts w:ascii="Arial" w:cs="Arial" w:eastAsia="Arial" w:hAnsi="Arial"/>
                <w:sz w:val="16"/>
                <w:szCs w:val="16"/>
                <w:color w:val="0000EE"/>
              </w:rPr>
            </w:pPr>
            <w:hyperlink w:anchor="page29">
              <w:r>
                <w:rPr>
                  <w:rFonts w:ascii="Arial" w:cs="Arial" w:eastAsia="Arial" w:hAnsi="Arial"/>
                  <w:sz w:val="16"/>
                  <w:szCs w:val="16"/>
                  <w:color w:val="0000EE"/>
                </w:rPr>
                <w:t>Management operations</w:t>
              </w:r>
            </w:hyperlink>
          </w:p>
        </w:tc>
        <w:tc>
          <w:tcPr>
            <w:tcW w:w="1200" w:type="dxa"/>
            <w:vAlign w:val="bottom"/>
          </w:tcPr>
          <w:p>
            <w:pPr>
              <w:jc w:val="center"/>
              <w:spacing w:after="0" w:line="183" w:lineRule="exact"/>
              <w:rPr>
                <w:sz w:val="20"/>
                <w:szCs w:val="20"/>
                <w:color w:val="auto"/>
              </w:rPr>
            </w:pPr>
            <w:r>
              <w:rPr>
                <w:rFonts w:ascii="Arial" w:cs="Arial" w:eastAsia="Arial" w:hAnsi="Arial"/>
                <w:sz w:val="16"/>
                <w:szCs w:val="16"/>
                <w:color w:val="auto"/>
                <w:w w:val="89"/>
              </w:rPr>
              <w:t>43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0040" w:type="dxa"/>
            <w:vAlign w:val="bottom"/>
            <w:gridSpan w:val="15"/>
          </w:tcPr>
          <w:p>
            <w:pPr>
              <w:spacing w:after="0" w:line="183" w:lineRule="exact"/>
              <w:rPr>
                <w:rFonts w:ascii="Arial" w:cs="Arial" w:eastAsia="Arial" w:hAnsi="Arial"/>
                <w:sz w:val="16"/>
                <w:szCs w:val="16"/>
                <w:color w:val="0000EE"/>
              </w:rPr>
            </w:pPr>
            <w:hyperlink w:anchor="page29">
              <w:r>
                <w:rPr>
                  <w:rFonts w:ascii="Arial" w:cs="Arial" w:eastAsia="Arial" w:hAnsi="Arial"/>
                  <w:sz w:val="16"/>
                  <w:szCs w:val="16"/>
                  <w:color w:val="0000EE"/>
                </w:rPr>
                <w:t>Property and casualty insurance operations</w:t>
              </w:r>
            </w:hyperlink>
          </w:p>
        </w:tc>
        <w:tc>
          <w:tcPr>
            <w:tcW w:w="1200" w:type="dxa"/>
            <w:vAlign w:val="bottom"/>
          </w:tcPr>
          <w:p>
            <w:pPr>
              <w:jc w:val="center"/>
              <w:spacing w:after="0" w:line="183" w:lineRule="exact"/>
              <w:rPr>
                <w:sz w:val="20"/>
                <w:szCs w:val="20"/>
                <w:color w:val="auto"/>
              </w:rPr>
            </w:pPr>
            <w:r>
              <w:rPr>
                <w:rFonts w:ascii="Arial" w:cs="Arial" w:eastAsia="Arial" w:hAnsi="Arial"/>
                <w:sz w:val="16"/>
                <w:szCs w:val="16"/>
                <w:color w:val="auto"/>
                <w:w w:val="89"/>
              </w:rPr>
              <w:t>44</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700" w:type="dxa"/>
            <w:vAlign w:val="bottom"/>
            <w:tcBorders>
              <w:top w:val="single" w:sz="8" w:color="0000EE"/>
              <w:bottom w:val="single" w:sz="8" w:color="0000EE"/>
            </w:tcBorders>
            <w:gridSpan w:val="10"/>
          </w:tcPr>
          <w:p>
            <w:pPr>
              <w:spacing w:after="0" w:line="183" w:lineRule="exact"/>
              <w:rPr>
                <w:rFonts w:ascii="Arial" w:cs="Arial" w:eastAsia="Arial" w:hAnsi="Arial"/>
                <w:sz w:val="16"/>
                <w:szCs w:val="16"/>
                <w:color w:val="0000EE"/>
                <w:w w:val="92"/>
              </w:rPr>
            </w:pPr>
            <w:hyperlink w:anchor="page31">
              <w:r>
                <w:rPr>
                  <w:rFonts w:ascii="Arial" w:cs="Arial" w:eastAsia="Arial" w:hAnsi="Arial"/>
                  <w:sz w:val="16"/>
                  <w:szCs w:val="16"/>
                  <w:color w:val="0000EE"/>
                  <w:w w:val="92"/>
                </w:rPr>
                <w:t>Life insurance operations</w:t>
              </w:r>
            </w:hyperlink>
          </w:p>
        </w:tc>
        <w:tc>
          <w:tcPr>
            <w:tcW w:w="1080" w:type="dxa"/>
            <w:vAlign w:val="bottom"/>
            <w:tcBorders>
              <w:top w:val="single" w:sz="8" w:color="0000EE"/>
            </w:tcBorders>
            <w:gridSpan w:val="3"/>
          </w:tcPr>
          <w:p>
            <w:pPr>
              <w:spacing w:after="0"/>
              <w:rPr>
                <w:sz w:val="15"/>
                <w:szCs w:val="15"/>
                <w:color w:val="auto"/>
              </w:rPr>
            </w:pPr>
          </w:p>
        </w:tc>
        <w:tc>
          <w:tcPr>
            <w:tcW w:w="7260" w:type="dxa"/>
            <w:vAlign w:val="bottom"/>
            <w:gridSpan w:val="2"/>
          </w:tcPr>
          <w:p>
            <w:pPr>
              <w:spacing w:after="0"/>
              <w:rPr>
                <w:sz w:val="15"/>
                <w:szCs w:val="15"/>
                <w:color w:val="auto"/>
              </w:rPr>
            </w:pPr>
          </w:p>
        </w:tc>
        <w:tc>
          <w:tcPr>
            <w:tcW w:w="1200" w:type="dxa"/>
            <w:vAlign w:val="bottom"/>
          </w:tcPr>
          <w:p>
            <w:pPr>
              <w:jc w:val="center"/>
              <w:spacing w:after="0" w:line="183" w:lineRule="exact"/>
              <w:rPr>
                <w:sz w:val="20"/>
                <w:szCs w:val="20"/>
                <w:color w:val="auto"/>
              </w:rPr>
            </w:pPr>
            <w:r>
              <w:rPr>
                <w:rFonts w:ascii="Arial" w:cs="Arial" w:eastAsia="Arial" w:hAnsi="Arial"/>
                <w:sz w:val="16"/>
                <w:szCs w:val="16"/>
                <w:color w:val="auto"/>
                <w:w w:val="89"/>
              </w:rPr>
              <w:t>48</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0040" w:type="dxa"/>
            <w:vAlign w:val="bottom"/>
            <w:gridSpan w:val="15"/>
          </w:tcPr>
          <w:p>
            <w:pPr>
              <w:spacing w:after="0" w:line="183" w:lineRule="exact"/>
              <w:rPr>
                <w:rFonts w:ascii="Arial" w:cs="Arial" w:eastAsia="Arial" w:hAnsi="Arial"/>
                <w:sz w:val="16"/>
                <w:szCs w:val="16"/>
                <w:color w:val="0000EE"/>
              </w:rPr>
            </w:pPr>
            <w:hyperlink w:anchor="page32">
              <w:r>
                <w:rPr>
                  <w:rFonts w:ascii="Arial" w:cs="Arial" w:eastAsia="Arial" w:hAnsi="Arial"/>
                  <w:sz w:val="16"/>
                  <w:szCs w:val="16"/>
                  <w:color w:val="0000EE"/>
                </w:rPr>
                <w:t>Investment operations</w:t>
              </w:r>
            </w:hyperlink>
          </w:p>
        </w:tc>
        <w:tc>
          <w:tcPr>
            <w:tcW w:w="1200" w:type="dxa"/>
            <w:vAlign w:val="bottom"/>
          </w:tcPr>
          <w:p>
            <w:pPr>
              <w:jc w:val="center"/>
              <w:spacing w:after="0" w:line="183" w:lineRule="exact"/>
              <w:rPr>
                <w:sz w:val="20"/>
                <w:szCs w:val="20"/>
                <w:color w:val="auto"/>
              </w:rPr>
            </w:pPr>
            <w:r>
              <w:rPr>
                <w:rFonts w:ascii="Arial" w:cs="Arial" w:eastAsia="Arial" w:hAnsi="Arial"/>
                <w:sz w:val="16"/>
                <w:szCs w:val="16"/>
                <w:color w:val="auto"/>
                <w:w w:val="89"/>
              </w:rPr>
              <w:t>49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20" w:type="dxa"/>
            <w:vAlign w:val="bottom"/>
            <w:gridSpan w:val="16"/>
          </w:tcPr>
          <w:p>
            <w:pPr>
              <w:spacing w:after="0" w:line="183" w:lineRule="exact"/>
              <w:rPr>
                <w:rFonts w:ascii="Arial" w:cs="Arial" w:eastAsia="Arial" w:hAnsi="Arial"/>
                <w:sz w:val="16"/>
                <w:szCs w:val="16"/>
                <w:color w:val="0000EE"/>
              </w:rPr>
            </w:pPr>
            <w:hyperlink w:anchor="page33">
              <w:r>
                <w:rPr>
                  <w:rFonts w:ascii="Arial" w:cs="Arial" w:eastAsia="Arial" w:hAnsi="Arial"/>
                  <w:sz w:val="16"/>
                  <w:szCs w:val="16"/>
                  <w:color w:val="0000EE"/>
                </w:rPr>
                <w:t>Financial condition</w:t>
              </w:r>
            </w:hyperlink>
          </w:p>
        </w:tc>
        <w:tc>
          <w:tcPr>
            <w:tcW w:w="1200" w:type="dxa"/>
            <w:vAlign w:val="bottom"/>
          </w:tcPr>
          <w:p>
            <w:pPr>
              <w:jc w:val="center"/>
              <w:spacing w:after="0" w:line="183" w:lineRule="exact"/>
              <w:rPr>
                <w:sz w:val="20"/>
                <w:szCs w:val="20"/>
                <w:color w:val="auto"/>
              </w:rPr>
            </w:pPr>
            <w:r>
              <w:rPr>
                <w:rFonts w:ascii="Arial" w:cs="Arial" w:eastAsia="Arial" w:hAnsi="Arial"/>
                <w:sz w:val="16"/>
                <w:szCs w:val="16"/>
                <w:color w:val="auto"/>
                <w:w w:val="89"/>
              </w:rPr>
              <w:t>51</w:t>
            </w: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800" w:type="dxa"/>
            <w:vAlign w:val="bottom"/>
            <w:tcBorders>
              <w:top w:val="single" w:sz="8" w:color="0000EE"/>
              <w:bottom w:val="single" w:sz="8" w:color="0000EE"/>
            </w:tcBorders>
            <w:gridSpan w:val="3"/>
          </w:tcPr>
          <w:p>
            <w:pPr>
              <w:spacing w:after="0" w:line="183" w:lineRule="exact"/>
              <w:rPr>
                <w:rFonts w:ascii="Arial" w:cs="Arial" w:eastAsia="Arial" w:hAnsi="Arial"/>
                <w:sz w:val="16"/>
                <w:szCs w:val="16"/>
                <w:color w:val="0000EE"/>
                <w:w w:val="90"/>
              </w:rPr>
            </w:pPr>
            <w:hyperlink w:anchor="page33">
              <w:r>
                <w:rPr>
                  <w:rFonts w:ascii="Arial" w:cs="Arial" w:eastAsia="Arial" w:hAnsi="Arial"/>
                  <w:sz w:val="16"/>
                  <w:szCs w:val="16"/>
                  <w:color w:val="0000EE"/>
                  <w:w w:val="90"/>
                </w:rPr>
                <w:t>Investments</w:t>
              </w:r>
            </w:hyperlink>
          </w:p>
        </w:tc>
        <w:tc>
          <w:tcPr>
            <w:tcW w:w="280" w:type="dxa"/>
            <w:vAlign w:val="bottom"/>
            <w:tcBorders>
              <w:top w:val="single" w:sz="8" w:color="0000EE"/>
            </w:tcBorders>
            <w:gridSpan w:val="3"/>
          </w:tcPr>
          <w:p>
            <w:pPr>
              <w:spacing w:after="0"/>
              <w:rPr>
                <w:sz w:val="15"/>
                <w:szCs w:val="15"/>
                <w:color w:val="auto"/>
              </w:rPr>
            </w:pPr>
          </w:p>
        </w:tc>
        <w:tc>
          <w:tcPr>
            <w:tcW w:w="8960" w:type="dxa"/>
            <w:vAlign w:val="bottom"/>
            <w:gridSpan w:val="9"/>
          </w:tcPr>
          <w:p>
            <w:pPr>
              <w:spacing w:after="0"/>
              <w:rPr>
                <w:sz w:val="15"/>
                <w:szCs w:val="15"/>
                <w:color w:val="auto"/>
              </w:rPr>
            </w:pPr>
          </w:p>
        </w:tc>
        <w:tc>
          <w:tcPr>
            <w:tcW w:w="1200" w:type="dxa"/>
            <w:vAlign w:val="bottom"/>
          </w:tcPr>
          <w:p>
            <w:pPr>
              <w:jc w:val="center"/>
              <w:spacing w:after="0" w:line="183" w:lineRule="exact"/>
              <w:rPr>
                <w:sz w:val="20"/>
                <w:szCs w:val="20"/>
                <w:color w:val="auto"/>
              </w:rPr>
            </w:pPr>
            <w:r>
              <w:rPr>
                <w:rFonts w:ascii="Arial" w:cs="Arial" w:eastAsia="Arial" w:hAnsi="Arial"/>
                <w:sz w:val="16"/>
                <w:szCs w:val="16"/>
                <w:color w:val="auto"/>
                <w:w w:val="89"/>
              </w:rPr>
              <w:t>51</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0040" w:type="dxa"/>
            <w:vAlign w:val="bottom"/>
            <w:gridSpan w:val="15"/>
          </w:tcPr>
          <w:p>
            <w:pPr>
              <w:spacing w:after="0" w:line="183" w:lineRule="exact"/>
              <w:rPr>
                <w:rFonts w:ascii="Arial" w:cs="Arial" w:eastAsia="Arial" w:hAnsi="Arial"/>
                <w:sz w:val="16"/>
                <w:szCs w:val="16"/>
                <w:color w:val="0000EE"/>
              </w:rPr>
            </w:pPr>
            <w:hyperlink w:anchor="page36">
              <w:r>
                <w:rPr>
                  <w:rFonts w:ascii="Arial" w:cs="Arial" w:eastAsia="Arial" w:hAnsi="Arial"/>
                  <w:sz w:val="16"/>
                  <w:szCs w:val="16"/>
                  <w:color w:val="0000EE"/>
                </w:rPr>
                <w:t>Liabilities</w:t>
              </w:r>
            </w:hyperlink>
          </w:p>
        </w:tc>
        <w:tc>
          <w:tcPr>
            <w:tcW w:w="1200" w:type="dxa"/>
            <w:vAlign w:val="bottom"/>
          </w:tcPr>
          <w:p>
            <w:pPr>
              <w:jc w:val="center"/>
              <w:spacing w:after="0" w:line="183" w:lineRule="exact"/>
              <w:rPr>
                <w:sz w:val="20"/>
                <w:szCs w:val="20"/>
                <w:color w:val="auto"/>
              </w:rPr>
            </w:pPr>
            <w:r>
              <w:rPr>
                <w:rFonts w:ascii="Arial" w:cs="Arial" w:eastAsia="Arial" w:hAnsi="Arial"/>
                <w:sz w:val="16"/>
                <w:szCs w:val="16"/>
                <w:color w:val="auto"/>
                <w:w w:val="89"/>
              </w:rPr>
              <w:t>55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20" w:type="dxa"/>
            <w:vAlign w:val="bottom"/>
            <w:gridSpan w:val="16"/>
          </w:tcPr>
          <w:p>
            <w:pPr>
              <w:spacing w:after="0" w:line="183" w:lineRule="exact"/>
              <w:rPr>
                <w:rFonts w:ascii="Arial" w:cs="Arial" w:eastAsia="Arial" w:hAnsi="Arial"/>
                <w:sz w:val="16"/>
                <w:szCs w:val="16"/>
                <w:color w:val="0000EE"/>
              </w:rPr>
            </w:pPr>
            <w:hyperlink w:anchor="page37">
              <w:r>
                <w:rPr>
                  <w:rFonts w:ascii="Arial" w:cs="Arial" w:eastAsia="Arial" w:hAnsi="Arial"/>
                  <w:sz w:val="16"/>
                  <w:szCs w:val="16"/>
                  <w:color w:val="0000EE"/>
                </w:rPr>
                <w:t>Impact of inflation</w:t>
              </w:r>
            </w:hyperlink>
          </w:p>
        </w:tc>
        <w:tc>
          <w:tcPr>
            <w:tcW w:w="1200" w:type="dxa"/>
            <w:vAlign w:val="bottom"/>
          </w:tcPr>
          <w:p>
            <w:pPr>
              <w:jc w:val="center"/>
              <w:spacing w:after="0" w:line="183" w:lineRule="exact"/>
              <w:rPr>
                <w:sz w:val="20"/>
                <w:szCs w:val="20"/>
                <w:color w:val="auto"/>
              </w:rPr>
            </w:pPr>
            <w:r>
              <w:rPr>
                <w:rFonts w:ascii="Arial" w:cs="Arial" w:eastAsia="Arial" w:hAnsi="Arial"/>
                <w:sz w:val="16"/>
                <w:szCs w:val="16"/>
                <w:color w:val="auto"/>
                <w:w w:val="89"/>
              </w:rPr>
              <w:t>56</w:t>
            </w:r>
          </w:p>
        </w:tc>
        <w:tc>
          <w:tcPr>
            <w:tcW w:w="0" w:type="dxa"/>
            <w:vAlign w:val="bottom"/>
          </w:tcPr>
          <w:p>
            <w:pPr>
              <w:spacing w:after="0"/>
              <w:rPr>
                <w:sz w:val="1"/>
                <w:szCs w:val="1"/>
                <w:color w:val="auto"/>
              </w:rPr>
            </w:pPr>
          </w:p>
        </w:tc>
      </w:tr>
      <w:tr>
        <w:trPr>
          <w:trHeight w:val="20"/>
        </w:trPr>
        <w:tc>
          <w:tcPr>
            <w:tcW w:w="1220" w:type="dxa"/>
            <w:vAlign w:val="bottom"/>
            <w:gridSpan w:val="6"/>
            <w:shd w:val="clear" w:color="auto" w:fill="0000EE"/>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20" w:type="dxa"/>
            <w:vAlign w:val="bottom"/>
            <w:tcBorders>
              <w:bottom w:val="single" w:sz="8" w:color="0000EE"/>
            </w:tcBorders>
            <w:gridSpan w:val="12"/>
          </w:tcPr>
          <w:p>
            <w:pPr>
              <w:spacing w:after="0" w:line="183" w:lineRule="exact"/>
              <w:rPr>
                <w:rFonts w:ascii="Arial" w:cs="Arial" w:eastAsia="Arial" w:hAnsi="Arial"/>
                <w:sz w:val="16"/>
                <w:szCs w:val="16"/>
                <w:color w:val="0000EE"/>
                <w:w w:val="92"/>
              </w:rPr>
            </w:pPr>
            <w:hyperlink w:anchor="page37">
              <w:r>
                <w:rPr>
                  <w:rFonts w:ascii="Arial" w:cs="Arial" w:eastAsia="Arial" w:hAnsi="Arial"/>
                  <w:sz w:val="16"/>
                  <w:szCs w:val="16"/>
                  <w:color w:val="0000EE"/>
                  <w:w w:val="92"/>
                </w:rPr>
                <w:t>Liquidity and capital resources</w:t>
              </w:r>
            </w:hyperlink>
          </w:p>
        </w:tc>
        <w:tc>
          <w:tcPr>
            <w:tcW w:w="8200" w:type="dxa"/>
            <w:vAlign w:val="bottom"/>
            <w:gridSpan w:val="4"/>
          </w:tcPr>
          <w:p>
            <w:pPr>
              <w:spacing w:after="0"/>
              <w:rPr>
                <w:sz w:val="15"/>
                <w:szCs w:val="15"/>
                <w:color w:val="auto"/>
              </w:rPr>
            </w:pPr>
          </w:p>
        </w:tc>
        <w:tc>
          <w:tcPr>
            <w:tcW w:w="1200" w:type="dxa"/>
            <w:vAlign w:val="bottom"/>
          </w:tcPr>
          <w:p>
            <w:pPr>
              <w:jc w:val="center"/>
              <w:spacing w:after="0" w:line="183" w:lineRule="exact"/>
              <w:rPr>
                <w:sz w:val="20"/>
                <w:szCs w:val="20"/>
                <w:color w:val="auto"/>
              </w:rPr>
            </w:pPr>
            <w:r>
              <w:rPr>
                <w:rFonts w:ascii="Arial" w:cs="Arial" w:eastAsia="Arial" w:hAnsi="Arial"/>
                <w:sz w:val="16"/>
                <w:szCs w:val="16"/>
                <w:color w:val="auto"/>
                <w:w w:val="89"/>
              </w:rPr>
              <w:t>56</w:t>
            </w:r>
          </w:p>
        </w:tc>
        <w:tc>
          <w:tcPr>
            <w:tcW w:w="0" w:type="dxa"/>
            <w:vAlign w:val="bottom"/>
          </w:tcPr>
          <w:p>
            <w:pPr>
              <w:spacing w:after="0"/>
              <w:rPr>
                <w:sz w:val="1"/>
                <w:szCs w:val="1"/>
                <w:color w:val="auto"/>
              </w:rPr>
            </w:pPr>
          </w:p>
        </w:tc>
      </w:tr>
      <w:tr>
        <w:trPr>
          <w:trHeight w:val="183"/>
        </w:trPr>
        <w:tc>
          <w:tcPr>
            <w:tcW w:w="10220" w:type="dxa"/>
            <w:vAlign w:val="bottom"/>
            <w:gridSpan w:val="16"/>
          </w:tcPr>
          <w:p>
            <w:pPr>
              <w:spacing w:after="0" w:line="183" w:lineRule="exact"/>
              <w:rPr>
                <w:rFonts w:ascii="Arial" w:cs="Arial" w:eastAsia="Arial" w:hAnsi="Arial"/>
                <w:sz w:val="16"/>
                <w:szCs w:val="16"/>
                <w:color w:val="0000EE"/>
              </w:rPr>
            </w:pPr>
            <w:hyperlink w:anchor="page39">
              <w:r>
                <w:rPr>
                  <w:rFonts w:ascii="Arial" w:cs="Arial" w:eastAsia="Arial" w:hAnsi="Arial"/>
                  <w:sz w:val="16"/>
                  <w:szCs w:val="16"/>
                  <w:color w:val="0000EE"/>
                </w:rPr>
                <w:t>Critical accounting estimates</w:t>
              </w:r>
            </w:hyperlink>
          </w:p>
        </w:tc>
        <w:tc>
          <w:tcPr>
            <w:tcW w:w="1200" w:type="dxa"/>
            <w:vAlign w:val="bottom"/>
          </w:tcPr>
          <w:p>
            <w:pPr>
              <w:jc w:val="center"/>
              <w:spacing w:after="0" w:line="183" w:lineRule="exact"/>
              <w:rPr>
                <w:sz w:val="20"/>
                <w:szCs w:val="20"/>
                <w:color w:val="auto"/>
              </w:rPr>
            </w:pPr>
            <w:r>
              <w:rPr>
                <w:rFonts w:ascii="Arial" w:cs="Arial" w:eastAsia="Arial" w:hAnsi="Arial"/>
                <w:sz w:val="16"/>
                <w:szCs w:val="16"/>
                <w:color w:val="auto"/>
                <w:w w:val="89"/>
              </w:rPr>
              <w:t>59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 REGARDING FORWARD-LOOKING INFORMATION</w:t>
      </w:r>
    </w:p>
    <w:p>
      <w:pPr>
        <w:sectPr>
          <w:pgSz w:w="11900" w:h="16838" w:orient="portrait"/>
          <w:cols w:equalWidth="0" w:num="1">
            <w:col w:w="11420"/>
          </w:cols>
          <w:pgMar w:left="240" w:top="733" w:right="239" w:bottom="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Statements contained herein that are not historical fact are forward-looking statements and, as such, are subject to risks and uncertainties that could cause actual events and results to differ, perhaps materially, from those discussed herein. Forward-looking statements relate to future trends, events or results and include, without limitation, statements and assumptions on which such statements are based that are related to our plans, strategies, objectives, expectations, intentions and adequacy of resources. Examples of forward-looking statements are discussions relating to premium and investment income, expenses, operating results, agency relationships, and compliance with contractual and regulatory requirements. Forward-looking statements are not guarantees of future performance and involve risks and uncertainties that are difficult to predict. Therefore, actual outcomes and results may differ materially from what is expressed or forecasted in such forward-looking statements. Among the risks and uncertainties, in addition to those set forth in our filings with the Securities and Exchange Commission, that could cause actual results and future events to differ from those set forth or contemplated in the forward-looking statements include the following: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Risk factors related to the Indemnity shareholder interest:</w:t>
      </w:r>
    </w:p>
    <w:p>
      <w:pPr>
        <w:spacing w:after="0" w:line="225"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dependence on Indemnity’s relationship with the Exchange and the management fee under the agreement with the subscribers at the Exchange;</w:t>
      </w:r>
    </w:p>
    <w:p>
      <w:pPr>
        <w:spacing w:after="0" w:line="46" w:lineRule="exact"/>
        <w:rPr>
          <w:rFonts w:ascii="Arial" w:cs="Arial" w:eastAsia="Arial" w:hAnsi="Arial"/>
          <w:sz w:val="16"/>
          <w:szCs w:val="16"/>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of providing services to the Exchange under the subscriber’s agreement;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ability to attract and retain talented management and employees;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ability to maintain the uninterrupted operations of our business, including our information technology systems;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factors affecting the quality and liquidity of our investment portfolio;</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credit risk from the Exchange;</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ability to meet liquidity needs and access capital;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outcome of pending and potential litigations against us.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Risk factors related to the non-controlling interest owned by the Exchange, which includes the Property and Casualty Group and EFL:</w:t>
      </w:r>
    </w:p>
    <w:p>
      <w:pPr>
        <w:spacing w:after="0" w:line="225" w:lineRule="exact"/>
        <w:rPr>
          <w:sz w:val="20"/>
          <w:szCs w:val="20"/>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business and economic conditions;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dependence on the independent agency system;</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maintain our reputation for superior customer service;</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factors affecting price competition;</w:t>
      </w:r>
    </w:p>
    <w:p>
      <w:pPr>
        <w:spacing w:after="0" w:line="9" w:lineRule="exact"/>
        <w:rPr>
          <w:rFonts w:ascii="Arial" w:cs="Arial" w:eastAsia="Arial" w:hAnsi="Arial"/>
          <w:sz w:val="18"/>
          <w:szCs w:val="18"/>
          <w:color w:val="auto"/>
        </w:rPr>
      </w:pPr>
    </w:p>
    <w:p>
      <w:pPr>
        <w:ind w:left="660" w:right="480" w:hanging="328"/>
        <w:spacing w:after="0" w:line="250"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regulation of the insurance industry, including approval of rate increases and rating factors such as credit and prior experience, and required processes related to underwriting and claims handling;</w:t>
      </w:r>
    </w:p>
    <w:p>
      <w:pPr>
        <w:ind w:left="620" w:hanging="288"/>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uncertain role of the Federal Government, and the ongoing role of the States, in regulating the property/casualty or life insurance industries;</w:t>
      </w:r>
    </w:p>
    <w:p>
      <w:pPr>
        <w:spacing w:after="0" w:line="20" w:lineRule="exact"/>
        <w:rPr>
          <w:rFonts w:ascii="Arial" w:cs="Arial" w:eastAsia="Arial" w:hAnsi="Arial"/>
          <w:sz w:val="17"/>
          <w:szCs w:val="17"/>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premium rates and reserves must be established from forecasts of ultimate costs;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emerging claims, coverage issues in the industry, and changes in reserve estimates related to the property and casualty business;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reserve estimates related to the life business;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severe weather conditions or other catastrophic losses, including terrorism;</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acquire reinsurance coverage and collectability from reinsurers;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factors affecting the quality and liquidity of our investment portfolio;</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meet liquidity needs and access capital;</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maintain acceptable financial strength rating;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outcome of pending and potential litigation against us;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dependency on service provided by Indemnity.</w:t>
      </w:r>
    </w:p>
    <w:p>
      <w:pPr>
        <w:spacing w:after="0" w:line="21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 forward-looking statement speaks only as of the date on which it is made and reflects Indemnity’s analysis only as of that date. Indemnity undertakes no obligation to publicly update or revise any forward-looking statement, whether as a result of new information, future events, changes in assumptions, or otherwise.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See Item 1. “Financial Statements - Note 2, Significant Accounting Policies,” contained within this report for a discussion of adopted and/or pending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EVENTS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sale of Indemnity’s 21.6% ownership interest in EFL to the Exchange was completed on March 31, 2011, at which time Indemnity received cash consideration from the Exchange based upon an estimated purchase price of $82 million. Final settlement of the transaction was made on April 25, 2011 for a final purchase price of $82 million. Net after-tax cash proceeds to Indemnity from the sale are estimated to be $58 million. There was no gain or loss resulting from this sale as Indemnity and the Exchange are deemed to be under common control.</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further information relating to the consolidation of Indemnity and the Exchange, see Item 1. “Financial Statements - Note 2, Significant Accounting Policies,” contained within this report. For further information relating to the sale of Indemnity’s wholly owned property and casualty subsidiaries and its equity interest in EFL, see Item 1. “Financial Statements - Note 1, Nature of Operations,” contained within this report and the “Operating Overview” section that follows.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ectPr>
          <w:pgSz w:w="11900" w:h="16838" w:orient="portrait"/>
          <w:cols w:equalWidth="0" w:num="1">
            <w:col w:w="11420"/>
          </w:cols>
          <w:pgMar w:left="240" w:top="337" w:right="239" w:bottom="0" w:gutter="0" w:footer="0" w:header="0"/>
        </w:sectPr>
      </w:pPr>
    </w:p>
    <w:bookmarkStart w:id="24" w:name="page25"/>
    <w:bookmarkEnd w:id="24"/>
    <w:p>
      <w:pPr>
        <w:spacing w:after="0" w:line="6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Erie Insurance Group represents the consolidated results of Indemnity and the results of its variable interest entity, the Exchange. The Erie Insurance Group operates predominantly as a property and casualty insurer through its regional insurance carriers that write a broad range of personal and commercial coverages. Our property and casualty insurance companies include the Exchange and its wholly owned subsidiaries, Erie Insurance Company (“EIC”), Erie Insurance Company of New York (“ENY”), Erie Insurance Property and Casualty Company (“EPC”) and Flagship City Insurance Company (“Flagship”). These entities operate collectively as the “Property and Casualty Group.” The Erie Insurance Group also operates as a life insurer through the Exchange’s wholly owned subsidiary, Erie Family Life Insurance Company (“EFL”), which underwrites and sells individual and group life insurance policies and fixed annuities.</w:t>
      </w:r>
    </w:p>
    <w:p>
      <w:pPr>
        <w:spacing w:after="0" w:line="18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Exchange is a reciprocal insurance exchange, which is an unincorporated association of individuals, partnerships and corporations that agree to insure one another. Each applicant for insurance to the Exchange signs a subscriber’s agreement, which contains an appointment of Indemnity as their attorney-in-fact to transact the business of the Exchange on their behalf.</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Pursuant to the subscriber’s agreement and for its services as attorney-in-fact, Indemnity earns a management fee calculated as a percentage of the direct premiums written by the Exchange and the other members of the Property and Casualty Group, which are assumed by the Exchange under an intercompany pooling arrangement.</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Indemnity shareholders benefit from their interest in Indemnity’s equity and income, but not the equity or income of the Exchange. The Exchange’s equity, which is comprised of its retained earnings and accumulated other comprehensive income, is held for the benefit of its subscribers (policyholders) and meets the definition of a noncontrolling interest, which is reflected as such in our consolidated financial statements.</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“Indemnity shareholder interest” refers to the interest in Erie Indemnity Company owned by the Class A and Class B shareholders. “Noncontrolling interest” refers to the interest in the Erie Insurance Exchange held for the benefit of the subscribers (policyholders).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Indemnity shareholders’ interest in income generally comprises:</w:t>
      </w:r>
    </w:p>
    <w:p>
      <w:pPr>
        <w:spacing w:after="0" w:line="225" w:lineRule="exact"/>
        <w:rPr>
          <w:sz w:val="20"/>
          <w:szCs w:val="20"/>
          <w:color w:val="auto"/>
        </w:rPr>
      </w:pPr>
    </w:p>
    <w:p>
      <w:pPr>
        <w:ind w:left="660" w:right="160" w:hanging="328"/>
        <w:spacing w:after="0" w:line="258"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color w:val="auto"/>
        </w:rPr>
        <w:t>a management fee of up to 25% of all property and casualty insurance premiums written or assumed by the Exchange, less the costs associated with the sales, underwriting and issuance of these policies;</w:t>
      </w:r>
    </w:p>
    <w:p>
      <w:pPr>
        <w:spacing w:after="0" w:line="1" w:lineRule="exact"/>
        <w:rPr>
          <w:rFonts w:ascii="Arial" w:cs="Arial" w:eastAsia="Arial" w:hAnsi="Arial"/>
          <w:sz w:val="18"/>
          <w:szCs w:val="18"/>
          <w:color w:val="auto"/>
        </w:rPr>
      </w:pPr>
    </w:p>
    <w:p>
      <w:pPr>
        <w:ind w:left="620" w:hanging="288"/>
        <w:spacing w:after="0" w:line="197"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5.5% interest in the net underwriting results of the property and casualty insurance operations through December 31, 2010</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ind w:left="620" w:hanging="288"/>
        <w:spacing w:after="0" w:line="196"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21.6% equity interest in the net earnings of EFL through March 31, 2011</w:t>
      </w:r>
      <w:r>
        <w:rPr>
          <w:rFonts w:ascii="Arial" w:cs="Arial" w:eastAsia="Arial" w:hAnsi="Arial"/>
          <w:sz w:val="23"/>
          <w:szCs w:val="23"/>
          <w:color w:val="auto"/>
          <w:vertAlign w:val="superscript"/>
        </w:rPr>
        <w:t>(2)</w:t>
      </w:r>
      <w:r>
        <w:rPr>
          <w:rFonts w:ascii="Arial" w:cs="Arial" w:eastAsia="Arial" w:hAnsi="Arial"/>
          <w:sz w:val="18"/>
          <w:szCs w:val="18"/>
          <w:color w:val="auto"/>
        </w:rPr>
        <w:t>;</w:t>
      </w:r>
    </w:p>
    <w:p>
      <w:pPr>
        <w:ind w:left="620" w:hanging="288"/>
        <w:spacing w:after="0" w:line="196"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investment income and results on investments that belong to Indemnity</w:t>
      </w:r>
      <w:r>
        <w:rPr>
          <w:rFonts w:ascii="Arial" w:cs="Arial" w:eastAsia="Arial" w:hAnsi="Arial"/>
          <w:sz w:val="23"/>
          <w:szCs w:val="23"/>
          <w:color w:val="auto"/>
          <w:vertAlign w:val="superscript"/>
        </w:rPr>
        <w:t>(1)</w:t>
      </w:r>
      <w:r>
        <w:rPr>
          <w:rFonts w:ascii="Arial" w:cs="Arial" w:eastAsia="Arial" w:hAnsi="Arial"/>
          <w:sz w:val="18"/>
          <w:szCs w:val="18"/>
          <w:color w:val="auto"/>
        </w:rPr>
        <w:t>; and</w:t>
      </w: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income and expenses, including income taxes, that are the responsibility of Indemnity.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Exchange’s or the noncontrolling interest in income generally comprises:</w:t>
      </w:r>
    </w:p>
    <w:p>
      <w:pPr>
        <w:spacing w:after="0" w:line="193" w:lineRule="exact"/>
        <w:rPr>
          <w:sz w:val="20"/>
          <w:szCs w:val="20"/>
          <w:color w:val="auto"/>
        </w:rPr>
      </w:pPr>
    </w:p>
    <w:p>
      <w:pPr>
        <w:ind w:left="620" w:hanging="288"/>
        <w:spacing w:after="0"/>
        <w:tabs>
          <w:tab w:leader="none" w:pos="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a 94.5% interest in the net underwriting results of the property and casualty insurance operations through December 31, 2010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ind w:left="620" w:hanging="288"/>
        <w:spacing w:after="0" w:line="196" w:lineRule="auto"/>
        <w:tabs>
          <w:tab w:leader="none" w:pos="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 78.4% equity interest in the net earnings of EFL through March 31, 2011</w:t>
      </w:r>
      <w:r>
        <w:rPr>
          <w:rFonts w:ascii="Arial" w:cs="Arial" w:eastAsia="Arial" w:hAnsi="Arial"/>
          <w:sz w:val="23"/>
          <w:szCs w:val="23"/>
          <w:color w:val="auto"/>
          <w:vertAlign w:val="superscript"/>
        </w:rPr>
        <w:t>(2)</w:t>
      </w:r>
      <w:r>
        <w:rPr>
          <w:rFonts w:ascii="Arial" w:cs="Arial" w:eastAsia="Arial" w:hAnsi="Arial"/>
          <w:sz w:val="18"/>
          <w:szCs w:val="18"/>
          <w:color w:val="auto"/>
        </w:rPr>
        <w:t>;</w:t>
      </w:r>
    </w:p>
    <w:p>
      <w:pPr>
        <w:ind w:left="660" w:right="320" w:hanging="328"/>
        <w:spacing w:after="0" w:line="219" w:lineRule="auto"/>
        <w:tabs>
          <w:tab w:leader="none" w:pos="624" w:val="left"/>
        </w:tabs>
        <w:numPr>
          <w:ilvl w:val="1"/>
          <w:numId w:val="9"/>
        </w:numPr>
        <w:rPr>
          <w:rFonts w:ascii="Arial" w:cs="Arial" w:eastAsia="Arial" w:hAnsi="Arial"/>
          <w:sz w:val="18"/>
          <w:szCs w:val="18"/>
          <w:color w:val="auto"/>
        </w:rPr>
      </w:pPr>
      <w:r>
        <w:rPr>
          <w:rFonts w:ascii="Arial" w:cs="Arial" w:eastAsia="Arial" w:hAnsi="Arial"/>
          <w:sz w:val="18"/>
          <w:szCs w:val="18"/>
          <w:color w:val="auto"/>
        </w:rPr>
        <w:t>net investment income and results on investments that belong to the Exchange and its subsidiaries, which include Flagship through December 31, 2010</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and EFL; and</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other income and expenses, including income taxes, that are the responsibility of the Exchange and its subsidiaries.</w:t>
      </w:r>
    </w:p>
    <w:p>
      <w:pPr>
        <w:spacing w:after="0" w:line="204" w:lineRule="exact"/>
        <w:rPr>
          <w:rFonts w:ascii="Arial" w:cs="Arial" w:eastAsia="Arial" w:hAnsi="Arial"/>
          <w:sz w:val="18"/>
          <w:szCs w:val="18"/>
          <w:color w:val="auto"/>
        </w:rPr>
      </w:pPr>
    </w:p>
    <w:p>
      <w:pPr>
        <w:ind w:left="340" w:hanging="332"/>
        <w:spacing w:after="0" w:line="234" w:lineRule="auto"/>
        <w:tabs>
          <w:tab w:leader="none" w:pos="319"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Prior to and through December 31, 2010, the underwriting results retained by EIC and ENY and the investment results of EIC, ENY and EPC accrued to the benefit of the Indemnity shareholder interest. Due to the sale of Indemnity’s property and casualty subsidiaries to the Exchange on December 31, 2010, all property and casualty underwriting results and all investment results for these companies accrue to the benefit of the subscribers (policyholders) of the Exchange, or noncontrolling interest, after December 31, 2010. (See Item 1. “Financial Statements - Note 1, Nature of Operations,” contained within this report.)</w:t>
      </w:r>
    </w:p>
    <w:p>
      <w:pPr>
        <w:spacing w:after="0" w:line="60" w:lineRule="exact"/>
        <w:rPr>
          <w:rFonts w:ascii="Arial" w:cs="Arial" w:eastAsia="Arial" w:hAnsi="Arial"/>
          <w:sz w:val="14"/>
          <w:szCs w:val="14"/>
          <w:i w:val="1"/>
          <w:iCs w:val="1"/>
          <w:color w:val="auto"/>
        </w:rPr>
      </w:pPr>
    </w:p>
    <w:p>
      <w:pPr>
        <w:jc w:val="both"/>
        <w:ind w:left="340" w:right="180" w:hanging="332"/>
        <w:spacing w:after="0" w:line="256" w:lineRule="auto"/>
        <w:tabs>
          <w:tab w:leader="none" w:pos="319"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Prior to and through March 31, 2011, Indemnity retained a 21.6% ownership interest in EFL, which accrued to the benefit of the Indemnity shareholder interest, and the Exchange retained a 78.4% ownership interest in EFL, which accrued to the benefit of the subscribers (policyholders) of the Exchange or noncontrolling interest. Due to the sale of Indemnity’s 21.6% ownership interest in EFL to the Exchange on March 31, 2011, 100% of the life insurance results of EFL will accrue to the benefit of the subscribers (policyholders) of the Exchange, or noncontrolling interest, after March 31, 2011. (See Item 1. “Financial Statements - Note 1, Nature of Operations,” contained within this report and the previous “Recent Events” section.)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the Erie Insurance Group’s operations by interest (unaudited)</w:t>
      </w:r>
    </w:p>
    <w:p>
      <w:pPr>
        <w:spacing w:after="0" w:line="27"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The following table represents a breakdown of the composition of the income attributable to Indemnity and the income attributable to the noncontrolling interest (Exchange) for the three months ended March 31, 2011. For purposes of this discussion, EFL’s investments are included in the life insurance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40" w:type="dxa"/>
            <w:vAlign w:val="bottom"/>
            <w:gridSpan w:val="2"/>
          </w:tcPr>
          <w:p>
            <w:pPr>
              <w:jc w:val="center"/>
              <w:ind w:right="19"/>
              <w:spacing w:after="0"/>
              <w:rPr>
                <w:sz w:val="20"/>
                <w:szCs w:val="20"/>
                <w:color w:val="auto"/>
              </w:rPr>
            </w:pPr>
            <w:r>
              <w:rPr>
                <w:rFonts w:ascii="Arial" w:cs="Arial" w:eastAsia="Arial" w:hAnsi="Arial"/>
                <w:sz w:val="16"/>
                <w:szCs w:val="16"/>
                <w:color w:val="auto"/>
                <w:w w:val="96"/>
              </w:rPr>
              <w:t>Eliminations of</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2440" w:type="dxa"/>
            <w:vAlign w:val="bottom"/>
            <w:gridSpan w:val="4"/>
          </w:tcPr>
          <w:p>
            <w:pPr>
              <w:jc w:val="center"/>
              <w:spacing w:after="0"/>
              <w:rPr>
                <w:sz w:val="20"/>
                <w:szCs w:val="20"/>
                <w:color w:val="auto"/>
              </w:rPr>
            </w:pPr>
            <w:r>
              <w:rPr>
                <w:rFonts w:ascii="Arial" w:cs="Arial" w:eastAsia="Arial" w:hAnsi="Arial"/>
                <w:sz w:val="16"/>
                <w:szCs w:val="16"/>
                <w:color w:val="auto"/>
                <w:w w:val="92"/>
              </w:rPr>
              <w:t>Indemnity shareholder</w:t>
            </w:r>
          </w:p>
        </w:tc>
        <w:tc>
          <w:tcPr>
            <w:tcW w:w="2140" w:type="dxa"/>
            <w:vAlign w:val="bottom"/>
            <w:gridSpan w:val="3"/>
          </w:tcPr>
          <w:p>
            <w:pPr>
              <w:jc w:val="right"/>
              <w:spacing w:after="0"/>
              <w:rPr>
                <w:sz w:val="20"/>
                <w:szCs w:val="20"/>
                <w:color w:val="auto"/>
              </w:rPr>
            </w:pPr>
            <w:r>
              <w:rPr>
                <w:rFonts w:ascii="Arial" w:cs="Arial" w:eastAsia="Arial" w:hAnsi="Arial"/>
                <w:sz w:val="16"/>
                <w:szCs w:val="16"/>
                <w:color w:val="auto"/>
              </w:rPr>
              <w:t>Noncontrolling interest</w:t>
            </w:r>
          </w:p>
        </w:tc>
        <w:tc>
          <w:tcPr>
            <w:tcW w:w="620" w:type="dxa"/>
            <w:vAlign w:val="bottom"/>
          </w:tcPr>
          <w:p>
            <w:pPr>
              <w:spacing w:after="0"/>
              <w:rPr>
                <w:sz w:val="17"/>
                <w:szCs w:val="17"/>
                <w:color w:val="auto"/>
              </w:rPr>
            </w:pPr>
          </w:p>
        </w:tc>
        <w:tc>
          <w:tcPr>
            <w:tcW w:w="1540" w:type="dxa"/>
            <w:vAlign w:val="bottom"/>
            <w:gridSpan w:val="2"/>
          </w:tcPr>
          <w:p>
            <w:pPr>
              <w:jc w:val="center"/>
              <w:ind w:right="39"/>
              <w:spacing w:after="0"/>
              <w:rPr>
                <w:sz w:val="20"/>
                <w:szCs w:val="20"/>
                <w:color w:val="auto"/>
              </w:rPr>
            </w:pPr>
            <w:r>
              <w:rPr>
                <w:rFonts w:ascii="Arial" w:cs="Arial" w:eastAsia="Arial" w:hAnsi="Arial"/>
                <w:sz w:val="16"/>
                <w:szCs w:val="16"/>
                <w:color w:val="auto"/>
                <w:w w:val="92"/>
              </w:rPr>
              <w:t>related party</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2"/>
        </w:trPr>
        <w:tc>
          <w:tcPr>
            <w:tcW w:w="31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 millions)</w:t>
            </w: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319"/>
              <w:spacing w:after="0"/>
              <w:rPr>
                <w:sz w:val="20"/>
                <w:szCs w:val="20"/>
                <w:color w:val="auto"/>
              </w:rPr>
            </w:pPr>
            <w:r>
              <w:rPr>
                <w:rFonts w:ascii="Arial" w:cs="Arial" w:eastAsia="Arial" w:hAnsi="Arial"/>
                <w:sz w:val="16"/>
                <w:szCs w:val="16"/>
                <w:color w:val="auto"/>
                <w:w w:val="91"/>
              </w:rPr>
              <w:t>interest</w:t>
            </w: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color w:val="auto"/>
                <w:w w:val="90"/>
              </w:rPr>
              <w:t>(Exchange)</w:t>
            </w:r>
          </w:p>
        </w:tc>
        <w:tc>
          <w:tcPr>
            <w:tcW w:w="6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39"/>
              <w:spacing w:after="0"/>
              <w:rPr>
                <w:sz w:val="20"/>
                <w:szCs w:val="20"/>
                <w:color w:val="auto"/>
              </w:rPr>
            </w:pPr>
            <w:r>
              <w:rPr>
                <w:rFonts w:ascii="Arial" w:cs="Arial" w:eastAsia="Arial" w:hAnsi="Arial"/>
                <w:sz w:val="16"/>
                <w:szCs w:val="16"/>
                <w:color w:val="auto"/>
                <w:w w:val="90"/>
              </w:rPr>
              <w:t>transactions</w:t>
            </w:r>
          </w:p>
        </w:tc>
        <w:tc>
          <w:tcPr>
            <w:tcW w:w="158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6"/>
                <w:szCs w:val="16"/>
                <w:color w:val="auto"/>
                <w:w w:val="92"/>
              </w:rPr>
              <w:t>Erie Insurance Group</w:t>
            </w:r>
          </w:p>
        </w:tc>
      </w:tr>
      <w:tr>
        <w:trPr>
          <w:trHeight w:val="186"/>
        </w:trPr>
        <w:tc>
          <w:tcPr>
            <w:tcW w:w="3100" w:type="dxa"/>
            <w:vAlign w:val="bottom"/>
          </w:tcPr>
          <w:p>
            <w:pPr>
              <w:spacing w:after="0"/>
              <w:rPr>
                <w:sz w:val="16"/>
                <w:szCs w:val="16"/>
                <w:color w:val="auto"/>
              </w:rPr>
            </w:pPr>
          </w:p>
        </w:tc>
        <w:tc>
          <w:tcPr>
            <w:tcW w:w="1900" w:type="dxa"/>
            <w:vAlign w:val="bottom"/>
            <w:gridSpan w:val="3"/>
          </w:tcPr>
          <w:p>
            <w:pPr>
              <w:jc w:val="center"/>
              <w:ind w:left="459"/>
              <w:spacing w:after="0"/>
              <w:rPr>
                <w:sz w:val="20"/>
                <w:szCs w:val="20"/>
                <w:color w:val="auto"/>
              </w:rPr>
            </w:pPr>
            <w:r>
              <w:rPr>
                <w:rFonts w:ascii="Arial" w:cs="Arial" w:eastAsia="Arial" w:hAnsi="Arial"/>
                <w:sz w:val="16"/>
                <w:szCs w:val="16"/>
                <w:color w:val="auto"/>
                <w:w w:val="89"/>
              </w:rPr>
              <w:t>Three months ended</w:t>
            </w: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right"/>
              <w:ind w:right="119"/>
              <w:spacing w:after="0"/>
              <w:rPr>
                <w:sz w:val="20"/>
                <w:szCs w:val="20"/>
                <w:color w:val="auto"/>
              </w:rPr>
            </w:pPr>
            <w:r>
              <w:rPr>
                <w:rFonts w:ascii="Arial" w:cs="Arial" w:eastAsia="Arial" w:hAnsi="Arial"/>
                <w:sz w:val="16"/>
                <w:szCs w:val="16"/>
                <w:color w:val="auto"/>
                <w:w w:val="93"/>
              </w:rPr>
              <w:t>Three months ended</w:t>
            </w:r>
          </w:p>
        </w:tc>
        <w:tc>
          <w:tcPr>
            <w:tcW w:w="1540" w:type="dxa"/>
            <w:vAlign w:val="bottom"/>
            <w:gridSpan w:val="2"/>
          </w:tcPr>
          <w:p>
            <w:pPr>
              <w:jc w:val="center"/>
              <w:ind w:right="19"/>
              <w:spacing w:after="0"/>
              <w:rPr>
                <w:sz w:val="20"/>
                <w:szCs w:val="20"/>
                <w:color w:val="auto"/>
              </w:rPr>
            </w:pPr>
            <w:r>
              <w:rPr>
                <w:rFonts w:ascii="Arial" w:cs="Arial" w:eastAsia="Arial" w:hAnsi="Arial"/>
                <w:sz w:val="16"/>
                <w:szCs w:val="16"/>
                <w:color w:val="auto"/>
                <w:w w:val="89"/>
              </w:rPr>
              <w:t>Three months ended</w:t>
            </w:r>
          </w:p>
        </w:tc>
        <w:tc>
          <w:tcPr>
            <w:tcW w:w="1580" w:type="dxa"/>
            <w:vAlign w:val="bottom"/>
            <w:gridSpan w:val="2"/>
          </w:tcPr>
          <w:p>
            <w:pPr>
              <w:jc w:val="center"/>
              <w:ind w:right="19"/>
              <w:spacing w:after="0"/>
              <w:rPr>
                <w:sz w:val="20"/>
                <w:szCs w:val="20"/>
                <w:color w:val="auto"/>
              </w:rPr>
            </w:pPr>
            <w:r>
              <w:rPr>
                <w:rFonts w:ascii="Arial" w:cs="Arial" w:eastAsia="Arial" w:hAnsi="Arial"/>
                <w:sz w:val="16"/>
                <w:szCs w:val="16"/>
                <w:color w:val="auto"/>
                <w:w w:val="89"/>
              </w:rPr>
              <w:t>Three months ended</w:t>
            </w:r>
          </w:p>
        </w:tc>
      </w:tr>
      <w:tr>
        <w:trPr>
          <w:trHeight w:val="203"/>
        </w:trPr>
        <w:tc>
          <w:tcPr>
            <w:tcW w:w="3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gridSpan w:val="2"/>
          </w:tcPr>
          <w:p>
            <w:pPr>
              <w:jc w:val="center"/>
              <w:ind w:right="239"/>
              <w:spacing w:after="0"/>
              <w:rPr>
                <w:sz w:val="20"/>
                <w:szCs w:val="20"/>
                <w:color w:val="auto"/>
              </w:rPr>
            </w:pPr>
            <w:r>
              <w:rPr>
                <w:rFonts w:ascii="Arial" w:cs="Arial" w:eastAsia="Arial" w:hAnsi="Arial"/>
                <w:sz w:val="16"/>
                <w:szCs w:val="16"/>
                <w:color w:val="auto"/>
                <w:w w:val="92"/>
              </w:rPr>
              <w:t>March 31,</w:t>
            </w: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ind w:right="459"/>
              <w:spacing w:after="0"/>
              <w:rPr>
                <w:sz w:val="20"/>
                <w:szCs w:val="20"/>
                <w:color w:val="auto"/>
              </w:rPr>
            </w:pPr>
            <w:r>
              <w:rPr>
                <w:rFonts w:ascii="Arial" w:cs="Arial" w:eastAsia="Arial" w:hAnsi="Arial"/>
                <w:sz w:val="16"/>
                <w:szCs w:val="16"/>
                <w:color w:val="auto"/>
              </w:rPr>
              <w:t>March 31,</w:t>
            </w:r>
          </w:p>
        </w:tc>
        <w:tc>
          <w:tcPr>
            <w:tcW w:w="1540" w:type="dxa"/>
            <w:vAlign w:val="bottom"/>
            <w:gridSpan w:val="2"/>
          </w:tcPr>
          <w:p>
            <w:pPr>
              <w:jc w:val="center"/>
              <w:ind w:right="39"/>
              <w:spacing w:after="0"/>
              <w:rPr>
                <w:sz w:val="20"/>
                <w:szCs w:val="20"/>
                <w:color w:val="auto"/>
              </w:rPr>
            </w:pPr>
            <w:r>
              <w:rPr>
                <w:rFonts w:ascii="Arial" w:cs="Arial" w:eastAsia="Arial" w:hAnsi="Arial"/>
                <w:sz w:val="16"/>
                <w:szCs w:val="16"/>
                <w:color w:val="auto"/>
                <w:w w:val="92"/>
              </w:rPr>
              <w:t>March 31,</w:t>
            </w:r>
          </w:p>
        </w:tc>
        <w:tc>
          <w:tcPr>
            <w:tcW w:w="1580" w:type="dxa"/>
            <w:vAlign w:val="bottom"/>
            <w:gridSpan w:val="2"/>
          </w:tcPr>
          <w:p>
            <w:pPr>
              <w:jc w:val="center"/>
              <w:ind w:right="19"/>
              <w:spacing w:after="0"/>
              <w:rPr>
                <w:sz w:val="20"/>
                <w:szCs w:val="20"/>
                <w:color w:val="auto"/>
              </w:rPr>
            </w:pPr>
            <w:r>
              <w:rPr>
                <w:rFonts w:ascii="Arial" w:cs="Arial" w:eastAsia="Arial" w:hAnsi="Arial"/>
                <w:sz w:val="16"/>
                <w:szCs w:val="16"/>
                <w:color w:val="auto"/>
                <w:w w:val="95"/>
              </w:rPr>
              <w:t>March 31,</w:t>
            </w:r>
          </w:p>
        </w:tc>
      </w:tr>
      <w:tr>
        <w:trPr>
          <w:trHeight w:val="206"/>
        </w:trPr>
        <w:tc>
          <w:tcPr>
            <w:tcW w:w="3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Percent</w:t>
            </w:r>
          </w:p>
        </w:tc>
        <w:tc>
          <w:tcPr>
            <w:tcW w:w="106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6"/>
                <w:szCs w:val="16"/>
                <w:color w:val="auto"/>
              </w:rPr>
              <w:t>2011</w:t>
            </w:r>
          </w:p>
        </w:tc>
        <w:tc>
          <w:tcPr>
            <w:tcW w:w="5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2010</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Percent</w:t>
            </w:r>
          </w:p>
        </w:tc>
        <w:tc>
          <w:tcPr>
            <w:tcW w:w="116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6"/>
                <w:szCs w:val="16"/>
                <w:color w:val="auto"/>
              </w:rPr>
              <w:t>2011</w:t>
            </w:r>
          </w:p>
        </w:tc>
        <w:tc>
          <w:tcPr>
            <w:tcW w:w="6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4"/>
              </w:rPr>
              <w:t>2010</w:t>
            </w: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2011</w:t>
            </w: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2010</w:t>
            </w: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2011</w:t>
            </w: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2010</w:t>
            </w:r>
          </w:p>
        </w:tc>
      </w:tr>
      <w:tr>
        <w:trPr>
          <w:trHeight w:val="189"/>
        </w:trPr>
        <w:tc>
          <w:tcPr>
            <w:tcW w:w="3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Management operations:</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03"/>
        </w:trPr>
        <w:tc>
          <w:tcPr>
            <w:tcW w:w="3100" w:type="dxa"/>
            <w:vAlign w:val="bottom"/>
          </w:tcPr>
          <w:p>
            <w:pPr>
              <w:ind w:left="180"/>
              <w:spacing w:after="0"/>
              <w:rPr>
                <w:sz w:val="20"/>
                <w:szCs w:val="20"/>
                <w:color w:val="auto"/>
              </w:rPr>
            </w:pPr>
            <w:r>
              <w:rPr>
                <w:rFonts w:ascii="Arial" w:cs="Arial" w:eastAsia="Arial" w:hAnsi="Arial"/>
                <w:sz w:val="16"/>
                <w:szCs w:val="16"/>
                <w:color w:val="auto"/>
              </w:rPr>
              <w:t>Management fee revenue, net</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1060" w:type="dxa"/>
            <w:vAlign w:val="bottom"/>
            <w:gridSpan w:val="2"/>
          </w:tcPr>
          <w:p>
            <w:pPr>
              <w:jc w:val="right"/>
              <w:ind w:right="279"/>
              <w:spacing w:after="0"/>
              <w:rPr>
                <w:sz w:val="20"/>
                <w:szCs w:val="20"/>
                <w:color w:val="auto"/>
              </w:rPr>
            </w:pPr>
            <w:r>
              <w:rPr>
                <w:rFonts w:ascii="Arial" w:cs="Arial" w:eastAsia="Arial" w:hAnsi="Arial"/>
                <w:sz w:val="16"/>
                <w:szCs w:val="16"/>
                <w:color w:val="auto"/>
              </w:rPr>
              <w:t>$251</w:t>
            </w:r>
          </w:p>
        </w:tc>
        <w:tc>
          <w:tcPr>
            <w:tcW w:w="540" w:type="dxa"/>
            <w:vAlign w:val="bottom"/>
          </w:tcPr>
          <w:p>
            <w:pPr>
              <w:jc w:val="right"/>
              <w:spacing w:after="0"/>
              <w:rPr>
                <w:sz w:val="20"/>
                <w:szCs w:val="20"/>
                <w:color w:val="auto"/>
              </w:rPr>
            </w:pPr>
            <w:r>
              <w:rPr>
                <w:rFonts w:ascii="Arial" w:cs="Arial" w:eastAsia="Arial" w:hAnsi="Arial"/>
                <w:sz w:val="16"/>
                <w:szCs w:val="16"/>
                <w:color w:val="auto"/>
              </w:rPr>
              <w:t>$237</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  –</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 –</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$(251)</w:t>
            </w:r>
          </w:p>
        </w:tc>
        <w:tc>
          <w:tcPr>
            <w:tcW w:w="700" w:type="dxa"/>
            <w:vAlign w:val="bottom"/>
          </w:tcPr>
          <w:p>
            <w:pPr>
              <w:jc w:val="right"/>
              <w:spacing w:after="0"/>
              <w:rPr>
                <w:sz w:val="20"/>
                <w:szCs w:val="20"/>
                <w:color w:val="auto"/>
              </w:rPr>
            </w:pPr>
            <w:r>
              <w:rPr>
                <w:rFonts w:ascii="Arial" w:cs="Arial" w:eastAsia="Arial" w:hAnsi="Arial"/>
                <w:sz w:val="16"/>
                <w:szCs w:val="16"/>
                <w:color w:val="auto"/>
              </w:rPr>
              <w:t>$(237)</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 –</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 –</w:t>
            </w:r>
          </w:p>
        </w:tc>
      </w:tr>
      <w:tr>
        <w:trPr>
          <w:trHeight w:val="203"/>
        </w:trPr>
        <w:tc>
          <w:tcPr>
            <w:tcW w:w="3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Service agreement revenue</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6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8</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r>
      <w:tr>
        <w:trPr>
          <w:trHeight w:val="173"/>
        </w:trPr>
        <w:tc>
          <w:tcPr>
            <w:tcW w:w="3100" w:type="dxa"/>
            <w:vAlign w:val="bottom"/>
          </w:tcPr>
          <w:p>
            <w:pPr>
              <w:ind w:left="180"/>
              <w:spacing w:after="0" w:line="173" w:lineRule="exact"/>
              <w:rPr>
                <w:sz w:val="20"/>
                <w:szCs w:val="20"/>
                <w:color w:val="auto"/>
              </w:rPr>
            </w:pPr>
            <w:r>
              <w:rPr>
                <w:rFonts w:ascii="Arial" w:cs="Arial" w:eastAsia="Arial" w:hAnsi="Arial"/>
                <w:sz w:val="16"/>
                <w:szCs w:val="16"/>
                <w:color w:val="auto"/>
              </w:rPr>
              <w:t>Total revenue from management</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209"/>
        </w:trPr>
        <w:tc>
          <w:tcPr>
            <w:tcW w:w="3100" w:type="dxa"/>
            <w:vAlign w:val="bottom"/>
          </w:tcPr>
          <w:p>
            <w:pPr>
              <w:ind w:left="360"/>
              <w:spacing w:after="0"/>
              <w:rPr>
                <w:sz w:val="20"/>
                <w:szCs w:val="20"/>
                <w:color w:val="auto"/>
              </w:rPr>
            </w:pPr>
            <w:r>
              <w:rPr>
                <w:rFonts w:ascii="Arial" w:cs="Arial" w:eastAsia="Arial" w:hAnsi="Arial"/>
                <w:sz w:val="16"/>
                <w:szCs w:val="16"/>
                <w:color w:val="auto"/>
              </w:rPr>
              <w:t>operations</w:t>
            </w:r>
          </w:p>
        </w:tc>
        <w:tc>
          <w:tcPr>
            <w:tcW w:w="840" w:type="dxa"/>
            <w:vAlign w:val="bottom"/>
          </w:tcPr>
          <w:p>
            <w:pPr>
              <w:spacing w:after="0"/>
              <w:rPr>
                <w:sz w:val="18"/>
                <w:szCs w:val="18"/>
                <w:color w:val="auto"/>
              </w:rPr>
            </w:pPr>
          </w:p>
        </w:tc>
        <w:tc>
          <w:tcPr>
            <w:tcW w:w="1060" w:type="dxa"/>
            <w:vAlign w:val="bottom"/>
            <w:gridSpan w:val="2"/>
          </w:tcPr>
          <w:p>
            <w:pPr>
              <w:jc w:val="right"/>
              <w:ind w:right="279"/>
              <w:spacing w:after="0"/>
              <w:rPr>
                <w:sz w:val="20"/>
                <w:szCs w:val="20"/>
                <w:color w:val="auto"/>
              </w:rPr>
            </w:pPr>
            <w:r>
              <w:rPr>
                <w:rFonts w:ascii="Arial" w:cs="Arial" w:eastAsia="Arial" w:hAnsi="Arial"/>
                <w:sz w:val="16"/>
                <w:szCs w:val="16"/>
                <w:color w:val="auto"/>
              </w:rPr>
              <w:t>259</w:t>
            </w:r>
          </w:p>
        </w:tc>
        <w:tc>
          <w:tcPr>
            <w:tcW w:w="540" w:type="dxa"/>
            <w:vAlign w:val="bottom"/>
          </w:tcPr>
          <w:p>
            <w:pPr>
              <w:jc w:val="right"/>
              <w:spacing w:after="0"/>
              <w:rPr>
                <w:sz w:val="20"/>
                <w:szCs w:val="20"/>
                <w:color w:val="auto"/>
              </w:rPr>
            </w:pPr>
            <w:r>
              <w:rPr>
                <w:rFonts w:ascii="Arial" w:cs="Arial" w:eastAsia="Arial" w:hAnsi="Arial"/>
                <w:sz w:val="16"/>
                <w:szCs w:val="16"/>
                <w:color w:val="auto"/>
              </w:rPr>
              <w:t>245</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(251)</w:t>
            </w:r>
          </w:p>
        </w:tc>
        <w:tc>
          <w:tcPr>
            <w:tcW w:w="700" w:type="dxa"/>
            <w:vAlign w:val="bottom"/>
          </w:tcPr>
          <w:p>
            <w:pPr>
              <w:jc w:val="right"/>
              <w:spacing w:after="0"/>
              <w:rPr>
                <w:sz w:val="20"/>
                <w:szCs w:val="20"/>
                <w:color w:val="auto"/>
              </w:rPr>
            </w:pPr>
            <w:r>
              <w:rPr>
                <w:rFonts w:ascii="Arial" w:cs="Arial" w:eastAsia="Arial" w:hAnsi="Arial"/>
                <w:sz w:val="16"/>
                <w:szCs w:val="16"/>
                <w:color w:val="auto"/>
              </w:rPr>
              <w:t>(237)</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206"/>
        </w:trPr>
        <w:tc>
          <w:tcPr>
            <w:tcW w:w="3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Cost of management operations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6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211</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(211)</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173"/>
        </w:trPr>
        <w:tc>
          <w:tcPr>
            <w:tcW w:w="3100" w:type="dxa"/>
            <w:vAlign w:val="bottom"/>
          </w:tcPr>
          <w:p>
            <w:pPr>
              <w:ind w:left="360"/>
              <w:spacing w:after="0" w:line="173" w:lineRule="exact"/>
              <w:rPr>
                <w:sz w:val="20"/>
                <w:szCs w:val="20"/>
                <w:color w:val="auto"/>
              </w:rPr>
            </w:pPr>
            <w:r>
              <w:rPr>
                <w:rFonts w:ascii="Arial" w:cs="Arial" w:eastAsia="Arial" w:hAnsi="Arial"/>
                <w:sz w:val="16"/>
                <w:szCs w:val="16"/>
                <w:b w:val="1"/>
                <w:bCs w:val="1"/>
                <w:i w:val="1"/>
                <w:iCs w:val="1"/>
                <w:color w:val="auto"/>
                <w:w w:val="95"/>
              </w:rPr>
              <w:t>Income from management operations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206"/>
        </w:trPr>
        <w:tc>
          <w:tcPr>
            <w:tcW w:w="3100" w:type="dxa"/>
            <w:vAlign w:val="bottom"/>
          </w:tcPr>
          <w:p>
            <w:pPr>
              <w:ind w:left="540"/>
              <w:spacing w:after="0"/>
              <w:rPr>
                <w:sz w:val="20"/>
                <w:szCs w:val="20"/>
                <w:color w:val="auto"/>
              </w:rPr>
            </w:pPr>
            <w:r>
              <w:rPr>
                <w:rFonts w:ascii="Arial" w:cs="Arial" w:eastAsia="Arial" w:hAnsi="Arial"/>
                <w:sz w:val="16"/>
                <w:szCs w:val="16"/>
                <w:b w:val="1"/>
                <w:bCs w:val="1"/>
                <w:i w:val="1"/>
                <w:iCs w:val="1"/>
                <w:color w:val="auto"/>
              </w:rPr>
              <w:t>before taxes</w:t>
            </w:r>
          </w:p>
        </w:tc>
        <w:tc>
          <w:tcPr>
            <w:tcW w:w="840" w:type="dxa"/>
            <w:vAlign w:val="bottom"/>
          </w:tcPr>
          <w:p>
            <w:pPr>
              <w:spacing w:after="0"/>
              <w:rPr>
                <w:sz w:val="17"/>
                <w:szCs w:val="17"/>
                <w:color w:val="auto"/>
              </w:rPr>
            </w:pPr>
          </w:p>
        </w:tc>
        <w:tc>
          <w:tcPr>
            <w:tcW w:w="1060" w:type="dxa"/>
            <w:vAlign w:val="bottom"/>
            <w:gridSpan w:val="2"/>
          </w:tcPr>
          <w:p>
            <w:pPr>
              <w:jc w:val="right"/>
              <w:ind w:right="279"/>
              <w:spacing w:after="0"/>
              <w:rPr>
                <w:sz w:val="20"/>
                <w:szCs w:val="20"/>
                <w:color w:val="auto"/>
              </w:rPr>
            </w:pPr>
            <w:r>
              <w:rPr>
                <w:rFonts w:ascii="Arial" w:cs="Arial" w:eastAsia="Arial" w:hAnsi="Arial"/>
                <w:sz w:val="16"/>
                <w:szCs w:val="16"/>
                <w:color w:val="auto"/>
              </w:rPr>
              <w:t>48</w:t>
            </w:r>
          </w:p>
        </w:tc>
        <w:tc>
          <w:tcPr>
            <w:tcW w:w="540" w:type="dxa"/>
            <w:vAlign w:val="bottom"/>
          </w:tcPr>
          <w:p>
            <w:pPr>
              <w:jc w:val="right"/>
              <w:spacing w:after="0"/>
              <w:rPr>
                <w:sz w:val="20"/>
                <w:szCs w:val="20"/>
                <w:color w:val="auto"/>
              </w:rPr>
            </w:pPr>
            <w:r>
              <w:rPr>
                <w:rFonts w:ascii="Arial" w:cs="Arial" w:eastAsia="Arial" w:hAnsi="Arial"/>
                <w:sz w:val="16"/>
                <w:szCs w:val="16"/>
                <w:color w:val="auto"/>
              </w:rPr>
              <w:t>53</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700" w:type="dxa"/>
            <w:vAlign w:val="bottom"/>
          </w:tcPr>
          <w:p>
            <w:pPr>
              <w:jc w:val="right"/>
              <w:spacing w:after="0"/>
              <w:rPr>
                <w:sz w:val="20"/>
                <w:szCs w:val="20"/>
                <w:color w:val="auto"/>
              </w:rPr>
            </w:pPr>
            <w:r>
              <w:rPr>
                <w:rFonts w:ascii="Arial" w:cs="Arial" w:eastAsia="Arial" w:hAnsi="Arial"/>
                <w:sz w:val="16"/>
                <w:szCs w:val="16"/>
                <w:color w:val="auto"/>
              </w:rPr>
              <w:t>(45)</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175"/>
        </w:trPr>
        <w:tc>
          <w:tcPr>
            <w:tcW w:w="3100" w:type="dxa"/>
            <w:vAlign w:val="bottom"/>
            <w:tcBorders>
              <w:top w:val="single" w:sz="8" w:color="CCEEFF"/>
            </w:tcBorders>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Property and casualty insurance</w:t>
            </w:r>
          </w:p>
        </w:tc>
        <w:tc>
          <w:tcPr>
            <w:tcW w:w="8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 xml:space="preserve">operations: </w:t>
            </w:r>
            <w:r>
              <w:rPr>
                <w:rFonts w:ascii="Arial" w:cs="Arial" w:eastAsia="Arial" w:hAnsi="Arial"/>
                <w:sz w:val="10"/>
                <w:szCs w:val="10"/>
                <w:color w:val="auto"/>
              </w:rPr>
              <w:t>(2)</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03"/>
        </w:trPr>
        <w:tc>
          <w:tcPr>
            <w:tcW w:w="3100" w:type="dxa"/>
            <w:vAlign w:val="bottom"/>
          </w:tcPr>
          <w:p>
            <w:pPr>
              <w:ind w:left="180"/>
              <w:spacing w:after="0"/>
              <w:rPr>
                <w:sz w:val="20"/>
                <w:szCs w:val="20"/>
                <w:color w:val="auto"/>
              </w:rPr>
            </w:pPr>
            <w:r>
              <w:rPr>
                <w:rFonts w:ascii="Arial" w:cs="Arial" w:eastAsia="Arial" w:hAnsi="Arial"/>
                <w:sz w:val="16"/>
                <w:szCs w:val="16"/>
                <w:color w:val="auto"/>
              </w:rPr>
              <w:t>Net premiums earned</w:t>
            </w:r>
          </w:p>
        </w:tc>
        <w:tc>
          <w:tcPr>
            <w:tcW w:w="840" w:type="dxa"/>
            <w:vAlign w:val="bottom"/>
          </w:tcPr>
          <w:p>
            <w:pPr>
              <w:jc w:val="right"/>
              <w:spacing w:after="0"/>
              <w:rPr>
                <w:sz w:val="20"/>
                <w:szCs w:val="20"/>
                <w:color w:val="auto"/>
              </w:rPr>
            </w:pPr>
            <w:r>
              <w:rPr>
                <w:rFonts w:ascii="Arial" w:cs="Arial" w:eastAsia="Arial" w:hAnsi="Arial"/>
                <w:sz w:val="16"/>
                <w:szCs w:val="16"/>
                <w:color w:val="auto"/>
              </w:rPr>
              <w:t xml:space="preserve">5.5% </w:t>
            </w:r>
            <w:r>
              <w:rPr>
                <w:rFonts w:ascii="Arial" w:cs="Arial" w:eastAsia="Arial" w:hAnsi="Arial"/>
                <w:sz w:val="10"/>
                <w:szCs w:val="10"/>
                <w:color w:val="auto"/>
              </w:rPr>
              <w:t>(2)</w:t>
            </w:r>
          </w:p>
        </w:tc>
        <w:tc>
          <w:tcPr>
            <w:tcW w:w="100" w:type="dxa"/>
            <w:vAlign w:val="bottom"/>
          </w:tcPr>
          <w:p>
            <w:pPr>
              <w:spacing w:after="0"/>
              <w:rPr>
                <w:sz w:val="17"/>
                <w:szCs w:val="17"/>
                <w:color w:val="auto"/>
              </w:rPr>
            </w:pPr>
          </w:p>
        </w:tc>
        <w:tc>
          <w:tcPr>
            <w:tcW w:w="9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53</w:t>
            </w:r>
          </w:p>
        </w:tc>
        <w:tc>
          <w:tcPr>
            <w:tcW w:w="980" w:type="dxa"/>
            <w:vAlign w:val="bottom"/>
          </w:tcPr>
          <w:p>
            <w:pPr>
              <w:jc w:val="right"/>
              <w:spacing w:after="0"/>
              <w:rPr>
                <w:sz w:val="20"/>
                <w:szCs w:val="20"/>
                <w:color w:val="auto"/>
              </w:rPr>
            </w:pPr>
            <w:r>
              <w:rPr>
                <w:rFonts w:ascii="Arial" w:cs="Arial" w:eastAsia="Arial" w:hAnsi="Arial"/>
                <w:sz w:val="16"/>
                <w:szCs w:val="16"/>
                <w:color w:val="auto"/>
              </w:rPr>
              <w:t xml:space="preserve">94.5% </w:t>
            </w:r>
            <w:r>
              <w:rPr>
                <w:rFonts w:ascii="Arial" w:cs="Arial" w:eastAsia="Arial" w:hAnsi="Arial"/>
                <w:sz w:val="10"/>
                <w:szCs w:val="10"/>
                <w:color w:val="auto"/>
              </w:rPr>
              <w:t>(2)</w:t>
            </w:r>
          </w:p>
        </w:tc>
        <w:tc>
          <w:tcPr>
            <w:tcW w:w="1160" w:type="dxa"/>
            <w:vAlign w:val="bottom"/>
            <w:gridSpan w:val="2"/>
          </w:tcPr>
          <w:p>
            <w:pPr>
              <w:jc w:val="right"/>
              <w:ind w:right="219"/>
              <w:spacing w:after="0"/>
              <w:rPr>
                <w:sz w:val="20"/>
                <w:szCs w:val="20"/>
                <w:color w:val="auto"/>
              </w:rPr>
            </w:pPr>
            <w:r>
              <w:rPr>
                <w:rFonts w:ascii="Arial" w:cs="Arial" w:eastAsia="Arial" w:hAnsi="Arial"/>
                <w:sz w:val="16"/>
                <w:szCs w:val="16"/>
                <w:color w:val="auto"/>
              </w:rPr>
              <w:t>1,014</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909</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1,014</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962</w:t>
            </w:r>
          </w:p>
        </w:tc>
      </w:tr>
      <w:tr>
        <w:trPr>
          <w:trHeight w:val="203"/>
        </w:trPr>
        <w:tc>
          <w:tcPr>
            <w:tcW w:w="3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Losses and loss expenses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xml:space="preserve">5.5% </w:t>
            </w:r>
            <w:r>
              <w:rPr>
                <w:rFonts w:ascii="Arial" w:cs="Arial" w:eastAsia="Arial" w:hAnsi="Arial"/>
                <w:sz w:val="10"/>
                <w:szCs w:val="10"/>
                <w:color w:val="auto"/>
              </w:rPr>
              <w:t>(2)</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xml:space="preserve">94.5% </w:t>
            </w:r>
            <w:r>
              <w:rPr>
                <w:rFonts w:ascii="Arial" w:cs="Arial" w:eastAsia="Arial" w:hAnsi="Arial"/>
                <w:sz w:val="10"/>
                <w:szCs w:val="10"/>
                <w:color w:val="auto"/>
              </w:rPr>
              <w:t>(2)</w:t>
            </w:r>
          </w:p>
        </w:tc>
        <w:tc>
          <w:tcPr>
            <w:tcW w:w="116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683</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698</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682</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737</w:t>
            </w:r>
          </w:p>
        </w:tc>
      </w:tr>
      <w:tr>
        <w:trPr>
          <w:trHeight w:val="193"/>
        </w:trPr>
        <w:tc>
          <w:tcPr>
            <w:tcW w:w="3100" w:type="dxa"/>
            <w:vAlign w:val="bottom"/>
          </w:tcPr>
          <w:p>
            <w:pPr>
              <w:ind w:left="180"/>
              <w:spacing w:after="0"/>
              <w:rPr>
                <w:sz w:val="20"/>
                <w:szCs w:val="20"/>
                <w:color w:val="auto"/>
              </w:rPr>
            </w:pPr>
            <w:r>
              <w:rPr>
                <w:rFonts w:ascii="Arial" w:cs="Arial" w:eastAsia="Arial" w:hAnsi="Arial"/>
                <w:sz w:val="16"/>
                <w:szCs w:val="16"/>
                <w:color w:val="auto"/>
              </w:rPr>
              <w:t>Policy acquisition and other underwriting</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09"/>
        </w:trPr>
        <w:tc>
          <w:tcPr>
            <w:tcW w:w="3100" w:type="dxa"/>
            <w:vAlign w:val="bottom"/>
          </w:tcPr>
          <w:p>
            <w:pPr>
              <w:ind w:left="360"/>
              <w:spacing w:after="0"/>
              <w:rPr>
                <w:sz w:val="20"/>
                <w:szCs w:val="20"/>
                <w:color w:val="auto"/>
              </w:rPr>
            </w:pPr>
            <w:r>
              <w:rPr>
                <w:rFonts w:ascii="Arial" w:cs="Arial" w:eastAsia="Arial" w:hAnsi="Arial"/>
                <w:sz w:val="16"/>
                <w:szCs w:val="16"/>
                <w:color w:val="auto"/>
              </w:rPr>
              <w:t>expenses</w:t>
            </w:r>
          </w:p>
        </w:tc>
        <w:tc>
          <w:tcPr>
            <w:tcW w:w="840" w:type="dxa"/>
            <w:vAlign w:val="bottom"/>
          </w:tcPr>
          <w:p>
            <w:pPr>
              <w:jc w:val="right"/>
              <w:spacing w:after="0"/>
              <w:rPr>
                <w:sz w:val="20"/>
                <w:szCs w:val="20"/>
                <w:color w:val="auto"/>
              </w:rPr>
            </w:pPr>
            <w:r>
              <w:rPr>
                <w:rFonts w:ascii="Arial" w:cs="Arial" w:eastAsia="Arial" w:hAnsi="Arial"/>
                <w:sz w:val="16"/>
                <w:szCs w:val="16"/>
                <w:color w:val="auto"/>
              </w:rPr>
              <w:t xml:space="preserve">5.5% </w:t>
            </w:r>
            <w:r>
              <w:rPr>
                <w:rFonts w:ascii="Arial" w:cs="Arial" w:eastAsia="Arial" w:hAnsi="Arial"/>
                <w:sz w:val="10"/>
                <w:szCs w:val="10"/>
                <w:color w:val="auto"/>
              </w:rPr>
              <w:t>(2)</w:t>
            </w:r>
          </w:p>
        </w:tc>
        <w:tc>
          <w:tcPr>
            <w:tcW w:w="100" w:type="dxa"/>
            <w:vAlign w:val="bottom"/>
          </w:tcPr>
          <w:p>
            <w:pPr>
              <w:spacing w:after="0"/>
              <w:rPr>
                <w:sz w:val="18"/>
                <w:szCs w:val="18"/>
                <w:color w:val="auto"/>
              </w:rPr>
            </w:pPr>
          </w:p>
        </w:tc>
        <w:tc>
          <w:tcPr>
            <w:tcW w:w="9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15</w:t>
            </w:r>
          </w:p>
        </w:tc>
        <w:tc>
          <w:tcPr>
            <w:tcW w:w="980" w:type="dxa"/>
            <w:vAlign w:val="bottom"/>
          </w:tcPr>
          <w:p>
            <w:pPr>
              <w:jc w:val="right"/>
              <w:spacing w:after="0"/>
              <w:rPr>
                <w:sz w:val="20"/>
                <w:szCs w:val="20"/>
                <w:color w:val="auto"/>
              </w:rPr>
            </w:pPr>
            <w:r>
              <w:rPr>
                <w:rFonts w:ascii="Arial" w:cs="Arial" w:eastAsia="Arial" w:hAnsi="Arial"/>
                <w:sz w:val="16"/>
                <w:szCs w:val="16"/>
                <w:color w:val="auto"/>
              </w:rPr>
              <w:t xml:space="preserve">94.5% </w:t>
            </w:r>
            <w:r>
              <w:rPr>
                <w:rFonts w:ascii="Arial" w:cs="Arial" w:eastAsia="Arial" w:hAnsi="Arial"/>
                <w:sz w:val="10"/>
                <w:szCs w:val="10"/>
                <w:color w:val="auto"/>
              </w:rPr>
              <w:t>(2)</w:t>
            </w:r>
          </w:p>
        </w:tc>
        <w:tc>
          <w:tcPr>
            <w:tcW w:w="1160" w:type="dxa"/>
            <w:vAlign w:val="bottom"/>
            <w:gridSpan w:val="2"/>
          </w:tcPr>
          <w:p>
            <w:pPr>
              <w:jc w:val="right"/>
              <w:ind w:right="219"/>
              <w:spacing w:after="0"/>
              <w:rPr>
                <w:sz w:val="20"/>
                <w:szCs w:val="20"/>
                <w:color w:val="auto"/>
              </w:rPr>
            </w:pPr>
            <w:r>
              <w:rPr>
                <w:rFonts w:ascii="Arial" w:cs="Arial" w:eastAsia="Arial" w:hAnsi="Arial"/>
                <w:sz w:val="16"/>
                <w:szCs w:val="16"/>
                <w:color w:val="auto"/>
              </w:rPr>
              <w:t>282</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250</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700" w:type="dxa"/>
            <w:vAlign w:val="bottom"/>
          </w:tcPr>
          <w:p>
            <w:pPr>
              <w:jc w:val="right"/>
              <w:spacing w:after="0"/>
              <w:rPr>
                <w:sz w:val="20"/>
                <w:szCs w:val="20"/>
                <w:color w:val="auto"/>
              </w:rPr>
            </w:pPr>
            <w:r>
              <w:rPr>
                <w:rFonts w:ascii="Arial" w:cs="Arial" w:eastAsia="Arial" w:hAnsi="Arial"/>
                <w:sz w:val="16"/>
                <w:szCs w:val="16"/>
                <w:color w:val="auto"/>
              </w:rPr>
              <w:t>(46)</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240</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219</w:t>
            </w:r>
          </w:p>
        </w:tc>
      </w:tr>
      <w:tr>
        <w:trPr>
          <w:trHeight w:val="203"/>
        </w:trPr>
        <w:tc>
          <w:tcPr>
            <w:tcW w:w="31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i w:val="1"/>
                <w:iCs w:val="1"/>
                <w:color w:val="auto"/>
              </w:rPr>
              <w:t>Income (loss) from property and</w:t>
            </w:r>
          </w:p>
        </w:tc>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9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49</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43</w:t>
            </w:r>
          </w:p>
        </w:tc>
        <w:tc>
          <w:tcPr>
            <w:tcW w:w="7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8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92</w:t>
            </w:r>
          </w:p>
        </w:tc>
        <w:tc>
          <w:tcPr>
            <w:tcW w:w="7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120"/>
        </w:trPr>
        <w:tc>
          <w:tcPr>
            <w:tcW w:w="3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r>
    </w:tbl>
    <w:p>
      <w:pPr>
        <w:sectPr>
          <w:pgSz w:w="11900" w:h="16900" w:orient="portrait"/>
          <w:cols w:equalWidth="0" w:num="1">
            <w:col w:w="11420"/>
          </w:cols>
          <w:pgMar w:left="240" w:top="125" w:right="239" w:bottom="0" w:gutter="0" w:footer="0" w:header="0"/>
        </w:sectPr>
      </w:pPr>
    </w:p>
    <w:bookmarkStart w:id="25" w:name="page26"/>
    <w:bookmarkEnd w:id="25"/>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20" w:type="dxa"/>
            <w:vAlign w:val="bottom"/>
            <w:shd w:val="clear" w:color="auto" w:fill="CCEEFF"/>
          </w:tcPr>
          <w:p>
            <w:pPr>
              <w:ind w:left="540"/>
              <w:spacing w:after="0"/>
              <w:rPr>
                <w:sz w:val="20"/>
                <w:szCs w:val="20"/>
                <w:color w:val="auto"/>
              </w:rPr>
            </w:pPr>
            <w:r>
              <w:rPr>
                <w:rFonts w:ascii="Arial" w:cs="Arial" w:eastAsia="Arial" w:hAnsi="Arial"/>
                <w:sz w:val="16"/>
                <w:szCs w:val="16"/>
                <w:b w:val="1"/>
                <w:bCs w:val="1"/>
                <w:i w:val="1"/>
                <w:iCs w:val="1"/>
                <w:color w:val="auto"/>
              </w:rPr>
              <w:t>casualty insurance operations</w:t>
            </w:r>
          </w:p>
        </w:tc>
        <w:tc>
          <w:tcPr>
            <w:tcW w:w="9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12"/>
        </w:trPr>
        <w:tc>
          <w:tcPr>
            <w:tcW w:w="3120" w:type="dxa"/>
            <w:vAlign w:val="bottom"/>
            <w:shd w:val="clear" w:color="auto" w:fill="CCEEFF"/>
          </w:tcPr>
          <w:p>
            <w:pPr>
              <w:ind w:left="540"/>
              <w:spacing w:after="0"/>
              <w:rPr>
                <w:sz w:val="20"/>
                <w:szCs w:val="20"/>
                <w:color w:val="auto"/>
              </w:rPr>
            </w:pPr>
            <w:r>
              <w:rPr>
                <w:rFonts w:ascii="Arial" w:cs="Arial" w:eastAsia="Arial" w:hAnsi="Arial"/>
                <w:sz w:val="16"/>
                <w:szCs w:val="16"/>
                <w:b w:val="1"/>
                <w:bCs w:val="1"/>
                <w:i w:val="1"/>
                <w:iCs w:val="1"/>
                <w:color w:val="auto"/>
              </w:rPr>
              <w:t>before taxes</w:t>
            </w:r>
          </w:p>
        </w:tc>
        <w:tc>
          <w:tcPr>
            <w:tcW w:w="9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r>
      <w:tr>
        <w:trPr>
          <w:trHeight w:val="183"/>
        </w:trPr>
        <w:tc>
          <w:tcPr>
            <w:tcW w:w="3120" w:type="dxa"/>
            <w:vAlign w:val="bottom"/>
          </w:tcPr>
          <w:p>
            <w:pPr>
              <w:spacing w:after="0" w:line="183" w:lineRule="exact"/>
              <w:rPr>
                <w:sz w:val="20"/>
                <w:szCs w:val="20"/>
                <w:color w:val="auto"/>
              </w:rPr>
            </w:pPr>
            <w:r>
              <w:rPr>
                <w:rFonts w:ascii="Arial" w:cs="Arial" w:eastAsia="Arial" w:hAnsi="Arial"/>
                <w:sz w:val="16"/>
                <w:szCs w:val="16"/>
                <w:b w:val="1"/>
                <w:bCs w:val="1"/>
                <w:color w:val="auto"/>
              </w:rPr>
              <w:t xml:space="preserve">Life insurance operations: </w:t>
            </w:r>
            <w:r>
              <w:rPr>
                <w:rFonts w:ascii="Arial" w:cs="Arial" w:eastAsia="Arial" w:hAnsi="Arial"/>
                <w:sz w:val="10"/>
                <w:szCs w:val="10"/>
                <w:color w:val="auto"/>
              </w:rPr>
              <w:t>(1)</w:t>
            </w: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3"/>
        </w:trPr>
        <w:tc>
          <w:tcPr>
            <w:tcW w:w="3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revenue</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 xml:space="preserve">21.6% </w:t>
            </w:r>
            <w:r>
              <w:rPr>
                <w:rFonts w:ascii="Arial" w:cs="Arial" w:eastAsia="Arial" w:hAnsi="Arial"/>
                <w:sz w:val="10"/>
                <w:szCs w:val="10"/>
                <w:color w:val="auto"/>
              </w:rPr>
              <w:t>(3)</w:t>
            </w:r>
          </w:p>
        </w:tc>
        <w:tc>
          <w:tcPr>
            <w:tcW w:w="8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 xml:space="preserve">78.4% </w:t>
            </w:r>
            <w:r>
              <w:rPr>
                <w:rFonts w:ascii="Arial" w:cs="Arial" w:eastAsia="Arial" w:hAnsi="Arial"/>
                <w:sz w:val="10"/>
                <w:szCs w:val="10"/>
                <w:color w:val="auto"/>
              </w:rPr>
              <w:t>(3)</w:t>
            </w: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34</w:t>
            </w:r>
          </w:p>
        </w:tc>
        <w:tc>
          <w:tcPr>
            <w:tcW w:w="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34</w:t>
            </w:r>
          </w:p>
        </w:tc>
        <w:tc>
          <w:tcPr>
            <w:tcW w:w="7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w:t>
            </w:r>
          </w:p>
        </w:tc>
        <w:tc>
          <w:tcPr>
            <w:tcW w:w="7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w:t>
            </w:r>
          </w:p>
        </w:tc>
        <w:tc>
          <w:tcPr>
            <w:tcW w:w="8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44</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r>
      <w:tr>
        <w:trPr>
          <w:trHeight w:val="203"/>
        </w:trPr>
        <w:tc>
          <w:tcPr>
            <w:tcW w:w="31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benefits and expenses</w:t>
            </w:r>
          </w:p>
        </w:tc>
        <w:tc>
          <w:tcPr>
            <w:tcW w:w="920" w:type="dxa"/>
            <w:vAlign w:val="bottom"/>
            <w:tcBorders>
              <w:bottom w:val="single" w:sz="8" w:color="CCEEFF"/>
            </w:tcBorders>
          </w:tcPr>
          <w:p>
            <w:pPr>
              <w:jc w:val="right"/>
              <w:ind w:right="79"/>
              <w:spacing w:after="0"/>
              <w:rPr>
                <w:sz w:val="20"/>
                <w:szCs w:val="20"/>
                <w:color w:val="auto"/>
              </w:rPr>
            </w:pPr>
            <w:r>
              <w:rPr>
                <w:rFonts w:ascii="Arial" w:cs="Arial" w:eastAsia="Arial" w:hAnsi="Arial"/>
                <w:sz w:val="16"/>
                <w:szCs w:val="16"/>
                <w:color w:val="auto"/>
              </w:rPr>
              <w:t xml:space="preserve">21.6% </w:t>
            </w:r>
            <w:r>
              <w:rPr>
                <w:rFonts w:ascii="Arial" w:cs="Arial" w:eastAsia="Arial" w:hAnsi="Arial"/>
                <w:sz w:val="10"/>
                <w:szCs w:val="10"/>
                <w:color w:val="auto"/>
              </w:rPr>
              <w:t>(3)</w:t>
            </w: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16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 xml:space="preserve">78.4% </w:t>
            </w:r>
            <w:r>
              <w:rPr>
                <w:rFonts w:ascii="Arial" w:cs="Arial" w:eastAsia="Arial" w:hAnsi="Arial"/>
                <w:sz w:val="10"/>
                <w:szCs w:val="10"/>
                <w:color w:val="auto"/>
              </w:rPr>
              <w:t>(3)</w:t>
            </w:r>
          </w:p>
        </w:tc>
        <w:tc>
          <w:tcPr>
            <w:tcW w:w="9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24</w:t>
            </w: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26</w:t>
            </w:r>
          </w:p>
        </w:tc>
        <w:tc>
          <w:tcPr>
            <w:tcW w:w="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w:t>
            </w: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w:t>
            </w:r>
          </w:p>
        </w:tc>
        <w:tc>
          <w:tcPr>
            <w:tcW w:w="8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31</w:t>
            </w: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w:t>
            </w:r>
          </w:p>
        </w:tc>
      </w:tr>
      <w:tr>
        <w:trPr>
          <w:trHeight w:val="173"/>
        </w:trPr>
        <w:tc>
          <w:tcPr>
            <w:tcW w:w="3120" w:type="dxa"/>
            <w:vAlign w:val="bottom"/>
            <w:shd w:val="clear" w:color="auto" w:fill="CCEEFF"/>
          </w:tcPr>
          <w:p>
            <w:pPr>
              <w:ind w:left="360"/>
              <w:spacing w:after="0" w:line="173" w:lineRule="exact"/>
              <w:rPr>
                <w:sz w:val="20"/>
                <w:szCs w:val="20"/>
                <w:color w:val="auto"/>
              </w:rPr>
            </w:pPr>
            <w:r>
              <w:rPr>
                <w:rFonts w:ascii="Arial" w:cs="Arial" w:eastAsia="Arial" w:hAnsi="Arial"/>
                <w:sz w:val="16"/>
                <w:szCs w:val="16"/>
                <w:b w:val="1"/>
                <w:bCs w:val="1"/>
                <w:i w:val="1"/>
                <w:iCs w:val="1"/>
                <w:color w:val="auto"/>
                <w:w w:val="94"/>
              </w:rPr>
              <w:t>Income from life insurance operations</w:t>
            </w:r>
          </w:p>
        </w:tc>
        <w:tc>
          <w:tcPr>
            <w:tcW w:w="9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12"/>
        </w:trPr>
        <w:tc>
          <w:tcPr>
            <w:tcW w:w="3120" w:type="dxa"/>
            <w:vAlign w:val="bottom"/>
            <w:shd w:val="clear" w:color="auto" w:fill="CCEEFF"/>
          </w:tcPr>
          <w:p>
            <w:pPr>
              <w:ind w:left="540"/>
              <w:spacing w:after="0"/>
              <w:rPr>
                <w:sz w:val="20"/>
                <w:szCs w:val="20"/>
                <w:color w:val="auto"/>
              </w:rPr>
            </w:pPr>
            <w:r>
              <w:rPr>
                <w:rFonts w:ascii="Arial" w:cs="Arial" w:eastAsia="Arial" w:hAnsi="Arial"/>
                <w:sz w:val="16"/>
                <w:szCs w:val="16"/>
                <w:b w:val="1"/>
                <w:bCs w:val="1"/>
                <w:i w:val="1"/>
                <w:iCs w:val="1"/>
                <w:color w:val="auto"/>
              </w:rPr>
              <w:t>before taxes</w:t>
            </w:r>
          </w:p>
        </w:tc>
        <w:tc>
          <w:tcPr>
            <w:tcW w:w="9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10</w:t>
            </w:r>
          </w:p>
        </w:tc>
        <w:tc>
          <w:tcPr>
            <w:tcW w:w="8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w:t>
            </w:r>
          </w:p>
        </w:tc>
        <w:tc>
          <w:tcPr>
            <w:tcW w:w="7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0</w:t>
            </w:r>
          </w:p>
        </w:tc>
        <w:tc>
          <w:tcPr>
            <w:tcW w:w="7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w:t>
            </w:r>
          </w:p>
        </w:tc>
        <w:tc>
          <w:tcPr>
            <w:tcW w:w="8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13</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183"/>
        </w:trPr>
        <w:tc>
          <w:tcPr>
            <w:tcW w:w="3120" w:type="dxa"/>
            <w:vAlign w:val="bottom"/>
          </w:tcPr>
          <w:p>
            <w:pPr>
              <w:spacing w:after="0" w:line="183" w:lineRule="exact"/>
              <w:rPr>
                <w:sz w:val="20"/>
                <w:szCs w:val="20"/>
                <w:color w:val="auto"/>
              </w:rPr>
            </w:pPr>
            <w:r>
              <w:rPr>
                <w:rFonts w:ascii="Arial" w:cs="Arial" w:eastAsia="Arial" w:hAnsi="Arial"/>
                <w:sz w:val="16"/>
                <w:szCs w:val="16"/>
                <w:b w:val="1"/>
                <w:bCs w:val="1"/>
                <w:color w:val="auto"/>
              </w:rPr>
              <w:t>Investment operations:</w:t>
            </w: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3"/>
        </w:trPr>
        <w:tc>
          <w:tcPr>
            <w:tcW w:w="3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Net investment income </w:t>
            </w:r>
            <w:r>
              <w:rPr>
                <w:rFonts w:ascii="Arial" w:cs="Arial" w:eastAsia="Arial" w:hAnsi="Arial"/>
                <w:sz w:val="10"/>
                <w:szCs w:val="10"/>
                <w:color w:val="auto"/>
              </w:rPr>
              <w:t>(2)</w:t>
            </w: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81</w:t>
            </w:r>
          </w:p>
        </w:tc>
        <w:tc>
          <w:tcPr>
            <w:tcW w:w="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75</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w:t>
            </w: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8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82</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r>
      <w:tr>
        <w:trPr>
          <w:trHeight w:val="203"/>
        </w:trPr>
        <w:tc>
          <w:tcPr>
            <w:tcW w:w="3120" w:type="dxa"/>
            <w:vAlign w:val="bottom"/>
          </w:tcPr>
          <w:p>
            <w:pPr>
              <w:ind w:left="180"/>
              <w:spacing w:after="0"/>
              <w:rPr>
                <w:sz w:val="20"/>
                <w:szCs w:val="20"/>
                <w:color w:val="auto"/>
              </w:rPr>
            </w:pPr>
            <w:r>
              <w:rPr>
                <w:rFonts w:ascii="Arial" w:cs="Arial" w:eastAsia="Arial" w:hAnsi="Arial"/>
                <w:sz w:val="16"/>
                <w:szCs w:val="16"/>
                <w:color w:val="auto"/>
              </w:rPr>
              <w:t xml:space="preserve">Net realized gains on investments </w:t>
            </w:r>
            <w:r>
              <w:rPr>
                <w:rFonts w:ascii="Arial" w:cs="Arial" w:eastAsia="Arial" w:hAnsi="Arial"/>
                <w:sz w:val="10"/>
                <w:szCs w:val="10"/>
                <w:color w:val="auto"/>
              </w:rPr>
              <w:t>(2)</w:t>
            </w:r>
          </w:p>
        </w:tc>
        <w:tc>
          <w:tcPr>
            <w:tcW w:w="920" w:type="dxa"/>
            <w:vAlign w:val="bottom"/>
          </w:tcPr>
          <w:p>
            <w:pPr>
              <w:spacing w:after="0"/>
              <w:rPr>
                <w:sz w:val="17"/>
                <w:szCs w:val="17"/>
                <w:color w:val="auto"/>
              </w:rPr>
            </w:pP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1</w:t>
            </w:r>
          </w:p>
        </w:tc>
        <w:tc>
          <w:tcPr>
            <w:tcW w:w="640" w:type="dxa"/>
            <w:vAlign w:val="bottom"/>
          </w:tcPr>
          <w:p>
            <w:pPr>
              <w:jc w:val="right"/>
              <w:spacing w:after="0"/>
              <w:rPr>
                <w:sz w:val="20"/>
                <w:szCs w:val="20"/>
                <w:color w:val="auto"/>
              </w:rPr>
            </w:pPr>
            <w:r>
              <w:rPr>
                <w:rFonts w:ascii="Arial" w:cs="Arial" w:eastAsia="Arial" w:hAnsi="Arial"/>
                <w:sz w:val="16"/>
                <w:szCs w:val="16"/>
                <w:color w:val="auto"/>
              </w:rPr>
              <w:t>5</w:t>
            </w:r>
          </w:p>
        </w:tc>
        <w:tc>
          <w:tcPr>
            <w:tcW w:w="1160" w:type="dxa"/>
            <w:vAlign w:val="bottom"/>
          </w:tcPr>
          <w:p>
            <w:pPr>
              <w:spacing w:after="0"/>
              <w:rPr>
                <w:sz w:val="17"/>
                <w:szCs w:val="17"/>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144</w:t>
            </w:r>
          </w:p>
        </w:tc>
        <w:tc>
          <w:tcPr>
            <w:tcW w:w="840" w:type="dxa"/>
            <w:vAlign w:val="bottom"/>
          </w:tcPr>
          <w:p>
            <w:pPr>
              <w:jc w:val="right"/>
              <w:ind w:right="199"/>
              <w:spacing w:after="0"/>
              <w:rPr>
                <w:sz w:val="20"/>
                <w:szCs w:val="20"/>
                <w:color w:val="auto"/>
              </w:rPr>
            </w:pPr>
            <w:r>
              <w:rPr>
                <w:rFonts w:ascii="Arial" w:cs="Arial" w:eastAsia="Arial" w:hAnsi="Arial"/>
                <w:sz w:val="16"/>
                <w:szCs w:val="16"/>
                <w:color w:val="auto"/>
              </w:rPr>
              <w:t>115</w:t>
            </w:r>
          </w:p>
        </w:tc>
        <w:tc>
          <w:tcPr>
            <w:tcW w:w="7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59"/>
              <w:spacing w:after="0"/>
              <w:rPr>
                <w:sz w:val="20"/>
                <w:szCs w:val="20"/>
                <w:color w:val="auto"/>
              </w:rPr>
            </w:pPr>
            <w:r>
              <w:rPr>
                <w:rFonts w:ascii="Arial" w:cs="Arial" w:eastAsia="Arial" w:hAnsi="Arial"/>
                <w:sz w:val="16"/>
                <w:szCs w:val="16"/>
                <w:color w:val="auto"/>
              </w:rPr>
              <w:t>145</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120</w:t>
            </w:r>
          </w:p>
        </w:tc>
      </w:tr>
      <w:tr>
        <w:trPr>
          <w:trHeight w:val="193"/>
        </w:trPr>
        <w:tc>
          <w:tcPr>
            <w:tcW w:w="3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impairment losses recognized in</w:t>
            </w:r>
          </w:p>
        </w:tc>
        <w:tc>
          <w:tcPr>
            <w:tcW w:w="9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12"/>
        </w:trPr>
        <w:tc>
          <w:tcPr>
            <w:tcW w:w="3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 xml:space="preserve">earnings </w:t>
            </w:r>
            <w:r>
              <w:rPr>
                <w:rFonts w:ascii="Arial" w:cs="Arial" w:eastAsia="Arial" w:hAnsi="Arial"/>
                <w:sz w:val="10"/>
                <w:szCs w:val="10"/>
                <w:color w:val="auto"/>
              </w:rPr>
              <w:t>(2)</w:t>
            </w: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0</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0</w:t>
            </w: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w:t>
            </w:r>
          </w:p>
        </w:tc>
        <w:tc>
          <w:tcPr>
            <w:tcW w:w="7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0</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3"/>
        </w:trPr>
        <w:tc>
          <w:tcPr>
            <w:tcW w:w="31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Equity in earnings of limited partnerships</w:t>
            </w:r>
          </w:p>
        </w:tc>
        <w:tc>
          <w:tcPr>
            <w:tcW w:w="9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16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61</w:t>
            </w: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w:t>
            </w:r>
          </w:p>
        </w:tc>
        <w:tc>
          <w:tcPr>
            <w:tcW w:w="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72</w:t>
            </w: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r>
      <w:tr>
        <w:trPr>
          <w:trHeight w:val="173"/>
        </w:trPr>
        <w:tc>
          <w:tcPr>
            <w:tcW w:w="3120" w:type="dxa"/>
            <w:vAlign w:val="bottom"/>
            <w:shd w:val="clear" w:color="auto" w:fill="CCEEFF"/>
          </w:tcPr>
          <w:p>
            <w:pPr>
              <w:ind w:left="360"/>
              <w:spacing w:after="0" w:line="173" w:lineRule="exact"/>
              <w:rPr>
                <w:sz w:val="20"/>
                <w:szCs w:val="20"/>
                <w:color w:val="auto"/>
              </w:rPr>
            </w:pPr>
            <w:r>
              <w:rPr>
                <w:rFonts w:ascii="Arial" w:cs="Arial" w:eastAsia="Arial" w:hAnsi="Arial"/>
                <w:sz w:val="16"/>
                <w:szCs w:val="16"/>
                <w:b w:val="1"/>
                <w:bCs w:val="1"/>
                <w:i w:val="1"/>
                <w:iCs w:val="1"/>
                <w:color w:val="auto"/>
              </w:rPr>
              <w:t>Income from investment operations</w:t>
            </w:r>
          </w:p>
        </w:tc>
        <w:tc>
          <w:tcPr>
            <w:tcW w:w="9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12"/>
        </w:trPr>
        <w:tc>
          <w:tcPr>
            <w:tcW w:w="3120" w:type="dxa"/>
            <w:vAlign w:val="bottom"/>
            <w:shd w:val="clear" w:color="auto" w:fill="CCEEFF"/>
          </w:tcPr>
          <w:p>
            <w:pPr>
              <w:ind w:left="540"/>
              <w:spacing w:after="0"/>
              <w:rPr>
                <w:sz w:val="20"/>
                <w:szCs w:val="20"/>
                <w:color w:val="auto"/>
              </w:rPr>
            </w:pPr>
            <w:r>
              <w:rPr>
                <w:rFonts w:ascii="Arial" w:cs="Arial" w:eastAsia="Arial" w:hAnsi="Arial"/>
                <w:sz w:val="16"/>
                <w:szCs w:val="16"/>
                <w:b w:val="1"/>
                <w:bCs w:val="1"/>
                <w:i w:val="1"/>
                <w:iCs w:val="1"/>
                <w:color w:val="auto"/>
              </w:rPr>
              <w:t xml:space="preserve">before taxes </w:t>
            </w:r>
            <w:r>
              <w:rPr>
                <w:rFonts w:ascii="Arial" w:cs="Arial" w:eastAsia="Arial" w:hAnsi="Arial"/>
                <w:sz w:val="10"/>
                <w:szCs w:val="10"/>
                <w:color w:val="auto"/>
              </w:rPr>
              <w:t>(2)</w:t>
            </w:r>
          </w:p>
        </w:tc>
        <w:tc>
          <w:tcPr>
            <w:tcW w:w="9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16</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286</w:t>
            </w:r>
          </w:p>
        </w:tc>
        <w:tc>
          <w:tcPr>
            <w:tcW w:w="8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192</w:t>
            </w:r>
          </w:p>
        </w:tc>
        <w:tc>
          <w:tcPr>
            <w:tcW w:w="7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w:t>
            </w:r>
          </w:p>
        </w:tc>
        <w:tc>
          <w:tcPr>
            <w:tcW w:w="7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8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299</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203</w:t>
            </w:r>
          </w:p>
        </w:tc>
      </w:tr>
      <w:tr>
        <w:trPr>
          <w:trHeight w:val="169"/>
        </w:trPr>
        <w:tc>
          <w:tcPr>
            <w:tcW w:w="3120" w:type="dxa"/>
            <w:vAlign w:val="bottom"/>
          </w:tcPr>
          <w:p>
            <w:pPr>
              <w:spacing w:after="0" w:line="169" w:lineRule="exact"/>
              <w:rPr>
                <w:sz w:val="20"/>
                <w:szCs w:val="20"/>
                <w:color w:val="auto"/>
              </w:rPr>
            </w:pPr>
            <w:r>
              <w:rPr>
                <w:rFonts w:ascii="Arial" w:cs="Arial" w:eastAsia="Arial" w:hAnsi="Arial"/>
                <w:sz w:val="16"/>
                <w:szCs w:val="16"/>
                <w:b w:val="1"/>
                <w:bCs w:val="1"/>
                <w:color w:val="auto"/>
              </w:rPr>
              <w:t>Income from operations before income</w:t>
            </w: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13"/>
        </w:trPr>
        <w:tc>
          <w:tcPr>
            <w:tcW w:w="3120" w:type="dxa"/>
            <w:vAlign w:val="bottom"/>
          </w:tcPr>
          <w:p>
            <w:pPr>
              <w:ind w:left="180"/>
              <w:spacing w:after="0"/>
              <w:rPr>
                <w:sz w:val="20"/>
                <w:szCs w:val="20"/>
                <w:color w:val="auto"/>
              </w:rPr>
            </w:pPr>
            <w:r>
              <w:rPr>
                <w:rFonts w:ascii="Arial" w:cs="Arial" w:eastAsia="Arial" w:hAnsi="Arial"/>
                <w:sz w:val="16"/>
                <w:szCs w:val="16"/>
                <w:b w:val="1"/>
                <w:bCs w:val="1"/>
                <w:color w:val="auto"/>
              </w:rPr>
              <w:t>taxes and noncontrolling interest</w:t>
            </w:r>
          </w:p>
        </w:tc>
        <w:tc>
          <w:tcPr>
            <w:tcW w:w="920" w:type="dxa"/>
            <w:vAlign w:val="bottom"/>
          </w:tcPr>
          <w:p>
            <w:pPr>
              <w:spacing w:after="0"/>
              <w:rPr>
                <w:sz w:val="18"/>
                <w:szCs w:val="18"/>
                <w:color w:val="auto"/>
              </w:rPr>
            </w:pP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67</w:t>
            </w:r>
          </w:p>
        </w:tc>
        <w:tc>
          <w:tcPr>
            <w:tcW w:w="640" w:type="dxa"/>
            <w:vAlign w:val="bottom"/>
          </w:tcPr>
          <w:p>
            <w:pPr>
              <w:jc w:val="right"/>
              <w:spacing w:after="0"/>
              <w:rPr>
                <w:sz w:val="20"/>
                <w:szCs w:val="20"/>
                <w:color w:val="auto"/>
              </w:rPr>
            </w:pPr>
            <w:r>
              <w:rPr>
                <w:rFonts w:ascii="Arial" w:cs="Arial" w:eastAsia="Arial" w:hAnsi="Arial"/>
                <w:sz w:val="16"/>
                <w:szCs w:val="16"/>
                <w:color w:val="auto"/>
              </w:rPr>
              <w:t>67</w:t>
            </w:r>
          </w:p>
        </w:tc>
        <w:tc>
          <w:tcPr>
            <w:tcW w:w="1160" w:type="dxa"/>
            <w:vAlign w:val="bottom"/>
          </w:tcPr>
          <w:p>
            <w:pPr>
              <w:spacing w:after="0"/>
              <w:rPr>
                <w:sz w:val="18"/>
                <w:szCs w:val="18"/>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345</w:t>
            </w:r>
          </w:p>
        </w:tc>
        <w:tc>
          <w:tcPr>
            <w:tcW w:w="840" w:type="dxa"/>
            <w:vAlign w:val="bottom"/>
          </w:tcPr>
          <w:p>
            <w:pPr>
              <w:jc w:val="right"/>
              <w:ind w:right="199"/>
              <w:spacing w:after="0"/>
              <w:rPr>
                <w:sz w:val="20"/>
                <w:szCs w:val="20"/>
                <w:color w:val="auto"/>
              </w:rPr>
            </w:pPr>
            <w:r>
              <w:rPr>
                <w:rFonts w:ascii="Arial" w:cs="Arial" w:eastAsia="Arial" w:hAnsi="Arial"/>
                <w:sz w:val="16"/>
                <w:szCs w:val="16"/>
                <w:color w:val="auto"/>
              </w:rPr>
              <w:t>161</w:t>
            </w:r>
          </w:p>
        </w:tc>
        <w:tc>
          <w:tcPr>
            <w:tcW w:w="7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59"/>
              <w:spacing w:after="0"/>
              <w:rPr>
                <w:sz w:val="20"/>
                <w:szCs w:val="20"/>
                <w:color w:val="auto"/>
              </w:rPr>
            </w:pPr>
            <w:r>
              <w:rPr>
                <w:rFonts w:ascii="Arial" w:cs="Arial" w:eastAsia="Arial" w:hAnsi="Arial"/>
                <w:sz w:val="16"/>
                <w:szCs w:val="16"/>
                <w:color w:val="auto"/>
              </w:rPr>
              <w:t>412</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228</w:t>
            </w:r>
          </w:p>
        </w:tc>
      </w:tr>
      <w:tr>
        <w:trPr>
          <w:trHeight w:val="206"/>
        </w:trPr>
        <w:tc>
          <w:tcPr>
            <w:tcW w:w="3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92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23</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16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115</w:t>
            </w:r>
          </w:p>
        </w:tc>
        <w:tc>
          <w:tcPr>
            <w:tcW w:w="8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46</w:t>
            </w:r>
          </w:p>
        </w:tc>
        <w:tc>
          <w:tcPr>
            <w:tcW w:w="7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138</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r>
      <w:tr>
        <w:trPr>
          <w:trHeight w:val="196"/>
        </w:trPr>
        <w:tc>
          <w:tcPr>
            <w:tcW w:w="312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920" w:type="dxa"/>
            <w:vAlign w:val="bottom"/>
          </w:tcPr>
          <w:p>
            <w:pPr>
              <w:spacing w:after="0"/>
              <w:rPr>
                <w:sz w:val="17"/>
                <w:szCs w:val="17"/>
                <w:color w:val="auto"/>
              </w:rPr>
            </w:pP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$ 44</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$ 47</w:t>
            </w:r>
          </w:p>
        </w:tc>
        <w:tc>
          <w:tcPr>
            <w:tcW w:w="1160" w:type="dxa"/>
            <w:vAlign w:val="bottom"/>
          </w:tcPr>
          <w:p>
            <w:pPr>
              <w:spacing w:after="0"/>
              <w:rPr>
                <w:sz w:val="17"/>
                <w:szCs w:val="17"/>
                <w:color w:val="auto"/>
              </w:rPr>
            </w:pPr>
          </w:p>
        </w:tc>
        <w:tc>
          <w:tcPr>
            <w:tcW w:w="9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  230</w:t>
            </w: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$115</w:t>
            </w:r>
          </w:p>
        </w:tc>
        <w:tc>
          <w:tcPr>
            <w:tcW w:w="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  –</w:t>
            </w: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$ 274</w:t>
            </w: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$162</w:t>
            </w:r>
          </w:p>
        </w:tc>
      </w:tr>
      <w:tr>
        <w:trPr>
          <w:trHeight w:val="20"/>
        </w:trPr>
        <w:tc>
          <w:tcPr>
            <w:tcW w:w="3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300" w:right="320" w:hanging="292"/>
        <w:spacing w:after="0" w:line="238" w:lineRule="auto"/>
        <w:tabs>
          <w:tab w:leader="none" w:pos="279"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Earnings on life insurance related invested assets are integral to the evaluation of the life insurance operations because of the long duration of life products. On that basis, for presentation purposes, the life insurance operations in the table above include life insurance related investment results. However, the life insurance investment results are included in the investment operations segment discussion as part of the Exchange’s investment results.</w:t>
      </w:r>
    </w:p>
    <w:p>
      <w:pPr>
        <w:spacing w:after="0" w:line="47" w:lineRule="exact"/>
        <w:rPr>
          <w:rFonts w:ascii="Arial" w:cs="Arial" w:eastAsia="Arial" w:hAnsi="Arial"/>
          <w:sz w:val="14"/>
          <w:szCs w:val="14"/>
          <w:i w:val="1"/>
          <w:iCs w:val="1"/>
          <w:color w:val="auto"/>
        </w:rPr>
      </w:pPr>
    </w:p>
    <w:p>
      <w:pPr>
        <w:ind w:left="300" w:right="40" w:hanging="292"/>
        <w:spacing w:after="0" w:line="234" w:lineRule="auto"/>
        <w:tabs>
          <w:tab w:leader="none" w:pos="279"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Prior to and through December 31, 2010, the underwriting results retained by EIC and ENY and the investment results of EIC, ENY and EPC accrued to the benefit of the Indemnity shareholder interest. Due to the sale of Indemnity’s property and casualty subsidiaries to the Exchange on December 31, 2010, all property and casualty underwriting results and all investment results for these companies accrue to the benefit of the subscribers (policyholders) of the Exchange, or noncontrolling interest, after December 31, 2010. (See Item 1. “Financial Statements - Note 1, Nature of Operations,” contained within this report.)</w:t>
      </w:r>
    </w:p>
    <w:p>
      <w:pPr>
        <w:spacing w:after="0" w:line="47" w:lineRule="exact"/>
        <w:rPr>
          <w:rFonts w:ascii="Arial" w:cs="Arial" w:eastAsia="Arial" w:hAnsi="Arial"/>
          <w:sz w:val="14"/>
          <w:szCs w:val="14"/>
          <w:i w:val="1"/>
          <w:iCs w:val="1"/>
          <w:color w:val="auto"/>
        </w:rPr>
      </w:pPr>
    </w:p>
    <w:p>
      <w:pPr>
        <w:jc w:val="both"/>
        <w:ind w:left="300" w:right="200" w:hanging="292"/>
        <w:spacing w:after="0" w:line="256" w:lineRule="auto"/>
        <w:tabs>
          <w:tab w:leader="none" w:pos="279"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Prior to and through March 31, 2011, Indemnity retained a 21.6% ownership interest in EFL, which accrued to the benefit of the Indemnity shareholder interest, and the Exchange retained a 78.4% ownership interest in EFL, which accrued to the benefit of the subscribers (policyholders) of the Exchange or noncontrolling interest. Due to the sale of Indemnity’s 21.6% ownership interest in EFL to the Exchange on March 31, 2011, 100% of the life insurance results of EFL will accrue to the benefit of the subscribers (policyholders) of the Exchange, or noncontrolling interest, after March 31, 2011. (See Item 1. “Financial Statements - Note 1, Nature of Operations,” contained within this report and the previous “Recent Events” section.)</w:t>
      </w:r>
    </w:p>
    <w:p>
      <w:pPr>
        <w:spacing w:after="0" w:line="17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Net income in the first quarter of 2011 was positively impacted by improved results in our property and casualty insurance operations compared to the first quarter of 2010. Our property and casualty insurance operation’s direct written premium increased 6.3% driven by an increase in policies in force and modest increases in average premium per policy. Property and casualty insurance losses were lower due to lower catastrophe loss and favorable development on prior accident years. Our investment operations were positively impacted by increased earnings on limited partnerships.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operating income to net income (unaudited)</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believe that an investor’s understanding of our performance related to the Indemnity shareholder interest is enhanced by the disclosure of operating income, a non-GAAP financial measure. Our method of calculating this measure may differ from those used by other companies, and therefore comparability may be limited.</w:t>
      </w:r>
    </w:p>
    <w:p>
      <w:pPr>
        <w:spacing w:after="0" w:line="190" w:lineRule="exact"/>
        <w:rPr>
          <w:sz w:val="20"/>
          <w:szCs w:val="20"/>
          <w:color w:val="auto"/>
        </w:rPr>
      </w:pPr>
    </w:p>
    <w:p>
      <w:pPr>
        <w:ind w:right="120"/>
        <w:spacing w:after="0" w:line="216" w:lineRule="auto"/>
        <w:rPr>
          <w:sz w:val="20"/>
          <w:szCs w:val="20"/>
          <w:color w:val="auto"/>
        </w:rPr>
      </w:pPr>
      <w:r>
        <w:rPr>
          <w:rFonts w:ascii="Arial" w:cs="Arial" w:eastAsia="Arial" w:hAnsi="Arial"/>
          <w:sz w:val="18"/>
          <w:szCs w:val="18"/>
          <w:color w:val="auto"/>
        </w:rPr>
        <w:t xml:space="preserve">Indemnity defines operating income as income generated from management operations, life insurance operations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property and casualty insurance underwriting operations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net investment income </w:t>
      </w:r>
      <w:r>
        <w:rPr>
          <w:rFonts w:ascii="Arial" w:cs="Arial" w:eastAsia="Arial" w:hAnsi="Arial"/>
          <w:sz w:val="23"/>
          <w:szCs w:val="23"/>
          <w:color w:val="auto"/>
          <w:vertAlign w:val="superscript"/>
        </w:rPr>
        <w:t>(2)</w:t>
      </w:r>
      <w:r>
        <w:rPr>
          <w:rFonts w:ascii="Arial" w:cs="Arial" w:eastAsia="Arial" w:hAnsi="Arial"/>
          <w:sz w:val="18"/>
          <w:szCs w:val="18"/>
          <w:color w:val="auto"/>
        </w:rPr>
        <w:t>, and equity in earnings or losses of limited partnerships, net of related federal income taxes. It does not include realized capital gains and losses, impairment losses and related federal income taxes.</w:t>
      </w:r>
    </w:p>
    <w:p>
      <w:pPr>
        <w:spacing w:after="0" w:line="20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Indemnity uses operating income to evaluate the results of its operations. It reveals trends that may be obscured by the net effects of realized capital gains and losses including impairment losses. Realized capital gains and losses including impairment losses, may vary significantly between periods and are generally driven by business decisions and economic developments such as capital market conditions which are not related to our ongoing operations. We believe it is useful for investors to evaluate these components separately and in the aggregate when reviewing our performance. We are aware that the price to earnings multiple commonly used by investors as a forward-looking valuation technique uses operating income as the denominator. Operating income should not be considered as a substitute for net income prepared in accordance with U.S. GAAP and does not reflect Indemnity’s overall profitability.</w:t>
      </w:r>
    </w:p>
    <w:p>
      <w:pPr>
        <w:sectPr>
          <w:pgSz w:w="11900" w:h="16890" w:orient="portrait"/>
          <w:cols w:equalWidth="0" w:num="1">
            <w:col w:w="11420"/>
          </w:cols>
          <w:pgMar w:left="240" w:top="140" w:right="239" w:bottom="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table reconciles operating income and net income for the Indemnity shareholder interest: </w:t>
      </w:r>
      <w:r>
        <w:rPr>
          <w:rFonts w:ascii="Arial" w:cs="Arial" w:eastAsia="Arial" w:hAnsi="Arial"/>
          <w:sz w:val="20"/>
          <w:szCs w:val="20"/>
          <w:color w:val="auto"/>
          <w:vertAlign w:val="superscript"/>
        </w:rPr>
        <w:t>(1) (2)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except per share data)</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attributable to Indemnity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955155"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55155"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realized gains and impairments on investments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955155"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55155"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Realized gains and impairments, net of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955155"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55155" cy="15430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Net income attributable to Indemnity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Per Indemnity Class A common share-diluted: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955155"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55155"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attributable to Indemnity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realized gains and impairments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955155"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55155"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Income tax expense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Realized gains and impairments, net of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955155"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55155" cy="14605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Net income attributable to Indemnity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Indemnity shareholder interest</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19037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2011</w:t>
            </w:r>
          </w:p>
        </w:tc>
        <w:tc>
          <w:tcPr>
            <w:tcW w:w="14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2010</w:t>
            </w:r>
          </w:p>
        </w:tc>
      </w:tr>
      <w:tr>
        <w:trPr>
          <w:trHeight w:val="210"/>
        </w:trPr>
        <w:tc>
          <w:tcPr>
            <w:tcW w:w="15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$43</w:t>
            </w:r>
          </w:p>
        </w:tc>
        <w:tc>
          <w:tcPr>
            <w:tcW w:w="1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$44</w:t>
            </w:r>
          </w:p>
        </w:tc>
      </w:tr>
      <w:tr>
        <w:trPr>
          <w:trHeight w:val="195"/>
        </w:trPr>
        <w:tc>
          <w:tcPr>
            <w:tcW w:w="1540" w:type="dxa"/>
            <w:vAlign w:val="bottom"/>
          </w:tcPr>
          <w:p>
            <w:pPr>
              <w:jc w:val="right"/>
              <w:ind w:right="470"/>
              <w:spacing w:after="0" w:line="195" w:lineRule="exact"/>
              <w:rPr>
                <w:sz w:val="20"/>
                <w:szCs w:val="20"/>
                <w:color w:val="auto"/>
              </w:rPr>
            </w:pPr>
            <w:r>
              <w:rPr>
                <w:rFonts w:ascii="Arial" w:cs="Arial" w:eastAsia="Arial" w:hAnsi="Arial"/>
                <w:sz w:val="18"/>
                <w:szCs w:val="18"/>
                <w:color w:val="auto"/>
              </w:rPr>
              <w:t>1</w:t>
            </w:r>
          </w:p>
        </w:tc>
        <w:tc>
          <w:tcPr>
            <w:tcW w:w="1460" w:type="dxa"/>
            <w:vAlign w:val="bottom"/>
          </w:tcPr>
          <w:p>
            <w:pPr>
              <w:jc w:val="right"/>
              <w:ind w:right="350"/>
              <w:spacing w:after="0" w:line="195" w:lineRule="exact"/>
              <w:rPr>
                <w:sz w:val="20"/>
                <w:szCs w:val="20"/>
                <w:color w:val="auto"/>
              </w:rPr>
            </w:pPr>
            <w:r>
              <w:rPr>
                <w:rFonts w:ascii="Arial" w:cs="Arial" w:eastAsia="Arial" w:hAnsi="Arial"/>
                <w:sz w:val="18"/>
                <w:szCs w:val="18"/>
                <w:color w:val="auto"/>
              </w:rPr>
              <w:t>5</w:t>
            </w:r>
          </w:p>
        </w:tc>
      </w:tr>
      <w:tr>
        <w:trPr>
          <w:trHeight w:val="230"/>
        </w:trPr>
        <w:tc>
          <w:tcPr>
            <w:tcW w:w="15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0</w:t>
            </w:r>
          </w:p>
        </w:tc>
        <w:tc>
          <w:tcPr>
            <w:tcW w:w="14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w:t>
            </w:r>
          </w:p>
        </w:tc>
      </w:tr>
      <w:tr>
        <w:trPr>
          <w:trHeight w:val="210"/>
        </w:trPr>
        <w:tc>
          <w:tcPr>
            <w:tcW w:w="15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w:t>
            </w:r>
          </w:p>
        </w:tc>
        <w:tc>
          <w:tcPr>
            <w:tcW w:w="1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w:t>
            </w:r>
          </w:p>
        </w:tc>
      </w:tr>
      <w:tr>
        <w:trPr>
          <w:trHeight w:val="210"/>
        </w:trPr>
        <w:tc>
          <w:tcPr>
            <w:tcW w:w="15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$44</w:t>
            </w:r>
          </w:p>
        </w:tc>
        <w:tc>
          <w:tcPr>
            <w:tcW w:w="1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$47</w:t>
            </w: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629"/>
        </w:trPr>
        <w:tc>
          <w:tcPr>
            <w:tcW w:w="15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$0.77</w:t>
            </w:r>
          </w:p>
        </w:tc>
        <w:tc>
          <w:tcPr>
            <w:tcW w:w="1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$0.77</w:t>
            </w:r>
          </w:p>
        </w:tc>
      </w:tr>
      <w:tr>
        <w:trPr>
          <w:trHeight w:val="195"/>
        </w:trPr>
        <w:tc>
          <w:tcPr>
            <w:tcW w:w="1540" w:type="dxa"/>
            <w:vAlign w:val="bottom"/>
          </w:tcPr>
          <w:p>
            <w:pPr>
              <w:jc w:val="right"/>
              <w:ind w:right="470"/>
              <w:spacing w:after="0" w:line="195" w:lineRule="exact"/>
              <w:rPr>
                <w:sz w:val="20"/>
                <w:szCs w:val="20"/>
                <w:color w:val="auto"/>
              </w:rPr>
            </w:pPr>
            <w:r>
              <w:rPr>
                <w:rFonts w:ascii="Arial" w:cs="Arial" w:eastAsia="Arial" w:hAnsi="Arial"/>
                <w:sz w:val="18"/>
                <w:szCs w:val="18"/>
                <w:color w:val="auto"/>
              </w:rPr>
              <w:t>0.02</w:t>
            </w:r>
          </w:p>
        </w:tc>
        <w:tc>
          <w:tcPr>
            <w:tcW w:w="1460" w:type="dxa"/>
            <w:vAlign w:val="bottom"/>
          </w:tcPr>
          <w:p>
            <w:pPr>
              <w:jc w:val="right"/>
              <w:ind w:right="350"/>
              <w:spacing w:after="0" w:line="195" w:lineRule="exact"/>
              <w:rPr>
                <w:sz w:val="20"/>
                <w:szCs w:val="20"/>
                <w:color w:val="auto"/>
              </w:rPr>
            </w:pPr>
            <w:r>
              <w:rPr>
                <w:rFonts w:ascii="Arial" w:cs="Arial" w:eastAsia="Arial" w:hAnsi="Arial"/>
                <w:sz w:val="18"/>
                <w:szCs w:val="18"/>
                <w:color w:val="auto"/>
              </w:rPr>
              <w:t>0.09</w:t>
            </w:r>
          </w:p>
        </w:tc>
      </w:tr>
      <w:tr>
        <w:trPr>
          <w:trHeight w:val="230"/>
        </w:trPr>
        <w:tc>
          <w:tcPr>
            <w:tcW w:w="15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(0.01)</w:t>
            </w:r>
          </w:p>
        </w:tc>
        <w:tc>
          <w:tcPr>
            <w:tcW w:w="14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(0.04)</w:t>
            </w:r>
          </w:p>
        </w:tc>
      </w:tr>
      <w:tr>
        <w:trPr>
          <w:trHeight w:val="210"/>
        </w:trPr>
        <w:tc>
          <w:tcPr>
            <w:tcW w:w="15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0.01</w:t>
            </w:r>
          </w:p>
        </w:tc>
        <w:tc>
          <w:tcPr>
            <w:tcW w:w="1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0.05</w:t>
            </w:r>
          </w:p>
        </w:tc>
      </w:tr>
      <w:tr>
        <w:trPr>
          <w:trHeight w:val="210"/>
        </w:trPr>
        <w:tc>
          <w:tcPr>
            <w:tcW w:w="15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$0.78</w:t>
            </w:r>
          </w:p>
        </w:tc>
        <w:tc>
          <w:tcPr>
            <w:tcW w:w="1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$0.82</w:t>
            </w: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ectPr>
          <w:pgSz w:w="11900" w:h="16890" w:orient="portrait"/>
          <w:cols w:equalWidth="0" w:num="2">
            <w:col w:w="7800" w:space="160"/>
            <w:col w:w="3460"/>
          </w:cols>
          <w:pgMar w:left="240" w:top="140" w:right="239" w:bottom="0" w:gutter="0" w:footer="0" w:header="0"/>
          <w:type w:val="continuous"/>
        </w:sectPr>
      </w:pPr>
    </w:p>
    <w:p>
      <w:pPr>
        <w:jc w:val="both"/>
        <w:ind w:left="340" w:right="180" w:hanging="332"/>
        <w:spacing w:after="0" w:line="256" w:lineRule="auto"/>
        <w:tabs>
          <w:tab w:leader="none" w:pos="319" w:val="left"/>
        </w:tabs>
        <w:numPr>
          <w:ilvl w:val="0"/>
          <w:numId w:val="11"/>
        </w:numPr>
        <w:rPr>
          <w:rFonts w:ascii="Arial" w:cs="Arial" w:eastAsia="Arial" w:hAnsi="Arial"/>
          <w:sz w:val="13"/>
          <w:szCs w:val="13"/>
          <w:i w:val="1"/>
          <w:iCs w:val="1"/>
          <w:color w:val="auto"/>
        </w:rPr>
      </w:pPr>
      <w:r>
        <w:rPr>
          <w:rFonts w:ascii="Arial" w:cs="Arial" w:eastAsia="Arial" w:hAnsi="Arial"/>
          <w:sz w:val="13"/>
          <w:szCs w:val="13"/>
          <w:i w:val="1"/>
          <w:iCs w:val="1"/>
          <w:color w:val="auto"/>
        </w:rPr>
        <w:t>Prior to and through March 31, 2011, Indemnity retained a 21.6% ownership interest in EFL, which accrued to the benefit of the Indemnity shareholder interest, and the Exchange retained a 78.4% ownership interest in EFL, which accrued to the benefit of the subscribers (policyholders) of the Exchange or noncontrolling interest. Due to the sale of Indemnity’s 21.6% ownership interest in EFL to the Exchange on March 31, 2011, 100% of the life insurance results of EFL will accrue to the benefit of the subscribers (policyholders) of the Exchange, or noncontrolling interest, after March 31, 2011. (See Item 1. “Financial Statements - Note 1, Nature of Operations,” contained within this report and the previous “Recent Events” section.)</w:t>
      </w:r>
    </w:p>
    <w:p>
      <w:pPr>
        <w:sectPr>
          <w:pgSz w:w="11900" w:h="16890" w:orient="portrait"/>
          <w:cols w:equalWidth="0" w:num="1">
            <w:col w:w="11420"/>
          </w:cols>
          <w:pgMar w:left="240" w:top="140" w:right="239" w:bottom="0" w:gutter="0" w:footer="0" w:header="0"/>
          <w:type w:val="continuous"/>
        </w:sectPr>
      </w:pPr>
    </w:p>
    <w:p>
      <w:pPr>
        <w:spacing w:after="0" w:line="37" w:lineRule="exact"/>
        <w:rPr>
          <w:sz w:val="20"/>
          <w:szCs w:val="20"/>
          <w:color w:val="auto"/>
        </w:rPr>
      </w:pPr>
    </w:p>
    <w:p>
      <w:pPr>
        <w:ind w:left="340" w:hanging="332"/>
        <w:spacing w:after="0" w:line="291" w:lineRule="auto"/>
        <w:tabs>
          <w:tab w:leader="none" w:pos="319" w:val="left"/>
        </w:tabs>
        <w:numPr>
          <w:ilvl w:val="0"/>
          <w:numId w:val="12"/>
        </w:numPr>
        <w:rPr>
          <w:rFonts w:ascii="Arial" w:cs="Arial" w:eastAsia="Arial" w:hAnsi="Arial"/>
          <w:sz w:val="13"/>
          <w:szCs w:val="13"/>
          <w:i w:val="1"/>
          <w:iCs w:val="1"/>
          <w:color w:val="auto"/>
        </w:rPr>
      </w:pPr>
      <w:r>
        <w:rPr>
          <w:rFonts w:ascii="Arial" w:cs="Arial" w:eastAsia="Arial" w:hAnsi="Arial"/>
          <w:sz w:val="13"/>
          <w:szCs w:val="13"/>
          <w:i w:val="1"/>
          <w:iCs w:val="1"/>
          <w:color w:val="auto"/>
        </w:rPr>
        <w:t>Prior to and through December 31, 2010, the underwriting results retained by EIC and ENY and the investment results of EIC, ENY and EPC accrued to the benefit of the Indemnity shareholder interest. Due to the sale of Indemnity’s property and casualty subsidiaries to the Exchange on December 31, 2010, all property and casualty underwriting results and all investment</w:t>
      </w:r>
    </w:p>
    <w:p>
      <w:pPr>
        <w:sectPr>
          <w:pgSz w:w="11900" w:h="16890" w:orient="portrait"/>
          <w:cols w:equalWidth="0" w:num="1">
            <w:col w:w="11420"/>
          </w:cols>
          <w:pgMar w:left="240" w:top="140" w:right="239" w:bottom="0" w:gutter="0" w:footer="0" w:header="0"/>
          <w:type w:val="continuous"/>
        </w:sectPr>
      </w:pPr>
    </w:p>
    <w:bookmarkStart w:id="26" w:name="page27"/>
    <w:bookmarkEnd w:id="26"/>
    <w:p>
      <w:pPr>
        <w:ind w:left="340" w:right="140"/>
        <w:spacing w:after="0" w:line="252" w:lineRule="auto"/>
        <w:rPr>
          <w:sz w:val="20"/>
          <w:szCs w:val="20"/>
          <w:color w:val="auto"/>
        </w:rPr>
      </w:pPr>
      <w:r>
        <w:rPr>
          <w:rFonts w:ascii="Arial" w:cs="Arial" w:eastAsia="Arial" w:hAnsi="Arial"/>
          <w:sz w:val="14"/>
          <w:szCs w:val="14"/>
          <w:i w:val="1"/>
          <w:iCs w:val="1"/>
          <w:color w:val="auto"/>
        </w:rPr>
        <w:t>results for these companies accrue to the benefit of the subscribers (policyholders) of the Exchange, or noncontrolling interest, after December 31, 2010. (See Item 1. “Financial Statements - Note 1, Nature of Operations,” contained within this report.)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Our reportable segments include management operations, property and casualty insurance operations, life insurance operations and investment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operations</w:t>
      </w:r>
    </w:p>
    <w:p>
      <w:pPr>
        <w:spacing w:after="0" w:line="23"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Management operations generate internal management fee revenue, which accrues to the benefit of the Indemnity shareholder interest, as Indemnity provides services relating to the sales, underwriting and issuance of policies on behalf of the Exchange. Management fee revenue is based upon all premiums written or assumed by the Exchange and the management fee rate, which is not to exceed 25%. Our Board of Directors establishes the management fee rate at least annually, generally in December for the following year, and considers factors such as the relative financial strength of Indemnity and the Exchange and projected revenue streams. The management fee rate was set at 25% for both 2011 and 2010. Management fee revenue is eliminated upon consolidation.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casualty insurance operations</w:t>
      </w:r>
    </w:p>
    <w:p>
      <w:pPr>
        <w:spacing w:after="0" w:line="2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property and casualty insurance industry is highly cyclical, with periods of rising premium rates and shortages of underwriting capacity followed by periods of substantial price competition and excess capacity. The cyclical nature of the insurance industry has a direct impact on the direct written premiums of the Property and Casualty Group. Industry property and casualty premium rates in 2010 showed signs of firming for personal lines, where most commercial lines continued to reflect rate reductions as the economy began to show signs of a sluggish recovery.</w:t>
      </w:r>
    </w:p>
    <w:p>
      <w:pPr>
        <w:spacing w:after="0" w:line="17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property and casualty insurance business is driven by premium growth, the combined ratio and investment returns. The property and casualty insurance operation’s premium growth strategy focuses on growth by expansion of existing operations including a careful agency selection process and increased market penetration in existing operating territories. Expanding the size of our existing agency force of almost 2,100 independent agencies, with over 9,500 licensed representatives, will contribute to future growth as new agents build their books of business with the Property and Casualty Group.</w:t>
      </w:r>
    </w:p>
    <w:p>
      <w:pPr>
        <w:spacing w:after="0" w:line="15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property and casualty insurance operations insure standard and preferred risks while adhering to a set of consistent underwriting standards. Nearly 50% of premiums are derived from personal auto, 20% from homeowners and 30% from commercial lines. Pennsylvania, Maryland and Virginia made up 63% of the property and casualty lines insurance business 2010 direct written premium.</w:t>
      </w:r>
    </w:p>
    <w:p>
      <w:pPr>
        <w:spacing w:after="0" w:line="1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members of the Property and Casualty Group pool their underwriting results under an intercompany pooling agreement. Under the pooling agreement, the Exchange retains a 94.5% interest in the net underwriting results of the Property and Casualty Group, while EIC retains a 5.0% interest and ENY retains a 0.5% interest. Prior to and through December 31, 2010, the underwriting results retained by EIC and ENY accrued to the benefit of the Indemnity shareholder interest. Due to the sale of Indemnity’s property and casualty subsidiaries to the Exchange on December 31, 2010, all property and casualty underwriting results accrue to the benefit of the subscribers (policyholders) of the Exchange, or noncontrolling interest, after December 31, 2010.</w:t>
      </w:r>
    </w:p>
    <w:p>
      <w:pPr>
        <w:spacing w:after="0" w:line="1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combined ratio, expressed as a percentage, is the key measure of underwriting profitability traditionally used in the property and casualty insurance industry. It is the sum of the ratio of losses and loss expenses to premiums earned (loss ratio) plus the ratio of policy acquisition and other underwriting expenses to premiums earned (expense ratio). When the combined ratio is less than 100%, underwriting results are generally considered profitable; when the combined ratio is greater than 100%, underwriting results are generally considered unprofitable.</w:t>
      </w:r>
    </w:p>
    <w:p>
      <w:pPr>
        <w:spacing w:after="0" w:line="18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Factors affecting loss and loss expenses include the frequency and severity of losses, the nature and severity of catastrophic losses, the quality of risks underwritten and underlying claims and settlement expenses.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Investments held by the Property and Casualty Group are reported in the investment operations segment, separate from the underwriting business.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Life insurance operations</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EFL generates revenues through sales of its individual and group life insurance policies and fixed annuities. These products provide our property and casualty agency force an opportunity to cross-sell both personal and commercial accounts. EFL’s profitability depends principally on the ability to develop, price and distribute insurance products, attract and retain deposit funds, generate investment returns and manage expenses. Other drivers include mortality and morbidity experience, persistency experience to enable the recovery of acquisition costs, maintenance of interest spreads over the amounts credited to deposit funds and the maintenance of strong ratings from rating agencies.</w:t>
      </w:r>
    </w:p>
    <w:p>
      <w:pPr>
        <w:spacing w:after="0" w:line="19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Earnings on life insurance related invested assets are integral to the evaluation of the life insurance operations because of the long duration of life products. On that basis, for presentation purposes in the Management’s Discussion and Analysis, the life insurance operations include life insurance related investment results. However, for presentation purposes in the segment footnote, the life insurance investment results are included in the investment operations segment discussion as part of the Exchange’s investment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operations</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generate revenues from our fixed maturity, equity security and alternative investment portfolios to support our underwriting business. The portfolios are managed with the objective of maximizing after-tax returns on a risk-adjusted basis. Management actively evaluates the portfolios for impairments. We record impairment writedowns on investments in instances where the fair value of the investment is substantially below cost, and we conclude that the decline in fair value is other-than-temporary.</w:t>
      </w:r>
    </w:p>
    <w:p>
      <w:pPr>
        <w:spacing w:after="0" w:line="19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Our investment operations reflected the improvement experienced in the financial markets in the first quarter of 2011. In the first quarter of 2011 there were minimal impairments of securities compared to $2 million in the first quarter of 2010. Our alternative investments benefited from the improved financial market conditions in the fourth quarter of 2010. The upturn across all markets had a significant impact on the portfolios of our partnerships. Equity in earnings of limited partnerships was $72 million in the first quarter of 2011 compared to $3 million in the first quarter of 2010. The valuation adjustments in the limited partnerships are based on financial statements received from our general partners, which are generally received on a quarter lag. As a result, the</w:t>
      </w:r>
    </w:p>
    <w:p>
      <w:pPr>
        <w:sectPr>
          <w:pgSz w:w="11900" w:h="16838" w:orient="portrait"/>
          <w:cols w:equalWidth="0" w:num="1">
            <w:col w:w="11420"/>
          </w:cols>
          <w:pgMar w:left="240" w:top="121" w:right="239" w:bottom="0" w:gutter="0" w:footer="0" w:header="0"/>
        </w:sectPr>
      </w:pPr>
    </w:p>
    <w:bookmarkStart w:id="27" w:name="page28"/>
    <w:bookmarkEnd w:id="27"/>
    <w:p>
      <w:pPr>
        <w:ind w:right="400"/>
        <w:spacing w:after="0" w:line="277" w:lineRule="auto"/>
        <w:rPr>
          <w:sz w:val="20"/>
          <w:szCs w:val="20"/>
          <w:color w:val="auto"/>
        </w:rPr>
      </w:pPr>
      <w:r>
        <w:rPr>
          <w:rFonts w:ascii="Arial" w:cs="Arial" w:eastAsia="Arial" w:hAnsi="Arial"/>
          <w:sz w:val="18"/>
          <w:szCs w:val="18"/>
          <w:color w:val="auto"/>
        </w:rPr>
        <w:t>first quarter 2011 partnership earnings do not reflect the valuation changes from the first quarter of 2011, but reflect conditions from the fourth quarter of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conditions and trends affecting our business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Economic conditions</w:t>
      </w:r>
    </w:p>
    <w:p>
      <w:pPr>
        <w:spacing w:after="0" w:line="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Although the financial markets have shown signs of improvement recently, overall economic conditions remain uncertain. Unfavorable changes in economic conditions, including declining consumer confidence, inflation, high unemployment and recession, among others, may lead the Property and Casualty Group’s customers to modify coverage, not renew policies, or even cancel policies, which could adversely affect the premium revenue of the Property and Casualty Group, and consequently Indemnity’s management fee. These conditions could also impair the ability of customers to pay premiums when due, and as a result, the Property and Casualty Group’s reserves and write-offs could increase. Our key challenge is to generate profitable revenue growth in a highly competitive market that continues to experience the effects of uncertain economic conditions.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volatility</w:t>
      </w:r>
    </w:p>
    <w:p>
      <w:pPr>
        <w:spacing w:after="0" w:line="23"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Our portfolio of fixed income, preferred and common stocks and limited partnerships are subject to market volatility especially in periods of instability in the worldwide financial markets. Depending upon market conditions, which are unpredictable and remain uncertain, considerable fluctuation could exist in our reported total investment income, which could have an adverse impact on our financial condition, results of operations and cash flows.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that follows is presented on a segment basis prior to eliminations.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operations</w:t>
      </w:r>
    </w:p>
    <w:p>
      <w:pPr>
        <w:spacing w:after="0" w:line="2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Management fee revenue is earned by Indemnity from services relating to the sales, underwriting and issuance of policies on behalf of the Exchange as a result of its attorney-in-fact relationship, and is eliminated upon consolidation.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Erie Insurance Group</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64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120" w:type="dxa"/>
            <w:vAlign w:val="bottom"/>
          </w:tcPr>
          <w:p>
            <w:pPr>
              <w:spacing w:after="0"/>
              <w:rPr>
                <w:sz w:val="16"/>
                <w:szCs w:val="16"/>
                <w:color w:val="auto"/>
              </w:rPr>
            </w:pP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89"/>
              </w:rPr>
              <w:t>Three months ended March 31,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40" w:type="dxa"/>
            <w:vAlign w:val="bottom"/>
            <w:vMerge w:val="restart"/>
          </w:tcPr>
          <w:p>
            <w:pPr>
              <w:spacing w:after="0"/>
              <w:rPr>
                <w:sz w:val="20"/>
                <w:szCs w:val="20"/>
                <w:color w:val="auto"/>
              </w:rPr>
            </w:pPr>
            <w:r>
              <w:rPr>
                <w:rFonts w:ascii="Arial" w:cs="Arial" w:eastAsia="Arial" w:hAnsi="Arial"/>
                <w:sz w:val="18"/>
                <w:szCs w:val="18"/>
                <w:b w:val="1"/>
                <w:bCs w:val="1"/>
                <w:color w:val="auto"/>
              </w:rPr>
              <w:t>Indemnity</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2011</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240" w:type="dxa"/>
            <w:vAlign w:val="bottom"/>
            <w:gridSpan w:val="2"/>
          </w:tcPr>
          <w:p>
            <w:pPr>
              <w:ind w:left="8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196"/>
        </w:trPr>
        <w:tc>
          <w:tcPr>
            <w:tcW w:w="6640" w:type="dxa"/>
            <w:vAlign w:val="bottom"/>
            <w:vMerge w:val="continue"/>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20" w:type="dxa"/>
            <w:vAlign w:val="bottom"/>
            <w:tcBorders>
              <w:top w:val="single" w:sz="8" w:color="auto"/>
            </w:tcBorders>
          </w:tcPr>
          <w:p>
            <w:pPr>
              <w:jc w:val="right"/>
              <w:ind w:right="1592"/>
              <w:spacing w:after="0"/>
              <w:rPr>
                <w:sz w:val="20"/>
                <w:szCs w:val="20"/>
                <w:color w:val="auto"/>
              </w:rPr>
            </w:pPr>
            <w:r>
              <w:rPr>
                <w:rFonts w:ascii="Arial" w:cs="Arial" w:eastAsia="Arial" w:hAnsi="Arial"/>
                <w:sz w:val="14"/>
                <w:szCs w:val="14"/>
                <w:color w:val="auto"/>
                <w:w w:val="98"/>
              </w:rPr>
              <w:t>(Unaudited)</w:t>
            </w: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revenue</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$ 251</w:t>
            </w:r>
          </w:p>
        </w:tc>
        <w:tc>
          <w:tcPr>
            <w:tcW w:w="242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$ 237</w:t>
            </w:r>
          </w:p>
        </w:tc>
        <w:tc>
          <w:tcPr>
            <w:tcW w:w="11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6.2 %</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Service agreement revenue</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w:t>
            </w:r>
          </w:p>
        </w:tc>
        <w:tc>
          <w:tcPr>
            <w:tcW w:w="2420" w:type="dxa"/>
            <w:vAlign w:val="bottom"/>
            <w:tcBorders>
              <w:bottom w:val="single" w:sz="8" w:color="auto"/>
            </w:tcBorders>
          </w:tcPr>
          <w:p>
            <w:pPr>
              <w:jc w:val="right"/>
              <w:ind w:right="872"/>
              <w:spacing w:after="0"/>
              <w:rPr>
                <w:sz w:val="20"/>
                <w:szCs w:val="20"/>
                <w:color w:val="auto"/>
              </w:rPr>
            </w:pPr>
            <w:r>
              <w:rPr>
                <w:rFonts w:ascii="Arial" w:cs="Arial" w:eastAsia="Arial" w:hAnsi="Arial"/>
                <w:sz w:val="18"/>
                <w:szCs w:val="18"/>
                <w:color w:val="auto"/>
              </w:rPr>
              <w:t>8</w:t>
            </w: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revenue from management operations</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259</w:t>
            </w:r>
          </w:p>
        </w:tc>
        <w:tc>
          <w:tcPr>
            <w:tcW w:w="242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245</w:t>
            </w:r>
          </w:p>
        </w:tc>
        <w:tc>
          <w:tcPr>
            <w:tcW w:w="114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management operations</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211</w:t>
            </w:r>
          </w:p>
        </w:tc>
        <w:tc>
          <w:tcPr>
            <w:tcW w:w="2420" w:type="dxa"/>
            <w:vAlign w:val="bottom"/>
            <w:tcBorders>
              <w:bottom w:val="single" w:sz="8" w:color="auto"/>
            </w:tcBorders>
          </w:tcPr>
          <w:p>
            <w:pPr>
              <w:jc w:val="right"/>
              <w:ind w:right="872"/>
              <w:spacing w:after="0"/>
              <w:rPr>
                <w:sz w:val="20"/>
                <w:szCs w:val="20"/>
                <w:color w:val="auto"/>
              </w:rPr>
            </w:pPr>
            <w:r>
              <w:rPr>
                <w:rFonts w:ascii="Arial" w:cs="Arial" w:eastAsia="Arial" w:hAnsi="Arial"/>
                <w:sz w:val="18"/>
                <w:szCs w:val="18"/>
                <w:color w:val="auto"/>
              </w:rPr>
              <w:t>192</w:t>
            </w:r>
          </w:p>
        </w:tc>
        <w:tc>
          <w:tcPr>
            <w:tcW w:w="11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Income from management operations –Indemnity </w:t>
            </w:r>
            <w:r>
              <w:rPr>
                <w:rFonts w:ascii="Arial" w:cs="Arial" w:eastAsia="Arial" w:hAnsi="Arial"/>
                <w:sz w:val="23"/>
                <w:szCs w:val="23"/>
                <w:color w:val="auto"/>
                <w:vertAlign w:val="superscript"/>
              </w:rPr>
              <w:t>(1)</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$ 48</w:t>
            </w:r>
          </w:p>
        </w:tc>
        <w:tc>
          <w:tcPr>
            <w:tcW w:w="242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8"/>
                <w:szCs w:val="18"/>
                <w:color w:val="auto"/>
              </w:rPr>
              <w:t>$ 53</w:t>
            </w:r>
          </w:p>
        </w:tc>
        <w:tc>
          <w:tcPr>
            <w:tcW w:w="11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112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18.6%</w:t>
            </w:r>
          </w:p>
        </w:tc>
        <w:tc>
          <w:tcPr>
            <w:tcW w:w="2420" w:type="dxa"/>
            <w:vAlign w:val="bottom"/>
            <w:tcBorders>
              <w:bottom w:val="single" w:sz="8" w:color="auto"/>
            </w:tcBorders>
          </w:tcPr>
          <w:p>
            <w:pPr>
              <w:jc w:val="right"/>
              <w:ind w:right="732"/>
              <w:spacing w:after="0" w:line="196" w:lineRule="exact"/>
              <w:rPr>
                <w:sz w:val="20"/>
                <w:szCs w:val="20"/>
                <w:color w:val="auto"/>
              </w:rPr>
            </w:pPr>
            <w:r>
              <w:rPr>
                <w:rFonts w:ascii="Arial" w:cs="Arial" w:eastAsia="Arial" w:hAnsi="Arial"/>
                <w:sz w:val="18"/>
                <w:szCs w:val="18"/>
                <w:color w:val="auto"/>
              </w:rPr>
              <w:t>21.8%</w:t>
            </w:r>
          </w:p>
        </w:tc>
        <w:tc>
          <w:tcPr>
            <w:tcW w:w="11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3.2 pts.</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80"/>
        <w:spacing w:after="0"/>
        <w:tabs>
          <w:tab w:leader="none" w:pos="360" w:val="left"/>
        </w:tabs>
        <w:rPr>
          <w:sz w:val="20"/>
          <w:szCs w:val="20"/>
          <w:color w:val="auto"/>
        </w:rPr>
      </w:pPr>
      <w:r>
        <w:rPr>
          <w:rFonts w:ascii="Arial" w:cs="Arial" w:eastAsia="Arial" w:hAnsi="Arial"/>
          <w:sz w:val="14"/>
          <w:szCs w:val="14"/>
          <w:i w:val="1"/>
          <w:iCs w:val="1"/>
          <w:color w:val="auto"/>
        </w:rPr>
        <w:t>(1)</w:t>
      </w:r>
      <w:r>
        <w:rPr>
          <w:sz w:val="20"/>
          <w:szCs w:val="20"/>
          <w:color w:val="auto"/>
        </w:rPr>
        <w:tab/>
      </w:r>
      <w:r>
        <w:rPr>
          <w:rFonts w:ascii="Arial" w:cs="Arial" w:eastAsia="Arial" w:hAnsi="Arial"/>
          <w:sz w:val="13"/>
          <w:szCs w:val="13"/>
          <w:i w:val="1"/>
          <w:iCs w:val="1"/>
          <w:color w:val="auto"/>
        </w:rPr>
        <w:t>Indemnity retains 100% of the income from management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fee revenue</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Management fee revenue is based upon all premiums written or assumed by the Exchange and the management fee rate, which is determined by our Board of Directors at least annually. Management fee revenue is calculated by multiplying the management fee rate by the direct premiums written by the Exchange and the other members of the Property and Casualty Group, which are assumed by the Exchange under an intercompany pooling agreement. The following table presents the calculation of management fee revenue.</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27" w:lineRule="exact"/>
        <w:rPr>
          <w:sz w:val="20"/>
          <w:szCs w:val="20"/>
          <w:color w:val="auto"/>
        </w:rPr>
      </w:pPr>
    </w:p>
    <w:p>
      <w:pPr>
        <w:ind w:right="2040"/>
        <w:spacing w:after="0" w:line="258" w:lineRule="auto"/>
        <w:rPr>
          <w:sz w:val="20"/>
          <w:szCs w:val="20"/>
          <w:color w:val="auto"/>
        </w:rPr>
      </w:pPr>
      <w:r>
        <w:rPr>
          <w:rFonts w:ascii="Arial" w:cs="Arial" w:eastAsia="Arial" w:hAnsi="Arial"/>
          <w:sz w:val="18"/>
          <w:szCs w:val="18"/>
          <w:color w:val="auto"/>
        </w:rPr>
        <w:t>Property and Casualty Group direct written premiums Management fee rate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Erie Insurance Group</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20" w:type="dxa"/>
            <w:vAlign w:val="bottom"/>
            <w:tcBorders>
              <w:top w:val="single" w:sz="8" w:color="auto"/>
            </w:tcBorders>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Three months ended March 31,</w:t>
            </w:r>
          </w:p>
        </w:tc>
        <w:tc>
          <w:tcPr>
            <w:tcW w:w="1140" w:type="dxa"/>
            <w:vAlign w:val="bottom"/>
            <w:tcBorders>
              <w:top w:val="single" w:sz="8" w:color="auto"/>
            </w:tcBorders>
          </w:tcPr>
          <w:p>
            <w:pPr>
              <w:spacing w:after="0"/>
              <w:rPr>
                <w:sz w:val="16"/>
                <w:szCs w:val="16"/>
                <w:color w:val="auto"/>
              </w:rPr>
            </w:pPr>
          </w:p>
        </w:tc>
      </w:tr>
      <w:tr>
        <w:trPr>
          <w:trHeight w:val="230"/>
        </w:trPr>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2011</w:t>
            </w:r>
          </w:p>
        </w:tc>
        <w:tc>
          <w:tcPr>
            <w:tcW w:w="2420" w:type="dxa"/>
            <w:vAlign w:val="bottom"/>
            <w:tcBorders>
              <w:bottom w:val="single" w:sz="8" w:color="auto"/>
            </w:tcBorders>
          </w:tcPr>
          <w:p>
            <w:pPr>
              <w:jc w:val="right"/>
              <w:ind w:right="914"/>
              <w:spacing w:after="0"/>
              <w:rPr>
                <w:sz w:val="20"/>
                <w:szCs w:val="20"/>
                <w:color w:val="auto"/>
              </w:rPr>
            </w:pPr>
            <w:r>
              <w:rPr>
                <w:rFonts w:ascii="Arial" w:cs="Arial" w:eastAsia="Arial" w:hAnsi="Arial"/>
                <w:sz w:val="18"/>
                <w:szCs w:val="18"/>
                <w:color w:val="auto"/>
              </w:rPr>
              <w:t>2010</w:t>
            </w:r>
          </w:p>
        </w:tc>
        <w:tc>
          <w:tcPr>
            <w:tcW w:w="11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7"/>
              </w:rPr>
              <w:t>% Change</w:t>
            </w:r>
          </w:p>
        </w:tc>
      </w:tr>
      <w:tr>
        <w:trPr>
          <w:trHeight w:val="182"/>
        </w:trPr>
        <w:tc>
          <w:tcPr>
            <w:tcW w:w="1120" w:type="dxa"/>
            <w:vAlign w:val="bottom"/>
          </w:tcPr>
          <w:p>
            <w:pPr>
              <w:spacing w:after="0"/>
              <w:rPr>
                <w:sz w:val="15"/>
                <w:szCs w:val="15"/>
                <w:color w:val="auto"/>
              </w:rPr>
            </w:pPr>
          </w:p>
        </w:tc>
        <w:tc>
          <w:tcPr>
            <w:tcW w:w="2420" w:type="dxa"/>
            <w:vAlign w:val="bottom"/>
          </w:tcPr>
          <w:p>
            <w:pPr>
              <w:jc w:val="right"/>
              <w:ind w:right="1594"/>
              <w:spacing w:after="0"/>
              <w:rPr>
                <w:sz w:val="20"/>
                <w:szCs w:val="20"/>
                <w:color w:val="auto"/>
              </w:rPr>
            </w:pPr>
            <w:r>
              <w:rPr>
                <w:rFonts w:ascii="Arial" w:cs="Arial" w:eastAsia="Arial" w:hAnsi="Arial"/>
                <w:sz w:val="14"/>
                <w:szCs w:val="14"/>
                <w:color w:val="auto"/>
                <w:w w:val="98"/>
              </w:rPr>
              <w:t>(Unaudited)</w:t>
            </w:r>
          </w:p>
        </w:tc>
        <w:tc>
          <w:tcPr>
            <w:tcW w:w="1140" w:type="dxa"/>
            <w:vAlign w:val="bottom"/>
          </w:tcPr>
          <w:p>
            <w:pPr>
              <w:spacing w:after="0"/>
              <w:rPr>
                <w:sz w:val="15"/>
                <w:szCs w:val="15"/>
                <w:color w:val="auto"/>
              </w:rPr>
            </w:pPr>
          </w:p>
        </w:tc>
      </w:tr>
      <w:tr>
        <w:trPr>
          <w:trHeight w:val="216"/>
        </w:trPr>
        <w:tc>
          <w:tcPr>
            <w:tcW w:w="1120" w:type="dxa"/>
            <w:vAlign w:val="bottom"/>
          </w:tcPr>
          <w:p>
            <w:pPr>
              <w:jc w:val="right"/>
              <w:ind w:right="110"/>
              <w:spacing w:after="0"/>
              <w:rPr>
                <w:sz w:val="20"/>
                <w:szCs w:val="20"/>
                <w:color w:val="auto"/>
              </w:rPr>
            </w:pPr>
            <w:r>
              <w:rPr>
                <w:rFonts w:ascii="Arial" w:cs="Arial" w:eastAsia="Arial" w:hAnsi="Arial"/>
                <w:sz w:val="18"/>
                <w:szCs w:val="18"/>
                <w:color w:val="auto"/>
              </w:rPr>
              <w:t>$1,008</w:t>
            </w:r>
          </w:p>
        </w:tc>
        <w:tc>
          <w:tcPr>
            <w:tcW w:w="2420" w:type="dxa"/>
            <w:vAlign w:val="bottom"/>
          </w:tcPr>
          <w:p>
            <w:pPr>
              <w:jc w:val="right"/>
              <w:ind w:right="874"/>
              <w:spacing w:after="0"/>
              <w:rPr>
                <w:sz w:val="20"/>
                <w:szCs w:val="20"/>
                <w:color w:val="auto"/>
              </w:rPr>
            </w:pPr>
            <w:r>
              <w:rPr>
                <w:rFonts w:ascii="Arial" w:cs="Arial" w:eastAsia="Arial" w:hAnsi="Arial"/>
                <w:sz w:val="18"/>
                <w:szCs w:val="18"/>
                <w:color w:val="auto"/>
              </w:rPr>
              <w:t>$948</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6.3 %</w:t>
            </w:r>
          </w:p>
        </w:tc>
      </w:tr>
      <w:tr>
        <w:trPr>
          <w:trHeight w:val="228"/>
        </w:trPr>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2420" w:type="dxa"/>
            <w:vAlign w:val="bottom"/>
          </w:tcPr>
          <w:p>
            <w:pPr>
              <w:jc w:val="right"/>
              <w:ind w:right="734"/>
              <w:spacing w:after="0"/>
              <w:rPr>
                <w:sz w:val="20"/>
                <w:szCs w:val="20"/>
                <w:color w:val="auto"/>
              </w:rPr>
            </w:pPr>
            <w:r>
              <w:rPr>
                <w:rFonts w:ascii="Arial" w:cs="Arial" w:eastAsia="Arial" w:hAnsi="Arial"/>
                <w:sz w:val="18"/>
                <w:szCs w:val="18"/>
                <w:color w:val="auto"/>
              </w:rPr>
              <w:t>25%</w:t>
            </w:r>
          </w:p>
        </w:tc>
        <w:tc>
          <w:tcPr>
            <w:tcW w:w="1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-272415</wp:posOffset>
            </wp:positionV>
            <wp:extent cx="72466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5" w:lineRule="exact"/>
        <w:rPr>
          <w:sz w:val="20"/>
          <w:szCs w:val="20"/>
          <w:color w:val="auto"/>
        </w:rPr>
      </w:pPr>
    </w:p>
    <w:p>
      <w:pPr>
        <w:sectPr>
          <w:pgSz w:w="11900" w:h="16838" w:orient="portrait"/>
          <w:cols w:equalWidth="0" w:num="2">
            <w:col w:w="5920" w:space="720"/>
            <w:col w:w="4780"/>
          </w:cols>
          <w:pgMar w:left="240" w:top="125" w:right="239" w:bottom="0" w:gutter="0" w:footer="0" w:header="0"/>
          <w:type w:val="continuous"/>
        </w:sectPr>
      </w:pPr>
    </w:p>
    <w:tbl>
      <w:tblPr>
        <w:tblLayout w:type="fixed"/>
        <w:tblInd w:w="0" w:type="dxa"/>
        <w:tblCellMar>
          <w:top w:w="0" w:type="dxa"/>
          <w:left w:w="0" w:type="dxa"/>
          <w:bottom w:w="0" w:type="dxa"/>
          <w:right w:w="0" w:type="dxa"/>
        </w:tblCellMar>
      </w:tblPr>
      <w:tr>
        <w:trPr>
          <w:trHeight w:val="197"/>
        </w:trPr>
        <w:tc>
          <w:tcPr>
            <w:tcW w:w="6640" w:type="dxa"/>
            <w:vAlign w:val="bottom"/>
            <w:tcBorders>
              <w:top w:val="single" w:sz="8" w:color="CCEEFF"/>
            </w:tcBorders>
            <w:shd w:val="clear" w:color="auto" w:fill="CCEEFF"/>
          </w:tcPr>
          <w:p>
            <w:pPr>
              <w:spacing w:after="0" w:line="197" w:lineRule="exact"/>
              <w:rPr>
                <w:sz w:val="20"/>
                <w:szCs w:val="20"/>
                <w:color w:val="auto"/>
              </w:rPr>
            </w:pPr>
            <w:r>
              <w:rPr>
                <w:rFonts w:ascii="Arial" w:cs="Arial" w:eastAsia="Arial" w:hAnsi="Arial"/>
                <w:sz w:val="18"/>
                <w:szCs w:val="18"/>
                <w:color w:val="auto"/>
              </w:rPr>
              <w:t>Management fee revenue, gross</w:t>
            </w:r>
          </w:p>
        </w:tc>
        <w:tc>
          <w:tcPr>
            <w:tcW w:w="60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610"/>
              <w:spacing w:after="0" w:line="197" w:lineRule="exact"/>
              <w:rPr>
                <w:sz w:val="20"/>
                <w:szCs w:val="20"/>
                <w:color w:val="auto"/>
              </w:rPr>
            </w:pPr>
            <w:r>
              <w:rPr>
                <w:rFonts w:ascii="Arial" w:cs="Arial" w:eastAsia="Arial" w:hAnsi="Arial"/>
                <w:sz w:val="18"/>
                <w:szCs w:val="18"/>
                <w:color w:val="auto"/>
                <w:w w:val="99"/>
              </w:rPr>
              <w:t>252</w:t>
            </w:r>
          </w:p>
        </w:tc>
        <w:tc>
          <w:tcPr>
            <w:tcW w:w="1520" w:type="dxa"/>
            <w:vAlign w:val="bottom"/>
            <w:tcBorders>
              <w:top w:val="single" w:sz="8" w:color="auto"/>
            </w:tcBorders>
            <w:shd w:val="clear" w:color="auto" w:fill="CCEEFF"/>
          </w:tcPr>
          <w:p>
            <w:pPr>
              <w:jc w:val="right"/>
              <w:ind w:right="470"/>
              <w:spacing w:after="0" w:line="197" w:lineRule="exact"/>
              <w:rPr>
                <w:sz w:val="20"/>
                <w:szCs w:val="20"/>
                <w:color w:val="auto"/>
              </w:rPr>
            </w:pPr>
            <w:r>
              <w:rPr>
                <w:rFonts w:ascii="Arial" w:cs="Arial" w:eastAsia="Arial" w:hAnsi="Arial"/>
                <w:sz w:val="18"/>
                <w:szCs w:val="18"/>
                <w:color w:val="auto"/>
              </w:rPr>
              <w:t>$237</w:t>
            </w:r>
          </w:p>
        </w:tc>
        <w:tc>
          <w:tcPr>
            <w:tcW w:w="1540" w:type="dxa"/>
            <w:vAlign w:val="bottom"/>
            <w:tcBorders>
              <w:top w:val="single" w:sz="8" w:color="auto"/>
            </w:tcBorders>
            <w:shd w:val="clear" w:color="auto" w:fill="CCEEFF"/>
          </w:tcPr>
          <w:p>
            <w:pPr>
              <w:jc w:val="right"/>
              <w:ind w:right="390"/>
              <w:spacing w:after="0" w:line="197" w:lineRule="exact"/>
              <w:rPr>
                <w:sz w:val="20"/>
                <w:szCs w:val="20"/>
                <w:color w:val="auto"/>
              </w:rPr>
            </w:pPr>
            <w:r>
              <w:rPr>
                <w:rFonts w:ascii="Arial" w:cs="Arial" w:eastAsia="Arial" w:hAnsi="Arial"/>
                <w:sz w:val="18"/>
                <w:szCs w:val="18"/>
                <w:color w:val="auto"/>
              </w:rPr>
              <w:t>6.3 %</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640" w:type="dxa"/>
            <w:vAlign w:val="bottom"/>
          </w:tcPr>
          <w:p>
            <w:pPr>
              <w:spacing w:after="0" w:line="216" w:lineRule="exact"/>
              <w:rPr>
                <w:sz w:val="20"/>
                <w:szCs w:val="20"/>
                <w:color w:val="auto"/>
              </w:rPr>
            </w:pPr>
            <w:r>
              <w:rPr>
                <w:rFonts w:ascii="Arial" w:cs="Arial" w:eastAsia="Arial" w:hAnsi="Arial"/>
                <w:sz w:val="18"/>
                <w:szCs w:val="18"/>
                <w:color w:val="auto"/>
              </w:rPr>
              <w:t>Change in allowance for management fee returned on cancelled policies</w:t>
            </w:r>
            <w:r>
              <w:rPr>
                <w:rFonts w:ascii="Arial" w:cs="Arial" w:eastAsia="Arial" w:hAnsi="Arial"/>
                <w:sz w:val="23"/>
                <w:szCs w:val="23"/>
                <w:color w:val="auto"/>
                <w:vertAlign w:val="superscript"/>
              </w:rPr>
              <w:t>(1)</w:t>
            </w:r>
          </w:p>
        </w:tc>
        <w:tc>
          <w:tcPr>
            <w:tcW w:w="600" w:type="dxa"/>
            <w:vAlign w:val="bottom"/>
          </w:tcPr>
          <w:p>
            <w:pPr>
              <w:spacing w:after="0"/>
              <w:rPr>
                <w:sz w:val="18"/>
                <w:szCs w:val="18"/>
                <w:color w:val="auto"/>
              </w:rPr>
            </w:pPr>
          </w:p>
        </w:tc>
        <w:tc>
          <w:tcPr>
            <w:tcW w:w="1020" w:type="dxa"/>
            <w:vAlign w:val="bottom"/>
          </w:tcPr>
          <w:p>
            <w:pPr>
              <w:jc w:val="right"/>
              <w:ind w:right="530"/>
              <w:spacing w:after="0"/>
              <w:rPr>
                <w:sz w:val="20"/>
                <w:szCs w:val="20"/>
                <w:color w:val="auto"/>
              </w:rPr>
            </w:pPr>
            <w:r>
              <w:rPr>
                <w:rFonts w:ascii="Arial" w:cs="Arial" w:eastAsia="Arial" w:hAnsi="Arial"/>
                <w:sz w:val="18"/>
                <w:szCs w:val="18"/>
                <w:color w:val="auto"/>
              </w:rPr>
              <w:t>(1)</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0</w:t>
            </w:r>
          </w:p>
        </w:tc>
        <w:tc>
          <w:tcPr>
            <w:tcW w:w="1640" w:type="dxa"/>
            <w:vAlign w:val="bottom"/>
            <w:gridSpan w:val="2"/>
          </w:tcPr>
          <w:p>
            <w:pPr>
              <w:ind w:left="560"/>
              <w:spacing w:after="0"/>
              <w:rPr>
                <w:sz w:val="20"/>
                <w:szCs w:val="20"/>
                <w:color w:val="auto"/>
              </w:rPr>
            </w:pPr>
            <w:r>
              <w:rPr>
                <w:rFonts w:ascii="Arial" w:cs="Arial" w:eastAsia="Arial" w:hAnsi="Arial"/>
                <w:sz w:val="18"/>
                <w:szCs w:val="18"/>
                <w:color w:val="auto"/>
              </w:rPr>
              <w:t>NM</w:t>
            </w: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 net of allowance</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251</w:t>
            </w:r>
          </w:p>
        </w:tc>
        <w:tc>
          <w:tcPr>
            <w:tcW w:w="152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$237</w:t>
            </w:r>
          </w:p>
        </w:tc>
        <w:tc>
          <w:tcPr>
            <w:tcW w:w="154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6.2 %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49" w:lineRule="exact"/>
        <w:rPr>
          <w:sz w:val="20"/>
          <w:szCs w:val="20"/>
          <w:color w:val="auto"/>
        </w:rPr>
      </w:pPr>
    </w:p>
    <w:p>
      <w:pPr>
        <w:ind w:left="80"/>
        <w:spacing w:after="0"/>
        <w:rPr>
          <w:sz w:val="20"/>
          <w:szCs w:val="20"/>
          <w:color w:val="auto"/>
        </w:rPr>
      </w:pPr>
      <w:r>
        <w:rPr>
          <w:rFonts w:ascii="Arial" w:cs="Arial" w:eastAsia="Arial" w:hAnsi="Arial"/>
          <w:sz w:val="14"/>
          <w:szCs w:val="14"/>
          <w:color w:val="auto"/>
        </w:rPr>
        <w:t>NM = not meaningful</w:t>
      </w:r>
    </w:p>
    <w:p>
      <w:pPr>
        <w:spacing w:after="0" w:line="55" w:lineRule="exact"/>
        <w:rPr>
          <w:sz w:val="20"/>
          <w:szCs w:val="20"/>
          <w:color w:val="auto"/>
        </w:rPr>
      </w:pPr>
    </w:p>
    <w:p>
      <w:pPr>
        <w:ind w:left="400" w:right="80" w:hanging="315"/>
        <w:spacing w:after="0" w:line="253" w:lineRule="auto"/>
        <w:tabs>
          <w:tab w:leader="none" w:pos="379"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Management fees are returned to the Exchange when policies are cancelled mid-term and unearned premiums are refunded. We record an estimated allowance for management fees returned on mid-term policy cancellations.</w:t>
      </w:r>
    </w:p>
    <w:p>
      <w:pPr>
        <w:spacing w:after="0" w:line="17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Direct written premiums of the Property and Casualty Group increased 6.3% in the first quarter of 2011, compared to the first quarter of 2010, due to a 3.2% increase in policies in force and modest increases in average premium. The year-over-year average premium per policy for all lines of business increased</w:t>
      </w:r>
    </w:p>
    <w:p>
      <w:pPr>
        <w:ind w:right="20"/>
        <w:spacing w:after="0" w:line="255" w:lineRule="auto"/>
        <w:rPr>
          <w:sz w:val="20"/>
          <w:szCs w:val="20"/>
          <w:color w:val="auto"/>
        </w:rPr>
      </w:pPr>
      <w:r>
        <w:rPr>
          <w:rFonts w:ascii="Arial" w:cs="Arial" w:eastAsia="Arial" w:hAnsi="Arial"/>
          <w:sz w:val="18"/>
          <w:szCs w:val="18"/>
          <w:color w:val="auto"/>
        </w:rPr>
        <w:t>2.1% at March 31, 2011, compared to a decrease of 1.3% at March 31, 2010. The policy retention ratio was 90.7% at March 31, 2011, compared to 90.7% at December 31, 2010 and March 31, 2010. See the “Property and casualty insurance operations” segment that follows for a complete discussion of property and casualty direct written premiums.</w:t>
      </w:r>
    </w:p>
    <w:p>
      <w:pPr>
        <w:spacing w:after="0" w:line="1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management fee rate was set at 25%, the maximum rate, for both 2011 and 2010. Changes in the management fee rate can affect the segment’s revenue and net income significantly.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 agreement revenue</w:t>
      </w:r>
    </w:p>
    <w:p>
      <w:pPr>
        <w:spacing w:after="0" w:line="2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Service agreement revenue includes service charges Indemnity collects from policyholders for providing extended payment terms on policies written by the Property and Casualty Group and late payment and policy reinstatement fees. The service charges are fixed dollar amounts per billed installment. Service agreement revenue totaled $8 million in the first quarters of 2011 and 2010.</w:t>
      </w:r>
    </w:p>
    <w:p>
      <w:pPr>
        <w:sectPr>
          <w:pgSz w:w="11900" w:h="16838" w:orient="portrait"/>
          <w:cols w:equalWidth="0" w:num="1">
            <w:col w:w="11420"/>
          </w:cols>
          <w:pgMar w:left="240" w:top="125" w:right="239" w:bottom="0" w:gutter="0" w:footer="0" w:header="0"/>
          <w:type w:val="continuous"/>
        </w:sectPr>
      </w:pP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2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21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6640" w:type="dxa"/>
            <w:vAlign w:val="bottom"/>
            <w:gridSpan w:val="2"/>
          </w:tcPr>
          <w:p>
            <w:pPr>
              <w:spacing w:after="0"/>
              <w:rPr>
                <w:sz w:val="20"/>
                <w:szCs w:val="20"/>
                <w:color w:val="auto"/>
              </w:rPr>
            </w:pPr>
            <w:r>
              <w:rPr>
                <w:rFonts w:ascii="Arial" w:cs="Arial" w:eastAsia="Arial" w:hAnsi="Arial"/>
                <w:sz w:val="18"/>
                <w:szCs w:val="18"/>
                <w:color w:val="auto"/>
              </w:rPr>
              <w:t>Cost of management operations</w:t>
            </w:r>
          </w:p>
        </w:tc>
        <w:tc>
          <w:tcPr>
            <w:tcW w:w="1040" w:type="dxa"/>
            <w:vAlign w:val="bottom"/>
          </w:tcPr>
          <w:p>
            <w:pPr>
              <w:spacing w:after="0"/>
              <w:rPr>
                <w:sz w:val="17"/>
                <w:szCs w:val="17"/>
                <w:color w:val="auto"/>
              </w:rPr>
            </w:pPr>
          </w:p>
        </w:tc>
        <w:tc>
          <w:tcPr>
            <w:tcW w:w="2500" w:type="dxa"/>
            <w:vAlign w:val="bottom"/>
            <w:vMerge w:val="restart"/>
          </w:tcPr>
          <w:p>
            <w:pPr>
              <w:jc w:val="center"/>
              <w:ind w:left="13"/>
              <w:spacing w:after="0"/>
              <w:rPr>
                <w:sz w:val="20"/>
                <w:szCs w:val="20"/>
                <w:color w:val="auto"/>
              </w:rPr>
            </w:pPr>
            <w:r>
              <w:rPr>
                <w:rFonts w:ascii="Arial" w:cs="Arial" w:eastAsia="Arial" w:hAnsi="Arial"/>
                <w:sz w:val="18"/>
                <w:szCs w:val="18"/>
                <w:color w:val="auto"/>
                <w:w w:val="91"/>
              </w:rPr>
              <w:t>Erie Insurance Group</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300" w:type="dxa"/>
            <w:vAlign w:val="bottom"/>
            <w:tcBorders>
              <w:top w:val="single" w:sz="8" w:color="auto"/>
            </w:tcBorders>
          </w:tcPr>
          <w:p>
            <w:pPr>
              <w:spacing w:after="0"/>
              <w:rPr>
                <w:sz w:val="21"/>
                <w:szCs w:val="21"/>
                <w:color w:val="auto"/>
              </w:rPr>
            </w:pPr>
          </w:p>
        </w:tc>
        <w:tc>
          <w:tcPr>
            <w:tcW w:w="434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vMerge w:val="continue"/>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66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spacing w:after="0"/>
              <w:rPr>
                <w:sz w:val="16"/>
                <w:szCs w:val="16"/>
                <w:color w:val="auto"/>
              </w:rPr>
            </w:pPr>
          </w:p>
        </w:tc>
        <w:tc>
          <w:tcPr>
            <w:tcW w:w="2500" w:type="dxa"/>
            <w:vAlign w:val="bottom"/>
          </w:tcPr>
          <w:p>
            <w:pPr>
              <w:jc w:val="center"/>
              <w:spacing w:after="0" w:line="195" w:lineRule="exact"/>
              <w:rPr>
                <w:sz w:val="20"/>
                <w:szCs w:val="20"/>
                <w:color w:val="auto"/>
              </w:rPr>
            </w:pPr>
            <w:r>
              <w:rPr>
                <w:rFonts w:ascii="Arial" w:cs="Arial" w:eastAsia="Arial" w:hAnsi="Arial"/>
                <w:sz w:val="18"/>
                <w:szCs w:val="18"/>
                <w:color w:val="auto"/>
                <w:w w:val="89"/>
              </w:rPr>
              <w:t>Three months ended March 31,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Indemnity</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2011</w:t>
            </w:r>
          </w:p>
        </w:tc>
        <w:tc>
          <w:tcPr>
            <w:tcW w:w="2500" w:type="dxa"/>
            <w:vAlign w:val="bottom"/>
          </w:tcPr>
          <w:p>
            <w:pPr>
              <w:jc w:val="center"/>
              <w:ind w:left="53"/>
              <w:spacing w:after="0"/>
              <w:rPr>
                <w:sz w:val="20"/>
                <w:szCs w:val="20"/>
                <w:color w:val="auto"/>
              </w:rPr>
            </w:pPr>
            <w:r>
              <w:rPr>
                <w:rFonts w:ascii="Arial" w:cs="Arial" w:eastAsia="Arial" w:hAnsi="Arial"/>
                <w:sz w:val="18"/>
                <w:szCs w:val="18"/>
                <w:color w:val="auto"/>
                <w:w w:val="89"/>
              </w:rPr>
              <w:t>2010</w:t>
            </w:r>
          </w:p>
        </w:tc>
        <w:tc>
          <w:tcPr>
            <w:tcW w:w="1240" w:type="dxa"/>
            <w:vAlign w:val="bottom"/>
            <w:gridSpan w:val="2"/>
          </w:tcPr>
          <w:p>
            <w:pPr>
              <w:ind w:left="8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196"/>
        </w:trPr>
        <w:tc>
          <w:tcPr>
            <w:tcW w:w="6640" w:type="dxa"/>
            <w:vAlign w:val="bottom"/>
            <w:gridSpan w:val="2"/>
            <w:vMerge w:val="continue"/>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500" w:type="dxa"/>
            <w:vAlign w:val="bottom"/>
            <w:tcBorders>
              <w:top w:val="single" w:sz="8" w:color="auto"/>
            </w:tcBorders>
          </w:tcPr>
          <w:p>
            <w:pPr>
              <w:jc w:val="right"/>
              <w:ind w:right="1593"/>
              <w:spacing w:after="0"/>
              <w:rPr>
                <w:sz w:val="20"/>
                <w:szCs w:val="20"/>
                <w:color w:val="auto"/>
              </w:rPr>
            </w:pPr>
            <w:r>
              <w:rPr>
                <w:rFonts w:ascii="Arial" w:cs="Arial" w:eastAsia="Arial" w:hAnsi="Arial"/>
                <w:sz w:val="14"/>
                <w:szCs w:val="14"/>
                <w:color w:val="auto"/>
              </w:rPr>
              <w:t>(Unaudited)</w:t>
            </w: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Commissions</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c>
          <w:tcPr>
            <w:tcW w:w="2500" w:type="dxa"/>
            <w:vAlign w:val="bottom"/>
            <w:shd w:val="clear" w:color="auto" w:fill="CCEEFF"/>
          </w:tcPr>
          <w:p>
            <w:pPr>
              <w:jc w:val="right"/>
              <w:ind w:right="833"/>
              <w:spacing w:after="0"/>
              <w:rPr>
                <w:sz w:val="20"/>
                <w:szCs w:val="20"/>
                <w:color w:val="auto"/>
              </w:rPr>
            </w:pPr>
            <w:r>
              <w:rPr>
                <w:rFonts w:ascii="Arial" w:cs="Arial" w:eastAsia="Arial" w:hAnsi="Arial"/>
                <w:sz w:val="18"/>
                <w:szCs w:val="18"/>
                <w:color w:val="auto"/>
              </w:rPr>
              <w:t>$129</w:t>
            </w:r>
          </w:p>
        </w:tc>
        <w:tc>
          <w:tcPr>
            <w:tcW w:w="11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7.0 %</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Non-commission expense</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w:t>
            </w:r>
          </w:p>
        </w:tc>
        <w:tc>
          <w:tcPr>
            <w:tcW w:w="2500" w:type="dxa"/>
            <w:vAlign w:val="bottom"/>
            <w:tcBorders>
              <w:bottom w:val="single" w:sz="8" w:color="auto"/>
            </w:tcBorders>
          </w:tcPr>
          <w:p>
            <w:pPr>
              <w:jc w:val="right"/>
              <w:ind w:right="833"/>
              <w:spacing w:after="0"/>
              <w:rPr>
                <w:sz w:val="20"/>
                <w:szCs w:val="20"/>
                <w:color w:val="auto"/>
              </w:rPr>
            </w:pPr>
            <w:r>
              <w:rPr>
                <w:rFonts w:ascii="Arial" w:cs="Arial" w:eastAsia="Arial" w:hAnsi="Arial"/>
                <w:sz w:val="18"/>
                <w:szCs w:val="18"/>
                <w:color w:val="auto"/>
              </w:rPr>
              <w:t>63</w:t>
            </w:r>
          </w:p>
        </w:tc>
        <w:tc>
          <w:tcPr>
            <w:tcW w:w="11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cost of management operations</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250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8"/>
                <w:szCs w:val="18"/>
                <w:color w:val="auto"/>
              </w:rPr>
              <w:t>$192</w:t>
            </w:r>
          </w:p>
        </w:tc>
        <w:tc>
          <w:tcPr>
            <w:tcW w:w="11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10.4 %</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Commissions </w:t>
      </w:r>
      <w:r>
        <w:rPr>
          <w:rFonts w:ascii="Arial" w:cs="Arial" w:eastAsia="Arial" w:hAnsi="Arial"/>
          <w:sz w:val="18"/>
          <w:szCs w:val="18"/>
          <w:color w:val="auto"/>
        </w:rPr>
        <w:t>– Commissions increased $9 million in the first quarter of 2011, compared to the first quarter of 2010, driven primarily by the 6.3%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direct written premiums of the Property and Casualty Group.</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Non-commission expense </w:t>
      </w:r>
      <w:r>
        <w:rPr>
          <w:rFonts w:ascii="Arial" w:cs="Arial" w:eastAsia="Arial" w:hAnsi="Arial"/>
          <w:sz w:val="18"/>
          <w:szCs w:val="18"/>
          <w:color w:val="auto"/>
        </w:rPr>
        <w:t>– Non-commission expense increased $10 million in the first quarter of 2011, compared to the first quarter of 2010. Personnel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$5 million primarily as a result of increases in salaries and benefits, while the first quarter 2010 expenses included a $5 million reduction for a favorable court ruling.</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gross margin of 21.8% in the first quarter of 2010 was positively impacted by a $5 million reduction for a favorable court ruling. Excluding this adjustment, the gross margin would have been 19.8%, compared to 18.6% in the first quarter of 2011. The lower gross margin in the first quarter of 2011 was a result of expense growth slightly outpacing revenue growth.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casualty insurance operations</w:t>
      </w:r>
    </w:p>
    <w:p>
      <w:pPr>
        <w:spacing w:after="0" w:line="27"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The Property and Casualty Group operates in 11 Midwestern, Mid-Atlantic and Southeastern states and the District of Columbia and primarily writes private passenger automobile, homeowners, commercial multi-peril, commercial automobile, and workers compensation lines of insurance.</w:t>
      </w:r>
    </w:p>
    <w:p>
      <w:pPr>
        <w:sectPr>
          <w:pgSz w:w="11900" w:h="16838" w:orient="portrait"/>
          <w:cols w:equalWidth="0" w:num="1">
            <w:col w:w="11420"/>
          </w:cols>
          <w:pgMar w:left="240" w:top="567" w:right="239" w:bottom="0" w:gutter="0" w:footer="0" w:header="0"/>
        </w:sect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Direct written premium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Reinsurance – assumed and ceded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written premium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Change in unearned premium</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premiums earned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Losses and loss expenses</w:t>
      </w:r>
    </w:p>
    <w:p>
      <w:pPr>
        <w:spacing w:after="0" w:line="23" w:lineRule="exact"/>
        <w:rPr>
          <w:sz w:val="20"/>
          <w:szCs w:val="20"/>
          <w:color w:val="auto"/>
        </w:rPr>
      </w:pPr>
    </w:p>
    <w:p>
      <w:pPr>
        <w:ind w:left="180" w:right="2220" w:hanging="179"/>
        <w:spacing w:after="0" w:line="258" w:lineRule="auto"/>
        <w:rPr>
          <w:sz w:val="20"/>
          <w:szCs w:val="20"/>
          <w:color w:val="auto"/>
        </w:rPr>
      </w:pPr>
      <w:r>
        <w:rPr>
          <w:rFonts w:ascii="Arial" w:cs="Arial" w:eastAsia="Arial" w:hAnsi="Arial"/>
          <w:sz w:val="18"/>
          <w:szCs w:val="18"/>
          <w:color w:val="auto"/>
        </w:rPr>
        <w:t>Policy acquisition and other underwriting expenses Total losses and expenses</w:t>
      </w:r>
    </w:p>
    <w:p>
      <w:pPr>
        <w:spacing w:after="0" w:line="1" w:lineRule="exact"/>
        <w:rPr>
          <w:sz w:val="20"/>
          <w:szCs w:val="20"/>
          <w:color w:val="auto"/>
        </w:rPr>
      </w:pPr>
    </w:p>
    <w:p>
      <w:pPr>
        <w:ind w:left="180" w:right="2020"/>
        <w:spacing w:after="0" w:line="307" w:lineRule="auto"/>
        <w:rPr>
          <w:sz w:val="20"/>
          <w:szCs w:val="20"/>
          <w:color w:val="auto"/>
        </w:rPr>
      </w:pPr>
      <w:r>
        <w:rPr>
          <w:rFonts w:ascii="Arial" w:cs="Arial" w:eastAsia="Arial" w:hAnsi="Arial"/>
          <w:sz w:val="18"/>
          <w:szCs w:val="18"/>
          <w:color w:val="auto"/>
        </w:rPr>
        <w:t xml:space="preserve">Underwriting income (loss) – Erie Insurance Group Underwriting income (loss) – Indemnity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Underwriting income (loss) – Exchange </w:t>
      </w:r>
      <w:r>
        <w:rPr>
          <w:rFonts w:ascii="Arial" w:cs="Arial" w:eastAsia="Arial" w:hAnsi="Arial"/>
          <w:sz w:val="23"/>
          <w:szCs w:val="23"/>
          <w:color w:val="auto"/>
          <w:vertAlign w:val="superscript"/>
        </w:rPr>
        <w:t>(1)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Loss and loss expense ratio</w:t>
      </w:r>
    </w:p>
    <w:p>
      <w:pPr>
        <w:spacing w:after="0" w:line="23" w:lineRule="exact"/>
        <w:rPr>
          <w:sz w:val="20"/>
          <w:szCs w:val="20"/>
          <w:color w:val="auto"/>
        </w:rPr>
      </w:pPr>
    </w:p>
    <w:p>
      <w:pPr>
        <w:ind w:right="1920"/>
        <w:spacing w:after="0" w:line="261" w:lineRule="auto"/>
        <w:rPr>
          <w:sz w:val="20"/>
          <w:szCs w:val="20"/>
          <w:color w:val="auto"/>
        </w:rPr>
      </w:pPr>
      <w:r>
        <w:rPr>
          <w:rFonts w:ascii="Arial" w:cs="Arial" w:eastAsia="Arial" w:hAnsi="Arial"/>
          <w:sz w:val="18"/>
          <w:szCs w:val="18"/>
          <w:color w:val="auto"/>
        </w:rPr>
        <w:t>Policy acquisition and other underwriting expense ratio Combined ratio</w:t>
      </w:r>
    </w:p>
    <w:p>
      <w:pPr>
        <w:spacing w:after="0" w:line="85" w:lineRule="exact"/>
        <w:rPr>
          <w:sz w:val="20"/>
          <w:szCs w:val="20"/>
          <w:color w:val="auto"/>
        </w:rPr>
      </w:pPr>
    </w:p>
    <w:p>
      <w:pPr>
        <w:ind w:left="80"/>
        <w:spacing w:after="0"/>
        <w:rPr>
          <w:sz w:val="20"/>
          <w:szCs w:val="20"/>
          <w:color w:val="auto"/>
        </w:rPr>
      </w:pPr>
      <w:r>
        <w:rPr>
          <w:rFonts w:ascii="Arial" w:cs="Arial" w:eastAsia="Arial" w:hAnsi="Arial"/>
          <w:sz w:val="14"/>
          <w:szCs w:val="14"/>
          <w:color w:val="auto"/>
        </w:rPr>
        <w:t>NM = not meaningful</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Property and Casualty Group</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420" w:type="dxa"/>
            <w:vAlign w:val="bottom"/>
            <w:tcBorders>
              <w:top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w w:val="92"/>
              </w:rPr>
              <w:t>Three months ended March 31,</w:t>
            </w:r>
          </w:p>
        </w:tc>
        <w:tc>
          <w:tcPr>
            <w:tcW w:w="1140" w:type="dxa"/>
            <w:vAlign w:val="bottom"/>
            <w:tcBorders>
              <w:top w:val="single" w:sz="8" w:color="auto"/>
            </w:tcBorders>
          </w:tcPr>
          <w:p>
            <w:pPr>
              <w:spacing w:after="0"/>
              <w:rPr>
                <w:sz w:val="16"/>
                <w:szCs w:val="16"/>
                <w:color w:val="auto"/>
              </w:rPr>
            </w:pPr>
          </w:p>
        </w:tc>
      </w:tr>
      <w:tr>
        <w:trPr>
          <w:trHeight w:val="230"/>
        </w:trPr>
        <w:tc>
          <w:tcPr>
            <w:tcW w:w="11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2011</w:t>
            </w:r>
          </w:p>
        </w:tc>
        <w:tc>
          <w:tcPr>
            <w:tcW w:w="220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color w:val="auto"/>
              </w:rPr>
              <w:t>2010</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5"/>
              </w:rPr>
              <w:t>% Change</w:t>
            </w:r>
          </w:p>
        </w:tc>
      </w:tr>
      <w:tr>
        <w:trPr>
          <w:trHeight w:val="128"/>
        </w:trPr>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20" w:type="dxa"/>
            <w:vAlign w:val="bottom"/>
            <w:gridSpan w:val="2"/>
          </w:tcPr>
          <w:p>
            <w:pPr>
              <w:ind w:left="60"/>
              <w:spacing w:after="0" w:line="128" w:lineRule="exact"/>
              <w:rPr>
                <w:sz w:val="20"/>
                <w:szCs w:val="20"/>
                <w:color w:val="auto"/>
              </w:rPr>
            </w:pPr>
            <w:r>
              <w:rPr>
                <w:rFonts w:ascii="Arial" w:cs="Arial" w:eastAsia="Arial" w:hAnsi="Arial"/>
                <w:sz w:val="14"/>
                <w:szCs w:val="14"/>
                <w:color w:val="auto"/>
              </w:rPr>
              <w:t>(Unaudited)</w:t>
            </w:r>
          </w:p>
        </w:tc>
        <w:tc>
          <w:tcPr>
            <w:tcW w:w="1140" w:type="dxa"/>
            <w:vAlign w:val="bottom"/>
          </w:tcPr>
          <w:p>
            <w:pPr>
              <w:spacing w:after="0"/>
              <w:rPr>
                <w:sz w:val="11"/>
                <w:szCs w:val="11"/>
                <w:color w:val="auto"/>
              </w:rPr>
            </w:pPr>
          </w:p>
        </w:tc>
      </w:tr>
      <w:tr>
        <w:trPr>
          <w:trHeight w:val="216"/>
        </w:trPr>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$1,008</w:t>
            </w:r>
          </w:p>
        </w:tc>
        <w:tc>
          <w:tcPr>
            <w:tcW w:w="2200" w:type="dxa"/>
            <w:vAlign w:val="bottom"/>
          </w:tcPr>
          <w:p>
            <w:pPr>
              <w:jc w:val="right"/>
              <w:ind w:right="651"/>
              <w:spacing w:after="0"/>
              <w:rPr>
                <w:sz w:val="20"/>
                <w:szCs w:val="20"/>
                <w:color w:val="auto"/>
              </w:rPr>
            </w:pPr>
            <w:r>
              <w:rPr>
                <w:rFonts w:ascii="Arial" w:cs="Arial" w:eastAsia="Arial" w:hAnsi="Arial"/>
                <w:sz w:val="18"/>
                <w:szCs w:val="18"/>
                <w:color w:val="auto"/>
              </w:rPr>
              <w:t>$ 948</w:t>
            </w:r>
          </w:p>
        </w:tc>
        <w:tc>
          <w:tcPr>
            <w:tcW w:w="220" w:type="dxa"/>
            <w:vAlign w:val="bottom"/>
          </w:tcPr>
          <w:p>
            <w:pPr>
              <w:spacing w:after="0"/>
              <w:rPr>
                <w:sz w:val="18"/>
                <w:szCs w:val="18"/>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6.3 %</w:t>
            </w:r>
          </w:p>
        </w:tc>
      </w:tr>
      <w:tr>
        <w:trPr>
          <w:trHeight w:val="230"/>
        </w:trPr>
        <w:tc>
          <w:tcPr>
            <w:tcW w:w="6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220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(69.4)</w:t>
            </w:r>
          </w:p>
        </w:tc>
      </w:tr>
      <w:tr>
        <w:trPr>
          <w:trHeight w:val="195"/>
        </w:trPr>
        <w:tc>
          <w:tcPr>
            <w:tcW w:w="1120" w:type="dxa"/>
            <w:vAlign w:val="bottom"/>
            <w:gridSpan w:val="2"/>
          </w:tcPr>
          <w:p>
            <w:pPr>
              <w:jc w:val="right"/>
              <w:ind w:right="110"/>
              <w:spacing w:after="0" w:line="195" w:lineRule="exact"/>
              <w:rPr>
                <w:sz w:val="20"/>
                <w:szCs w:val="20"/>
                <w:color w:val="auto"/>
              </w:rPr>
            </w:pPr>
            <w:r>
              <w:rPr>
                <w:rFonts w:ascii="Arial" w:cs="Arial" w:eastAsia="Arial" w:hAnsi="Arial"/>
                <w:sz w:val="18"/>
                <w:szCs w:val="18"/>
                <w:color w:val="auto"/>
              </w:rPr>
              <w:t>1,004</w:t>
            </w:r>
          </w:p>
        </w:tc>
        <w:tc>
          <w:tcPr>
            <w:tcW w:w="2200" w:type="dxa"/>
            <w:vAlign w:val="bottom"/>
          </w:tcPr>
          <w:p>
            <w:pPr>
              <w:jc w:val="right"/>
              <w:ind w:right="651"/>
              <w:spacing w:after="0" w:line="195" w:lineRule="exact"/>
              <w:rPr>
                <w:sz w:val="20"/>
                <w:szCs w:val="20"/>
                <w:color w:val="auto"/>
              </w:rPr>
            </w:pPr>
            <w:r>
              <w:rPr>
                <w:rFonts w:ascii="Arial" w:cs="Arial" w:eastAsia="Arial" w:hAnsi="Arial"/>
                <w:sz w:val="18"/>
                <w:szCs w:val="18"/>
                <w:color w:val="auto"/>
              </w:rPr>
              <w:t>946</w:t>
            </w:r>
          </w:p>
        </w:tc>
        <w:tc>
          <w:tcPr>
            <w:tcW w:w="220" w:type="dxa"/>
            <w:vAlign w:val="bottom"/>
          </w:tcPr>
          <w:p>
            <w:pPr>
              <w:spacing w:after="0"/>
              <w:rPr>
                <w:sz w:val="16"/>
                <w:szCs w:val="16"/>
                <w:color w:val="auto"/>
              </w:rPr>
            </w:pPr>
          </w:p>
        </w:tc>
        <w:tc>
          <w:tcPr>
            <w:tcW w:w="1140" w:type="dxa"/>
            <w:vAlign w:val="bottom"/>
          </w:tcPr>
          <w:p>
            <w:pPr>
              <w:jc w:val="right"/>
              <w:ind w:right="590"/>
              <w:spacing w:after="0" w:line="195" w:lineRule="exact"/>
              <w:rPr>
                <w:sz w:val="20"/>
                <w:szCs w:val="20"/>
                <w:color w:val="auto"/>
              </w:rPr>
            </w:pPr>
            <w:r>
              <w:rPr>
                <w:rFonts w:ascii="Arial" w:cs="Arial" w:eastAsia="Arial" w:hAnsi="Arial"/>
                <w:sz w:val="18"/>
                <w:szCs w:val="18"/>
                <w:color w:val="auto"/>
              </w:rPr>
              <w:t>6.1</w:t>
            </w:r>
          </w:p>
        </w:tc>
      </w:tr>
      <w:tr>
        <w:trPr>
          <w:trHeight w:val="230"/>
        </w:trPr>
        <w:tc>
          <w:tcPr>
            <w:tcW w:w="6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(10)</w:t>
            </w:r>
          </w:p>
        </w:tc>
        <w:tc>
          <w:tcPr>
            <w:tcW w:w="220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39.1</w:t>
            </w:r>
          </w:p>
        </w:tc>
      </w:tr>
      <w:tr>
        <w:trPr>
          <w:trHeight w:val="210"/>
        </w:trPr>
        <w:tc>
          <w:tcPr>
            <w:tcW w:w="11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1,014</w:t>
            </w:r>
          </w:p>
        </w:tc>
        <w:tc>
          <w:tcPr>
            <w:tcW w:w="220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color w:val="auto"/>
              </w:rPr>
              <w:t>962</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5.4</w:t>
            </w:r>
          </w:p>
        </w:tc>
      </w:tr>
      <w:tr>
        <w:trPr>
          <w:trHeight w:val="195"/>
        </w:trPr>
        <w:tc>
          <w:tcPr>
            <w:tcW w:w="660" w:type="dxa"/>
            <w:vAlign w:val="bottom"/>
          </w:tcPr>
          <w:p>
            <w:pPr>
              <w:spacing w:after="0"/>
              <w:rPr>
                <w:sz w:val="16"/>
                <w:szCs w:val="16"/>
                <w:color w:val="auto"/>
              </w:rPr>
            </w:pPr>
          </w:p>
        </w:tc>
        <w:tc>
          <w:tcPr>
            <w:tcW w:w="460" w:type="dxa"/>
            <w:vAlign w:val="bottom"/>
          </w:tcPr>
          <w:p>
            <w:pPr>
              <w:jc w:val="right"/>
              <w:ind w:right="110"/>
              <w:spacing w:after="0" w:line="195" w:lineRule="exact"/>
              <w:rPr>
                <w:sz w:val="20"/>
                <w:szCs w:val="20"/>
                <w:color w:val="auto"/>
              </w:rPr>
            </w:pPr>
            <w:r>
              <w:rPr>
                <w:rFonts w:ascii="Arial" w:cs="Arial" w:eastAsia="Arial" w:hAnsi="Arial"/>
                <w:sz w:val="18"/>
                <w:szCs w:val="18"/>
                <w:color w:val="auto"/>
                <w:w w:val="79"/>
              </w:rPr>
              <w:t>683</w:t>
            </w:r>
          </w:p>
        </w:tc>
        <w:tc>
          <w:tcPr>
            <w:tcW w:w="2200" w:type="dxa"/>
            <w:vAlign w:val="bottom"/>
          </w:tcPr>
          <w:p>
            <w:pPr>
              <w:jc w:val="right"/>
              <w:ind w:right="651"/>
              <w:spacing w:after="0" w:line="195" w:lineRule="exact"/>
              <w:rPr>
                <w:sz w:val="20"/>
                <w:szCs w:val="20"/>
                <w:color w:val="auto"/>
              </w:rPr>
            </w:pPr>
            <w:r>
              <w:rPr>
                <w:rFonts w:ascii="Arial" w:cs="Arial" w:eastAsia="Arial" w:hAnsi="Arial"/>
                <w:sz w:val="18"/>
                <w:szCs w:val="18"/>
                <w:color w:val="auto"/>
              </w:rPr>
              <w:t>738</w:t>
            </w:r>
          </w:p>
        </w:tc>
        <w:tc>
          <w:tcPr>
            <w:tcW w:w="220" w:type="dxa"/>
            <w:vAlign w:val="bottom"/>
          </w:tcPr>
          <w:p>
            <w:pPr>
              <w:spacing w:after="0"/>
              <w:rPr>
                <w:sz w:val="16"/>
                <w:szCs w:val="16"/>
                <w:color w:val="auto"/>
              </w:rPr>
            </w:pPr>
          </w:p>
        </w:tc>
        <w:tc>
          <w:tcPr>
            <w:tcW w:w="1140" w:type="dxa"/>
            <w:vAlign w:val="bottom"/>
          </w:tcPr>
          <w:p>
            <w:pPr>
              <w:jc w:val="right"/>
              <w:ind w:right="530"/>
              <w:spacing w:after="0" w:line="195" w:lineRule="exact"/>
              <w:rPr>
                <w:sz w:val="20"/>
                <w:szCs w:val="20"/>
                <w:color w:val="auto"/>
              </w:rPr>
            </w:pPr>
            <w:r>
              <w:rPr>
                <w:rFonts w:ascii="Arial" w:cs="Arial" w:eastAsia="Arial" w:hAnsi="Arial"/>
                <w:sz w:val="18"/>
                <w:szCs w:val="18"/>
                <w:color w:val="auto"/>
              </w:rPr>
              <w:t>(7.4)</w:t>
            </w:r>
          </w:p>
        </w:tc>
      </w:tr>
      <w:tr>
        <w:trPr>
          <w:trHeight w:val="230"/>
        </w:trPr>
        <w:tc>
          <w:tcPr>
            <w:tcW w:w="6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282</w:t>
            </w:r>
          </w:p>
        </w:tc>
        <w:tc>
          <w:tcPr>
            <w:tcW w:w="220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color w:val="auto"/>
              </w:rPr>
              <w:t>265</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6.1</w:t>
            </w:r>
          </w:p>
        </w:tc>
      </w:tr>
      <w:tr>
        <w:trPr>
          <w:trHeight w:val="210"/>
        </w:trPr>
        <w:tc>
          <w:tcPr>
            <w:tcW w:w="6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965</w:t>
            </w:r>
          </w:p>
        </w:tc>
        <w:tc>
          <w:tcPr>
            <w:tcW w:w="220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color w:val="auto"/>
              </w:rPr>
              <w:t>1,003</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(3.8)</w:t>
            </w:r>
          </w:p>
        </w:tc>
      </w:tr>
      <w:tr>
        <w:trPr>
          <w:trHeight w:val="210"/>
        </w:trPr>
        <w:tc>
          <w:tcPr>
            <w:tcW w:w="6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49</w:t>
            </w:r>
          </w:p>
        </w:tc>
        <w:tc>
          <w:tcPr>
            <w:tcW w:w="220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 (41)</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NM</w:t>
            </w: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tcPr>
          <w:p>
            <w:pPr>
              <w:jc w:val="right"/>
              <w:ind w:right="571"/>
              <w:spacing w:after="0" w:line="196" w:lineRule="exact"/>
              <w:rPr>
                <w:sz w:val="20"/>
                <w:szCs w:val="20"/>
                <w:color w:val="auto"/>
              </w:rPr>
            </w:pPr>
            <w:r>
              <w:rPr>
                <w:rFonts w:ascii="Arial" w:cs="Arial" w:eastAsia="Arial" w:hAnsi="Arial"/>
                <w:sz w:val="18"/>
                <w:szCs w:val="18"/>
                <w:color w:val="auto"/>
              </w:rPr>
              <w:t>$  (2)</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660" w:type="dxa"/>
            <w:vAlign w:val="bottom"/>
            <w:tcBorders>
              <w:bottom w:val="single" w:sz="8" w:color="auto"/>
            </w:tcBorders>
          </w:tcPr>
          <w:p>
            <w:pPr>
              <w:ind w:left="520"/>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49</w:t>
            </w:r>
          </w:p>
        </w:tc>
        <w:tc>
          <w:tcPr>
            <w:tcW w:w="2200" w:type="dxa"/>
            <w:vAlign w:val="bottom"/>
            <w:tcBorders>
              <w:bottom w:val="single" w:sz="8" w:color="auto"/>
            </w:tcBorders>
          </w:tcPr>
          <w:p>
            <w:pPr>
              <w:jc w:val="right"/>
              <w:ind w:right="571"/>
              <w:spacing w:after="0" w:line="196" w:lineRule="exact"/>
              <w:rPr>
                <w:sz w:val="20"/>
                <w:szCs w:val="20"/>
                <w:color w:val="auto"/>
              </w:rPr>
            </w:pPr>
            <w:r>
              <w:rPr>
                <w:rFonts w:ascii="Arial" w:cs="Arial" w:eastAsia="Arial" w:hAnsi="Arial"/>
                <w:sz w:val="18"/>
                <w:szCs w:val="18"/>
                <w:color w:val="auto"/>
              </w:rPr>
              <w:t>$ (39)</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120" w:type="dxa"/>
            <w:vAlign w:val="bottom"/>
            <w:tcBorders>
              <w:bottom w:val="single" w:sz="8" w:color="auto"/>
            </w:tcBorders>
            <w:gridSpan w:val="2"/>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98"/>
        </w:trPr>
        <w:tc>
          <w:tcPr>
            <w:tcW w:w="1120" w:type="dxa"/>
            <w:vAlign w:val="bottom"/>
            <w:gridSpan w:val="2"/>
          </w:tcPr>
          <w:p>
            <w:pPr>
              <w:jc w:val="right"/>
              <w:spacing w:after="0"/>
              <w:rPr>
                <w:sz w:val="20"/>
                <w:szCs w:val="20"/>
                <w:color w:val="auto"/>
              </w:rPr>
            </w:pPr>
            <w:r>
              <w:rPr>
                <w:rFonts w:ascii="Arial" w:cs="Arial" w:eastAsia="Arial" w:hAnsi="Arial"/>
                <w:sz w:val="18"/>
                <w:szCs w:val="18"/>
                <w:color w:val="auto"/>
              </w:rPr>
              <w:t>67.4%</w:t>
            </w:r>
          </w:p>
        </w:tc>
        <w:tc>
          <w:tcPr>
            <w:tcW w:w="2200" w:type="dxa"/>
            <w:vAlign w:val="bottom"/>
          </w:tcPr>
          <w:p>
            <w:pPr>
              <w:jc w:val="right"/>
              <w:ind w:right="511"/>
              <w:spacing w:after="0"/>
              <w:rPr>
                <w:sz w:val="20"/>
                <w:szCs w:val="20"/>
                <w:color w:val="auto"/>
              </w:rPr>
            </w:pPr>
            <w:r>
              <w:rPr>
                <w:rFonts w:ascii="Arial" w:cs="Arial" w:eastAsia="Arial" w:hAnsi="Arial"/>
                <w:sz w:val="18"/>
                <w:szCs w:val="18"/>
                <w:color w:val="auto"/>
              </w:rPr>
              <w:t>76.7%</w:t>
            </w:r>
          </w:p>
        </w:tc>
        <w:tc>
          <w:tcPr>
            <w:tcW w:w="220" w:type="dxa"/>
            <w:vAlign w:val="bottom"/>
          </w:tcPr>
          <w:p>
            <w:pPr>
              <w:spacing w:after="0"/>
              <w:rPr>
                <w:sz w:val="24"/>
                <w:szCs w:val="24"/>
                <w:color w:val="auto"/>
              </w:rPr>
            </w:pPr>
          </w:p>
        </w:tc>
        <w:tc>
          <w:tcPr>
            <w:tcW w:w="1140" w:type="dxa"/>
            <w:vAlign w:val="bottom"/>
          </w:tcPr>
          <w:p>
            <w:pPr>
              <w:ind w:left="180"/>
              <w:spacing w:after="0"/>
              <w:rPr>
                <w:sz w:val="20"/>
                <w:szCs w:val="20"/>
                <w:color w:val="auto"/>
              </w:rPr>
            </w:pPr>
            <w:r>
              <w:rPr>
                <w:rFonts w:ascii="Arial" w:cs="Arial" w:eastAsia="Arial" w:hAnsi="Arial"/>
                <w:sz w:val="18"/>
                <w:szCs w:val="18"/>
                <w:color w:val="auto"/>
              </w:rPr>
              <w:t>(9.3) pts.</w:t>
            </w:r>
          </w:p>
        </w:tc>
      </w:tr>
      <w:tr>
        <w:trPr>
          <w:trHeight w:val="230"/>
        </w:trPr>
        <w:tc>
          <w:tcPr>
            <w:tcW w:w="11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27.8</w:t>
            </w:r>
          </w:p>
        </w:tc>
        <w:tc>
          <w:tcPr>
            <w:tcW w:w="220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color w:val="auto"/>
              </w:rPr>
              <w:t>27.6</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0.2</w:t>
            </w:r>
          </w:p>
        </w:tc>
      </w:tr>
      <w:tr>
        <w:trPr>
          <w:trHeight w:val="210"/>
        </w:trPr>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95.2%</w:t>
            </w:r>
          </w:p>
        </w:tc>
        <w:tc>
          <w:tcPr>
            <w:tcW w:w="22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104.3%</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(9.1) pts.</w:t>
            </w: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-2211705</wp:posOffset>
            </wp:positionV>
            <wp:extent cx="72466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-1937385</wp:posOffset>
            </wp:positionV>
            <wp:extent cx="724662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-1654810</wp:posOffset>
            </wp:positionV>
            <wp:extent cx="7246620"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-1362710</wp:posOffset>
            </wp:positionV>
            <wp:extent cx="72466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-1080135</wp:posOffset>
            </wp:positionV>
            <wp:extent cx="72466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-762635</wp:posOffset>
            </wp:positionV>
            <wp:extent cx="7246620"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-445135</wp:posOffset>
            </wp:positionV>
            <wp:extent cx="72466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-170815</wp:posOffset>
            </wp:positionV>
            <wp:extent cx="724662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7" w:lineRule="exact"/>
        <w:rPr>
          <w:sz w:val="20"/>
          <w:szCs w:val="20"/>
          <w:color w:val="auto"/>
        </w:rPr>
      </w:pPr>
    </w:p>
    <w:p>
      <w:pPr>
        <w:sectPr>
          <w:pgSz w:w="11900" w:h="16838" w:orient="portrait"/>
          <w:cols w:equalWidth="0" w:num="2">
            <w:col w:w="5920" w:space="720"/>
            <w:col w:w="4780"/>
          </w:cols>
          <w:pgMar w:left="240" w:top="567" w:right="239" w:bottom="0" w:gutter="0" w:footer="0" w:header="0"/>
          <w:type w:val="continuous"/>
        </w:sectPr>
      </w:pPr>
    </w:p>
    <w:p>
      <w:pPr>
        <w:jc w:val="both"/>
        <w:ind w:left="400" w:right="440" w:hanging="315"/>
        <w:spacing w:after="0" w:line="264" w:lineRule="auto"/>
        <w:tabs>
          <w:tab w:leader="none" w:pos="379" w:val="left"/>
        </w:tabs>
        <w:numPr>
          <w:ilvl w:val="0"/>
          <w:numId w:val="14"/>
        </w:numPr>
        <w:rPr>
          <w:rFonts w:ascii="Arial" w:cs="Arial" w:eastAsia="Arial" w:hAnsi="Arial"/>
          <w:sz w:val="13"/>
          <w:szCs w:val="13"/>
          <w:i w:val="1"/>
          <w:iCs w:val="1"/>
          <w:color w:val="auto"/>
        </w:rPr>
      </w:pPr>
      <w:r>
        <w:rPr>
          <w:rFonts w:ascii="Arial" w:cs="Arial" w:eastAsia="Arial" w:hAnsi="Arial"/>
          <w:sz w:val="13"/>
          <w:szCs w:val="13"/>
          <w:i w:val="1"/>
          <w:iCs w:val="1"/>
          <w:color w:val="auto"/>
        </w:rPr>
        <w:t>Prior to and through December 31, 2010, the underwriting results retained by EIC and ENY accrued to the benefit of the Indemnity shareholder interest. Due to the sale of Indemnity’s property and casualty subsidiaries to the Exchange on December 31, 2010, all property and casualty underwriting results accrue to the benefit of the subscribers (policyholders) of the Exchange, or noncontrolling interest, after December 31, 2010. (See Item 1. “Financial Statements - Note 1, Nature of Operations,” contained within this report.)</w:t>
      </w:r>
    </w:p>
    <w:p>
      <w:pPr>
        <w:spacing w:after="0" w:line="17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measure profit or loss for our property and casualty insurance segment based upon underwriting results, which represents net earned premium less loss and loss expenses and underwriting expense on a pre-tax basis. Loss and combined ratios are key performance indicators that we use to assess business trends and to make comparisons to industry results. Investment results of our underwriting business are included in our investment operations segment.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 written premiums</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Direct written premiums of the Property and Casualty Group increased 6.3% to $1.0 billion in the first quarter of 2011, compared to $948 million in the first quarter of 2010, driven by an increase in policies in force and modest increases in average premium per policy. Year-over-year policies in force for all lines of business increased by 3.2% in the first quarter of 2011 as the result of continuing strong policyholder retention, compared to an increase of 3.6% in the first quarter of 2010. The year-over-year average premium per policy for all lines of business increased 2.1% at March 31, 2011, compared to a decrease of 1.3% at March 31, 2010. The impact of these increases in the first quarter of 2011 was seen primarily in our personal lines renewal business and commercial lines new and renewal business premiums.</w:t>
      </w:r>
    </w:p>
    <w:p>
      <w:pPr>
        <w:spacing w:after="0" w:line="194"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Premiums generated from new business increased 4.2% to $111 million in the first quarter of 2011, compared to an increase of 7.7%, or $106 million, in the first quarter of 2010. Underlying the trend in new business premiums was a slight decrease in new business policies in force, or 0.4%, in the first quarter of 2011, compared to an increase of 7.4% in the first quarter of 2010, while the year-over-year average premium per policy on new business increased 4.9% at March 31, 2011, compared to a decline of 1.5% at March 31, 2010.</w:t>
      </w:r>
    </w:p>
    <w:p>
      <w:pPr>
        <w:spacing w:after="0" w:line="187"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Premiums generated from renewal business increased 6.5% to $897 million in the first quarter of 2011, compared to an increase of 2.4%, or $842 million, in the first quarter of 2010. Underlying the trend in renewal business premiums was an increase in renewal business policies in force of 3.7% in the first quarter of 2011, compared to 3.1% in the first quarter of 2010, and an increase in the renewal business year-over-year average premium per policy of 1.7% at</w:t>
      </w:r>
    </w:p>
    <w:p>
      <w:pPr>
        <w:sectPr>
          <w:pgSz w:w="11900" w:h="16838" w:orient="portrait"/>
          <w:cols w:equalWidth="0" w:num="1">
            <w:col w:w="11420"/>
          </w:cols>
          <w:pgMar w:left="240" w:top="567" w:right="239" w:bottom="0" w:gutter="0" w:footer="0" w:header="0"/>
          <w:type w:val="continuous"/>
        </w:sectPr>
      </w:pPr>
    </w:p>
    <w:bookmarkStart w:id="29" w:name="page30"/>
    <w:bookmarkEnd w:id="29"/>
    <w:p>
      <w:pPr>
        <w:ind w:right="300"/>
        <w:spacing w:after="0" w:line="277" w:lineRule="auto"/>
        <w:rPr>
          <w:sz w:val="20"/>
          <w:szCs w:val="20"/>
          <w:color w:val="auto"/>
        </w:rPr>
      </w:pPr>
      <w:r>
        <w:rPr>
          <w:rFonts w:ascii="Arial" w:cs="Arial" w:eastAsia="Arial" w:hAnsi="Arial"/>
          <w:sz w:val="18"/>
          <w:szCs w:val="18"/>
          <w:color w:val="auto"/>
        </w:rPr>
        <w:t>March 31, 2011, compared to a decline of 1.2% at March 31, 2010. The Property and Casualty Group’s year-over-year policy retention ratio was 90.7% at March 31, 2011 and 90.7% at both December 31, 2010 and March 31, 2010.</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Personal lines </w:t>
      </w:r>
      <w:r>
        <w:rPr>
          <w:rFonts w:ascii="Arial" w:cs="Arial" w:eastAsia="Arial" w:hAnsi="Arial"/>
          <w:sz w:val="18"/>
          <w:szCs w:val="18"/>
          <w:color w:val="auto"/>
        </w:rPr>
        <w:t>– Total personal lines premiums written increased 5.8% to $702 million in the first quarter of 2011 from $663 million in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2010. Total personal lines policies in force increased 3.0% in the first quarter of 2011 and the total personal lines year-over-year average premium per policy increased 2.7%.</w:t>
      </w:r>
    </w:p>
    <w:p>
      <w:pPr>
        <w:spacing w:after="0" w:line="181"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New business premiums written on personal lines decreased 1.8% in the first quarter of 2011, compared to an increase of 6.2% in the first quarter of 2010. Personal lines new business policies in force decreased 1.9% in the first quarter of 2011, compared to an increase of 7.3% in the first quarter of 2010, while the year-over-year average premium per policy on personal lines new business increased 2.2% at March 31, 2011, compared to 0.4% at March 31, 2010.</w:t>
      </w:r>
    </w:p>
    <w:p>
      <w:pPr>
        <w:spacing w:after="0" w:line="147" w:lineRule="exact"/>
        <w:rPr>
          <w:sz w:val="20"/>
          <w:szCs w:val="20"/>
          <w:color w:val="auto"/>
        </w:rPr>
      </w:pPr>
    </w:p>
    <w:p>
      <w:pPr>
        <w:ind w:left="600" w:hanging="295"/>
        <w:spacing w:after="0" w:line="259" w:lineRule="auto"/>
        <w:tabs>
          <w:tab w:leader="none" w:pos="5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Private passenger auto new business premiums written decreased 3.6% in the first quarter of 2011, compared to an increase of 6.8% in the first quarter of 2010. New business policies in force for private passenger auto decreased 3.1% in the first quarter of 2011, compared to an increase of 6.5% in the first quarter of 2010, while the new business year-over-year average premium per policy for private passenger auto increased 2.5% at March 31, 2011, compared to 0.3% at March 31, 2010.</w:t>
      </w:r>
    </w:p>
    <w:p>
      <w:pPr>
        <w:spacing w:after="0" w:line="186" w:lineRule="exact"/>
        <w:rPr>
          <w:rFonts w:ascii="Arial" w:cs="Arial" w:eastAsia="Arial" w:hAnsi="Arial"/>
          <w:sz w:val="18"/>
          <w:szCs w:val="18"/>
          <w:color w:val="auto"/>
        </w:rPr>
      </w:pPr>
    </w:p>
    <w:p>
      <w:pPr>
        <w:ind w:left="600" w:right="20" w:hanging="295"/>
        <w:spacing w:after="0" w:line="259" w:lineRule="auto"/>
        <w:tabs>
          <w:tab w:leader="none" w:pos="5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Homeowners new business premiums written decreased 1.2% in the first quarter of 2011, compared to an increase of 6.5% in the first quarter of 2010. New business policies in force for homeowners decreased 2.3% in the first quarter of 2011 compared to an increase of 8.6% in the first quarter of 2010. The new business year-over-year average premium per policy for homeowners increased 2.7% at March 31, 2011, compared to 2.2% at March 31, 2010.</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Renewal premiums written on personal lines increased 6.7% in the first quarter of 2011, compared to 5.2% in the first quarter of 2010, driven by a modest increase in average premium per policy and steady policy retention trends. The year-over-year average premium per policy on personal lines renewal business increased 2.7% at March 31, 2011, compared to 0.8% at March 31, 2010. The personal lines year-over-year policy retention ratio was 91.5% at March 31, 2011, December 31, 2010 and March 31, 2010.</w:t>
      </w:r>
    </w:p>
    <w:p>
      <w:pPr>
        <w:spacing w:after="0" w:line="187" w:lineRule="exact"/>
        <w:rPr>
          <w:sz w:val="20"/>
          <w:szCs w:val="20"/>
          <w:color w:val="auto"/>
        </w:rPr>
      </w:pPr>
    </w:p>
    <w:p>
      <w:pPr>
        <w:ind w:left="600" w:right="20" w:hanging="295"/>
        <w:spacing w:after="0" w:line="259" w:lineRule="auto"/>
        <w:tabs>
          <w:tab w:leader="none" w:pos="5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Private passenger auto renewal premiums written increased 4.9% in the first quarter of 2011, compared to 4.6% in the first quarter of 2010. The year-over-year average premium per policy on private passenger auto renewal business increased 2.4% at March 31, 2011, compared to 0.3% at March 31, 2010. The private passenger auto year-over-year policy retention ratio was 91.7% at March 31, 2011, compared to 91.8% at December 31, 2010 and 91.9% at March 31, 2010.</w:t>
      </w:r>
    </w:p>
    <w:p>
      <w:pPr>
        <w:spacing w:after="0" w:line="186" w:lineRule="exact"/>
        <w:rPr>
          <w:rFonts w:ascii="Arial" w:cs="Arial" w:eastAsia="Arial" w:hAnsi="Arial"/>
          <w:sz w:val="18"/>
          <w:szCs w:val="18"/>
          <w:color w:val="auto"/>
        </w:rPr>
      </w:pPr>
    </w:p>
    <w:p>
      <w:pPr>
        <w:jc w:val="both"/>
        <w:ind w:left="600" w:right="280" w:hanging="295"/>
        <w:spacing w:after="0" w:line="312" w:lineRule="auto"/>
        <w:tabs>
          <w:tab w:leader="none" w:pos="564" w:val="left"/>
        </w:tabs>
        <w:numPr>
          <w:ilvl w:val="0"/>
          <w:numId w:val="16"/>
        </w:numPr>
        <w:rPr>
          <w:rFonts w:ascii="Arial" w:cs="Arial" w:eastAsia="Arial" w:hAnsi="Arial"/>
          <w:sz w:val="16"/>
          <w:szCs w:val="16"/>
          <w:color w:val="auto"/>
        </w:rPr>
      </w:pPr>
      <w:r>
        <w:rPr>
          <w:rFonts w:ascii="Arial" w:cs="Arial" w:eastAsia="Arial" w:hAnsi="Arial"/>
          <w:sz w:val="16"/>
          <w:szCs w:val="16"/>
          <w:color w:val="auto"/>
        </w:rPr>
        <w:t>Homeowners renewal premiums written increased 11.3% in the first quarter of 2011, compared to 6.3% in the first quarter of 2010. The year-over-year average premium per policy on homeowners renewal business increased 5.5% at March 31, 2011, compared to 3.4% at March 31, 2010. The homeowners year-over-year policyholder retention ratio was 91.2% at March 31, 2011 and December 31, 2010, and 91.1% at March 31, 2010.</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Commercial lines </w:t>
      </w:r>
      <w:r>
        <w:rPr>
          <w:rFonts w:ascii="Arial" w:cs="Arial" w:eastAsia="Arial" w:hAnsi="Arial"/>
          <w:sz w:val="18"/>
          <w:szCs w:val="18"/>
          <w:color w:val="auto"/>
        </w:rPr>
        <w:t>– Total commercial lines premiums written increased 7.4%, to $306 million in the first quarter of 2011 from $285 million in the first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2010. Total commercial lines policies in force increased 4.3%, while the total commercial lines year-over-year average premium per policy decreased slightly, by 0.3%.</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New business premiums written on commercial lines increased 15.9% in the first quarter of 2011, compared to 10.3% in the first quarter of 2010. Commercial lines new business policies in force increased 6.6% in the first quarter of 2011, compared to 8.0% in the first quarter of 2010, while the year-over-year average premium per policy on commercial lines new business increased 6.0% at March 31, 2011, compared to a decrease of 5.7% at March 31, 2010.</w:t>
      </w:r>
    </w:p>
    <w:p>
      <w:pPr>
        <w:spacing w:after="0" w:line="14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Renewal premiums for commercial lines increased 6.2% in the first quarter of 2011, compared to a decrease of 3.6% in the first quarter of 2010. The improvement seen in commercial lines renewal premiums was driven by smaller decreases in average premium per policy and steady policy retention trends, the combined impact of which was seen primarily in the workers compensation and commercial multi-peril lines of business. The year-over-year average premium per policy on commercial lines renewal business decreased 1.2% at March 31, 2011, compared to 5.9% at March 31, 2010, due primarily to the workers compensation and commercial auto lines of business in both periods. The workers compensation and commercial auto year-over-year average premium per policy on renewal business decreased 3.7% and 2.4%, respectively, at March 31, 2011, compared to decreases of 14.4% and 4.0%, respectively, at March 31, 2010. Contributing to the lower average premium per policy in the first quarter of 2011 were shifts in the mix of our book of business and lower exposures for the workers compensation and commercial auto lines of business, but to a lesser extent than in the first quarter of 2010. The year-over-year policy retention ratio for commercial lines was 85.8% at March 31, 2011, 85.3% at December 31, 2010, and 85.4% at March 31, 2010.</w:t>
      </w:r>
    </w:p>
    <w:p>
      <w:pPr>
        <w:spacing w:after="0" w:line="16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Future trends—premium revenue </w:t>
      </w:r>
      <w:r>
        <w:rPr>
          <w:rFonts w:ascii="Arial" w:cs="Arial" w:eastAsia="Arial" w:hAnsi="Arial"/>
          <w:sz w:val="16"/>
          <w:szCs w:val="16"/>
          <w:color w:val="auto"/>
        </w:rPr>
        <w:t>– We plan to continue our efforts to grow Property and Casualty Group premiums and improve our competitive position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marketplace, which have a direct bearing on Indemnity’s management fee. Expanding the size of our agency force through a careful agency selection process and increased market penetration in our existing operating territories will contribute to future growth as existing and new agents build their book of business with the Property and Casualty Group. At March 31, 2011, we had a total of 2,088 agencies with 9,525 licensed representatives. Our continued focus on underwriting discipline and the maturing of our pricing segmentation model has contributed to the Property and Casualty Group’s ability to retain existing and attract new policyholders resulting in growth in new policies in force and steady retention ratios. We expect our pricing actions to result in a net increase in direct written premium in 2011, however, exposure reductions and changes in our mix of business as a result of economic conditions could impact the average premium written by the Property and Casualty Group, as customers may continue to reduce coverages.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Current year losses and loss expenses</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current accident year loss and loss expense ratio, excluding catastrophe losses, was 66.8% in the first quarter of 2011, compared to 70.2% in the first quarter of 2010.</w:t>
      </w:r>
    </w:p>
    <w:p>
      <w:pPr>
        <w:spacing w:after="0" w:line="18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personal lines loss and loss expense ratio related to the current accident year, excluding catastrophe losses, was 67.7% in the first quarter of 2011, compared to 70.7% in the first quarter of 2010.</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commercial lines loss and loss expense ratio related to the current accident year, excluding catastrophe losses, was 64.7% in the first quarter of 2011, compared to 69.1% in the first quarter of 2010.</w:t>
      </w:r>
    </w:p>
    <w:p>
      <w:pPr>
        <w:sectPr>
          <w:pgSz w:w="11900" w:h="16838" w:orient="portrait"/>
          <w:cols w:equalWidth="0" w:num="1">
            <w:col w:w="11400"/>
          </w:cols>
          <w:pgMar w:left="240" w:top="125" w:right="259" w:bottom="0" w:gutter="0" w:footer="0" w:header="0"/>
        </w:sectPr>
      </w:pPr>
    </w:p>
    <w:bookmarkStart w:id="30" w:name="page31"/>
    <w:bookmarkEnd w:id="30"/>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Catastrophe losses</w:t>
      </w:r>
    </w:p>
    <w:p>
      <w:pPr>
        <w:spacing w:after="0" w:line="2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Catastrophes are an inherent risk of the property and casualty insurance business and can have a material impact on our insurance underwriting results. In addressing this risk, we employ what we believe are reasonable underwriting standards and monitor our exposure by geographic region. The Property and Casualty Group’s definition of catastrophes includes those weather-related or other loss events that we consider significant to our geographic footprint which, individually or in the aggregate, may not reach the level of a national catastrophe as defined by the Property Claim Service (PCS). The Property and Casualty Group maintains sufficient property catastrophe reinsurance coverage from unaffiliated reinsurers and no longer participates in the voluntary assumed reinsurance business, which lowers the variability of the underwriting results of the Property and Casualty Group.</w:t>
      </w:r>
    </w:p>
    <w:p>
      <w:pPr>
        <w:spacing w:after="0" w:line="17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Catastrophe losses, as defined by the Property and Casualty Group, totaled $65 million in the first quarter of 2011, compared to $112 million in the first quarter of 2010, and contributed 6.4 points and 11.7 points to the loss ratios at March 31, 2011 and 2010, respectively.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 year loss reserve development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the details of our property and casualty insurance operation’s prior year loss reserve development by type of business:</w:t>
      </w:r>
    </w:p>
    <w:p>
      <w:pPr>
        <w:spacing w:after="0" w:line="93" w:lineRule="exact"/>
        <w:rPr>
          <w:sz w:val="20"/>
          <w:szCs w:val="20"/>
          <w:color w:val="auto"/>
        </w:rPr>
      </w:pPr>
    </w:p>
    <w:p>
      <w:pPr>
        <w:ind w:left="260"/>
        <w:spacing w:after="0"/>
        <w:tabs>
          <w:tab w:leader="none" w:pos="8160" w:val="left"/>
        </w:tabs>
        <w:rPr>
          <w:sz w:val="20"/>
          <w:szCs w:val="20"/>
          <w:color w:val="auto"/>
        </w:rPr>
      </w:pPr>
      <w:r>
        <w:rPr>
          <w:rFonts w:ascii="Arial" w:cs="Arial" w:eastAsia="Arial" w:hAnsi="Arial"/>
          <w:sz w:val="28"/>
          <w:szCs w:val="28"/>
          <w:i w:val="1"/>
          <w:iCs w:val="1"/>
          <w:color w:val="auto"/>
          <w:vertAlign w:val="subscript"/>
        </w:rPr>
        <w:t>(in millions)</w:t>
      </w:r>
      <w:r>
        <w:rPr>
          <w:sz w:val="20"/>
          <w:szCs w:val="20"/>
          <w:color w:val="auto"/>
        </w:rPr>
        <w:tab/>
      </w:r>
      <w:r>
        <w:rPr>
          <w:rFonts w:ascii="Arial" w:cs="Arial" w:eastAsia="Arial" w:hAnsi="Arial"/>
          <w:sz w:val="16"/>
          <w:szCs w:val="16"/>
          <w:color w:val="auto"/>
        </w:rPr>
        <w:t>Erie Insurance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24130</wp:posOffset>
            </wp:positionV>
            <wp:extent cx="20923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33"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Three months ended</w:t>
      </w:r>
    </w:p>
    <w:p>
      <w:pPr>
        <w:spacing w:after="0" w:line="8"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March 31,</w:t>
      </w:r>
    </w:p>
    <w:p>
      <w:pPr>
        <w:sectPr>
          <w:pgSz w:w="11900" w:h="16900" w:orient="portrait"/>
          <w:cols w:equalWidth="0" w:num="1">
            <w:col w:w="11380"/>
          </w:cols>
          <w:pgMar w:left="240" w:top="125" w:right="279" w:bottom="0" w:gutter="0" w:footer="0" w:header="0"/>
        </w:sectPr>
      </w:pP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Prior year loss development:</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Direct business including salvage and subrogation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-116205</wp:posOffset>
            </wp:positionV>
            <wp:extent cx="6569075"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69075" cy="137160"/>
                    </a:xfrm>
                    <a:prstGeom prst="rect">
                      <a:avLst/>
                    </a:prstGeom>
                    <a:noFill/>
                  </pic:spPr>
                </pic:pic>
              </a:graphicData>
            </a:graphic>
          </wp:anchor>
        </w:drawing>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Assumed reinsurance business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Ceded reinsurance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-130810</wp:posOffset>
            </wp:positionV>
            <wp:extent cx="6569075"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569075" cy="137160"/>
                    </a:xfrm>
                    <a:prstGeom prst="rect">
                      <a:avLst/>
                    </a:prstGeom>
                    <a:noFill/>
                  </pic:spPr>
                </pic:pic>
              </a:graphicData>
            </a:graphic>
          </wp:anchor>
        </w:drawing>
      </w:r>
    </w:p>
    <w:p>
      <w:pPr>
        <w:spacing w:after="0" w:line="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Total prior year loss development</w:t>
      </w:r>
    </w:p>
    <w:p>
      <w:pPr>
        <w:spacing w:after="0" w:line="20" w:lineRule="exact"/>
        <w:rPr>
          <w:sz w:val="20"/>
          <w:szCs w:val="20"/>
          <w:color w:val="auto"/>
        </w:rPr>
      </w:pPr>
      <w:r>
        <w:rPr>
          <w:sz w:val="20"/>
          <w:szCs w:val="20"/>
          <w:color w:val="auto"/>
        </w:rPr>
        <w:br w:type="column"/>
      </w:r>
    </w:p>
    <w:p>
      <w:pPr>
        <w:spacing w:after="0"/>
        <w:tabs>
          <w:tab w:leader="none" w:pos="1440" w:val="left"/>
        </w:tabs>
        <w:rPr>
          <w:sz w:val="20"/>
          <w:szCs w:val="20"/>
          <w:color w:val="auto"/>
        </w:rPr>
      </w:pPr>
      <w:r>
        <w:rPr>
          <w:rFonts w:ascii="Arial" w:cs="Arial" w:eastAsia="Arial" w:hAnsi="Arial"/>
          <w:sz w:val="18"/>
          <w:szCs w:val="18"/>
          <w:color w:val="auto"/>
        </w:rPr>
        <w:t>2011</w:t>
      </w:r>
      <w:r>
        <w:rPr>
          <w:sz w:val="20"/>
          <w:szCs w:val="20"/>
          <w:color w:val="auto"/>
        </w:rPr>
        <w:tab/>
      </w:r>
      <w:r>
        <w:rPr>
          <w:rFonts w:ascii="Arial" w:cs="Arial" w:eastAsia="Arial" w:hAnsi="Arial"/>
          <w:sz w:val="18"/>
          <w:szCs w:val="18"/>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14605</wp:posOffset>
            </wp:positionV>
            <wp:extent cx="20923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43"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1280" w:type="dxa"/>
            <w:vAlign w:val="bottom"/>
          </w:tcPr>
          <w:p>
            <w:pPr>
              <w:jc w:val="right"/>
              <w:ind w:right="116"/>
              <w:spacing w:after="0"/>
              <w:rPr>
                <w:sz w:val="20"/>
                <w:szCs w:val="20"/>
                <w:color w:val="auto"/>
              </w:rPr>
            </w:pPr>
            <w:r>
              <w:rPr>
                <w:rFonts w:ascii="Arial" w:cs="Arial" w:eastAsia="Arial" w:hAnsi="Arial"/>
                <w:sz w:val="14"/>
                <w:szCs w:val="14"/>
                <w:color w:val="auto"/>
              </w:rPr>
              <w:t>(Unaudited)</w:t>
            </w:r>
          </w:p>
        </w:tc>
        <w:tc>
          <w:tcPr>
            <w:tcW w:w="580" w:type="dxa"/>
            <w:vAlign w:val="bottom"/>
          </w:tcPr>
          <w:p>
            <w:pPr>
              <w:spacing w:after="0"/>
              <w:rPr>
                <w:sz w:val="14"/>
                <w:szCs w:val="14"/>
                <w:color w:val="auto"/>
              </w:rPr>
            </w:pPr>
          </w:p>
        </w:tc>
      </w:tr>
      <w:tr>
        <w:trPr>
          <w:trHeight w:val="216"/>
        </w:trPr>
        <w:tc>
          <w:tcPr>
            <w:tcW w:w="1280" w:type="dxa"/>
            <w:vAlign w:val="bottom"/>
          </w:tcPr>
          <w:p>
            <w:pPr>
              <w:jc w:val="right"/>
              <w:ind w:right="796"/>
              <w:spacing w:after="0"/>
              <w:rPr>
                <w:sz w:val="20"/>
                <w:szCs w:val="20"/>
                <w:color w:val="auto"/>
              </w:rPr>
            </w:pPr>
            <w:r>
              <w:rPr>
                <w:rFonts w:ascii="Arial" w:cs="Arial" w:eastAsia="Arial" w:hAnsi="Arial"/>
                <w:sz w:val="18"/>
                <w:szCs w:val="18"/>
                <w:color w:val="auto"/>
                <w:w w:val="90"/>
              </w:rPr>
              <w:t>$(61)</w:t>
            </w: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280" w:type="dxa"/>
            <w:vAlign w:val="bottom"/>
          </w:tcPr>
          <w:p>
            <w:pPr>
              <w:jc w:val="right"/>
              <w:ind w:right="856"/>
              <w:spacing w:after="0"/>
              <w:rPr>
                <w:sz w:val="20"/>
                <w:szCs w:val="20"/>
                <w:color w:val="auto"/>
              </w:rPr>
            </w:pPr>
            <w:r>
              <w:rPr>
                <w:rFonts w:ascii="Arial" w:cs="Arial" w:eastAsia="Arial" w:hAnsi="Arial"/>
                <w:sz w:val="18"/>
                <w:szCs w:val="18"/>
                <w:color w:val="auto"/>
              </w:rPr>
              <w:t>3</w:t>
            </w: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r>
    </w:tbl>
    <w:p>
      <w:pPr>
        <w:ind w:left="1900" w:hanging="1477"/>
        <w:spacing w:after="0"/>
        <w:tabs>
          <w:tab w:leader="none" w:pos="1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(4)</w:t>
      </w:r>
    </w:p>
    <w:p>
      <w:pPr>
        <w:spacing w:after="0" w:line="32"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color w:val="auto"/>
        </w:rPr>
        <w:t>$(59)</w:t>
      </w: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14605</wp:posOffset>
            </wp:positionV>
            <wp:extent cx="209232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092325" cy="17145"/>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-130810</wp:posOffset>
            </wp:positionV>
            <wp:extent cx="20923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98" w:lineRule="exact"/>
        <w:rPr>
          <w:sz w:val="20"/>
          <w:szCs w:val="20"/>
          <w:color w:val="auto"/>
        </w:rPr>
      </w:pPr>
    </w:p>
    <w:p>
      <w:pPr>
        <w:sectPr>
          <w:pgSz w:w="11900" w:h="16900" w:orient="portrait"/>
          <w:cols w:equalWidth="0" w:num="2">
            <w:col w:w="7280" w:space="720"/>
            <w:col w:w="3380"/>
          </w:cols>
          <w:pgMar w:left="240" w:top="125" w:right="279" w:bottom="0" w:gutter="0" w:footer="0" w:header="0"/>
          <w:type w:val="continuous"/>
        </w:sectPr>
      </w:pPr>
    </w:p>
    <w:p>
      <w:pPr>
        <w:ind w:left="260"/>
        <w:spacing w:after="0"/>
        <w:rPr>
          <w:sz w:val="20"/>
          <w:szCs w:val="20"/>
          <w:color w:val="auto"/>
        </w:rPr>
      </w:pPr>
      <w:r>
        <w:rPr>
          <w:rFonts w:ascii="Arial" w:cs="Arial" w:eastAsia="Arial" w:hAnsi="Arial"/>
          <w:sz w:val="14"/>
          <w:szCs w:val="14"/>
          <w:i w:val="1"/>
          <w:iCs w:val="1"/>
          <w:color w:val="auto"/>
        </w:rPr>
        <w:t>Negative amounts represent a redundancy (decrease in reserves), while positive amounts represent a deficiency (increase in reserves).</w:t>
      </w:r>
    </w:p>
    <w:p>
      <w:pPr>
        <w:spacing w:after="0" w:line="20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Direct business including salvage and subrogation — </w:t>
      </w:r>
      <w:r>
        <w:rPr>
          <w:rFonts w:ascii="Arial" w:cs="Arial" w:eastAsia="Arial" w:hAnsi="Arial"/>
          <w:sz w:val="18"/>
          <w:szCs w:val="18"/>
          <w:color w:val="auto"/>
        </w:rPr>
        <w:t>Favorable development of prior accident years, including the effects of salvage and subrogation</w:t>
      </w:r>
      <w:r>
        <w:rPr>
          <w:rFonts w:ascii="Arial" w:cs="Arial" w:eastAsia="Arial" w:hAnsi="Arial"/>
          <w:sz w:val="18"/>
          <w:szCs w:val="18"/>
          <w:i w:val="1"/>
          <w:iCs w:val="1"/>
          <w:color w:val="auto"/>
        </w:rPr>
        <w:t xml:space="preserve"> </w:t>
      </w:r>
      <w:r>
        <w:rPr>
          <w:rFonts w:ascii="Arial" w:cs="Arial" w:eastAsia="Arial" w:hAnsi="Arial"/>
          <w:sz w:val="18"/>
          <w:szCs w:val="18"/>
          <w:color w:val="auto"/>
        </w:rPr>
        <w:t>recoveries, improved the combined ratio by 6.0 points in the first quarter of 2011, compared to 4.4 points in the first quarter of 2010. The favorable development in the first quarter of 2011 was primarily driven by improved annual claim cost expectations on massive injury lifetime medical benefits and the closing of one massive injury lifetime medical benefits claim in the personal auto line of business, and better than expected severity trends on liability claims in the commercial multi-peril and homeowners lines of business.</w:t>
      </w:r>
    </w:p>
    <w:p>
      <w:pPr>
        <w:spacing w:after="0" w:line="188"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In the first quarter of 2010, the favorable development was primarily driven by improvements in frequency trends on automobile bodily injury and uninsured/underinsured motorist bodily injury and the closing of two claims in the personal auto line of business, improvements in severity trends in the commercial multi-peril line of business, and the settlement of one large claim in the homeowners line of business.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Assumed reinsurance – </w:t>
      </w:r>
      <w:r>
        <w:rPr>
          <w:rFonts w:ascii="Arial" w:cs="Arial" w:eastAsia="Arial" w:hAnsi="Arial"/>
          <w:sz w:val="18"/>
          <w:szCs w:val="18"/>
          <w:color w:val="auto"/>
        </w:rPr>
        <w:t>The Property and Casualty Group experienced adverse development of prior accident year loss reserves on its assumed reinsurance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totaling $3 million in the first quarter of 2011, compared to favorable development of $3 million in the first quarter of 2010. The adverse development in the first quarter of 2011 was due to growth in involuntary reinsurance, while the favorable development in the first quarter of 2010 was due to less than anticipated growth in involuntary reinsurance.</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Ceded reinsurance – </w:t>
      </w:r>
      <w:r>
        <w:rPr>
          <w:rFonts w:ascii="Arial" w:cs="Arial" w:eastAsia="Arial" w:hAnsi="Arial"/>
          <w:sz w:val="18"/>
          <w:szCs w:val="18"/>
          <w:color w:val="auto"/>
        </w:rPr>
        <w:t>The Property and Casualty Group’s increase in ceded reinsurance reserves, which is reflected as favorable development of prior accident</w:t>
      </w:r>
      <w:r>
        <w:rPr>
          <w:rFonts w:ascii="Arial" w:cs="Arial" w:eastAsia="Arial" w:hAnsi="Arial"/>
          <w:sz w:val="18"/>
          <w:szCs w:val="18"/>
          <w:i w:val="1"/>
          <w:iCs w:val="1"/>
          <w:color w:val="auto"/>
        </w:rPr>
        <w:t xml:space="preserve"> </w:t>
      </w:r>
      <w:r>
        <w:rPr>
          <w:rFonts w:ascii="Arial" w:cs="Arial" w:eastAsia="Arial" w:hAnsi="Arial"/>
          <w:sz w:val="18"/>
          <w:szCs w:val="18"/>
          <w:color w:val="auto"/>
        </w:rPr>
        <w:t>year loss reserves, totaled $1 million in the first quarter of 2011, compared to $4 million in the first quarter of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Policy acquisition and other underwriting expenses</w:t>
      </w:r>
    </w:p>
    <w:p>
      <w:pPr>
        <w:spacing w:after="0" w:line="2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Our expense ratio remained relatively flat, increasing only 0.2 points in the first quarter of 2011, compared to the first quarter of 2010. The management fee rate was 25% for the periods ending March 31, 2011 and March 31, 2010.</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insurance operations</w:t>
      </w:r>
    </w:p>
    <w:p>
      <w:pPr>
        <w:spacing w:after="0" w:line="2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EFL is a Pennsylvania-domiciled life insurance company which operates in 10 states and the District of Columbia and underwrites and sells individual and group life insurance policies and fixed annuities.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20" w:type="dxa"/>
            <w:vAlign w:val="bottom"/>
            <w:gridSpan w:val="3"/>
          </w:tcPr>
          <w:p>
            <w:pPr>
              <w:jc w:val="center"/>
              <w:ind w:right="940"/>
              <w:spacing w:after="0"/>
              <w:rPr>
                <w:sz w:val="20"/>
                <w:szCs w:val="20"/>
                <w:color w:val="auto"/>
              </w:rPr>
            </w:pPr>
            <w:r>
              <w:rPr>
                <w:rFonts w:ascii="Arial" w:cs="Arial" w:eastAsia="Arial" w:hAnsi="Arial"/>
                <w:sz w:val="18"/>
                <w:szCs w:val="18"/>
                <w:color w:val="auto"/>
                <w:w w:val="92"/>
              </w:rPr>
              <w:t>Erie Family Life Insurance Company</w:t>
            </w:r>
          </w:p>
        </w:tc>
      </w:tr>
      <w:tr>
        <w:trPr>
          <w:trHeight w:val="195"/>
        </w:trPr>
        <w:tc>
          <w:tcPr>
            <w:tcW w:w="62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tcPr>
          <w:p>
            <w:pPr>
              <w:jc w:val="center"/>
              <w:ind w:left="111"/>
              <w:spacing w:after="0" w:line="195" w:lineRule="exact"/>
              <w:rPr>
                <w:sz w:val="20"/>
                <w:szCs w:val="20"/>
                <w:color w:val="auto"/>
              </w:rPr>
            </w:pPr>
            <w:r>
              <w:rPr>
                <w:rFonts w:ascii="Arial" w:cs="Arial" w:eastAsia="Arial" w:hAnsi="Arial"/>
                <w:sz w:val="18"/>
                <w:szCs w:val="18"/>
                <w:color w:val="auto"/>
                <w:w w:val="89"/>
              </w:rPr>
              <w:t>Three months ended March 31,</w:t>
            </w: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14"/>
                <w:szCs w:val="14"/>
                <w:i w:val="1"/>
                <w:iCs w:val="1"/>
                <w:color w:val="auto"/>
              </w:rPr>
              <w:t>( in millions)</w:t>
            </w:r>
          </w:p>
        </w:tc>
        <w:tc>
          <w:tcPr>
            <w:tcW w:w="820" w:type="dxa"/>
            <w:vAlign w:val="bottom"/>
          </w:tcPr>
          <w:p>
            <w:pPr>
              <w:jc w:val="right"/>
              <w:spacing w:after="0"/>
              <w:rPr>
                <w:sz w:val="20"/>
                <w:szCs w:val="20"/>
                <w:color w:val="auto"/>
              </w:rPr>
            </w:pPr>
            <w:r>
              <w:rPr>
                <w:rFonts w:ascii="Arial" w:cs="Arial" w:eastAsia="Arial" w:hAnsi="Arial"/>
                <w:sz w:val="18"/>
                <w:szCs w:val="18"/>
                <w:color w:val="auto"/>
              </w:rPr>
              <w:t>2011</w:t>
            </w:r>
          </w:p>
        </w:tc>
        <w:tc>
          <w:tcPr>
            <w:tcW w:w="2480" w:type="dxa"/>
            <w:vAlign w:val="bottom"/>
          </w:tcPr>
          <w:p>
            <w:pPr>
              <w:jc w:val="center"/>
              <w:ind w:left="151"/>
              <w:spacing w:after="0"/>
              <w:rPr>
                <w:sz w:val="20"/>
                <w:szCs w:val="20"/>
                <w:color w:val="auto"/>
              </w:rPr>
            </w:pPr>
            <w:r>
              <w:rPr>
                <w:rFonts w:ascii="Arial" w:cs="Arial" w:eastAsia="Arial" w:hAnsi="Arial"/>
                <w:sz w:val="18"/>
                <w:szCs w:val="18"/>
                <w:color w:val="auto"/>
                <w:w w:val="89"/>
              </w:rPr>
              <w:t>2010</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 Change</w:t>
            </w:r>
          </w:p>
        </w:tc>
      </w:tr>
      <w:tr>
        <w:trPr>
          <w:trHeight w:val="142"/>
        </w:trPr>
        <w:tc>
          <w:tcPr>
            <w:tcW w:w="6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tcPr>
          <w:p>
            <w:pPr>
              <w:jc w:val="right"/>
              <w:ind w:right="1471"/>
              <w:spacing w:after="0" w:line="142" w:lineRule="exact"/>
              <w:rPr>
                <w:sz w:val="20"/>
                <w:szCs w:val="20"/>
                <w:color w:val="auto"/>
              </w:rPr>
            </w:pPr>
            <w:r>
              <w:rPr>
                <w:rFonts w:ascii="Arial" w:cs="Arial" w:eastAsia="Arial" w:hAnsi="Arial"/>
                <w:sz w:val="14"/>
                <w:szCs w:val="14"/>
                <w:color w:val="auto"/>
              </w:rPr>
              <w:t>(Unaudited)</w:t>
            </w: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Individual life premiums, net of reinsurance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80" w:type="dxa"/>
            <w:vAlign w:val="bottom"/>
            <w:shd w:val="clear" w:color="auto" w:fill="CCEEFF"/>
          </w:tcPr>
          <w:p>
            <w:pPr>
              <w:jc w:val="right"/>
              <w:ind w:right="911"/>
              <w:spacing w:after="0"/>
              <w:rPr>
                <w:sz w:val="20"/>
                <w:szCs w:val="20"/>
                <w:color w:val="auto"/>
              </w:rPr>
            </w:pPr>
            <w:r>
              <w:rPr>
                <w:rFonts w:ascii="Arial" w:cs="Arial" w:eastAsia="Arial" w:hAnsi="Arial"/>
                <w:sz w:val="18"/>
                <w:szCs w:val="18"/>
                <w:color w:val="auto"/>
              </w:rPr>
              <w:t>$15</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3.0 %</w:t>
            </w:r>
          </w:p>
        </w:tc>
        <w:tc>
          <w:tcPr>
            <w:tcW w:w="12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Group life and other premiums</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480" w:type="dxa"/>
            <w:vAlign w:val="bottom"/>
          </w:tcPr>
          <w:p>
            <w:pPr>
              <w:jc w:val="right"/>
              <w:ind w:right="911"/>
              <w:spacing w:after="0"/>
              <w:rPr>
                <w:sz w:val="20"/>
                <w:szCs w:val="20"/>
                <w:color w:val="auto"/>
              </w:rPr>
            </w:pPr>
            <w:r>
              <w:rPr>
                <w:rFonts w:ascii="Arial" w:cs="Arial" w:eastAsia="Arial" w:hAnsi="Arial"/>
                <w:sz w:val="18"/>
                <w:szCs w:val="18"/>
                <w:color w:val="auto"/>
              </w:rPr>
              <w:t>1</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80" w:type="dxa"/>
            <w:vAlign w:val="bottom"/>
            <w:tcBorders>
              <w:bottom w:val="single" w:sz="8" w:color="auto"/>
            </w:tcBorders>
            <w:shd w:val="clear" w:color="auto" w:fill="CCEEFF"/>
          </w:tcPr>
          <w:p>
            <w:pPr>
              <w:jc w:val="right"/>
              <w:ind w:right="911"/>
              <w:spacing w:after="0"/>
              <w:rPr>
                <w:sz w:val="20"/>
                <w:szCs w:val="20"/>
                <w:color w:val="auto"/>
              </w:rPr>
            </w:pPr>
            <w:r>
              <w:rPr>
                <w:rFonts w:ascii="Arial" w:cs="Arial" w:eastAsia="Arial" w:hAnsi="Arial"/>
                <w:sz w:val="18"/>
                <w:szCs w:val="18"/>
                <w:color w:val="auto"/>
              </w:rPr>
              <w:t>0</w:t>
            </w:r>
          </w:p>
        </w:tc>
        <w:tc>
          <w:tcPr>
            <w:tcW w:w="10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8"/>
                <w:szCs w:val="18"/>
                <w:color w:val="auto"/>
              </w:rPr>
            </w:pPr>
          </w:p>
        </w:tc>
      </w:tr>
      <w:tr>
        <w:trPr>
          <w:trHeight w:val="210"/>
        </w:trPr>
        <w:tc>
          <w:tcPr>
            <w:tcW w:w="6220" w:type="dxa"/>
            <w:vAlign w:val="bottom"/>
          </w:tcPr>
          <w:p>
            <w:pPr>
              <w:ind w:left="180"/>
              <w:spacing w:after="0"/>
              <w:rPr>
                <w:sz w:val="20"/>
                <w:szCs w:val="20"/>
                <w:color w:val="auto"/>
              </w:rPr>
            </w:pPr>
            <w:r>
              <w:rPr>
                <w:rFonts w:ascii="Arial" w:cs="Arial" w:eastAsia="Arial" w:hAnsi="Arial"/>
                <w:sz w:val="18"/>
                <w:szCs w:val="18"/>
                <w:color w:val="auto"/>
              </w:rPr>
              <w:t>Total net policy revenue</w:t>
            </w: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2480" w:type="dxa"/>
            <w:vAlign w:val="bottom"/>
          </w:tcPr>
          <w:p>
            <w:pPr>
              <w:jc w:val="right"/>
              <w:ind w:right="911"/>
              <w:spacing w:after="0"/>
              <w:rPr>
                <w:sz w:val="20"/>
                <w:szCs w:val="20"/>
                <w:color w:val="auto"/>
              </w:rPr>
            </w:pPr>
            <w:r>
              <w:rPr>
                <w:rFonts w:ascii="Arial" w:cs="Arial" w:eastAsia="Arial" w:hAnsi="Arial"/>
                <w:sz w:val="18"/>
                <w:szCs w:val="18"/>
                <w:color w:val="auto"/>
              </w:rPr>
              <w:t>16</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80" w:type="dxa"/>
            <w:vAlign w:val="bottom"/>
            <w:shd w:val="clear" w:color="auto" w:fill="CCEEFF"/>
          </w:tcPr>
          <w:p>
            <w:pPr>
              <w:jc w:val="right"/>
              <w:ind w:right="911"/>
              <w:spacing w:after="0"/>
              <w:rPr>
                <w:sz w:val="20"/>
                <w:szCs w:val="20"/>
                <w:color w:val="auto"/>
              </w:rPr>
            </w:pPr>
            <w:r>
              <w:rPr>
                <w:rFonts w:ascii="Arial" w:cs="Arial" w:eastAsia="Arial" w:hAnsi="Arial"/>
                <w:sz w:val="18"/>
                <w:szCs w:val="18"/>
                <w:color w:val="auto"/>
              </w:rPr>
              <w:t>23</w:t>
            </w:r>
          </w:p>
        </w:tc>
        <w:tc>
          <w:tcPr>
            <w:tcW w:w="10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Net realized gains on investments</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2480" w:type="dxa"/>
            <w:vAlign w:val="bottom"/>
          </w:tcPr>
          <w:p>
            <w:pPr>
              <w:jc w:val="right"/>
              <w:ind w:right="911"/>
              <w:spacing w:after="0"/>
              <w:rPr>
                <w:sz w:val="20"/>
                <w:szCs w:val="20"/>
                <w:color w:val="auto"/>
              </w:rPr>
            </w:pPr>
            <w:r>
              <w:rPr>
                <w:rFonts w:ascii="Arial" w:cs="Arial" w:eastAsia="Arial" w:hAnsi="Arial"/>
                <w:sz w:val="18"/>
                <w:szCs w:val="18"/>
                <w:color w:val="auto"/>
              </w:rPr>
              <w:t>5</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losses recognized in earnings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80" w:type="dxa"/>
            <w:vAlign w:val="bottom"/>
            <w:shd w:val="clear" w:color="auto" w:fill="CCEEFF"/>
          </w:tcPr>
          <w:p>
            <w:pPr>
              <w:jc w:val="right"/>
              <w:ind w:right="911"/>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Equity in earnings (losses) of limited partnerships</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2480" w:type="dxa"/>
            <w:vAlign w:val="bottom"/>
          </w:tcPr>
          <w:p>
            <w:pPr>
              <w:jc w:val="right"/>
              <w:ind w:right="851"/>
              <w:spacing w:after="0"/>
              <w:rPr>
                <w:sz w:val="20"/>
                <w:szCs w:val="20"/>
                <w:color w:val="auto"/>
              </w:rPr>
            </w:pPr>
            <w:r>
              <w:rPr>
                <w:rFonts w:ascii="Arial" w:cs="Arial" w:eastAsia="Arial" w:hAnsi="Arial"/>
                <w:sz w:val="18"/>
                <w:szCs w:val="18"/>
                <w:color w:val="auto"/>
              </w:rPr>
              <w:t>(1)</w:t>
            </w: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NM</w:t>
            </w:r>
          </w:p>
        </w:tc>
      </w:tr>
      <w:tr>
        <w:trPr>
          <w:trHeight w:val="210"/>
        </w:trPr>
        <w:tc>
          <w:tcPr>
            <w:tcW w:w="62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80" w:type="dxa"/>
            <w:vAlign w:val="bottom"/>
            <w:tcBorders>
              <w:top w:val="single" w:sz="8" w:color="auto"/>
              <w:bottom w:val="single" w:sz="8" w:color="auto"/>
            </w:tcBorders>
            <w:shd w:val="clear" w:color="auto" w:fill="CCEEFF"/>
          </w:tcPr>
          <w:p>
            <w:pPr>
              <w:jc w:val="right"/>
              <w:ind w:right="911"/>
              <w:spacing w:after="0"/>
              <w:rPr>
                <w:sz w:val="20"/>
                <w:szCs w:val="20"/>
                <w:color w:val="auto"/>
              </w:rPr>
            </w:pPr>
            <w:r>
              <w:rPr>
                <w:rFonts w:ascii="Arial" w:cs="Arial" w:eastAsia="Arial" w:hAnsi="Arial"/>
                <w:sz w:val="18"/>
                <w:szCs w:val="18"/>
                <w:color w:val="auto"/>
              </w:rPr>
              <w:t>43</w:t>
            </w:r>
          </w:p>
        </w:tc>
        <w:tc>
          <w:tcPr>
            <w:tcW w:w="10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0"/>
        </w:trPr>
        <w:tc>
          <w:tcPr>
            <w:tcW w:w="6220" w:type="dxa"/>
            <w:vAlign w:val="bottom"/>
          </w:tcPr>
          <w:p>
            <w:pPr>
              <w:spacing w:after="0"/>
              <w:rPr>
                <w:sz w:val="20"/>
                <w:szCs w:val="20"/>
                <w:color w:val="auto"/>
              </w:rPr>
            </w:pPr>
            <w:r>
              <w:rPr>
                <w:rFonts w:ascii="Arial" w:cs="Arial" w:eastAsia="Arial" w:hAnsi="Arial"/>
                <w:sz w:val="18"/>
                <w:szCs w:val="18"/>
                <w:color w:val="auto"/>
              </w:rPr>
              <w:t>Benefits and other changes in policy reserves</w:t>
            </w: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2480" w:type="dxa"/>
            <w:vAlign w:val="bottom"/>
          </w:tcPr>
          <w:p>
            <w:pPr>
              <w:jc w:val="right"/>
              <w:ind w:right="911"/>
              <w:spacing w:after="0"/>
              <w:rPr>
                <w:sz w:val="20"/>
                <w:szCs w:val="20"/>
                <w:color w:val="auto"/>
              </w:rPr>
            </w:pPr>
            <w:r>
              <w:rPr>
                <w:rFonts w:ascii="Arial" w:cs="Arial" w:eastAsia="Arial" w:hAnsi="Arial"/>
                <w:sz w:val="18"/>
                <w:szCs w:val="18"/>
                <w:color w:val="auto"/>
              </w:rPr>
              <w:t>24</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policy acquisition costs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80" w:type="dxa"/>
            <w:vAlign w:val="bottom"/>
            <w:shd w:val="clear" w:color="auto" w:fill="CCEEFF"/>
          </w:tcPr>
          <w:p>
            <w:pPr>
              <w:jc w:val="right"/>
              <w:ind w:right="911"/>
              <w:spacing w:after="0"/>
              <w:rPr>
                <w:sz w:val="20"/>
                <w:szCs w:val="20"/>
                <w:color w:val="auto"/>
              </w:rPr>
            </w:pPr>
            <w:r>
              <w:rPr>
                <w:rFonts w:ascii="Arial" w:cs="Arial" w:eastAsia="Arial" w:hAnsi="Arial"/>
                <w:sz w:val="18"/>
                <w:szCs w:val="18"/>
                <w:color w:val="auto"/>
              </w:rPr>
              <w:t>5</w:t>
            </w:r>
          </w:p>
        </w:tc>
        <w:tc>
          <w:tcPr>
            <w:tcW w:w="10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8"/>
                <w:szCs w:val="18"/>
                <w:color w:val="auto"/>
              </w:rPr>
            </w:pPr>
          </w:p>
        </w:tc>
      </w:tr>
      <w:tr>
        <w:trPr>
          <w:trHeight w:val="216"/>
        </w:trPr>
        <w:tc>
          <w:tcPr>
            <w:tcW w:w="6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operating expenses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80" w:type="dxa"/>
            <w:vAlign w:val="bottom"/>
            <w:tcBorders>
              <w:bottom w:val="single" w:sz="8" w:color="auto"/>
            </w:tcBorders>
          </w:tcPr>
          <w:p>
            <w:pPr>
              <w:jc w:val="right"/>
              <w:ind w:right="911"/>
              <w:spacing w:after="0"/>
              <w:rPr>
                <w:sz w:val="20"/>
                <w:szCs w:val="20"/>
                <w:color w:val="auto"/>
              </w:rPr>
            </w:pPr>
            <w:r>
              <w:rPr>
                <w:rFonts w:ascii="Arial" w:cs="Arial" w:eastAsia="Arial" w:hAnsi="Arial"/>
                <w:sz w:val="18"/>
                <w:szCs w:val="18"/>
                <w:color w:val="auto"/>
              </w:rPr>
              <w:t>4</w:t>
            </w: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18"/>
                <w:szCs w:val="18"/>
                <w:color w:val="auto"/>
              </w:rPr>
            </w:pPr>
          </w:p>
        </w:tc>
      </w:tr>
      <w:tr>
        <w:trPr>
          <w:trHeight w:val="131"/>
        </w:trPr>
        <w:tc>
          <w:tcPr>
            <w:tcW w:w="6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bl>
    <w:p>
      <w:pPr>
        <w:sectPr>
          <w:pgSz w:w="11900" w:h="16900" w:orient="portrait"/>
          <w:cols w:equalWidth="0" w:num="1">
            <w:col w:w="11380"/>
          </w:cols>
          <w:pgMar w:left="240" w:top="125" w:right="279" w:bottom="0" w:gutter="0" w:footer="0" w:header="0"/>
          <w:type w:val="continuous"/>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benefits and expenses</w:t>
            </w:r>
          </w:p>
        </w:tc>
        <w:tc>
          <w:tcPr>
            <w:tcW w:w="14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31</w:t>
            </w:r>
          </w:p>
        </w:tc>
        <w:tc>
          <w:tcPr>
            <w:tcW w:w="1680" w:type="dxa"/>
            <w:vAlign w:val="bottom"/>
            <w:tcBorders>
              <w:bottom w:val="single" w:sz="8" w:color="auto"/>
            </w:tcBorders>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33</w:t>
            </w:r>
          </w:p>
        </w:tc>
        <w:tc>
          <w:tcPr>
            <w:tcW w:w="12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before income taxes</w:t>
            </w: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$13</w:t>
            </w:r>
          </w:p>
        </w:tc>
        <w:tc>
          <w:tcPr>
            <w:tcW w:w="1680" w:type="dxa"/>
            <w:vAlign w:val="bottom"/>
            <w:tcBorders>
              <w:bottom w:val="single" w:sz="8" w:color="auto"/>
            </w:tcBorders>
            <w:gridSpan w:val="2"/>
          </w:tcPr>
          <w:p>
            <w:pPr>
              <w:jc w:val="right"/>
              <w:ind w:right="690"/>
              <w:spacing w:after="0"/>
              <w:rPr>
                <w:sz w:val="20"/>
                <w:szCs w:val="20"/>
                <w:color w:val="auto"/>
              </w:rPr>
            </w:pPr>
            <w:r>
              <w:rPr>
                <w:rFonts w:ascii="Arial" w:cs="Arial" w:eastAsia="Arial" w:hAnsi="Arial"/>
                <w:sz w:val="18"/>
                <w:szCs w:val="18"/>
                <w:color w:val="auto"/>
              </w:rPr>
              <w:t>$10</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29.9 %</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220" w:type="dxa"/>
            <w:vAlign w:val="bottom"/>
            <w:tcBorders>
              <w:bottom w:val="single" w:sz="8" w:color="CCEEFF"/>
            </w:tcBorders>
            <w:shd w:val="clear" w:color="auto" w:fill="CCEEFF"/>
          </w:tcPr>
          <w:p>
            <w:pPr>
              <w:ind w:left="180"/>
              <w:spacing w:after="0" w:line="197" w:lineRule="exact"/>
              <w:rPr>
                <w:sz w:val="20"/>
                <w:szCs w:val="20"/>
                <w:color w:val="auto"/>
              </w:rPr>
            </w:pPr>
            <w:r>
              <w:rPr>
                <w:rFonts w:ascii="Arial" w:cs="Arial" w:eastAsia="Arial" w:hAnsi="Arial"/>
                <w:sz w:val="17"/>
                <w:szCs w:val="17"/>
                <w:color w:val="auto"/>
              </w:rPr>
              <w:t xml:space="preserve">Income before taxes – Indemnity </w:t>
            </w:r>
            <w:r>
              <w:rPr>
                <w:rFonts w:ascii="Arial" w:cs="Arial" w:eastAsia="Arial" w:hAnsi="Arial"/>
                <w:sz w:val="22"/>
                <w:szCs w:val="22"/>
                <w:color w:val="auto"/>
                <w:vertAlign w:val="superscript"/>
              </w:rPr>
              <w:t>(1)</w:t>
            </w:r>
          </w:p>
        </w:tc>
        <w:tc>
          <w:tcPr>
            <w:tcW w:w="1400" w:type="dxa"/>
            <w:vAlign w:val="bottom"/>
            <w:tcBorders>
              <w:bottom w:val="single" w:sz="8" w:color="auto"/>
            </w:tcBorders>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rPr>
              <w:t>$ 3</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690"/>
              <w:spacing w:after="0" w:line="196" w:lineRule="exact"/>
              <w:rPr>
                <w:sz w:val="20"/>
                <w:szCs w:val="20"/>
                <w:color w:val="auto"/>
              </w:rPr>
            </w:pPr>
            <w:r>
              <w:rPr>
                <w:rFonts w:ascii="Arial" w:cs="Arial" w:eastAsia="Arial" w:hAnsi="Arial"/>
                <w:sz w:val="18"/>
                <w:szCs w:val="18"/>
                <w:color w:val="auto"/>
                <w:w w:val="99"/>
              </w:rPr>
              <w:t>2</w:t>
            </w:r>
          </w:p>
        </w:tc>
        <w:tc>
          <w:tcPr>
            <w:tcW w:w="1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ind w:left="180"/>
              <w:spacing w:after="0" w:line="236" w:lineRule="exact"/>
              <w:rPr>
                <w:sz w:val="20"/>
                <w:szCs w:val="20"/>
                <w:color w:val="auto"/>
              </w:rPr>
            </w:pPr>
            <w:r>
              <w:rPr>
                <w:rFonts w:ascii="Arial" w:cs="Arial" w:eastAsia="Arial" w:hAnsi="Arial"/>
                <w:sz w:val="18"/>
                <w:szCs w:val="18"/>
                <w:color w:val="auto"/>
              </w:rPr>
              <w:t xml:space="preserve">Income before taxes – Exchange </w:t>
            </w:r>
            <w:r>
              <w:rPr>
                <w:rFonts w:ascii="Arial" w:cs="Arial" w:eastAsia="Arial" w:hAnsi="Arial"/>
                <w:sz w:val="23"/>
                <w:szCs w:val="23"/>
                <w:color w:val="auto"/>
                <w:vertAlign w:val="superscript"/>
              </w:rPr>
              <w:t>(1)</w:t>
            </w:r>
          </w:p>
        </w:tc>
        <w:tc>
          <w:tcPr>
            <w:tcW w:w="1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20" w:type="dxa"/>
            <w:vAlign w:val="bottom"/>
            <w:vMerge w:val="continue"/>
          </w:tcPr>
          <w:p>
            <w:pPr>
              <w:spacing w:after="0"/>
              <w:rPr>
                <w:sz w:val="17"/>
                <w:szCs w:val="17"/>
                <w:color w:val="auto"/>
              </w:rPr>
            </w:pPr>
          </w:p>
        </w:tc>
        <w:tc>
          <w:tcPr>
            <w:tcW w:w="140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$10</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690"/>
              <w:spacing w:after="0" w:line="196" w:lineRule="exact"/>
              <w:rPr>
                <w:sz w:val="20"/>
                <w:szCs w:val="20"/>
                <w:color w:val="auto"/>
              </w:rPr>
            </w:pPr>
            <w:r>
              <w:rPr>
                <w:rFonts w:ascii="Arial" w:cs="Arial" w:eastAsia="Arial" w:hAnsi="Arial"/>
                <w:sz w:val="18"/>
                <w:szCs w:val="18"/>
                <w:color w:val="auto"/>
                <w:w w:val="99"/>
              </w:rPr>
              <w:t>8</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80"/>
        <w:spacing w:after="0"/>
        <w:rPr>
          <w:sz w:val="20"/>
          <w:szCs w:val="20"/>
          <w:color w:val="auto"/>
        </w:rPr>
      </w:pPr>
      <w:r>
        <w:rPr>
          <w:rFonts w:ascii="Arial" w:cs="Arial" w:eastAsia="Arial" w:hAnsi="Arial"/>
          <w:sz w:val="14"/>
          <w:szCs w:val="14"/>
          <w:color w:val="auto"/>
        </w:rPr>
        <w:t>NM = not meaningful</w:t>
      </w:r>
    </w:p>
    <w:p>
      <w:pPr>
        <w:spacing w:after="0" w:line="136" w:lineRule="exact"/>
        <w:rPr>
          <w:sz w:val="20"/>
          <w:szCs w:val="20"/>
          <w:color w:val="auto"/>
        </w:rPr>
      </w:pPr>
    </w:p>
    <w:p>
      <w:pPr>
        <w:jc w:val="both"/>
        <w:ind w:left="340" w:right="160" w:hanging="332"/>
        <w:spacing w:after="0" w:line="256" w:lineRule="auto"/>
        <w:tabs>
          <w:tab w:leader="none" w:pos="319" w:val="left"/>
        </w:tabs>
        <w:numPr>
          <w:ilvl w:val="0"/>
          <w:numId w:val="18"/>
        </w:numPr>
        <w:rPr>
          <w:rFonts w:ascii="Arial" w:cs="Arial" w:eastAsia="Arial" w:hAnsi="Arial"/>
          <w:sz w:val="13"/>
          <w:szCs w:val="13"/>
          <w:i w:val="1"/>
          <w:iCs w:val="1"/>
          <w:color w:val="auto"/>
        </w:rPr>
      </w:pPr>
      <w:r>
        <w:rPr>
          <w:rFonts w:ascii="Arial" w:cs="Arial" w:eastAsia="Arial" w:hAnsi="Arial"/>
          <w:sz w:val="13"/>
          <w:szCs w:val="13"/>
          <w:i w:val="1"/>
          <w:iCs w:val="1"/>
          <w:color w:val="auto"/>
        </w:rPr>
        <w:t>Prior to and through March 31, 2011, Indemnity retained a 21.6% ownership interest in EFL, which accrued to the benefit of the Indemnity shareholder interest, and the Exchange retained a 78.4% ownership interest in EFL, which accrued to the benefit of the subscribers (policyholders) of the Exchange or noncontrolling interest. Due to the sale of Indemnity’s 21.6% ownership interest in EFL to the Exchange on March 31, 2011, 100% of the life insurance results of EFL will accrue to the benefit of the subscribers (policyholders) of the Exchange, or noncontrolling interest, after March 31, 2011. (See Item 1. “Financial Statements - Note 1, Nature of Operations,” contained within this report and the previous “Recent Events” section.)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Premiums</w:t>
      </w:r>
    </w:p>
    <w:p>
      <w:pPr>
        <w:spacing w:after="0" w:line="2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Gross policy revenues increased 4.3% to $26 million in the first quarter of 2011, compared to $25 million in the first quarter of 2010. EFL reinsures a large portion of its traditional products in order to reduce claims volatility. We currently reinsure 75% of our risk on new term business. Ceded reinsurance premiums were $10 million and $9 million in the first quarters of 2011 and 2010, respectively.</w:t>
      </w:r>
    </w:p>
    <w:p>
      <w:pPr>
        <w:spacing w:after="0" w:line="19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Premiums received on annuity and universal life products totaled $24 million in the first quarter of 2011, compared to $32 million in the first quarter of 2010. Of this amount, annuity and universal life premiums which are recorded as deposits, and therefore not reflected in revenue on the Consolidated Statements of Operations, totaled $21 million and $29 million in the first quarters of 2011 and 2010,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Due to continued positive market conditions in the first quarter of 2011, EFL experienced low levels of impairments. Equity in earnings of limited partnerships also reflected a slight improvement in market conditions in the fourth quarter of 2010 as limited partnership activity is reported on a one quarter lag. See additional discussion of investments in the “Investment Operations” segment that follows.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Benefits and expenses</w:t>
      </w:r>
    </w:p>
    <w:p>
      <w:pPr>
        <w:spacing w:after="0" w:line="2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first quarter of 2011 benefits and other changes in policy reserves were impacted by a decrease in the amortization of deferred policy acquisition costs compared to the first quarter of 2010.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operations</w:t>
      </w:r>
    </w:p>
    <w:p>
      <w:pPr>
        <w:sectPr>
          <w:pgSz w:w="11900" w:h="16838" w:orient="portrait"/>
          <w:cols w:equalWidth="0" w:num="1">
            <w:col w:w="11400"/>
          </w:cols>
          <w:pgMar w:left="240" w:top="140" w:right="259" w:bottom="0" w:gutter="0" w:footer="0" w:header="0"/>
        </w:sect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222" w:lineRule="auto"/>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23"/>
          <w:szCs w:val="23"/>
          <w:color w:val="auto"/>
          <w:vertAlign w:val="superscript"/>
        </w:rPr>
        <w:t>(1)</w:t>
      </w:r>
    </w:p>
    <w:p>
      <w:pPr>
        <w:spacing w:after="0" w:line="196" w:lineRule="auto"/>
        <w:rPr>
          <w:sz w:val="20"/>
          <w:szCs w:val="20"/>
          <w:color w:val="auto"/>
        </w:rPr>
      </w:pPr>
      <w:r>
        <w:rPr>
          <w:rFonts w:ascii="Arial" w:cs="Arial" w:eastAsia="Arial" w:hAnsi="Arial"/>
          <w:sz w:val="18"/>
          <w:szCs w:val="18"/>
          <w:color w:val="auto"/>
        </w:rPr>
        <w:t xml:space="preserve">Net realized gains on investments </w:t>
      </w:r>
      <w:r>
        <w:rPr>
          <w:rFonts w:ascii="Arial" w:cs="Arial" w:eastAsia="Arial" w:hAnsi="Arial"/>
          <w:sz w:val="23"/>
          <w:szCs w:val="23"/>
          <w:color w:val="auto"/>
          <w:vertAlign w:val="superscript"/>
        </w:rPr>
        <w:t>(1)</w:t>
      </w:r>
    </w:p>
    <w:p>
      <w:pPr>
        <w:spacing w:after="0" w:line="196" w:lineRule="auto"/>
        <w:rPr>
          <w:sz w:val="20"/>
          <w:szCs w:val="20"/>
          <w:color w:val="auto"/>
        </w:rPr>
      </w:pPr>
      <w:r>
        <w:rPr>
          <w:rFonts w:ascii="Arial" w:cs="Arial" w:eastAsia="Arial" w:hAnsi="Arial"/>
          <w:sz w:val="18"/>
          <w:szCs w:val="18"/>
          <w:color w:val="auto"/>
        </w:rPr>
        <w:t xml:space="preserve">Net impairment losses recognized in earnings </w:t>
      </w:r>
      <w:r>
        <w:rPr>
          <w:rFonts w:ascii="Arial" w:cs="Arial" w:eastAsia="Arial" w:hAnsi="Arial"/>
          <w:sz w:val="23"/>
          <w:szCs w:val="23"/>
          <w:color w:val="auto"/>
          <w:vertAlign w:val="superscript"/>
        </w:rPr>
        <w:t>(1)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limited partnerships</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Net revenue from investment operations – Indemnity </w:t>
      </w:r>
      <w:r>
        <w:rPr>
          <w:rFonts w:ascii="Arial" w:cs="Arial" w:eastAsia="Arial" w:hAnsi="Arial"/>
          <w:sz w:val="20"/>
          <w:szCs w:val="20"/>
          <w:color w:val="auto"/>
          <w:vertAlign w:val="superscript"/>
        </w:rPr>
        <w:t>(1) (2)</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Erie Insurance Group</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400" w:type="dxa"/>
            <w:vAlign w:val="bottom"/>
            <w:tcBorders>
              <w:top w:val="single" w:sz="8" w:color="auto"/>
            </w:tcBorders>
            <w:gridSpan w:val="2"/>
          </w:tcPr>
          <w:p>
            <w:pPr>
              <w:ind w:left="120"/>
              <w:spacing w:after="0" w:line="195" w:lineRule="exact"/>
              <w:rPr>
                <w:sz w:val="20"/>
                <w:szCs w:val="20"/>
                <w:color w:val="auto"/>
              </w:rPr>
            </w:pPr>
            <w:r>
              <w:rPr>
                <w:rFonts w:ascii="Arial" w:cs="Arial" w:eastAsia="Arial" w:hAnsi="Arial"/>
                <w:sz w:val="18"/>
                <w:szCs w:val="18"/>
                <w:color w:val="auto"/>
                <w:w w:val="89"/>
              </w:rPr>
              <w:t>Three months ended March 31,</w:t>
            </w:r>
          </w:p>
        </w:tc>
        <w:tc>
          <w:tcPr>
            <w:tcW w:w="1020" w:type="dxa"/>
            <w:vAlign w:val="bottom"/>
            <w:tcBorders>
              <w:top w:val="single" w:sz="8" w:color="auto"/>
            </w:tcBorders>
          </w:tcPr>
          <w:p>
            <w:pPr>
              <w:spacing w:after="0"/>
              <w:rPr>
                <w:sz w:val="16"/>
                <w:szCs w:val="16"/>
                <w:color w:val="auto"/>
              </w:rPr>
            </w:pPr>
          </w:p>
        </w:tc>
      </w:tr>
      <w:tr>
        <w:trPr>
          <w:trHeight w:val="230"/>
        </w:trPr>
        <w:tc>
          <w:tcPr>
            <w:tcW w:w="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2011</w:t>
            </w:r>
          </w:p>
        </w:tc>
        <w:tc>
          <w:tcPr>
            <w:tcW w:w="2400" w:type="dxa"/>
            <w:vAlign w:val="bottom"/>
            <w:tcBorders>
              <w:bottom w:val="single" w:sz="8" w:color="auto"/>
            </w:tcBorders>
            <w:gridSpan w:val="2"/>
          </w:tcPr>
          <w:p>
            <w:pPr>
              <w:ind w:left="1080"/>
              <w:spacing w:after="0"/>
              <w:rPr>
                <w:sz w:val="20"/>
                <w:szCs w:val="20"/>
                <w:color w:val="auto"/>
              </w:rPr>
            </w:pPr>
            <w:r>
              <w:rPr>
                <w:rFonts w:ascii="Arial" w:cs="Arial" w:eastAsia="Arial" w:hAnsi="Arial"/>
                <w:sz w:val="18"/>
                <w:szCs w:val="18"/>
                <w:color w:val="auto"/>
              </w:rPr>
              <w:t>2010</w:t>
            </w: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7"/>
              </w:rPr>
              <w:t>% Change</w:t>
            </w:r>
          </w:p>
        </w:tc>
      </w:tr>
      <w:tr>
        <w:trPr>
          <w:trHeight w:val="182"/>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ind w:left="140"/>
              <w:spacing w:after="0"/>
              <w:rPr>
                <w:sz w:val="20"/>
                <w:szCs w:val="20"/>
                <w:color w:val="auto"/>
              </w:rPr>
            </w:pPr>
            <w:r>
              <w:rPr>
                <w:rFonts w:ascii="Arial" w:cs="Arial" w:eastAsia="Arial" w:hAnsi="Arial"/>
                <w:sz w:val="14"/>
                <w:szCs w:val="14"/>
                <w:color w:val="auto"/>
              </w:rPr>
              <w:t>(Unaudited)</w:t>
            </w: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6"/>
        </w:trPr>
        <w:tc>
          <w:tcPr>
            <w:tcW w:w="540" w:type="dxa"/>
            <w:vAlign w:val="bottom"/>
          </w:tcPr>
          <w:p>
            <w:pPr>
              <w:ind w:left="42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180" w:type="dxa"/>
            <w:vAlign w:val="bottom"/>
          </w:tcPr>
          <w:p>
            <w:pPr>
              <w:ind w:left="108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910"/>
              <w:spacing w:after="0"/>
              <w:rPr>
                <w:sz w:val="20"/>
                <w:szCs w:val="20"/>
                <w:color w:val="auto"/>
              </w:rPr>
            </w:pPr>
            <w:r>
              <w:rPr>
                <w:rFonts w:ascii="Arial" w:cs="Arial" w:eastAsia="Arial" w:hAnsi="Arial"/>
                <w:sz w:val="18"/>
                <w:szCs w:val="18"/>
                <w:color w:val="auto"/>
              </w:rPr>
              <w:t>9</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(56.7)%</w:t>
            </w:r>
          </w:p>
        </w:tc>
      </w:tr>
      <w:tr>
        <w:trPr>
          <w:trHeight w:val="216"/>
        </w:trPr>
        <w:tc>
          <w:tcPr>
            <w:tcW w:w="540" w:type="dxa"/>
            <w:vAlign w:val="bottom"/>
          </w:tcPr>
          <w:p>
            <w:pPr>
              <w:spacing w:after="0"/>
              <w:rPr>
                <w:sz w:val="18"/>
                <w:szCs w:val="18"/>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180" w:type="dxa"/>
            <w:vAlign w:val="bottom"/>
          </w:tcPr>
          <w:p>
            <w:pPr>
              <w:spacing w:after="0"/>
              <w:rPr>
                <w:sz w:val="18"/>
                <w:szCs w:val="18"/>
                <w:color w:val="auto"/>
              </w:rPr>
            </w:pPr>
          </w:p>
        </w:tc>
        <w:tc>
          <w:tcPr>
            <w:tcW w:w="1220" w:type="dxa"/>
            <w:vAlign w:val="bottom"/>
          </w:tcPr>
          <w:p>
            <w:pPr>
              <w:jc w:val="right"/>
              <w:ind w:right="910"/>
              <w:spacing w:after="0"/>
              <w:rPr>
                <w:sz w:val="20"/>
                <w:szCs w:val="20"/>
                <w:color w:val="auto"/>
              </w:rPr>
            </w:pPr>
            <w:r>
              <w:rPr>
                <w:rFonts w:ascii="Arial" w:cs="Arial" w:eastAsia="Arial" w:hAnsi="Arial"/>
                <w:sz w:val="18"/>
                <w:szCs w:val="18"/>
                <w:color w:val="auto"/>
              </w:rPr>
              <w:t>5</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(81.0)%</w:t>
            </w:r>
          </w:p>
        </w:tc>
      </w:tr>
      <w:tr>
        <w:trPr>
          <w:trHeight w:val="216"/>
        </w:trPr>
        <w:tc>
          <w:tcPr>
            <w:tcW w:w="540" w:type="dxa"/>
            <w:vAlign w:val="bottom"/>
          </w:tcPr>
          <w:p>
            <w:pPr>
              <w:spacing w:after="0"/>
              <w:rPr>
                <w:sz w:val="18"/>
                <w:szCs w:val="18"/>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1180" w:type="dxa"/>
            <w:vAlign w:val="bottom"/>
          </w:tcPr>
          <w:p>
            <w:pPr>
              <w:spacing w:after="0"/>
              <w:rPr>
                <w:sz w:val="18"/>
                <w:szCs w:val="18"/>
                <w:color w:val="auto"/>
              </w:rPr>
            </w:pPr>
          </w:p>
        </w:tc>
        <w:tc>
          <w:tcPr>
            <w:tcW w:w="1220" w:type="dxa"/>
            <w:vAlign w:val="bottom"/>
          </w:tcPr>
          <w:p>
            <w:pPr>
              <w:jc w:val="right"/>
              <w:ind w:right="910"/>
              <w:spacing w:after="0"/>
              <w:rPr>
                <w:sz w:val="20"/>
                <w:szCs w:val="20"/>
                <w:color w:val="auto"/>
              </w:rPr>
            </w:pPr>
            <w:r>
              <w:rPr>
                <w:rFonts w:ascii="Arial" w:cs="Arial" w:eastAsia="Arial" w:hAnsi="Arial"/>
                <w:sz w:val="18"/>
                <w:szCs w:val="18"/>
                <w:color w:val="auto"/>
              </w:rPr>
              <w:t>0</w:t>
            </w: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NM</w:t>
            </w:r>
          </w:p>
        </w:tc>
      </w:tr>
      <w:tr>
        <w:trPr>
          <w:trHeight w:val="230"/>
        </w:trPr>
        <w:tc>
          <w:tcPr>
            <w:tcW w:w="5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9"/>
              </w:rPr>
              <w:t>11</w:t>
            </w:r>
          </w:p>
        </w:tc>
        <w:tc>
          <w:tcPr>
            <w:tcW w:w="1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0</w:t>
            </w: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NM</w:t>
            </w:r>
          </w:p>
        </w:tc>
      </w:tr>
      <w:tr>
        <w:trPr>
          <w:trHeight w:val="210"/>
        </w:trPr>
        <w:tc>
          <w:tcPr>
            <w:tcW w:w="5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9"/>
              </w:rPr>
              <w:t>16</w:t>
            </w:r>
          </w:p>
        </w:tc>
        <w:tc>
          <w:tcPr>
            <w:tcW w:w="118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14</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13.2 %</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-719455</wp:posOffset>
            </wp:positionV>
            <wp:extent cx="675767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57670" cy="137160"/>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-445135</wp:posOffset>
            </wp:positionV>
            <wp:extent cx="675767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57670" cy="137160"/>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-170815</wp:posOffset>
            </wp:positionV>
            <wp:extent cx="675767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57670" cy="154305"/>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5500" w:space="720"/>
            <w:col w:w="5180"/>
          </w:cols>
          <w:pgMar w:left="240" w:top="140" w:right="259" w:bottom="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6220" w:type="dxa"/>
            <w:vAlign w:val="bottom"/>
            <w:shd w:val="clear" w:color="auto" w:fill="CCEEFF"/>
          </w:tcPr>
          <w:p>
            <w:pPr>
              <w:spacing w:after="0" w:line="223" w:lineRule="exact"/>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23"/>
                <w:szCs w:val="23"/>
                <w:color w:val="auto"/>
                <w:vertAlign w:val="superscript"/>
              </w:rPr>
              <w:t>(1)</w:t>
            </w:r>
          </w:p>
        </w:tc>
        <w:tc>
          <w:tcPr>
            <w:tcW w:w="13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$104</w:t>
            </w:r>
          </w:p>
        </w:tc>
        <w:tc>
          <w:tcPr>
            <w:tcW w:w="16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$ 97</w:t>
            </w: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6.9 %</w:t>
            </w:r>
          </w:p>
        </w:tc>
        <w:tc>
          <w:tcPr>
            <w:tcW w:w="100" w:type="dxa"/>
            <w:vAlign w:val="bottom"/>
            <w:shd w:val="clear" w:color="auto" w:fill="CCEEFF"/>
          </w:tcPr>
          <w:p>
            <w:pPr>
              <w:spacing w:after="0"/>
              <w:rPr>
                <w:sz w:val="19"/>
                <w:szCs w:val="19"/>
                <w:color w:val="auto"/>
              </w:rPr>
            </w:pPr>
          </w:p>
        </w:tc>
      </w:tr>
      <w:tr>
        <w:trPr>
          <w:trHeight w:val="216"/>
        </w:trPr>
        <w:tc>
          <w:tcPr>
            <w:tcW w:w="6220" w:type="dxa"/>
            <w:vAlign w:val="bottom"/>
          </w:tcPr>
          <w:p>
            <w:pPr>
              <w:spacing w:after="0" w:line="216" w:lineRule="exact"/>
              <w:rPr>
                <w:sz w:val="20"/>
                <w:szCs w:val="20"/>
                <w:color w:val="auto"/>
              </w:rPr>
            </w:pPr>
            <w:r>
              <w:rPr>
                <w:rFonts w:ascii="Arial" w:cs="Arial" w:eastAsia="Arial" w:hAnsi="Arial"/>
                <w:sz w:val="18"/>
                <w:szCs w:val="18"/>
                <w:color w:val="auto"/>
              </w:rPr>
              <w:t xml:space="preserve">Net realized gains on investments </w:t>
            </w:r>
            <w:r>
              <w:rPr>
                <w:rFonts w:ascii="Arial" w:cs="Arial" w:eastAsia="Arial" w:hAnsi="Arial"/>
                <w:sz w:val="23"/>
                <w:szCs w:val="23"/>
                <w:color w:val="auto"/>
                <w:vertAlign w:val="superscript"/>
              </w:rPr>
              <w:t>(1)</w:t>
            </w:r>
          </w:p>
        </w:tc>
        <w:tc>
          <w:tcPr>
            <w:tcW w:w="1340" w:type="dxa"/>
            <w:vAlign w:val="bottom"/>
          </w:tcPr>
          <w:p>
            <w:pPr>
              <w:jc w:val="right"/>
              <w:ind w:right="510"/>
              <w:spacing w:after="0"/>
              <w:rPr>
                <w:sz w:val="20"/>
                <w:szCs w:val="20"/>
                <w:color w:val="auto"/>
              </w:rPr>
            </w:pPr>
            <w:r>
              <w:rPr>
                <w:rFonts w:ascii="Arial" w:cs="Arial" w:eastAsia="Arial" w:hAnsi="Arial"/>
                <w:sz w:val="18"/>
                <w:szCs w:val="18"/>
                <w:color w:val="auto"/>
              </w:rPr>
              <w:t>148</w:t>
            </w:r>
          </w:p>
        </w:tc>
        <w:tc>
          <w:tcPr>
            <w:tcW w:w="1600" w:type="dxa"/>
            <w:vAlign w:val="bottom"/>
          </w:tcPr>
          <w:p>
            <w:pPr>
              <w:jc w:val="right"/>
              <w:ind w:right="530"/>
              <w:spacing w:after="0"/>
              <w:rPr>
                <w:sz w:val="20"/>
                <w:szCs w:val="20"/>
                <w:color w:val="auto"/>
              </w:rPr>
            </w:pPr>
            <w:r>
              <w:rPr>
                <w:rFonts w:ascii="Arial" w:cs="Arial" w:eastAsia="Arial" w:hAnsi="Arial"/>
                <w:sz w:val="18"/>
                <w:szCs w:val="18"/>
                <w:color w:val="auto"/>
              </w:rPr>
              <w:t>120</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24.2 %</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Net impairment losses recognized in earnings </w:t>
            </w:r>
            <w:r>
              <w:rPr>
                <w:rFonts w:ascii="Arial" w:cs="Arial" w:eastAsia="Arial" w:hAnsi="Arial"/>
                <w:sz w:val="23"/>
                <w:szCs w:val="23"/>
                <w:color w:val="auto"/>
                <w:vertAlign w:val="superscript"/>
              </w:rPr>
              <w:t>(1)</w:t>
            </w:r>
          </w:p>
        </w:tc>
        <w:tc>
          <w:tcPr>
            <w:tcW w:w="13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0</w:t>
            </w:r>
          </w:p>
        </w:tc>
        <w:tc>
          <w:tcPr>
            <w:tcW w:w="16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w:t>
            </w:r>
          </w:p>
        </w:tc>
        <w:tc>
          <w:tcPr>
            <w:tcW w:w="15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NM</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Equity in earnings of limited partnerships</w:t>
            </w:r>
          </w:p>
        </w:tc>
        <w:tc>
          <w:tcPr>
            <w:tcW w:w="1340" w:type="dxa"/>
            <w:vAlign w:val="bottom"/>
          </w:tcPr>
          <w:p>
            <w:pPr>
              <w:jc w:val="right"/>
              <w:ind w:right="510"/>
              <w:spacing w:after="0"/>
              <w:rPr>
                <w:sz w:val="20"/>
                <w:szCs w:val="20"/>
                <w:color w:val="auto"/>
              </w:rPr>
            </w:pPr>
            <w:r>
              <w:rPr>
                <w:rFonts w:ascii="Arial" w:cs="Arial" w:eastAsia="Arial" w:hAnsi="Arial"/>
                <w:sz w:val="18"/>
                <w:szCs w:val="18"/>
                <w:color w:val="auto"/>
              </w:rPr>
              <w:t>61</w:t>
            </w:r>
          </w:p>
        </w:tc>
        <w:tc>
          <w:tcPr>
            <w:tcW w:w="1600" w:type="dxa"/>
            <w:vAlign w:val="bottom"/>
          </w:tcPr>
          <w:p>
            <w:pPr>
              <w:jc w:val="right"/>
              <w:ind w:right="530"/>
              <w:spacing w:after="0"/>
              <w:rPr>
                <w:sz w:val="20"/>
                <w:szCs w:val="20"/>
                <w:color w:val="auto"/>
              </w:rPr>
            </w:pPr>
            <w:r>
              <w:rPr>
                <w:rFonts w:ascii="Arial" w:cs="Arial" w:eastAsia="Arial" w:hAnsi="Arial"/>
                <w:sz w:val="18"/>
                <w:szCs w:val="18"/>
                <w:color w:val="auto"/>
              </w:rPr>
              <w:t>3</w:t>
            </w:r>
          </w:p>
        </w:tc>
        <w:tc>
          <w:tcPr>
            <w:tcW w:w="1500" w:type="dxa"/>
            <w:vAlign w:val="bottom"/>
            <w:gridSpan w:val="2"/>
          </w:tcPr>
          <w:p>
            <w:pPr>
              <w:ind w:left="600"/>
              <w:spacing w:after="0"/>
              <w:rPr>
                <w:sz w:val="20"/>
                <w:szCs w:val="20"/>
                <w:color w:val="auto"/>
              </w:rPr>
            </w:pPr>
            <w:r>
              <w:rPr>
                <w:rFonts w:ascii="Arial" w:cs="Arial" w:eastAsia="Arial" w:hAnsi="Arial"/>
                <w:sz w:val="18"/>
                <w:szCs w:val="18"/>
                <w:color w:val="auto"/>
              </w:rPr>
              <w:t>NM</w:t>
            </w:r>
          </w:p>
        </w:tc>
      </w:tr>
      <w:tr>
        <w:trPr>
          <w:trHeight w:val="210"/>
        </w:trPr>
        <w:tc>
          <w:tcPr>
            <w:tcW w:w="6220" w:type="dxa"/>
            <w:vAlign w:val="bottom"/>
            <w:tcBorders>
              <w:top w:val="single" w:sz="8" w:color="CCEEFF"/>
              <w:bottom w:val="single" w:sz="8" w:color="CCEEFF"/>
            </w:tcBorders>
            <w:shd w:val="clear" w:color="auto" w:fill="CCEEFF"/>
          </w:tcPr>
          <w:p>
            <w:pPr>
              <w:ind w:left="180"/>
              <w:spacing w:after="0" w:line="210" w:lineRule="exact"/>
              <w:rPr>
                <w:sz w:val="20"/>
                <w:szCs w:val="20"/>
                <w:color w:val="auto"/>
              </w:rPr>
            </w:pPr>
            <w:r>
              <w:rPr>
                <w:rFonts w:ascii="Arial" w:cs="Arial" w:eastAsia="Arial" w:hAnsi="Arial"/>
                <w:sz w:val="18"/>
                <w:szCs w:val="18"/>
                <w:color w:val="auto"/>
              </w:rPr>
              <w:t xml:space="preserve">Net revenue from investment operations – Exchange </w:t>
            </w:r>
            <w:r>
              <w:rPr>
                <w:rFonts w:ascii="Arial" w:cs="Arial" w:eastAsia="Arial" w:hAnsi="Arial"/>
                <w:sz w:val="23"/>
                <w:szCs w:val="23"/>
                <w:color w:val="auto"/>
                <w:vertAlign w:val="superscript"/>
              </w:rPr>
              <w:t>(1) (2)</w:t>
            </w:r>
          </w:p>
        </w:tc>
        <w:tc>
          <w:tcPr>
            <w:tcW w:w="134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$313</w:t>
            </w:r>
          </w:p>
        </w:tc>
        <w:tc>
          <w:tcPr>
            <w:tcW w:w="1600" w:type="dxa"/>
            <w:vAlign w:val="bottom"/>
            <w:tcBorders>
              <w:top w:val="single" w:sz="8" w:color="auto"/>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$218</w:t>
            </w:r>
          </w:p>
        </w:tc>
        <w:tc>
          <w:tcPr>
            <w:tcW w:w="1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43.4 %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left="80"/>
        <w:spacing w:after="0"/>
        <w:rPr>
          <w:sz w:val="20"/>
          <w:szCs w:val="20"/>
          <w:color w:val="auto"/>
        </w:rPr>
      </w:pPr>
      <w:r>
        <w:rPr>
          <w:rFonts w:ascii="Arial" w:cs="Arial" w:eastAsia="Arial" w:hAnsi="Arial"/>
          <w:sz w:val="14"/>
          <w:szCs w:val="14"/>
          <w:color w:val="auto"/>
        </w:rPr>
        <w:t>NM = not meaningful</w:t>
      </w:r>
    </w:p>
    <w:p>
      <w:pPr>
        <w:spacing w:after="0" w:line="109" w:lineRule="exact"/>
        <w:rPr>
          <w:sz w:val="20"/>
          <w:szCs w:val="20"/>
          <w:color w:val="auto"/>
        </w:rPr>
      </w:pPr>
    </w:p>
    <w:p>
      <w:pPr>
        <w:ind w:left="400" w:right="40" w:hanging="315"/>
        <w:spacing w:after="0" w:line="234" w:lineRule="auto"/>
        <w:tabs>
          <w:tab w:leader="none" w:pos="379"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As a result of the sale of Indemnity’s property and casualty insurance subsidiaries, EIC, ENY and EPC, to the Exchange on December 31, 2010, investment revenue and losses generated from these entities will no longer accrue to the benefit of the Indemnity shareholder interest after this date. Investment revenue from these entities totaled $6 million in the first quarter of 2010. These components of investment income will accrue to the benefit of the subscribers (policyholders) of the Exchange, or noncontrolling interest, in 2011 and thereafter. (See Item 1. “Financial Statements - Note 1, Nature of Operations,” contained within this report.)</w:t>
      </w:r>
    </w:p>
    <w:p>
      <w:pPr>
        <w:spacing w:after="0" w:line="87" w:lineRule="exact"/>
        <w:rPr>
          <w:rFonts w:ascii="Arial" w:cs="Arial" w:eastAsia="Arial" w:hAnsi="Arial"/>
          <w:sz w:val="14"/>
          <w:szCs w:val="14"/>
          <w:i w:val="1"/>
          <w:iCs w:val="1"/>
          <w:color w:val="auto"/>
        </w:rPr>
      </w:pPr>
    </w:p>
    <w:p>
      <w:pPr>
        <w:ind w:left="380" w:hanging="295"/>
        <w:spacing w:after="0"/>
        <w:tabs>
          <w:tab w:leader="none" w:pos="38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The Exchange’s results for the first quarter of 2011 and 2010 include net investment revenues from EFL’s operations of $27 million and $27 million,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income</w:t>
      </w:r>
    </w:p>
    <w:p>
      <w:pPr>
        <w:spacing w:after="0" w:line="23" w:lineRule="exact"/>
        <w:rPr>
          <w:sz w:val="20"/>
          <w:szCs w:val="20"/>
          <w:color w:val="auto"/>
        </w:rPr>
      </w:pPr>
    </w:p>
    <w:p>
      <w:pPr>
        <w:ind w:right="360"/>
        <w:spacing w:after="0" w:line="277" w:lineRule="auto"/>
        <w:rPr>
          <w:sz w:val="20"/>
          <w:szCs w:val="20"/>
          <w:color w:val="auto"/>
        </w:rPr>
      </w:pPr>
      <w:r>
        <w:rPr>
          <w:rFonts w:ascii="Arial" w:cs="Arial" w:eastAsia="Arial" w:hAnsi="Arial"/>
          <w:sz w:val="17"/>
          <w:szCs w:val="17"/>
          <w:color w:val="auto"/>
        </w:rPr>
        <w:t>Net investment income primarily includes interest and dividends on our fixed maturity and equity security portfolios. Indemnity net investment income decreased $5 million in the first quarter of 2011 compared to 2010, while the Exchange’s net investment income increased $7 million primarily due to $6 million of investment income of EIC, ENY and EPC which were sold to the Exchange on December 31, 2010.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realized gains on investments</w:t>
      </w:r>
    </w:p>
    <w:p>
      <w:pPr>
        <w:spacing w:after="0" w:line="23"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Net realized gains on investments decreased 81.0% for Indemnity and increased 24.2% for the Exchange in the first quarter of 2011 compared to 2010. Indemnity net realized gains decreased in 2011 primarily due to lower common stock valuation adjustments and lower realized gains on the sale of bonds. Net realized gains for the Exchange increased primarily due to higher valuation adjustments on common stocks of $82 million in 2011 compared to $71 million in 2010. Net realized gains on the sale of common stocks for the Exchange also increased to $48 million in 2011 compared to $33 million in 2010.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impairment losses recognized in earnings</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Impairment losses recognized in earnings decreased $2 million for the Exchange in the first quarter of 2011 compared to the first quarter of 2010 as a result of improved market conditions.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 earnings of limited partnerships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Indemnity’s equity in earnings of limited partnerships totaled $11 million in the first quarter of 2011, compared to minimal earnings in the first quarter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2010. The Exchange’s equity in earnings of limited partnerships totaled $61 million in the first quarter of 2011, compared to $3 million in the first quarter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2010. The results were due to improved market conditions across all limited partnership sectors.</w:t>
      </w:r>
    </w:p>
    <w:p>
      <w:pPr>
        <w:sectPr>
          <w:pgSz w:w="11900" w:h="16838" w:orient="portrait"/>
          <w:cols w:equalWidth="0" w:num="1">
            <w:col w:w="11400"/>
          </w:cols>
          <w:pgMar w:left="240" w:top="140" w:right="259" w:bottom="0" w:gutter="0" w:footer="0" w:header="0"/>
          <w:type w:val="continuous"/>
        </w:sectPr>
      </w:pPr>
    </w:p>
    <w:bookmarkStart w:id="32" w:name="page33"/>
    <w:bookmarkEnd w:id="32"/>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breakdown of our net realized gains (losses) on investments is as follows:</w:t>
      </w:r>
    </w:p>
    <w:p>
      <w:pPr>
        <w:spacing w:after="0" w:line="225"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Erie Insurance Group</w:t>
      </w:r>
    </w:p>
    <w:p>
      <w:pPr>
        <w:spacing w:after="0"/>
        <w:tabs>
          <w:tab w:leader="none" w:pos="7240" w:val="left"/>
        </w:tabs>
        <w:rPr>
          <w:sz w:val="20"/>
          <w:szCs w:val="20"/>
          <w:color w:val="auto"/>
        </w:rPr>
      </w:pPr>
      <w:r>
        <w:rPr>
          <w:rFonts w:ascii="Arial" w:cs="Arial" w:eastAsia="Arial" w:hAnsi="Arial"/>
          <w:sz w:val="28"/>
          <w:szCs w:val="28"/>
          <w:i w:val="1"/>
          <w:iCs w:val="1"/>
          <w:color w:val="auto"/>
          <w:vertAlign w:val="subscript"/>
        </w:rPr>
        <w:t>(in millions)</w:t>
      </w:r>
      <w:r>
        <w:rPr>
          <w:sz w:val="20"/>
          <w:szCs w:val="20"/>
          <w:color w:val="auto"/>
        </w:rPr>
        <w:tab/>
      </w:r>
      <w:r>
        <w:rPr>
          <w:rFonts w:ascii="Arial" w:cs="Arial" w:eastAsia="Arial" w:hAnsi="Arial"/>
          <w:sz w:val="16"/>
          <w:szCs w:val="16"/>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-145415</wp:posOffset>
            </wp:positionV>
            <wp:extent cx="17665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ind w:left="7440"/>
        <w:spacing w:after="0"/>
        <w:tabs>
          <w:tab w:leader="none" w:pos="8940" w:val="left"/>
        </w:tabs>
        <w:rPr>
          <w:sz w:val="20"/>
          <w:szCs w:val="20"/>
          <w:color w:val="auto"/>
        </w:rPr>
      </w:pPr>
      <w:r>
        <w:rPr>
          <w:rFonts w:ascii="Arial" w:cs="Arial" w:eastAsia="Arial" w:hAnsi="Arial"/>
          <w:sz w:val="18"/>
          <w:szCs w:val="18"/>
          <w:color w:val="auto"/>
        </w:rPr>
        <w:t>2011</w:t>
      </w:r>
      <w:r>
        <w:rPr>
          <w:sz w:val="20"/>
          <w:szCs w:val="20"/>
          <w:color w:val="auto"/>
        </w:rPr>
        <w:tab/>
      </w:r>
      <w:r>
        <w:rPr>
          <w:rFonts w:ascii="Arial" w:cs="Arial" w:eastAsia="Arial" w:hAnsi="Arial"/>
          <w:sz w:val="18"/>
          <w:szCs w:val="18"/>
          <w:color w:val="auto"/>
        </w:rPr>
        <w:t>2010</w:t>
      </w:r>
    </w:p>
    <w:p>
      <w:pPr>
        <w:sectPr>
          <w:pgSz w:w="11900" w:h="16838" w:orient="portrait"/>
          <w:cols w:equalWidth="0" w:num="1">
            <w:col w:w="11340"/>
          </w:cols>
          <w:pgMar w:left="240" w:top="341" w:right="319" w:bottom="0" w:gutter="0" w:footer="0" w:header="0"/>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sold: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Fixed maturities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Preferred stock equity securities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Common stock equity securities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Common stock valuation adjustments</w:t>
      </w:r>
    </w:p>
    <w:p>
      <w:pPr>
        <w:spacing w:after="0" w:line="4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 net realized gains – Indemnity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sold: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Fixed maturities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Preferred stock equity securities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Common stock equity securities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Common stock valuation adjustments</w:t>
      </w:r>
    </w:p>
    <w:p>
      <w:pPr>
        <w:spacing w:after="0" w:line="4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 net realized gains – Exchange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-786130</wp:posOffset>
            </wp:positionV>
            <wp:extent cx="627761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77610" cy="13716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-511810</wp:posOffset>
            </wp:positionV>
            <wp:extent cx="627761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77610" cy="13716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-237490</wp:posOffset>
            </wp:positionV>
            <wp:extent cx="627761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77610" cy="13716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53340</wp:posOffset>
            </wp:positionV>
            <wp:extent cx="627761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77610" cy="13716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327660</wp:posOffset>
            </wp:positionV>
            <wp:extent cx="627761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77610" cy="13716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602615</wp:posOffset>
            </wp:positionV>
            <wp:extent cx="627761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77610" cy="13716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876935</wp:posOffset>
            </wp:positionV>
            <wp:extent cx="627761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7761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1"/>
          <w:szCs w:val="11"/>
          <w:color w:val="auto"/>
        </w:rPr>
        <w:t>(1) (2)</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314"/>
              <w:spacing w:after="0"/>
              <w:rPr>
                <w:sz w:val="20"/>
                <w:szCs w:val="20"/>
                <w:color w:val="auto"/>
              </w:rPr>
            </w:pPr>
            <w:r>
              <w:rPr>
                <w:rFonts w:ascii="Arial" w:cs="Arial" w:eastAsia="Arial" w:hAnsi="Arial"/>
                <w:sz w:val="14"/>
                <w:szCs w:val="14"/>
                <w:color w:val="auto"/>
              </w:rPr>
              <w:t>(Unaudited)</w:t>
            </w:r>
          </w:p>
        </w:tc>
        <w:tc>
          <w:tcPr>
            <w:tcW w:w="660" w:type="dxa"/>
            <w:vAlign w:val="bottom"/>
          </w:tcPr>
          <w:p>
            <w:pPr>
              <w:spacing w:after="0"/>
              <w:rPr>
                <w:sz w:val="15"/>
                <w:szCs w:val="15"/>
                <w:color w:val="auto"/>
              </w:rPr>
            </w:pPr>
          </w:p>
        </w:tc>
      </w:tr>
      <w:tr>
        <w:trPr>
          <w:trHeight w:val="403"/>
        </w:trPr>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2</w:t>
            </w:r>
          </w:p>
        </w:tc>
      </w:tr>
      <w:tr>
        <w:trPr>
          <w:trHeight w:val="216"/>
        </w:trPr>
        <w:tc>
          <w:tcPr>
            <w:tcW w:w="560" w:type="dxa"/>
            <w:vAlign w:val="bottom"/>
          </w:tcPr>
          <w:p>
            <w:pPr>
              <w:spacing w:after="0"/>
              <w:rPr>
                <w:sz w:val="18"/>
                <w:szCs w:val="18"/>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200" w:type="dxa"/>
            <w:vAlign w:val="bottom"/>
          </w:tcPr>
          <w:p>
            <w:pPr>
              <w:spacing w:after="0"/>
              <w:rPr>
                <w:sz w:val="18"/>
                <w:szCs w:val="18"/>
                <w:color w:val="auto"/>
              </w:rPr>
            </w:pP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0</w:t>
            </w:r>
          </w:p>
        </w:tc>
      </w:tr>
      <w:tr>
        <w:trPr>
          <w:trHeight w:val="216"/>
        </w:trPr>
        <w:tc>
          <w:tcPr>
            <w:tcW w:w="560" w:type="dxa"/>
            <w:vAlign w:val="bottom"/>
          </w:tcPr>
          <w:p>
            <w:pPr>
              <w:spacing w:after="0"/>
              <w:rPr>
                <w:sz w:val="18"/>
                <w:szCs w:val="18"/>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200" w:type="dxa"/>
            <w:vAlign w:val="bottom"/>
          </w:tcPr>
          <w:p>
            <w:pPr>
              <w:spacing w:after="0"/>
              <w:rPr>
                <w:sz w:val="18"/>
                <w:szCs w:val="18"/>
                <w:color w:val="auto"/>
              </w:rPr>
            </w:pP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1</w:t>
            </w:r>
          </w:p>
        </w:tc>
      </w:tr>
      <w:tr>
        <w:trPr>
          <w:trHeight w:val="230"/>
        </w:trPr>
        <w:tc>
          <w:tcPr>
            <w:tcW w:w="5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w:t>
            </w:r>
          </w:p>
        </w:tc>
      </w:tr>
      <w:tr>
        <w:trPr>
          <w:trHeight w:val="210"/>
        </w:trPr>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5</w:t>
            </w:r>
          </w:p>
        </w:tc>
      </w:tr>
      <w:tr>
        <w:trPr>
          <w:trHeight w:val="20"/>
        </w:trPr>
        <w:tc>
          <w:tcPr>
            <w:tcW w:w="920" w:type="dxa"/>
            <w:vAlign w:val="bottom"/>
            <w:tcBorders>
              <w:bottom w:val="single" w:sz="8" w:color="auto"/>
            </w:tcBorders>
            <w:gridSpan w:val="2"/>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r>
      <w:tr>
        <w:trPr>
          <w:trHeight w:val="587"/>
        </w:trPr>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$ 13</w:t>
            </w:r>
          </w:p>
        </w:tc>
        <w:tc>
          <w:tcPr>
            <w:tcW w:w="1860" w:type="dxa"/>
            <w:vAlign w:val="bottom"/>
            <w:gridSpan w:val="2"/>
          </w:tcPr>
          <w:p>
            <w:pPr>
              <w:jc w:val="right"/>
              <w:ind w:right="370"/>
              <w:spacing w:after="0"/>
              <w:rPr>
                <w:sz w:val="20"/>
                <w:szCs w:val="20"/>
                <w:color w:val="auto"/>
              </w:rPr>
            </w:pPr>
            <w:r>
              <w:rPr>
                <w:rFonts w:ascii="Arial" w:cs="Arial" w:eastAsia="Arial" w:hAnsi="Arial"/>
                <w:sz w:val="18"/>
                <w:szCs w:val="18"/>
                <w:color w:val="auto"/>
              </w:rPr>
              <w:t>$ 12</w:t>
            </w:r>
          </w:p>
        </w:tc>
      </w:tr>
      <w:tr>
        <w:trPr>
          <w:trHeight w:val="216"/>
        </w:trPr>
        <w:tc>
          <w:tcPr>
            <w:tcW w:w="560" w:type="dxa"/>
            <w:vAlign w:val="bottom"/>
          </w:tcPr>
          <w:p>
            <w:pPr>
              <w:spacing w:after="0"/>
              <w:rPr>
                <w:sz w:val="18"/>
                <w:szCs w:val="18"/>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1200" w:type="dxa"/>
            <w:vAlign w:val="bottom"/>
          </w:tcPr>
          <w:p>
            <w:pPr>
              <w:spacing w:after="0"/>
              <w:rPr>
                <w:sz w:val="18"/>
                <w:szCs w:val="18"/>
                <w:color w:val="auto"/>
              </w:rPr>
            </w:pP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4</w:t>
            </w:r>
          </w:p>
        </w:tc>
      </w:tr>
      <w:tr>
        <w:trPr>
          <w:trHeight w:val="216"/>
        </w:trPr>
        <w:tc>
          <w:tcPr>
            <w:tcW w:w="560" w:type="dxa"/>
            <w:vAlign w:val="bottom"/>
          </w:tcPr>
          <w:p>
            <w:pPr>
              <w:spacing w:after="0"/>
              <w:rPr>
                <w:sz w:val="18"/>
                <w:szCs w:val="18"/>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w w:val="89"/>
              </w:rPr>
              <w:t>48</w:t>
            </w:r>
          </w:p>
        </w:tc>
        <w:tc>
          <w:tcPr>
            <w:tcW w:w="1200" w:type="dxa"/>
            <w:vAlign w:val="bottom"/>
          </w:tcPr>
          <w:p>
            <w:pPr>
              <w:spacing w:after="0"/>
              <w:rPr>
                <w:sz w:val="18"/>
                <w:szCs w:val="18"/>
                <w:color w:val="auto"/>
              </w:rPr>
            </w:pPr>
          </w:p>
        </w:tc>
        <w:tc>
          <w:tcPr>
            <w:tcW w:w="660" w:type="dxa"/>
            <w:vAlign w:val="bottom"/>
          </w:tcPr>
          <w:p>
            <w:pPr>
              <w:jc w:val="right"/>
              <w:ind w:right="370"/>
              <w:spacing w:after="0"/>
              <w:rPr>
                <w:sz w:val="20"/>
                <w:szCs w:val="20"/>
                <w:color w:val="auto"/>
              </w:rPr>
            </w:pPr>
            <w:r>
              <w:rPr>
                <w:rFonts w:ascii="Arial" w:cs="Arial" w:eastAsia="Arial" w:hAnsi="Arial"/>
                <w:sz w:val="18"/>
                <w:szCs w:val="18"/>
                <w:color w:val="auto"/>
                <w:w w:val="89"/>
              </w:rPr>
              <w:t>33</w:t>
            </w:r>
          </w:p>
        </w:tc>
      </w:tr>
      <w:tr>
        <w:trPr>
          <w:trHeight w:val="230"/>
        </w:trPr>
        <w:tc>
          <w:tcPr>
            <w:tcW w:w="5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9"/>
              </w:rPr>
              <w:t>82</w:t>
            </w:r>
          </w:p>
        </w:tc>
        <w:tc>
          <w:tcPr>
            <w:tcW w:w="1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89"/>
              </w:rPr>
              <w:t>71</w:t>
            </w:r>
          </w:p>
        </w:tc>
      </w:tr>
      <w:tr>
        <w:trPr>
          <w:trHeight w:val="210"/>
        </w:trPr>
        <w:tc>
          <w:tcPr>
            <w:tcW w:w="9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$148</w:t>
            </w:r>
          </w:p>
        </w:tc>
        <w:tc>
          <w:tcPr>
            <w:tcW w:w="18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$120</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-1971675</wp:posOffset>
            </wp:positionV>
            <wp:extent cx="17665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3">
            <w:col w:w="2940" w:space="40"/>
            <w:col w:w="3300" w:space="720"/>
            <w:col w:w="4340"/>
          </w:cols>
          <w:pgMar w:left="240" w:top="341" w:right="319" w:bottom="0" w:gutter="0" w:footer="0" w:header="0"/>
          <w:type w:val="continuous"/>
        </w:sectPr>
      </w:pPr>
    </w:p>
    <w:p>
      <w:pPr>
        <w:ind w:left="380" w:hanging="295"/>
        <w:spacing w:after="0"/>
        <w:tabs>
          <w:tab w:leader="none" w:pos="38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See Item 1. “Financial Statements — Note 7, Investments,” contained within this report for additional disclosures regarding net realized gains (losses) on investments.</w:t>
      </w:r>
    </w:p>
    <w:p>
      <w:pPr>
        <w:spacing w:after="0" w:line="68" w:lineRule="exact"/>
        <w:rPr>
          <w:rFonts w:ascii="Arial" w:cs="Arial" w:eastAsia="Arial" w:hAnsi="Arial"/>
          <w:sz w:val="14"/>
          <w:szCs w:val="14"/>
          <w:i w:val="1"/>
          <w:iCs w:val="1"/>
          <w:color w:val="auto"/>
        </w:rPr>
      </w:pPr>
    </w:p>
    <w:p>
      <w:pPr>
        <w:ind w:left="380" w:hanging="295"/>
        <w:spacing w:after="0"/>
        <w:tabs>
          <w:tab w:leader="none" w:pos="38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The Exchange’s net realized gains for the first quarter of 2011 and 2010 include net realized gains from EFL’s operations of $4 million and $5 million, respectively.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tcPr>
          <w:p>
            <w:pPr>
              <w:spacing w:after="0"/>
              <w:rPr>
                <w:sz w:val="20"/>
                <w:szCs w:val="20"/>
                <w:color w:val="auto"/>
              </w:rPr>
            </w:pPr>
            <w:r>
              <w:rPr>
                <w:rFonts w:ascii="Arial" w:cs="Arial" w:eastAsia="Arial" w:hAnsi="Arial"/>
                <w:sz w:val="18"/>
                <w:szCs w:val="18"/>
                <w:color w:val="auto"/>
                <w:w w:val="92"/>
              </w:rPr>
              <w:t>The components of equity in earnings (losses) of limited partnerships are as follows:</w:t>
            </w: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89"/>
              </w:rPr>
              <w:t>Erie Insurance Group</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2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900" w:type="dxa"/>
            <w:vAlign w:val="bottom"/>
          </w:tcPr>
          <w:p>
            <w:pPr>
              <w:spacing w:after="0"/>
              <w:rPr>
                <w:sz w:val="16"/>
                <w:szCs w:val="16"/>
                <w:color w:val="auto"/>
              </w:rPr>
            </w:pPr>
          </w:p>
        </w:tc>
        <w:tc>
          <w:tcPr>
            <w:tcW w:w="2420" w:type="dxa"/>
            <w:vAlign w:val="bottom"/>
            <w:gridSpan w:val="2"/>
          </w:tcPr>
          <w:p>
            <w:pPr>
              <w:jc w:val="center"/>
              <w:ind w:left="32"/>
              <w:spacing w:after="0" w:line="195" w:lineRule="exact"/>
              <w:rPr>
                <w:sz w:val="20"/>
                <w:szCs w:val="20"/>
                <w:color w:val="auto"/>
              </w:rPr>
            </w:pPr>
            <w:r>
              <w:rPr>
                <w:rFonts w:ascii="Arial" w:cs="Arial" w:eastAsia="Arial" w:hAnsi="Arial"/>
                <w:sz w:val="18"/>
                <w:szCs w:val="18"/>
                <w:color w:val="auto"/>
                <w:w w:val="89"/>
              </w:rPr>
              <w:t>Three months ended March 31,</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220" w:type="dxa"/>
            <w:vAlign w:val="bottom"/>
            <w:vMerge w:val="restart"/>
          </w:tcPr>
          <w:p>
            <w:pPr>
              <w:spacing w:after="0"/>
              <w:rPr>
                <w:sz w:val="20"/>
                <w:szCs w:val="20"/>
                <w:color w:val="auto"/>
              </w:rPr>
            </w:pPr>
            <w:r>
              <w:rPr>
                <w:rFonts w:ascii="Arial" w:cs="Arial" w:eastAsia="Arial" w:hAnsi="Arial"/>
                <w:sz w:val="18"/>
                <w:szCs w:val="18"/>
                <w:b w:val="1"/>
                <w:bCs w:val="1"/>
                <w:color w:val="auto"/>
              </w:rPr>
              <w:t>Indemnity</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2011</w:t>
            </w:r>
          </w:p>
        </w:tc>
        <w:tc>
          <w:tcPr>
            <w:tcW w:w="2420" w:type="dxa"/>
            <w:vAlign w:val="bottom"/>
            <w:gridSpan w:val="2"/>
          </w:tcPr>
          <w:p>
            <w:pPr>
              <w:jc w:val="right"/>
              <w:ind w:right="830"/>
              <w:spacing w:after="0"/>
              <w:rPr>
                <w:sz w:val="20"/>
                <w:szCs w:val="20"/>
                <w:color w:val="auto"/>
              </w:rPr>
            </w:pPr>
            <w:r>
              <w:rPr>
                <w:rFonts w:ascii="Arial" w:cs="Arial" w:eastAsia="Arial" w:hAnsi="Arial"/>
                <w:sz w:val="18"/>
                <w:szCs w:val="18"/>
                <w:color w:val="auto"/>
              </w:rPr>
              <w:t>2010</w:t>
            </w: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196"/>
        </w:trPr>
        <w:tc>
          <w:tcPr>
            <w:tcW w:w="6220" w:type="dxa"/>
            <w:vAlign w:val="bottom"/>
            <w:vMerge w:val="continue"/>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ind w:left="160"/>
              <w:spacing w:after="0"/>
              <w:rPr>
                <w:sz w:val="20"/>
                <w:szCs w:val="20"/>
                <w:color w:val="auto"/>
              </w:rPr>
            </w:pPr>
            <w:r>
              <w:rPr>
                <w:rFonts w:ascii="Arial" w:cs="Arial" w:eastAsia="Arial" w:hAnsi="Arial"/>
                <w:sz w:val="14"/>
                <w:szCs w:val="14"/>
                <w:color w:val="auto"/>
              </w:rPr>
              <w:t>(Unaudited)</w:t>
            </w:r>
          </w:p>
        </w:tc>
        <w:tc>
          <w:tcPr>
            <w:tcW w:w="10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$ 7</w:t>
            </w:r>
          </w:p>
        </w:tc>
        <w:tc>
          <w:tcPr>
            <w:tcW w:w="1340" w:type="dxa"/>
            <w:vAlign w:val="bottom"/>
            <w:shd w:val="clear" w:color="auto" w:fill="CCEEFF"/>
          </w:tcPr>
          <w:p>
            <w:pPr>
              <w:jc w:val="center"/>
              <w:ind w:left="11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5</w:t>
            </w:r>
          </w:p>
        </w:tc>
        <w:tc>
          <w:tcPr>
            <w:tcW w:w="10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Real estate</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340" w:type="dxa"/>
            <w:vAlign w:val="bottom"/>
          </w:tcPr>
          <w:p>
            <w:pPr>
              <w:spacing w:after="0"/>
              <w:rPr>
                <w:sz w:val="18"/>
                <w:szCs w:val="18"/>
                <w:color w:val="auto"/>
              </w:rPr>
            </w:pPr>
          </w:p>
        </w:tc>
        <w:tc>
          <w:tcPr>
            <w:tcW w:w="1080" w:type="dxa"/>
            <w:vAlign w:val="bottom"/>
          </w:tcPr>
          <w:p>
            <w:pPr>
              <w:jc w:val="right"/>
              <w:ind w:right="770"/>
              <w:spacing w:after="0"/>
              <w:rPr>
                <w:sz w:val="20"/>
                <w:szCs w:val="20"/>
                <w:color w:val="auto"/>
              </w:rPr>
            </w:pPr>
            <w:r>
              <w:rPr>
                <w:rFonts w:ascii="Arial" w:cs="Arial" w:eastAsia="Arial" w:hAnsi="Arial"/>
                <w:sz w:val="18"/>
                <w:szCs w:val="18"/>
                <w:color w:val="auto"/>
                <w:w w:val="90"/>
              </w:rPr>
              <w:t>(6)</w:t>
            </w: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Mezzanine debt</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1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1</w:t>
            </w:r>
          </w:p>
        </w:tc>
        <w:tc>
          <w:tcPr>
            <w:tcW w:w="10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equity in earnings of limited partnerships – Indemnity</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w:t>
            </w:r>
          </w:p>
        </w:tc>
        <w:tc>
          <w:tcPr>
            <w:tcW w:w="1340" w:type="dxa"/>
            <w:vAlign w:val="bottom"/>
            <w:tcBorders>
              <w:bottom w:val="single" w:sz="8" w:color="auto"/>
            </w:tcBorders>
          </w:tcPr>
          <w:p>
            <w:pPr>
              <w:jc w:val="center"/>
              <w:ind w:left="113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0</w:t>
            </w: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622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Exchange</w:t>
            </w:r>
          </w:p>
        </w:tc>
        <w:tc>
          <w:tcPr>
            <w:tcW w:w="9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Private equity</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$40</w:t>
            </w:r>
          </w:p>
        </w:tc>
        <w:tc>
          <w:tcPr>
            <w:tcW w:w="2420" w:type="dxa"/>
            <w:vAlign w:val="bottom"/>
            <w:gridSpan w:val="2"/>
          </w:tcPr>
          <w:p>
            <w:pPr>
              <w:jc w:val="right"/>
              <w:ind w:right="830"/>
              <w:spacing w:after="0"/>
              <w:rPr>
                <w:sz w:val="20"/>
                <w:szCs w:val="20"/>
                <w:color w:val="auto"/>
              </w:rPr>
            </w:pPr>
            <w:r>
              <w:rPr>
                <w:rFonts w:ascii="Arial" w:cs="Arial" w:eastAsia="Arial" w:hAnsi="Arial"/>
                <w:sz w:val="18"/>
                <w:szCs w:val="18"/>
                <w:color w:val="auto"/>
              </w:rPr>
              <w:t>$ 22</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242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(22)</w:t>
            </w:r>
          </w:p>
        </w:tc>
        <w:tc>
          <w:tcPr>
            <w:tcW w:w="1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Mezzanine debt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1340" w:type="dxa"/>
            <w:vAlign w:val="bottom"/>
          </w:tcPr>
          <w:p>
            <w:pPr>
              <w:spacing w:after="0"/>
              <w:rPr>
                <w:sz w:val="18"/>
                <w:szCs w:val="18"/>
                <w:color w:val="auto"/>
              </w:rPr>
            </w:pPr>
          </w:p>
        </w:tc>
        <w:tc>
          <w:tcPr>
            <w:tcW w:w="1080" w:type="dxa"/>
            <w:vAlign w:val="bottom"/>
          </w:tcPr>
          <w:p>
            <w:pPr>
              <w:jc w:val="right"/>
              <w:ind w:right="830"/>
              <w:spacing w:after="0"/>
              <w:rPr>
                <w:sz w:val="20"/>
                <w:szCs w:val="20"/>
                <w:color w:val="auto"/>
              </w:rPr>
            </w:pPr>
            <w:r>
              <w:rPr>
                <w:rFonts w:ascii="Arial" w:cs="Arial" w:eastAsia="Arial" w:hAnsi="Arial"/>
                <w:sz w:val="18"/>
                <w:szCs w:val="18"/>
                <w:color w:val="auto"/>
              </w:rPr>
              <w:t>3</w:t>
            </w: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6220" w:type="dxa"/>
            <w:vAlign w:val="bottom"/>
            <w:tcBorders>
              <w:top w:val="single" w:sz="8" w:color="CCEEFF"/>
              <w:bottom w:val="single" w:sz="8" w:color="CCEEFF"/>
            </w:tcBorders>
            <w:shd w:val="clear" w:color="auto" w:fill="CCEEFF"/>
          </w:tcPr>
          <w:p>
            <w:pPr>
              <w:ind w:left="180"/>
              <w:spacing w:after="0" w:line="210" w:lineRule="exact"/>
              <w:rPr>
                <w:sz w:val="20"/>
                <w:szCs w:val="20"/>
                <w:color w:val="auto"/>
              </w:rPr>
            </w:pPr>
            <w:r>
              <w:rPr>
                <w:rFonts w:ascii="Arial" w:cs="Arial" w:eastAsia="Arial" w:hAnsi="Arial"/>
                <w:sz w:val="18"/>
                <w:szCs w:val="18"/>
                <w:color w:val="auto"/>
              </w:rPr>
              <w:t>Total equity in earnings of limited partnerships – Exchange</w:t>
            </w:r>
            <w:r>
              <w:rPr>
                <w:rFonts w:ascii="Arial" w:cs="Arial" w:eastAsia="Arial" w:hAnsi="Arial"/>
                <w:sz w:val="23"/>
                <w:szCs w:val="23"/>
                <w:color w:val="auto"/>
                <w:vertAlign w:val="superscript"/>
              </w:rPr>
              <w:t>(1)</w:t>
            </w:r>
          </w:p>
        </w:tc>
        <w:tc>
          <w:tcPr>
            <w:tcW w:w="9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$61</w:t>
            </w:r>
          </w:p>
        </w:tc>
        <w:tc>
          <w:tcPr>
            <w:tcW w:w="2420" w:type="dxa"/>
            <w:vAlign w:val="bottom"/>
            <w:tcBorders>
              <w:top w:val="single" w:sz="8" w:color="auto"/>
              <w:bottom w:val="single" w:sz="8" w:color="auto"/>
            </w:tcBorders>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$ 3</w:t>
            </w:r>
          </w:p>
        </w:tc>
        <w:tc>
          <w:tcPr>
            <w:tcW w:w="10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NM</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36"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r>
      <w:r>
        <w:rPr>
          <w:sz w:val="20"/>
          <w:szCs w:val="20"/>
          <w:color w:val="auto"/>
        </w:rPr>
        <w:tab/>
      </w:r>
      <w:r>
        <w:rPr>
          <w:rFonts w:ascii="Arial" w:cs="Arial" w:eastAsia="Arial" w:hAnsi="Arial"/>
          <w:sz w:val="13"/>
          <w:szCs w:val="13"/>
          <w:i w:val="1"/>
          <w:iCs w:val="1"/>
          <w:color w:val="auto"/>
        </w:rPr>
        <w:t>The Exchange’s results include equity in earnings of limited partnerships from EFL of $0.4 million in the first quarter of 2011 and losses of $1 million in the first quarter of 2010.</w:t>
      </w: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Limited partnership earnings pertain to investments in U.S. and foreign private equity, real estate and mezzanine debt partnerships. Valuation adjustments are recorded to reflect the fair value of limited partnerships. These adjustments are recorded as a component of equity in earnings of limited partnerships in the Consolidated Statements of Operations.</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experienced an increase in earnings as a result of fair value increases in our private equity, mezzanine debt, and real estate limited partnerships. Limited partnership earnings tend to be cyclical based on market conditions, the age of the partnership and the nature of the investments. Generally, limited partnership earnings are recorded on a quarter lag from financial statements we receive from our general partners. As a consequence, earnings from limited partnerships reported at March 31, 2011 reflect investment valuation changes resulting from the financial markets and the economy in the fourth quarter of 2010.</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Prior to and through December 31, 2010, the investment results from EIC, ENY and EPC accrued to the benefit of the Indemnity shareholder interest. Due to the sale of Indemnity’s property and casualty subsidiaries to the Exchange on December 31, 2010, the investment results for these companies will accrue to the benefit of the subscribers (policyholders) of the Exchange, or noncontrolling interest, after December 31, 2010. (See Item 1. “Financial Statements - Note 1, Nature of Operations,” contained within this report.)</w:t>
      </w:r>
    </w:p>
    <w:p>
      <w:pPr>
        <w:spacing w:after="0" w:line="19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investment strategy takes a long-term perspective emphasizing investment quality, diversification and superior investment returns. Investments are managed on a total return approach that focuses on current income and capital appreciation. Our investment strategy also provides for liquidity to meet our short- and long-term commitments.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Distribution of investments</w:t>
      </w:r>
    </w:p>
    <w:p>
      <w:pPr>
        <w:sectPr>
          <w:pgSz w:w="11900" w:h="16838" w:orient="portrait"/>
          <w:cols w:equalWidth="0" w:num="1">
            <w:col w:w="11340"/>
          </w:cols>
          <w:pgMar w:left="240" w:top="341" w:right="319" w:bottom="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color w:val="auto"/>
              </w:rPr>
              <w:t>Erie Insurance Group</w:t>
            </w:r>
          </w:p>
        </w:tc>
        <w:tc>
          <w:tcPr>
            <w:tcW w:w="1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120" w:type="dxa"/>
            <w:vAlign w:val="bottom"/>
          </w:tcPr>
          <w:p>
            <w:pPr>
              <w:jc w:val="center"/>
              <w:spacing w:after="0" w:line="195" w:lineRule="exact"/>
              <w:rPr>
                <w:sz w:val="20"/>
                <w:szCs w:val="20"/>
                <w:color w:val="auto"/>
              </w:rPr>
            </w:pPr>
            <w:r>
              <w:rPr>
                <w:rFonts w:ascii="Arial" w:cs="Arial" w:eastAsia="Arial" w:hAnsi="Arial"/>
                <w:sz w:val="18"/>
                <w:szCs w:val="18"/>
                <w:color w:val="auto"/>
                <w:w w:val="94"/>
              </w:rPr>
              <w:t>Carrying</w:t>
            </w: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96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Carrying</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value at</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96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value at</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December</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96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March 31,</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31,</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20"/>
                <w:szCs w:val="20"/>
                <w:color w:val="auto"/>
              </w:rPr>
            </w:pPr>
          </w:p>
        </w:tc>
        <w:tc>
          <w:tcPr>
            <w:tcW w:w="580" w:type="dxa"/>
            <w:vAlign w:val="bottom"/>
          </w:tcPr>
          <w:p>
            <w:pPr>
              <w:jc w:val="center"/>
              <w:ind w:right="90"/>
              <w:spacing w:after="0"/>
              <w:rPr>
                <w:sz w:val="20"/>
                <w:szCs w:val="20"/>
                <w:color w:val="auto"/>
              </w:rPr>
            </w:pPr>
            <w:r>
              <w:rPr>
                <w:rFonts w:ascii="Arial" w:cs="Arial" w:eastAsia="Arial" w:hAnsi="Arial"/>
                <w:sz w:val="18"/>
                <w:szCs w:val="18"/>
                <w:color w:val="auto"/>
                <w:w w:val="89"/>
              </w:rPr>
              <w:t>2011</w:t>
            </w:r>
          </w:p>
        </w:tc>
        <w:tc>
          <w:tcPr>
            <w:tcW w:w="200" w:type="dxa"/>
            <w:vAlign w:val="bottom"/>
          </w:tcPr>
          <w:p>
            <w:pPr>
              <w:spacing w:after="0"/>
              <w:rPr>
                <w:sz w:val="20"/>
                <w:szCs w:val="20"/>
                <w:color w:val="auto"/>
              </w:rPr>
            </w:pPr>
          </w:p>
        </w:tc>
        <w:tc>
          <w:tcPr>
            <w:tcW w:w="1740" w:type="dxa"/>
            <w:vAlign w:val="bottom"/>
          </w:tcPr>
          <w:p>
            <w:pPr>
              <w:jc w:val="right"/>
              <w:ind w:right="410"/>
              <w:spacing w:after="0"/>
              <w:rPr>
                <w:sz w:val="20"/>
                <w:szCs w:val="20"/>
                <w:color w:val="auto"/>
              </w:rPr>
            </w:pPr>
            <w:r>
              <w:rPr>
                <w:rFonts w:ascii="Arial" w:cs="Arial" w:eastAsia="Arial" w:hAnsi="Arial"/>
                <w:sz w:val="18"/>
                <w:szCs w:val="18"/>
                <w:color w:val="auto"/>
              </w:rPr>
              <w:t>% to total</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2010</w:t>
            </w: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rPr>
              <w:t>% to total</w:t>
            </w:r>
          </w:p>
        </w:tc>
        <w:tc>
          <w:tcPr>
            <w:tcW w:w="0" w:type="dxa"/>
            <w:vAlign w:val="bottom"/>
          </w:tcPr>
          <w:p>
            <w:pPr>
              <w:spacing w:after="0"/>
              <w:rPr>
                <w:sz w:val="1"/>
                <w:szCs w:val="1"/>
                <w:color w:val="auto"/>
              </w:rPr>
            </w:pPr>
          </w:p>
        </w:tc>
      </w:tr>
      <w:tr>
        <w:trPr>
          <w:trHeight w:val="196"/>
        </w:trPr>
        <w:tc>
          <w:tcPr>
            <w:tcW w:w="4760" w:type="dxa"/>
            <w:vAlign w:val="bottom"/>
          </w:tcPr>
          <w:p>
            <w:pPr>
              <w:spacing w:after="0" w:line="196" w:lineRule="exact"/>
              <w:rPr>
                <w:sz w:val="20"/>
                <w:szCs w:val="20"/>
                <w:color w:val="auto"/>
              </w:rPr>
            </w:pPr>
            <w:r>
              <w:rPr>
                <w:rFonts w:ascii="Arial" w:cs="Arial" w:eastAsia="Arial" w:hAnsi="Arial"/>
                <w:sz w:val="18"/>
                <w:szCs w:val="18"/>
                <w:b w:val="1"/>
                <w:bCs w:val="1"/>
                <w:color w:val="auto"/>
              </w:rPr>
              <w:t>Indemnity</w:t>
            </w:r>
          </w:p>
        </w:tc>
        <w:tc>
          <w:tcPr>
            <w:tcW w:w="3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gridSpan w:val="2"/>
          </w:tcPr>
          <w:p>
            <w:pPr>
              <w:jc w:val="right"/>
              <w:ind w:right="1150"/>
              <w:spacing w:after="0"/>
              <w:rPr>
                <w:sz w:val="20"/>
                <w:szCs w:val="20"/>
                <w:color w:val="auto"/>
              </w:rPr>
            </w:pPr>
            <w:r>
              <w:rPr>
                <w:rFonts w:ascii="Arial" w:cs="Arial" w:eastAsia="Arial" w:hAnsi="Arial"/>
                <w:sz w:val="14"/>
                <w:szCs w:val="14"/>
                <w:color w:val="auto"/>
                <w:w w:val="92"/>
              </w:rPr>
              <w:t>(Unaudited)</w:t>
            </w:r>
          </w:p>
        </w:tc>
        <w:tc>
          <w:tcPr>
            <w:tcW w:w="1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513</w:t>
            </w:r>
          </w:p>
        </w:tc>
        <w:tc>
          <w:tcPr>
            <w:tcW w:w="19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65%</w:t>
            </w: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$ 264</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Equity securities:</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c>
          <w:tcPr>
            <w:tcW w:w="194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3</w:t>
            </w: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24</w:t>
            </w:r>
          </w:p>
        </w:tc>
        <w:tc>
          <w:tcPr>
            <w:tcW w:w="14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Common stock</w:t>
            </w:r>
          </w:p>
        </w:tc>
        <w:tc>
          <w:tcPr>
            <w:tcW w:w="38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29</w:t>
            </w:r>
          </w:p>
        </w:tc>
        <w:tc>
          <w:tcPr>
            <w:tcW w:w="1940" w:type="dxa"/>
            <w:vAlign w:val="bottom"/>
            <w:gridSpan w:val="2"/>
          </w:tcPr>
          <w:p>
            <w:pPr>
              <w:jc w:val="right"/>
              <w:ind w:right="610"/>
              <w:spacing w:after="0"/>
              <w:rPr>
                <w:sz w:val="20"/>
                <w:szCs w:val="20"/>
                <w:color w:val="auto"/>
              </w:rPr>
            </w:pPr>
            <w:r>
              <w:rPr>
                <w:rFonts w:ascii="Arial" w:cs="Arial" w:eastAsia="Arial" w:hAnsi="Arial"/>
                <w:sz w:val="18"/>
                <w:szCs w:val="18"/>
                <w:color w:val="auto"/>
              </w:rPr>
              <w:t>4</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28</w:t>
            </w: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partnerships:</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Private equity</w:t>
            </w:r>
          </w:p>
        </w:tc>
        <w:tc>
          <w:tcPr>
            <w:tcW w:w="38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90</w:t>
            </w:r>
          </w:p>
        </w:tc>
        <w:tc>
          <w:tcPr>
            <w:tcW w:w="1940" w:type="dxa"/>
            <w:vAlign w:val="bottom"/>
            <w:gridSpan w:val="2"/>
          </w:tcPr>
          <w:p>
            <w:pPr>
              <w:jc w:val="right"/>
              <w:ind w:right="610"/>
              <w:spacing w:after="0"/>
              <w:rPr>
                <w:sz w:val="20"/>
                <w:szCs w:val="20"/>
                <w:color w:val="auto"/>
              </w:rPr>
            </w:pPr>
            <w:r>
              <w:rPr>
                <w:rFonts w:ascii="Arial" w:cs="Arial" w:eastAsia="Arial" w:hAnsi="Arial"/>
                <w:sz w:val="18"/>
                <w:szCs w:val="18"/>
                <w:color w:val="auto"/>
              </w:rPr>
              <w:t>11</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86</w:t>
            </w: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 estate</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86</w:t>
            </w:r>
          </w:p>
        </w:tc>
        <w:tc>
          <w:tcPr>
            <w:tcW w:w="194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11</w:t>
            </w: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83</w:t>
            </w:r>
          </w:p>
        </w:tc>
        <w:tc>
          <w:tcPr>
            <w:tcW w:w="14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Mezzanine debt</w:t>
            </w:r>
          </w:p>
        </w:tc>
        <w:tc>
          <w:tcPr>
            <w:tcW w:w="38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46</w:t>
            </w:r>
          </w:p>
        </w:tc>
        <w:tc>
          <w:tcPr>
            <w:tcW w:w="1940" w:type="dxa"/>
            <w:vAlign w:val="bottom"/>
            <w:gridSpan w:val="2"/>
          </w:tcPr>
          <w:p>
            <w:pPr>
              <w:jc w:val="right"/>
              <w:ind w:right="610"/>
              <w:spacing w:after="0"/>
              <w:rPr>
                <w:sz w:val="20"/>
                <w:szCs w:val="20"/>
                <w:color w:val="auto"/>
              </w:rPr>
            </w:pPr>
            <w:r>
              <w:rPr>
                <w:rFonts w:ascii="Arial" w:cs="Arial" w:eastAsia="Arial" w:hAnsi="Arial"/>
                <w:sz w:val="18"/>
                <w:szCs w:val="18"/>
                <w:color w:val="auto"/>
              </w:rPr>
              <w:t>6</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47</w:t>
            </w: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Real estate mortgage loans</w:t>
            </w:r>
          </w:p>
        </w:tc>
        <w:tc>
          <w:tcPr>
            <w:tcW w:w="3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940" w:type="dxa"/>
            <w:vAlign w:val="bottom"/>
            <w:tcBorders>
              <w:bottom w:val="single" w:sz="8" w:color="auto"/>
            </w:tcBorders>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0</w:t>
            </w:r>
          </w:p>
        </w:tc>
        <w:tc>
          <w:tcPr>
            <w:tcW w:w="11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w:t>
            </w:r>
          </w:p>
        </w:tc>
        <w:tc>
          <w:tcPr>
            <w:tcW w:w="14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ind w:left="180"/>
              <w:spacing w:after="0"/>
              <w:rPr>
                <w:sz w:val="20"/>
                <w:szCs w:val="20"/>
                <w:color w:val="auto"/>
              </w:rPr>
            </w:pPr>
            <w:r>
              <w:rPr>
                <w:rFonts w:ascii="Arial" w:cs="Arial" w:eastAsia="Arial" w:hAnsi="Arial"/>
                <w:sz w:val="18"/>
                <w:szCs w:val="18"/>
                <w:color w:val="auto"/>
              </w:rPr>
              <w:t>Total investments — Indemnity</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787</w:t>
            </w:r>
          </w:p>
        </w:tc>
        <w:tc>
          <w:tcPr>
            <w:tcW w:w="194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100%</w:t>
            </w: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$ 533</w:t>
            </w:r>
          </w:p>
        </w:tc>
        <w:tc>
          <w:tcPr>
            <w:tcW w:w="1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b w:val="1"/>
                <w:bCs w:val="1"/>
                <w:color w:val="auto"/>
              </w:rPr>
              <w:t>Exchange</w:t>
            </w: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$ 7,254</w:t>
            </w:r>
          </w:p>
        </w:tc>
        <w:tc>
          <w:tcPr>
            <w:tcW w:w="19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63%</w:t>
            </w: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$7,279</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Equity securities:</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603</w:t>
            </w:r>
          </w:p>
        </w:tc>
        <w:tc>
          <w:tcPr>
            <w:tcW w:w="194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5</w:t>
            </w: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570</w:t>
            </w:r>
          </w:p>
        </w:tc>
        <w:tc>
          <w:tcPr>
            <w:tcW w:w="14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Common stock</w:t>
            </w:r>
          </w:p>
        </w:tc>
        <w:tc>
          <w:tcPr>
            <w:tcW w:w="38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2,462</w:t>
            </w:r>
          </w:p>
        </w:tc>
        <w:tc>
          <w:tcPr>
            <w:tcW w:w="1940" w:type="dxa"/>
            <w:vAlign w:val="bottom"/>
            <w:gridSpan w:val="2"/>
          </w:tcPr>
          <w:p>
            <w:pPr>
              <w:jc w:val="right"/>
              <w:ind w:right="610"/>
              <w:spacing w:after="0"/>
              <w:rPr>
                <w:sz w:val="20"/>
                <w:szCs w:val="20"/>
                <w:color w:val="auto"/>
              </w:rPr>
            </w:pPr>
            <w:r>
              <w:rPr>
                <w:rFonts w:ascii="Arial" w:cs="Arial" w:eastAsia="Arial" w:hAnsi="Arial"/>
                <w:sz w:val="18"/>
                <w:szCs w:val="18"/>
                <w:color w:val="auto"/>
              </w:rPr>
              <w:t>22</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2,306</w:t>
            </w: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partnerships:</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Private equity</w:t>
            </w:r>
          </w:p>
        </w:tc>
        <w:tc>
          <w:tcPr>
            <w:tcW w:w="38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582</w:t>
            </w:r>
          </w:p>
        </w:tc>
        <w:tc>
          <w:tcPr>
            <w:tcW w:w="1940" w:type="dxa"/>
            <w:vAlign w:val="bottom"/>
            <w:gridSpan w:val="2"/>
          </w:tcPr>
          <w:p>
            <w:pPr>
              <w:jc w:val="right"/>
              <w:ind w:right="610"/>
              <w:spacing w:after="0"/>
              <w:rPr>
                <w:sz w:val="20"/>
                <w:szCs w:val="20"/>
                <w:color w:val="auto"/>
              </w:rPr>
            </w:pPr>
            <w:r>
              <w:rPr>
                <w:rFonts w:ascii="Arial" w:cs="Arial" w:eastAsia="Arial" w:hAnsi="Arial"/>
                <w:sz w:val="18"/>
                <w:szCs w:val="18"/>
                <w:color w:val="auto"/>
              </w:rPr>
              <w:t>5</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555</w:t>
            </w: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 estate</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356</w:t>
            </w:r>
          </w:p>
        </w:tc>
        <w:tc>
          <w:tcPr>
            <w:tcW w:w="194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3</w:t>
            </w: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339</w:t>
            </w:r>
          </w:p>
        </w:tc>
        <w:tc>
          <w:tcPr>
            <w:tcW w:w="14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Mezzanine debt</w:t>
            </w:r>
          </w:p>
        </w:tc>
        <w:tc>
          <w:tcPr>
            <w:tcW w:w="38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215</w:t>
            </w:r>
          </w:p>
        </w:tc>
        <w:tc>
          <w:tcPr>
            <w:tcW w:w="1940" w:type="dxa"/>
            <w:vAlign w:val="bottom"/>
            <w:gridSpan w:val="2"/>
          </w:tcPr>
          <w:p>
            <w:pPr>
              <w:jc w:val="right"/>
              <w:ind w:right="610"/>
              <w:spacing w:after="0"/>
              <w:rPr>
                <w:sz w:val="20"/>
                <w:szCs w:val="20"/>
                <w:color w:val="auto"/>
              </w:rPr>
            </w:pPr>
            <w:r>
              <w:rPr>
                <w:rFonts w:ascii="Arial" w:cs="Arial" w:eastAsia="Arial" w:hAnsi="Arial"/>
                <w:sz w:val="18"/>
                <w:szCs w:val="18"/>
                <w:color w:val="auto"/>
              </w:rPr>
              <w:t>2</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214</w:t>
            </w: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Policy loans</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194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w:t>
            </w:r>
          </w:p>
        </w:tc>
        <w:tc>
          <w:tcPr>
            <w:tcW w:w="14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Real estate mortgage loans</w:t>
            </w: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w:t>
            </w:r>
          </w:p>
        </w:tc>
        <w:tc>
          <w:tcPr>
            <w:tcW w:w="194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8"/>
                <w:szCs w:val="18"/>
                <w:color w:val="auto"/>
              </w:rPr>
              <w:t>0</w:t>
            </w: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w:t>
            </w: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investments – Exchange</w:t>
            </w:r>
          </w:p>
        </w:tc>
        <w:tc>
          <w:tcPr>
            <w:tcW w:w="9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$11,490</w:t>
            </w:r>
          </w:p>
        </w:tc>
        <w:tc>
          <w:tcPr>
            <w:tcW w:w="1940" w:type="dxa"/>
            <w:vAlign w:val="bottom"/>
            <w:tcBorders>
              <w:bottom w:val="single" w:sz="8" w:color="auto"/>
            </w:tcBorders>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100%</w:t>
            </w:r>
          </w:p>
        </w:tc>
        <w:tc>
          <w:tcPr>
            <w:tcW w:w="11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$11,282</w:t>
            </w: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ind w:left="180"/>
              <w:spacing w:after="0"/>
              <w:rPr>
                <w:sz w:val="20"/>
                <w:szCs w:val="20"/>
                <w:color w:val="auto"/>
              </w:rPr>
            </w:pPr>
            <w:r>
              <w:rPr>
                <w:rFonts w:ascii="Arial" w:cs="Arial" w:eastAsia="Arial" w:hAnsi="Arial"/>
                <w:sz w:val="18"/>
                <w:szCs w:val="18"/>
                <w:color w:val="auto"/>
              </w:rPr>
              <w:t>Total investments – Erie Insurance Group</w:t>
            </w:r>
          </w:p>
        </w:tc>
        <w:tc>
          <w:tcPr>
            <w:tcW w:w="9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60" w:type="dxa"/>
            <w:vAlign w:val="bottom"/>
            <w:vMerge w:val="continue"/>
          </w:tcPr>
          <w:p>
            <w:pPr>
              <w:spacing w:after="0"/>
              <w:rPr>
                <w:sz w:val="17"/>
                <w:szCs w:val="17"/>
                <w:color w:val="auto"/>
              </w:rPr>
            </w:pPr>
          </w:p>
        </w:tc>
        <w:tc>
          <w:tcPr>
            <w:tcW w:w="960" w:type="dxa"/>
            <w:vAlign w:val="bottom"/>
            <w:tcBorders>
              <w:bottom w:val="single" w:sz="8" w:color="auto"/>
            </w:tcBorders>
            <w:gridSpan w:val="2"/>
          </w:tcPr>
          <w:p>
            <w:pPr>
              <w:jc w:val="right"/>
              <w:ind w:right="70"/>
              <w:spacing w:after="0" w:line="196" w:lineRule="exact"/>
              <w:rPr>
                <w:sz w:val="20"/>
                <w:szCs w:val="20"/>
                <w:color w:val="auto"/>
              </w:rPr>
            </w:pPr>
            <w:r>
              <w:rPr>
                <w:rFonts w:ascii="Arial" w:cs="Arial" w:eastAsia="Arial" w:hAnsi="Arial"/>
                <w:sz w:val="18"/>
                <w:szCs w:val="18"/>
                <w:color w:val="auto"/>
              </w:rPr>
              <w:t>$12,277</w:t>
            </w:r>
          </w:p>
        </w:tc>
        <w:tc>
          <w:tcPr>
            <w:tcW w:w="200" w:type="dxa"/>
            <w:vAlign w:val="bottom"/>
            <w:tcBorders>
              <w:bottom w:val="single" w:sz="8" w:color="auto"/>
            </w:tcBorders>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$11,815</w:t>
            </w: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continually review our investment portfolio to evaluate positions that might incur other-than-temporary declines in value. For all investment holdings, general economic conditions and/or conditions specifically affecting the underlying issuer or its industry, including downgrades by the major rating agencies, are considered in evaluating impairment in value. In addition to specific factors, other factors considered in our review of investment valuation are the length of time the fair value is below cost and the amount the fair value is below cost.</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individually analyze all positions with emphasis on those that have, in management’s opinion, declined significantly below cost. In compliance with impairment guidance for debt securities, we perform further analysis to determine if a credit-related impairment has occurred. Some of the factors considered in determining whether a debt security is credit impaired include potential for the default of interest and/or principal, level of subordination, collateral of the issue, compliance with financial covenants, credit ratings and industry conditions. We have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intent to sell all credit-impaired debt securities, therefore the entire amount of the impairment charges are included in earnings and no credit impairments are recorded in other comprehensive income. For available-for-sale equity securities, a charge is recorded in the Consolidated Statements of Operations for positions that have experienced other-than-temporary impairments due to credit quality or other factors. (See the “Investment Operations” section herein for further information.)</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If our policy for determining the recognition of impaired positions was different, our consolidated results of operations could be significantly impacted. Management believes its investment valuation philosophy and accounting practices result in appropriate and timely measurement of value and recognition of impairment.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maturities</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Under our investment strategy, we maintain a fixed maturities portfolio that is of high quality and well diversified within each market sector. This investment strategy also achieves a balanced maturity schedule. The fixed maturities portfolio is managed with the goal of achieving reasonable returns while limiting exposure to risk. Our municipal bond portfolio accounts for $222 million, or 43%, of the total fixed maturity portfolio for Indemnity and $1.4 billion, or 20%, of the fixed maturity portfolio for the Exchange at March 31, 2011. The overall credit rating of the municipal portfolio without consideration of the underlying insurance is AA. Because of the rating downgrades of municipal bond insurers, the underlying insurance does not improve the overall credit rating.</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Fixed maturities classified as available-for-sale are carried at fair value with unrealized gains and losses, net of deferred taxes, included in shareholders’ equity. Indemnity’s net unrealized gains on fixed maturities, net of deferred taxes, amounted to $5 million at March 31, 2011 and December 31, 2010. At March 31, 2011, the Exchange had net unrealized gains on fixed maturities of $258 million compared to net unrealized gains of $270 million at December 31, 2010.</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a breakdown of the fair value of our fixed maturities portfolio by sector and rating for Indemnity and the Exchange, respectively: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color w:val="auto"/>
                <w:w w:val="91"/>
              </w:rPr>
              <w:t>Erie Insurance Group</w:t>
            </w:r>
          </w:p>
        </w:tc>
        <w:tc>
          <w:tcPr>
            <w:tcW w:w="18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ind w:left="120"/>
              <w:spacing w:after="0"/>
              <w:rPr>
                <w:sz w:val="20"/>
                <w:szCs w:val="20"/>
                <w:color w:val="auto"/>
              </w:rPr>
            </w:pPr>
            <w:r>
              <w:rPr>
                <w:rFonts w:ascii="Arial" w:cs="Arial" w:eastAsia="Arial" w:hAnsi="Arial"/>
                <w:sz w:val="14"/>
                <w:szCs w:val="14"/>
                <w:i w:val="1"/>
                <w:iCs w:val="1"/>
                <w:color w:val="auto"/>
              </w:rPr>
              <w:t>(in millions)</w:t>
            </w:r>
          </w:p>
        </w:tc>
        <w:tc>
          <w:tcPr>
            <w:tcW w:w="1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color w:val="auto"/>
                <w:w w:val="92"/>
              </w:rPr>
              <w:t>At March 31, 2011</w:t>
            </w:r>
          </w:p>
        </w:tc>
        <w:tc>
          <w:tcPr>
            <w:tcW w:w="18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3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Indemnity</w:t>
            </w:r>
          </w:p>
        </w:tc>
        <w:tc>
          <w:tcPr>
            <w:tcW w:w="1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jc w:val="center"/>
              <w:ind w:right="716"/>
              <w:spacing w:after="0"/>
              <w:rPr>
                <w:sz w:val="20"/>
                <w:szCs w:val="20"/>
                <w:color w:val="auto"/>
              </w:rPr>
            </w:pPr>
            <w:r>
              <w:rPr>
                <w:rFonts w:ascii="Arial" w:cs="Arial" w:eastAsia="Arial" w:hAnsi="Arial"/>
                <w:sz w:val="14"/>
                <w:szCs w:val="14"/>
                <w:color w:val="auto"/>
                <w:w w:val="92"/>
              </w:rPr>
              <w:t>(Unaudited)</w:t>
            </w: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91"/>
              </w:rPr>
              <w:t>Non-investment</w:t>
            </w:r>
          </w:p>
        </w:tc>
        <w:tc>
          <w:tcPr>
            <w:tcW w:w="1100" w:type="dxa"/>
            <w:vAlign w:val="bottom"/>
            <w:gridSpan w:val="2"/>
            <w:vMerge w:val="restart"/>
          </w:tcPr>
          <w:p>
            <w:pPr>
              <w:jc w:val="center"/>
              <w:ind w:right="40"/>
              <w:spacing w:after="0"/>
              <w:rPr>
                <w:sz w:val="20"/>
                <w:szCs w:val="20"/>
                <w:color w:val="auto"/>
              </w:rPr>
            </w:pPr>
            <w:r>
              <w:rPr>
                <w:rFonts w:ascii="Arial" w:cs="Arial" w:eastAsia="Arial" w:hAnsi="Arial"/>
                <w:sz w:val="18"/>
                <w:szCs w:val="18"/>
                <w:color w:val="auto"/>
                <w:w w:val="96"/>
              </w:rPr>
              <w:t>Fair</w:t>
            </w:r>
          </w:p>
        </w:tc>
        <w:tc>
          <w:tcPr>
            <w:tcW w:w="0" w:type="dxa"/>
            <w:vAlign w:val="bottom"/>
          </w:tcPr>
          <w:p>
            <w:pPr>
              <w:spacing w:after="0"/>
              <w:rPr>
                <w:sz w:val="1"/>
                <w:szCs w:val="1"/>
                <w:color w:val="auto"/>
              </w:rPr>
            </w:pPr>
          </w:p>
        </w:tc>
      </w:tr>
      <w:tr>
        <w:trPr>
          <w:trHeight w:val="168"/>
        </w:trPr>
        <w:tc>
          <w:tcPr>
            <w:tcW w:w="3340" w:type="dxa"/>
            <w:vAlign w:val="bottom"/>
            <w:vMerge w:val="continue"/>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000"/>
              <w:spacing w:after="0"/>
              <w:rPr>
                <w:sz w:val="20"/>
                <w:szCs w:val="20"/>
                <w:color w:val="auto"/>
              </w:rPr>
            </w:pPr>
            <w:r>
              <w:rPr>
                <w:rFonts w:ascii="Arial" w:cs="Arial" w:eastAsia="Arial" w:hAnsi="Arial"/>
                <w:sz w:val="18"/>
                <w:szCs w:val="18"/>
                <w:color w:val="auto"/>
              </w:rPr>
              <w:t>Industry Sector</w:t>
            </w:r>
          </w:p>
        </w:tc>
        <w:tc>
          <w:tcPr>
            <w:tcW w:w="1340" w:type="dxa"/>
            <w:vAlign w:val="bottom"/>
          </w:tcPr>
          <w:p>
            <w:pPr>
              <w:jc w:val="right"/>
              <w:ind w:right="490"/>
              <w:spacing w:after="0"/>
              <w:rPr>
                <w:sz w:val="20"/>
                <w:szCs w:val="20"/>
                <w:color w:val="auto"/>
              </w:rPr>
            </w:pPr>
            <w:r>
              <w:rPr>
                <w:rFonts w:ascii="Arial" w:cs="Arial" w:eastAsia="Arial" w:hAnsi="Arial"/>
                <w:sz w:val="18"/>
                <w:szCs w:val="18"/>
                <w:color w:val="auto"/>
              </w:rPr>
              <w:t>AAA</w:t>
            </w:r>
          </w:p>
        </w:tc>
        <w:tc>
          <w:tcPr>
            <w:tcW w:w="1360" w:type="dxa"/>
            <w:vAlign w:val="bottom"/>
          </w:tcPr>
          <w:p>
            <w:pPr>
              <w:jc w:val="right"/>
              <w:ind w:right="530"/>
              <w:spacing w:after="0"/>
              <w:rPr>
                <w:sz w:val="20"/>
                <w:szCs w:val="20"/>
                <w:color w:val="auto"/>
              </w:rPr>
            </w:pPr>
            <w:r>
              <w:rPr>
                <w:rFonts w:ascii="Arial" w:cs="Arial" w:eastAsia="Arial" w:hAnsi="Arial"/>
                <w:sz w:val="18"/>
                <w:szCs w:val="18"/>
                <w:color w:val="auto"/>
              </w:rPr>
              <w:t>AA</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A</w:t>
            </w:r>
          </w:p>
        </w:tc>
        <w:tc>
          <w:tcPr>
            <w:tcW w:w="1560" w:type="dxa"/>
            <w:vAlign w:val="bottom"/>
          </w:tcPr>
          <w:p>
            <w:pPr>
              <w:jc w:val="right"/>
              <w:ind w:right="296"/>
              <w:spacing w:after="0"/>
              <w:rPr>
                <w:sz w:val="20"/>
                <w:szCs w:val="20"/>
                <w:color w:val="auto"/>
              </w:rPr>
            </w:pPr>
            <w:r>
              <w:rPr>
                <w:rFonts w:ascii="Arial" w:cs="Arial" w:eastAsia="Arial" w:hAnsi="Arial"/>
                <w:sz w:val="18"/>
                <w:szCs w:val="18"/>
                <w:color w:val="auto"/>
              </w:rPr>
              <w:t>BBB</w:t>
            </w: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grade</w:t>
            </w:r>
          </w:p>
        </w:tc>
        <w:tc>
          <w:tcPr>
            <w:tcW w:w="110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value</w:t>
            </w:r>
          </w:p>
        </w:tc>
        <w:tc>
          <w:tcPr>
            <w:tcW w:w="0" w:type="dxa"/>
            <w:vAlign w:val="bottom"/>
          </w:tcPr>
          <w:p>
            <w:pPr>
              <w:spacing w:after="0"/>
              <w:rPr>
                <w:sz w:val="1"/>
                <w:szCs w:val="1"/>
                <w:color w:val="auto"/>
              </w:rPr>
            </w:pPr>
          </w:p>
        </w:tc>
      </w:tr>
      <w:tr>
        <w:trPr>
          <w:trHeight w:val="210"/>
        </w:trPr>
        <w:tc>
          <w:tcPr>
            <w:tcW w:w="3340" w:type="dxa"/>
            <w:vAlign w:val="bottom"/>
            <w:tcBorders>
              <w:top w:val="single" w:sz="8" w:color="auto"/>
            </w:tcBorders>
            <w:shd w:val="clear" w:color="auto" w:fill="CCEEFF"/>
          </w:tcPr>
          <w:p>
            <w:pPr>
              <w:ind w:left="120"/>
              <w:spacing w:after="0" w:line="210" w:lineRule="exact"/>
              <w:rPr>
                <w:sz w:val="20"/>
                <w:szCs w:val="20"/>
                <w:color w:val="auto"/>
              </w:rPr>
            </w:pPr>
            <w:r>
              <w:rPr>
                <w:rFonts w:ascii="Arial" w:cs="Arial" w:eastAsia="Arial" w:hAnsi="Arial"/>
                <w:sz w:val="18"/>
                <w:szCs w:val="18"/>
                <w:color w:val="auto"/>
              </w:rPr>
              <w:t xml:space="preserve">Structured securities </w:t>
            </w:r>
            <w:r>
              <w:rPr>
                <w:rFonts w:ascii="Arial" w:cs="Arial" w:eastAsia="Arial" w:hAnsi="Arial"/>
                <w:sz w:val="23"/>
                <w:szCs w:val="23"/>
                <w:color w:val="auto"/>
                <w:vertAlign w:val="superscript"/>
              </w:rPr>
              <w:t>(1)</w:t>
            </w:r>
          </w:p>
        </w:tc>
        <w:tc>
          <w:tcPr>
            <w:tcW w:w="134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$ 32</w:t>
            </w:r>
          </w:p>
        </w:tc>
        <w:tc>
          <w:tcPr>
            <w:tcW w:w="136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  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w:t>
            </w:r>
          </w:p>
        </w:tc>
        <w:tc>
          <w:tcPr>
            <w:tcW w:w="156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$ 0</w:t>
            </w:r>
          </w:p>
        </w:tc>
        <w:tc>
          <w:tcPr>
            <w:tcW w:w="182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$4</w:t>
            </w:r>
          </w:p>
        </w:tc>
        <w:tc>
          <w:tcPr>
            <w:tcW w:w="10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$ 36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34" w:name="page35"/>
    <w:bookmarkEnd w:id="34"/>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ind w:left="120"/>
              <w:spacing w:after="0"/>
              <w:rPr>
                <w:sz w:val="20"/>
                <w:szCs w:val="20"/>
                <w:color w:val="auto"/>
              </w:rPr>
            </w:pPr>
            <w:r>
              <w:rPr>
                <w:rFonts w:ascii="Arial" w:cs="Arial" w:eastAsia="Arial" w:hAnsi="Arial"/>
                <w:sz w:val="18"/>
                <w:szCs w:val="18"/>
                <w:color w:val="auto"/>
              </w:rPr>
              <w:t>Communications</w:t>
            </w:r>
          </w:p>
        </w:tc>
        <w:tc>
          <w:tcPr>
            <w:tcW w:w="1340" w:type="dxa"/>
            <w:vAlign w:val="bottom"/>
          </w:tcPr>
          <w:p>
            <w:pPr>
              <w:jc w:val="right"/>
              <w:ind w:right="390"/>
              <w:spacing w:after="0"/>
              <w:rPr>
                <w:sz w:val="20"/>
                <w:szCs w:val="20"/>
                <w:color w:val="auto"/>
              </w:rPr>
            </w:pPr>
            <w:r>
              <w:rPr>
                <w:rFonts w:ascii="Arial" w:cs="Arial" w:eastAsia="Arial" w:hAnsi="Arial"/>
                <w:sz w:val="18"/>
                <w:szCs w:val="18"/>
                <w:color w:val="auto"/>
              </w:rPr>
              <w:t>0</w:t>
            </w:r>
          </w:p>
        </w:tc>
        <w:tc>
          <w:tcPr>
            <w:tcW w:w="1400" w:type="dxa"/>
            <w:vAlign w:val="bottom"/>
          </w:tcPr>
          <w:p>
            <w:pPr>
              <w:jc w:val="right"/>
              <w:ind w:right="450"/>
              <w:spacing w:after="0"/>
              <w:rPr>
                <w:sz w:val="20"/>
                <w:szCs w:val="20"/>
                <w:color w:val="auto"/>
              </w:rPr>
            </w:pPr>
            <w:r>
              <w:rPr>
                <w:rFonts w:ascii="Arial" w:cs="Arial" w:eastAsia="Arial" w:hAnsi="Arial"/>
                <w:sz w:val="18"/>
                <w:szCs w:val="18"/>
                <w:color w:val="auto"/>
              </w:rPr>
              <w:t>0</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0</w:t>
            </w:r>
          </w:p>
        </w:tc>
        <w:tc>
          <w:tcPr>
            <w:tcW w:w="1580" w:type="dxa"/>
            <w:vAlign w:val="bottom"/>
          </w:tcPr>
          <w:p>
            <w:pPr>
              <w:jc w:val="right"/>
              <w:ind w:right="670"/>
              <w:spacing w:after="0"/>
              <w:rPr>
                <w:sz w:val="20"/>
                <w:szCs w:val="20"/>
                <w:color w:val="auto"/>
              </w:rPr>
            </w:pPr>
            <w:r>
              <w:rPr>
                <w:rFonts w:ascii="Arial" w:cs="Arial" w:eastAsia="Arial" w:hAnsi="Arial"/>
                <w:sz w:val="18"/>
                <w:szCs w:val="18"/>
                <w:color w:val="auto"/>
              </w:rPr>
              <w:t>17</w:t>
            </w:r>
          </w:p>
        </w:tc>
        <w:tc>
          <w:tcPr>
            <w:tcW w:w="1360" w:type="dxa"/>
            <w:vAlign w:val="bottom"/>
          </w:tcPr>
          <w:p>
            <w:pPr>
              <w:jc w:val="right"/>
              <w:ind w:right="350"/>
              <w:spacing w:after="0"/>
              <w:rPr>
                <w:sz w:val="20"/>
                <w:szCs w:val="20"/>
                <w:color w:val="auto"/>
              </w:rPr>
            </w:pPr>
            <w:r>
              <w:rPr>
                <w:rFonts w:ascii="Arial" w:cs="Arial" w:eastAsia="Arial" w:hAnsi="Arial"/>
                <w:sz w:val="18"/>
                <w:szCs w:val="18"/>
                <w:color w:val="auto"/>
              </w:rPr>
              <w:t>0</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r>
      <w:tr>
        <w:trPr>
          <w:trHeight w:val="216"/>
        </w:trPr>
        <w:tc>
          <w:tcPr>
            <w:tcW w:w="3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Consumer</w:t>
            </w:r>
          </w:p>
        </w:tc>
        <w:tc>
          <w:tcPr>
            <w:tcW w:w="13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w:t>
            </w:r>
          </w:p>
        </w:tc>
        <w:tc>
          <w:tcPr>
            <w:tcW w:w="14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w:t>
            </w:r>
          </w:p>
        </w:tc>
        <w:tc>
          <w:tcPr>
            <w:tcW w:w="15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8</w:t>
            </w:r>
          </w:p>
        </w:tc>
        <w:tc>
          <w:tcPr>
            <w:tcW w:w="13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16"/>
        </w:trPr>
        <w:tc>
          <w:tcPr>
            <w:tcW w:w="3340" w:type="dxa"/>
            <w:vAlign w:val="bottom"/>
          </w:tcPr>
          <w:p>
            <w:pPr>
              <w:ind w:left="120"/>
              <w:spacing w:after="0"/>
              <w:rPr>
                <w:sz w:val="20"/>
                <w:szCs w:val="20"/>
                <w:color w:val="auto"/>
              </w:rPr>
            </w:pPr>
            <w:r>
              <w:rPr>
                <w:rFonts w:ascii="Arial" w:cs="Arial" w:eastAsia="Arial" w:hAnsi="Arial"/>
                <w:sz w:val="18"/>
                <w:szCs w:val="18"/>
                <w:color w:val="auto"/>
              </w:rPr>
              <w:t>Energy</w:t>
            </w:r>
          </w:p>
        </w:tc>
        <w:tc>
          <w:tcPr>
            <w:tcW w:w="1340" w:type="dxa"/>
            <w:vAlign w:val="bottom"/>
          </w:tcPr>
          <w:p>
            <w:pPr>
              <w:jc w:val="right"/>
              <w:ind w:right="390"/>
              <w:spacing w:after="0"/>
              <w:rPr>
                <w:sz w:val="20"/>
                <w:szCs w:val="20"/>
                <w:color w:val="auto"/>
              </w:rPr>
            </w:pPr>
            <w:r>
              <w:rPr>
                <w:rFonts w:ascii="Arial" w:cs="Arial" w:eastAsia="Arial" w:hAnsi="Arial"/>
                <w:sz w:val="18"/>
                <w:szCs w:val="18"/>
                <w:color w:val="auto"/>
              </w:rPr>
              <w:t>0</w:t>
            </w:r>
          </w:p>
        </w:tc>
        <w:tc>
          <w:tcPr>
            <w:tcW w:w="1400" w:type="dxa"/>
            <w:vAlign w:val="bottom"/>
          </w:tcPr>
          <w:p>
            <w:pPr>
              <w:jc w:val="right"/>
              <w:ind w:right="450"/>
              <w:spacing w:after="0"/>
              <w:rPr>
                <w:sz w:val="20"/>
                <w:szCs w:val="20"/>
                <w:color w:val="auto"/>
              </w:rPr>
            </w:pPr>
            <w:r>
              <w:rPr>
                <w:rFonts w:ascii="Arial" w:cs="Arial" w:eastAsia="Arial" w:hAnsi="Arial"/>
                <w:sz w:val="18"/>
                <w:szCs w:val="18"/>
                <w:color w:val="auto"/>
              </w:rPr>
              <w:t>0</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11</w:t>
            </w:r>
          </w:p>
        </w:tc>
        <w:tc>
          <w:tcPr>
            <w:tcW w:w="1580" w:type="dxa"/>
            <w:vAlign w:val="bottom"/>
          </w:tcPr>
          <w:p>
            <w:pPr>
              <w:jc w:val="right"/>
              <w:ind w:right="670"/>
              <w:spacing w:after="0"/>
              <w:rPr>
                <w:sz w:val="20"/>
                <w:szCs w:val="20"/>
                <w:color w:val="auto"/>
              </w:rPr>
            </w:pPr>
            <w:r>
              <w:rPr>
                <w:rFonts w:ascii="Arial" w:cs="Arial" w:eastAsia="Arial" w:hAnsi="Arial"/>
                <w:sz w:val="18"/>
                <w:szCs w:val="18"/>
                <w:color w:val="auto"/>
              </w:rPr>
              <w:t>6</w:t>
            </w:r>
          </w:p>
        </w:tc>
        <w:tc>
          <w:tcPr>
            <w:tcW w:w="1360" w:type="dxa"/>
            <w:vAlign w:val="bottom"/>
          </w:tcPr>
          <w:p>
            <w:pPr>
              <w:jc w:val="right"/>
              <w:ind w:right="350"/>
              <w:spacing w:after="0"/>
              <w:rPr>
                <w:sz w:val="20"/>
                <w:szCs w:val="20"/>
                <w:color w:val="auto"/>
              </w:rPr>
            </w:pPr>
            <w:r>
              <w:rPr>
                <w:rFonts w:ascii="Arial" w:cs="Arial" w:eastAsia="Arial" w:hAnsi="Arial"/>
                <w:sz w:val="18"/>
                <w:szCs w:val="18"/>
                <w:color w:val="auto"/>
              </w:rPr>
              <w:t>0</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Financial</w:t>
            </w:r>
          </w:p>
        </w:tc>
        <w:tc>
          <w:tcPr>
            <w:tcW w:w="13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w:t>
            </w:r>
          </w:p>
        </w:tc>
        <w:tc>
          <w:tcPr>
            <w:tcW w:w="14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48</w:t>
            </w: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46</w:t>
            </w:r>
          </w:p>
        </w:tc>
        <w:tc>
          <w:tcPr>
            <w:tcW w:w="15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42</w:t>
            </w:r>
          </w:p>
        </w:tc>
        <w:tc>
          <w:tcPr>
            <w:tcW w:w="13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r>
      <w:tr>
        <w:trPr>
          <w:trHeight w:val="216"/>
        </w:trPr>
        <w:tc>
          <w:tcPr>
            <w:tcW w:w="3340" w:type="dxa"/>
            <w:vAlign w:val="bottom"/>
          </w:tcPr>
          <w:p>
            <w:pPr>
              <w:ind w:left="120"/>
              <w:spacing w:after="0"/>
              <w:rPr>
                <w:sz w:val="20"/>
                <w:szCs w:val="20"/>
                <w:color w:val="auto"/>
              </w:rPr>
            </w:pPr>
            <w:r>
              <w:rPr>
                <w:rFonts w:ascii="Arial" w:cs="Arial" w:eastAsia="Arial" w:hAnsi="Arial"/>
                <w:sz w:val="18"/>
                <w:szCs w:val="18"/>
                <w:color w:val="auto"/>
              </w:rPr>
              <w:t>Government-municipal</w:t>
            </w:r>
          </w:p>
        </w:tc>
        <w:tc>
          <w:tcPr>
            <w:tcW w:w="1340" w:type="dxa"/>
            <w:vAlign w:val="bottom"/>
          </w:tcPr>
          <w:p>
            <w:pPr>
              <w:jc w:val="right"/>
              <w:ind w:right="390"/>
              <w:spacing w:after="0"/>
              <w:rPr>
                <w:sz w:val="20"/>
                <w:szCs w:val="20"/>
                <w:color w:val="auto"/>
              </w:rPr>
            </w:pPr>
            <w:r>
              <w:rPr>
                <w:rFonts w:ascii="Arial" w:cs="Arial" w:eastAsia="Arial" w:hAnsi="Arial"/>
                <w:sz w:val="18"/>
                <w:szCs w:val="18"/>
                <w:color w:val="auto"/>
              </w:rPr>
              <w:t>87</w:t>
            </w:r>
          </w:p>
        </w:tc>
        <w:tc>
          <w:tcPr>
            <w:tcW w:w="1400" w:type="dxa"/>
            <w:vAlign w:val="bottom"/>
          </w:tcPr>
          <w:p>
            <w:pPr>
              <w:jc w:val="right"/>
              <w:ind w:right="450"/>
              <w:spacing w:after="0"/>
              <w:rPr>
                <w:sz w:val="20"/>
                <w:szCs w:val="20"/>
                <w:color w:val="auto"/>
              </w:rPr>
            </w:pPr>
            <w:r>
              <w:rPr>
                <w:rFonts w:ascii="Arial" w:cs="Arial" w:eastAsia="Arial" w:hAnsi="Arial"/>
                <w:sz w:val="18"/>
                <w:szCs w:val="18"/>
                <w:color w:val="auto"/>
              </w:rPr>
              <w:t>92</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31</w:t>
            </w:r>
          </w:p>
        </w:tc>
        <w:tc>
          <w:tcPr>
            <w:tcW w:w="1580" w:type="dxa"/>
            <w:vAlign w:val="bottom"/>
          </w:tcPr>
          <w:p>
            <w:pPr>
              <w:jc w:val="right"/>
              <w:ind w:right="670"/>
              <w:spacing w:after="0"/>
              <w:rPr>
                <w:sz w:val="20"/>
                <w:szCs w:val="20"/>
                <w:color w:val="auto"/>
              </w:rPr>
            </w:pPr>
            <w:r>
              <w:rPr>
                <w:rFonts w:ascii="Arial" w:cs="Arial" w:eastAsia="Arial" w:hAnsi="Arial"/>
                <w:sz w:val="18"/>
                <w:szCs w:val="18"/>
                <w:color w:val="auto"/>
              </w:rPr>
              <w:t>12</w:t>
            </w:r>
          </w:p>
        </w:tc>
        <w:tc>
          <w:tcPr>
            <w:tcW w:w="1360" w:type="dxa"/>
            <w:vAlign w:val="bottom"/>
          </w:tcPr>
          <w:p>
            <w:pPr>
              <w:jc w:val="right"/>
              <w:ind w:right="350"/>
              <w:spacing w:after="0"/>
              <w:rPr>
                <w:sz w:val="20"/>
                <w:szCs w:val="20"/>
                <w:color w:val="auto"/>
              </w:rPr>
            </w:pPr>
            <w:r>
              <w:rPr>
                <w:rFonts w:ascii="Arial" w:cs="Arial" w:eastAsia="Arial" w:hAnsi="Arial"/>
                <w:sz w:val="18"/>
                <w:szCs w:val="18"/>
                <w:color w:val="auto"/>
              </w:rPr>
              <w:t>0</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Industrial</w:t>
            </w:r>
          </w:p>
        </w:tc>
        <w:tc>
          <w:tcPr>
            <w:tcW w:w="13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w:t>
            </w:r>
          </w:p>
        </w:tc>
        <w:tc>
          <w:tcPr>
            <w:tcW w:w="14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w:t>
            </w:r>
          </w:p>
        </w:tc>
        <w:tc>
          <w:tcPr>
            <w:tcW w:w="15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5</w:t>
            </w:r>
          </w:p>
        </w:tc>
        <w:tc>
          <w:tcPr>
            <w:tcW w:w="13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r>
      <w:tr>
        <w:trPr>
          <w:trHeight w:val="216"/>
        </w:trPr>
        <w:tc>
          <w:tcPr>
            <w:tcW w:w="3340" w:type="dxa"/>
            <w:vAlign w:val="bottom"/>
          </w:tcPr>
          <w:p>
            <w:pPr>
              <w:ind w:left="120"/>
              <w:spacing w:after="0"/>
              <w:rPr>
                <w:sz w:val="20"/>
                <w:szCs w:val="20"/>
                <w:color w:val="auto"/>
              </w:rPr>
            </w:pPr>
            <w:r>
              <w:rPr>
                <w:rFonts w:ascii="Arial" w:cs="Arial" w:eastAsia="Arial" w:hAnsi="Arial"/>
                <w:sz w:val="18"/>
                <w:szCs w:val="18"/>
                <w:color w:val="auto"/>
              </w:rPr>
              <w:t>U.S. treasury</w:t>
            </w:r>
          </w:p>
        </w:tc>
        <w:tc>
          <w:tcPr>
            <w:tcW w:w="1340" w:type="dxa"/>
            <w:vAlign w:val="bottom"/>
          </w:tcPr>
          <w:p>
            <w:pPr>
              <w:jc w:val="right"/>
              <w:ind w:right="390"/>
              <w:spacing w:after="0"/>
              <w:rPr>
                <w:sz w:val="20"/>
                <w:szCs w:val="20"/>
                <w:color w:val="auto"/>
              </w:rPr>
            </w:pPr>
            <w:r>
              <w:rPr>
                <w:rFonts w:ascii="Arial" w:cs="Arial" w:eastAsia="Arial" w:hAnsi="Arial"/>
                <w:sz w:val="18"/>
                <w:szCs w:val="18"/>
                <w:color w:val="auto"/>
              </w:rPr>
              <w:t>10</w:t>
            </w:r>
          </w:p>
        </w:tc>
        <w:tc>
          <w:tcPr>
            <w:tcW w:w="1400" w:type="dxa"/>
            <w:vAlign w:val="bottom"/>
          </w:tcPr>
          <w:p>
            <w:pPr>
              <w:jc w:val="right"/>
              <w:ind w:right="450"/>
              <w:spacing w:after="0"/>
              <w:rPr>
                <w:sz w:val="20"/>
                <w:szCs w:val="20"/>
                <w:color w:val="auto"/>
              </w:rPr>
            </w:pPr>
            <w:r>
              <w:rPr>
                <w:rFonts w:ascii="Arial" w:cs="Arial" w:eastAsia="Arial" w:hAnsi="Arial"/>
                <w:sz w:val="18"/>
                <w:szCs w:val="18"/>
                <w:color w:val="auto"/>
              </w:rPr>
              <w:t>0</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0</w:t>
            </w:r>
          </w:p>
        </w:tc>
        <w:tc>
          <w:tcPr>
            <w:tcW w:w="1580" w:type="dxa"/>
            <w:vAlign w:val="bottom"/>
          </w:tcPr>
          <w:p>
            <w:pPr>
              <w:jc w:val="right"/>
              <w:ind w:right="670"/>
              <w:spacing w:after="0"/>
              <w:rPr>
                <w:sz w:val="20"/>
                <w:szCs w:val="20"/>
                <w:color w:val="auto"/>
              </w:rPr>
            </w:pPr>
            <w:r>
              <w:rPr>
                <w:rFonts w:ascii="Arial" w:cs="Arial" w:eastAsia="Arial" w:hAnsi="Arial"/>
                <w:sz w:val="18"/>
                <w:szCs w:val="18"/>
                <w:color w:val="auto"/>
              </w:rPr>
              <w:t>0</w:t>
            </w:r>
          </w:p>
        </w:tc>
        <w:tc>
          <w:tcPr>
            <w:tcW w:w="1360" w:type="dxa"/>
            <w:vAlign w:val="bottom"/>
          </w:tcPr>
          <w:p>
            <w:pPr>
              <w:jc w:val="right"/>
              <w:ind w:right="350"/>
              <w:spacing w:after="0"/>
              <w:rPr>
                <w:sz w:val="20"/>
                <w:szCs w:val="20"/>
                <w:color w:val="auto"/>
              </w:rPr>
            </w:pPr>
            <w:r>
              <w:rPr>
                <w:rFonts w:ascii="Arial" w:cs="Arial" w:eastAsia="Arial" w:hAnsi="Arial"/>
                <w:sz w:val="18"/>
                <w:szCs w:val="18"/>
                <w:color w:val="auto"/>
              </w:rPr>
              <w:t>0</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Government sponsored entity</w:t>
            </w:r>
          </w:p>
        </w:tc>
        <w:tc>
          <w:tcPr>
            <w:tcW w:w="13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w:t>
            </w:r>
          </w:p>
        </w:tc>
        <w:tc>
          <w:tcPr>
            <w:tcW w:w="14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w:t>
            </w:r>
          </w:p>
        </w:tc>
        <w:tc>
          <w:tcPr>
            <w:tcW w:w="15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0</w:t>
            </w:r>
          </w:p>
        </w:tc>
        <w:tc>
          <w:tcPr>
            <w:tcW w:w="13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r>
      <w:tr>
        <w:trPr>
          <w:trHeight w:val="216"/>
        </w:trPr>
        <w:tc>
          <w:tcPr>
            <w:tcW w:w="3340" w:type="dxa"/>
            <w:vAlign w:val="bottom"/>
          </w:tcPr>
          <w:p>
            <w:pPr>
              <w:ind w:left="120"/>
              <w:spacing w:after="0"/>
              <w:rPr>
                <w:sz w:val="20"/>
                <w:szCs w:val="20"/>
                <w:color w:val="auto"/>
              </w:rPr>
            </w:pPr>
            <w:r>
              <w:rPr>
                <w:rFonts w:ascii="Arial" w:cs="Arial" w:eastAsia="Arial" w:hAnsi="Arial"/>
                <w:sz w:val="18"/>
                <w:szCs w:val="18"/>
                <w:color w:val="auto"/>
              </w:rPr>
              <w:t>Technology</w:t>
            </w:r>
          </w:p>
        </w:tc>
        <w:tc>
          <w:tcPr>
            <w:tcW w:w="1340" w:type="dxa"/>
            <w:vAlign w:val="bottom"/>
          </w:tcPr>
          <w:p>
            <w:pPr>
              <w:jc w:val="right"/>
              <w:ind w:right="390"/>
              <w:spacing w:after="0"/>
              <w:rPr>
                <w:sz w:val="20"/>
                <w:szCs w:val="20"/>
                <w:color w:val="auto"/>
              </w:rPr>
            </w:pPr>
            <w:r>
              <w:rPr>
                <w:rFonts w:ascii="Arial" w:cs="Arial" w:eastAsia="Arial" w:hAnsi="Arial"/>
                <w:sz w:val="18"/>
                <w:szCs w:val="18"/>
                <w:color w:val="auto"/>
              </w:rPr>
              <w:t>0</w:t>
            </w:r>
          </w:p>
        </w:tc>
        <w:tc>
          <w:tcPr>
            <w:tcW w:w="1400" w:type="dxa"/>
            <w:vAlign w:val="bottom"/>
          </w:tcPr>
          <w:p>
            <w:pPr>
              <w:jc w:val="right"/>
              <w:ind w:right="450"/>
              <w:spacing w:after="0"/>
              <w:rPr>
                <w:sz w:val="20"/>
                <w:szCs w:val="20"/>
                <w:color w:val="auto"/>
              </w:rPr>
            </w:pPr>
            <w:r>
              <w:rPr>
                <w:rFonts w:ascii="Arial" w:cs="Arial" w:eastAsia="Arial" w:hAnsi="Arial"/>
                <w:sz w:val="18"/>
                <w:szCs w:val="18"/>
                <w:color w:val="auto"/>
              </w:rPr>
              <w:t>0</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8</w:t>
            </w:r>
          </w:p>
        </w:tc>
        <w:tc>
          <w:tcPr>
            <w:tcW w:w="1580" w:type="dxa"/>
            <w:vAlign w:val="bottom"/>
          </w:tcPr>
          <w:p>
            <w:pPr>
              <w:jc w:val="right"/>
              <w:ind w:right="670"/>
              <w:spacing w:after="0"/>
              <w:rPr>
                <w:sz w:val="20"/>
                <w:szCs w:val="20"/>
                <w:color w:val="auto"/>
              </w:rPr>
            </w:pPr>
            <w:r>
              <w:rPr>
                <w:rFonts w:ascii="Arial" w:cs="Arial" w:eastAsia="Arial" w:hAnsi="Arial"/>
                <w:sz w:val="18"/>
                <w:szCs w:val="18"/>
                <w:color w:val="auto"/>
              </w:rPr>
              <w:t>10</w:t>
            </w:r>
          </w:p>
        </w:tc>
        <w:tc>
          <w:tcPr>
            <w:tcW w:w="1360" w:type="dxa"/>
            <w:vAlign w:val="bottom"/>
          </w:tcPr>
          <w:p>
            <w:pPr>
              <w:jc w:val="right"/>
              <w:ind w:right="350"/>
              <w:spacing w:after="0"/>
              <w:rPr>
                <w:sz w:val="20"/>
                <w:szCs w:val="20"/>
                <w:color w:val="auto"/>
              </w:rPr>
            </w:pPr>
            <w:r>
              <w:rPr>
                <w:rFonts w:ascii="Arial" w:cs="Arial" w:eastAsia="Arial" w:hAnsi="Arial"/>
                <w:sz w:val="18"/>
                <w:szCs w:val="18"/>
                <w:color w:val="auto"/>
              </w:rPr>
              <w:t>0</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Utilities</w:t>
            </w:r>
          </w:p>
        </w:tc>
        <w:tc>
          <w:tcPr>
            <w:tcW w:w="13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0</w:t>
            </w:r>
          </w:p>
        </w:tc>
        <w:tc>
          <w:tcPr>
            <w:tcW w:w="140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0</w:t>
            </w:r>
          </w:p>
        </w:tc>
        <w:tc>
          <w:tcPr>
            <w:tcW w:w="12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0</w:t>
            </w:r>
          </w:p>
        </w:tc>
        <w:tc>
          <w:tcPr>
            <w:tcW w:w="15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31</w:t>
            </w:r>
          </w:p>
        </w:tc>
        <w:tc>
          <w:tcPr>
            <w:tcW w:w="13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0</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r>
      <w:tr>
        <w:trPr>
          <w:trHeight w:val="210"/>
        </w:trPr>
        <w:tc>
          <w:tcPr>
            <w:tcW w:w="3340" w:type="dxa"/>
            <w:vAlign w:val="bottom"/>
          </w:tcPr>
          <w:p>
            <w:pPr>
              <w:ind w:left="240"/>
              <w:spacing w:after="0"/>
              <w:rPr>
                <w:sz w:val="20"/>
                <w:szCs w:val="20"/>
                <w:color w:val="auto"/>
              </w:rPr>
            </w:pPr>
            <w:r>
              <w:rPr>
                <w:rFonts w:ascii="Arial" w:cs="Arial" w:eastAsia="Arial" w:hAnsi="Arial"/>
                <w:sz w:val="18"/>
                <w:szCs w:val="18"/>
                <w:color w:val="auto"/>
              </w:rPr>
              <w:t>Total – Indemnity</w:t>
            </w: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$138</w:t>
            </w: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$140</w:t>
            </w: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$98</w:t>
            </w:r>
          </w:p>
        </w:tc>
        <w:tc>
          <w:tcPr>
            <w:tcW w:w="15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$131</w:t>
            </w:r>
          </w:p>
        </w:tc>
        <w:tc>
          <w:tcPr>
            <w:tcW w:w="13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$6</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2" w:lineRule="exact"/>
        <w:rPr>
          <w:sz w:val="20"/>
          <w:szCs w:val="20"/>
          <w:color w:val="auto"/>
        </w:rPr>
      </w:pPr>
    </w:p>
    <w:p>
      <w:pPr>
        <w:ind w:left="180"/>
        <w:spacing w:after="0"/>
        <w:tabs>
          <w:tab w:leader="none" w:pos="460" w:val="left"/>
        </w:tabs>
        <w:rPr>
          <w:sz w:val="20"/>
          <w:szCs w:val="20"/>
          <w:color w:val="auto"/>
        </w:rPr>
      </w:pPr>
      <w:r>
        <w:rPr>
          <w:rFonts w:ascii="Arial" w:cs="Arial" w:eastAsia="Arial" w:hAnsi="Arial"/>
          <w:sz w:val="14"/>
          <w:szCs w:val="14"/>
          <w:i w:val="1"/>
          <w:iCs w:val="1"/>
          <w:color w:val="auto"/>
        </w:rPr>
        <w:t>(1)</w:t>
      </w:r>
      <w:r>
        <w:rPr>
          <w:sz w:val="20"/>
          <w:szCs w:val="20"/>
          <w:color w:val="auto"/>
        </w:rPr>
        <w:tab/>
      </w:r>
      <w:r>
        <w:rPr>
          <w:rFonts w:ascii="Arial" w:cs="Arial" w:eastAsia="Arial" w:hAnsi="Arial"/>
          <w:sz w:val="13"/>
          <w:szCs w:val="13"/>
          <w:i w:val="1"/>
          <w:iCs w:val="1"/>
          <w:color w:val="auto"/>
        </w:rPr>
        <w:t>Structured securities include asset-backed securities, collateral, lease and debt obligations, commercial mortgage-backed securities and residential mortgage-backed securities.</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1"/>
              </w:rPr>
              <w:t>Erie Insurance Group</w:t>
            </w:r>
          </w:p>
        </w:tc>
        <w:tc>
          <w:tcPr>
            <w:tcW w:w="1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ind w:left="120"/>
              <w:spacing w:after="0"/>
              <w:rPr>
                <w:sz w:val="20"/>
                <w:szCs w:val="20"/>
                <w:color w:val="auto"/>
              </w:rPr>
            </w:pPr>
            <w:r>
              <w:rPr>
                <w:rFonts w:ascii="Arial" w:cs="Arial" w:eastAsia="Arial" w:hAnsi="Arial"/>
                <w:sz w:val="14"/>
                <w:szCs w:val="14"/>
                <w:i w:val="1"/>
                <w:iCs w:val="1"/>
                <w:color w:val="auto"/>
              </w:rPr>
              <w:t>(in millions)</w:t>
            </w:r>
          </w:p>
        </w:tc>
        <w:tc>
          <w:tcPr>
            <w:tcW w:w="1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2"/>
              </w:rPr>
              <w:t>At March 31, 2011</w:t>
            </w:r>
          </w:p>
        </w:tc>
        <w:tc>
          <w:tcPr>
            <w:tcW w:w="17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3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Exchange</w:t>
            </w:r>
          </w:p>
        </w:tc>
        <w:tc>
          <w:tcPr>
            <w:tcW w:w="1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60" w:type="dxa"/>
            <w:vAlign w:val="bottom"/>
          </w:tcPr>
          <w:p>
            <w:pPr>
              <w:jc w:val="center"/>
              <w:ind w:right="711"/>
              <w:spacing w:after="0"/>
              <w:rPr>
                <w:sz w:val="20"/>
                <w:szCs w:val="20"/>
                <w:color w:val="auto"/>
              </w:rPr>
            </w:pPr>
            <w:r>
              <w:rPr>
                <w:rFonts w:ascii="Arial" w:cs="Arial" w:eastAsia="Arial" w:hAnsi="Arial"/>
                <w:sz w:val="14"/>
                <w:szCs w:val="14"/>
                <w:color w:val="auto"/>
                <w:w w:val="92"/>
              </w:rPr>
              <w:t>(Unaudited)</w:t>
            </w:r>
          </w:p>
        </w:tc>
        <w:tc>
          <w:tcPr>
            <w:tcW w:w="1780" w:type="dxa"/>
            <w:vAlign w:val="bottom"/>
            <w:vMerge w:val="restart"/>
          </w:tcPr>
          <w:p>
            <w:pPr>
              <w:jc w:val="right"/>
              <w:ind w:right="230"/>
              <w:spacing w:after="0"/>
              <w:rPr>
                <w:sz w:val="20"/>
                <w:szCs w:val="20"/>
                <w:color w:val="auto"/>
              </w:rPr>
            </w:pPr>
            <w:r>
              <w:rPr>
                <w:rFonts w:ascii="Arial" w:cs="Arial" w:eastAsia="Arial" w:hAnsi="Arial"/>
                <w:sz w:val="18"/>
                <w:szCs w:val="18"/>
                <w:color w:val="auto"/>
              </w:rPr>
              <w:t>Non-investment</w:t>
            </w:r>
          </w:p>
        </w:tc>
        <w:tc>
          <w:tcPr>
            <w:tcW w:w="11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6"/>
              </w:rPr>
              <w:t>Fair</w:t>
            </w:r>
          </w:p>
        </w:tc>
        <w:tc>
          <w:tcPr>
            <w:tcW w:w="0" w:type="dxa"/>
            <w:vAlign w:val="bottom"/>
          </w:tcPr>
          <w:p>
            <w:pPr>
              <w:spacing w:after="0"/>
              <w:rPr>
                <w:sz w:val="1"/>
                <w:szCs w:val="1"/>
                <w:color w:val="auto"/>
              </w:rPr>
            </w:pPr>
          </w:p>
        </w:tc>
      </w:tr>
      <w:tr>
        <w:trPr>
          <w:trHeight w:val="168"/>
        </w:trPr>
        <w:tc>
          <w:tcPr>
            <w:tcW w:w="334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000"/>
              <w:spacing w:after="0"/>
              <w:rPr>
                <w:sz w:val="20"/>
                <w:szCs w:val="20"/>
                <w:color w:val="auto"/>
              </w:rPr>
            </w:pPr>
            <w:r>
              <w:rPr>
                <w:rFonts w:ascii="Arial" w:cs="Arial" w:eastAsia="Arial" w:hAnsi="Arial"/>
                <w:sz w:val="18"/>
                <w:szCs w:val="18"/>
                <w:color w:val="auto"/>
              </w:rPr>
              <w:t>Industry Sector</w:t>
            </w:r>
          </w:p>
        </w:tc>
        <w:tc>
          <w:tcPr>
            <w:tcW w:w="1280" w:type="dxa"/>
            <w:vAlign w:val="bottom"/>
          </w:tcPr>
          <w:p>
            <w:pPr>
              <w:jc w:val="right"/>
              <w:ind w:right="430"/>
              <w:spacing w:after="0"/>
              <w:rPr>
                <w:sz w:val="20"/>
                <w:szCs w:val="20"/>
                <w:color w:val="auto"/>
              </w:rPr>
            </w:pPr>
            <w:r>
              <w:rPr>
                <w:rFonts w:ascii="Arial" w:cs="Arial" w:eastAsia="Arial" w:hAnsi="Arial"/>
                <w:sz w:val="18"/>
                <w:szCs w:val="18"/>
                <w:color w:val="auto"/>
              </w:rPr>
              <w:t>AAA</w:t>
            </w: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AA</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A</w:t>
            </w:r>
          </w:p>
        </w:tc>
        <w:tc>
          <w:tcPr>
            <w:tcW w:w="1560" w:type="dxa"/>
            <w:vAlign w:val="bottom"/>
          </w:tcPr>
          <w:p>
            <w:pPr>
              <w:jc w:val="right"/>
              <w:ind w:right="291"/>
              <w:spacing w:after="0"/>
              <w:rPr>
                <w:sz w:val="20"/>
                <w:szCs w:val="20"/>
                <w:color w:val="auto"/>
              </w:rPr>
            </w:pPr>
            <w:r>
              <w:rPr>
                <w:rFonts w:ascii="Arial" w:cs="Arial" w:eastAsia="Arial" w:hAnsi="Arial"/>
                <w:sz w:val="18"/>
                <w:szCs w:val="18"/>
                <w:color w:val="auto"/>
              </w:rPr>
              <w:t>BBB</w:t>
            </w:r>
          </w:p>
        </w:tc>
        <w:tc>
          <w:tcPr>
            <w:tcW w:w="1780" w:type="dxa"/>
            <w:vAlign w:val="bottom"/>
          </w:tcPr>
          <w:p>
            <w:pPr>
              <w:jc w:val="right"/>
              <w:ind w:right="610"/>
              <w:spacing w:after="0"/>
              <w:rPr>
                <w:sz w:val="20"/>
                <w:szCs w:val="20"/>
                <w:color w:val="auto"/>
              </w:rPr>
            </w:pPr>
            <w:r>
              <w:rPr>
                <w:rFonts w:ascii="Arial" w:cs="Arial" w:eastAsia="Arial" w:hAnsi="Arial"/>
                <w:sz w:val="18"/>
                <w:szCs w:val="18"/>
                <w:color w:val="auto"/>
              </w:rPr>
              <w:t>grade</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8"/>
              </w:rPr>
              <w:t>value</w:t>
            </w:r>
          </w:p>
        </w:tc>
        <w:tc>
          <w:tcPr>
            <w:tcW w:w="0" w:type="dxa"/>
            <w:vAlign w:val="bottom"/>
          </w:tcPr>
          <w:p>
            <w:pPr>
              <w:spacing w:after="0"/>
              <w:rPr>
                <w:sz w:val="1"/>
                <w:szCs w:val="1"/>
                <w:color w:val="auto"/>
              </w:rPr>
            </w:pPr>
          </w:p>
        </w:tc>
      </w:tr>
      <w:tr>
        <w:trPr>
          <w:trHeight w:val="210"/>
        </w:trPr>
        <w:tc>
          <w:tcPr>
            <w:tcW w:w="3340" w:type="dxa"/>
            <w:vAlign w:val="bottom"/>
            <w:tcBorders>
              <w:top w:val="single" w:sz="8" w:color="auto"/>
            </w:tcBorders>
            <w:shd w:val="clear" w:color="auto" w:fill="CCEEFF"/>
          </w:tcPr>
          <w:p>
            <w:pPr>
              <w:ind w:left="120"/>
              <w:spacing w:after="0" w:line="210" w:lineRule="exact"/>
              <w:rPr>
                <w:sz w:val="20"/>
                <w:szCs w:val="20"/>
                <w:color w:val="auto"/>
              </w:rPr>
            </w:pPr>
            <w:r>
              <w:rPr>
                <w:rFonts w:ascii="Arial" w:cs="Arial" w:eastAsia="Arial" w:hAnsi="Arial"/>
                <w:sz w:val="18"/>
                <w:szCs w:val="18"/>
                <w:color w:val="auto"/>
              </w:rPr>
              <w:t xml:space="preserve">Structured securities </w:t>
            </w:r>
            <w:r>
              <w:rPr>
                <w:rFonts w:ascii="Arial" w:cs="Arial" w:eastAsia="Arial" w:hAnsi="Arial"/>
                <w:sz w:val="23"/>
                <w:szCs w:val="23"/>
                <w:color w:val="auto"/>
                <w:vertAlign w:val="superscript"/>
              </w:rPr>
              <w:t>(1)</w:t>
            </w:r>
          </w:p>
        </w:tc>
        <w:tc>
          <w:tcPr>
            <w:tcW w:w="128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$327</w:t>
            </w:r>
          </w:p>
        </w:tc>
        <w:tc>
          <w:tcPr>
            <w:tcW w:w="13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  42</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19</w:t>
            </w:r>
          </w:p>
        </w:tc>
        <w:tc>
          <w:tcPr>
            <w:tcW w:w="1560" w:type="dxa"/>
            <w:vAlign w:val="bottom"/>
            <w:tcBorders>
              <w:top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  13</w:t>
            </w:r>
          </w:p>
        </w:tc>
        <w:tc>
          <w:tcPr>
            <w:tcW w:w="178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$ 35</w:t>
            </w: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$ 436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20"/>
              <w:spacing w:after="0"/>
              <w:rPr>
                <w:sz w:val="20"/>
                <w:szCs w:val="20"/>
                <w:color w:val="auto"/>
              </w:rPr>
            </w:pPr>
            <w:r>
              <w:rPr>
                <w:rFonts w:ascii="Arial" w:cs="Arial" w:eastAsia="Arial" w:hAnsi="Arial"/>
                <w:sz w:val="18"/>
                <w:szCs w:val="18"/>
                <w:color w:val="auto"/>
              </w:rPr>
              <w:t>Basic materials</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360" w:type="dxa"/>
            <w:vAlign w:val="bottom"/>
          </w:tcPr>
          <w:p>
            <w:pPr>
              <w:jc w:val="right"/>
              <w:ind w:right="350"/>
              <w:spacing w:after="0"/>
              <w:rPr>
                <w:sz w:val="20"/>
                <w:szCs w:val="20"/>
                <w:color w:val="auto"/>
              </w:rPr>
            </w:pPr>
            <w:r>
              <w:rPr>
                <w:rFonts w:ascii="Arial" w:cs="Arial" w:eastAsia="Arial" w:hAnsi="Arial"/>
                <w:sz w:val="18"/>
                <w:szCs w:val="18"/>
                <w:color w:val="auto"/>
              </w:rPr>
              <w:t>0</w:t>
            </w: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1560" w:type="dxa"/>
            <w:vAlign w:val="bottom"/>
          </w:tcPr>
          <w:p>
            <w:pPr>
              <w:jc w:val="right"/>
              <w:ind w:right="231"/>
              <w:spacing w:after="0"/>
              <w:rPr>
                <w:sz w:val="20"/>
                <w:szCs w:val="20"/>
                <w:color w:val="auto"/>
              </w:rPr>
            </w:pPr>
            <w:r>
              <w:rPr>
                <w:rFonts w:ascii="Arial" w:cs="Arial" w:eastAsia="Arial" w:hAnsi="Arial"/>
                <w:sz w:val="18"/>
                <w:szCs w:val="18"/>
                <w:color w:val="auto"/>
              </w:rPr>
              <w:t>175</w:t>
            </w:r>
          </w:p>
        </w:tc>
        <w:tc>
          <w:tcPr>
            <w:tcW w:w="178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Communications</w:t>
            </w:r>
          </w:p>
        </w:tc>
        <w:tc>
          <w:tcPr>
            <w:tcW w:w="12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3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5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342</w:t>
            </w:r>
          </w:p>
        </w:tc>
        <w:tc>
          <w:tcPr>
            <w:tcW w:w="17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20"/>
              <w:spacing w:after="0"/>
              <w:rPr>
                <w:sz w:val="20"/>
                <w:szCs w:val="20"/>
                <w:color w:val="auto"/>
              </w:rPr>
            </w:pPr>
            <w:r>
              <w:rPr>
                <w:rFonts w:ascii="Arial" w:cs="Arial" w:eastAsia="Arial" w:hAnsi="Arial"/>
                <w:sz w:val="18"/>
                <w:szCs w:val="18"/>
                <w:color w:val="auto"/>
              </w:rPr>
              <w:t>Consumer</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360" w:type="dxa"/>
            <w:vAlign w:val="bottom"/>
          </w:tcPr>
          <w:p>
            <w:pPr>
              <w:jc w:val="right"/>
              <w:ind w:right="350"/>
              <w:spacing w:after="0"/>
              <w:rPr>
                <w:sz w:val="20"/>
                <w:szCs w:val="20"/>
                <w:color w:val="auto"/>
              </w:rPr>
            </w:pPr>
            <w:r>
              <w:rPr>
                <w:rFonts w:ascii="Arial" w:cs="Arial" w:eastAsia="Arial" w:hAnsi="Arial"/>
                <w:sz w:val="18"/>
                <w:szCs w:val="18"/>
                <w:color w:val="auto"/>
              </w:rPr>
              <w:t>27</w:t>
            </w:r>
          </w:p>
        </w:tc>
        <w:tc>
          <w:tcPr>
            <w:tcW w:w="960" w:type="dxa"/>
            <w:vAlign w:val="bottom"/>
          </w:tcPr>
          <w:p>
            <w:pPr>
              <w:jc w:val="right"/>
              <w:spacing w:after="0"/>
              <w:rPr>
                <w:sz w:val="20"/>
                <w:szCs w:val="20"/>
                <w:color w:val="auto"/>
              </w:rPr>
            </w:pPr>
            <w:r>
              <w:rPr>
                <w:rFonts w:ascii="Arial" w:cs="Arial" w:eastAsia="Arial" w:hAnsi="Arial"/>
                <w:sz w:val="18"/>
                <w:szCs w:val="18"/>
                <w:color w:val="auto"/>
              </w:rPr>
              <w:t>188</w:t>
            </w:r>
          </w:p>
        </w:tc>
        <w:tc>
          <w:tcPr>
            <w:tcW w:w="1560" w:type="dxa"/>
            <w:vAlign w:val="bottom"/>
          </w:tcPr>
          <w:p>
            <w:pPr>
              <w:jc w:val="right"/>
              <w:ind w:right="231"/>
              <w:spacing w:after="0"/>
              <w:rPr>
                <w:sz w:val="20"/>
                <w:szCs w:val="20"/>
                <w:color w:val="auto"/>
              </w:rPr>
            </w:pPr>
            <w:r>
              <w:rPr>
                <w:rFonts w:ascii="Arial" w:cs="Arial" w:eastAsia="Arial" w:hAnsi="Arial"/>
                <w:sz w:val="18"/>
                <w:szCs w:val="18"/>
                <w:color w:val="auto"/>
              </w:rPr>
              <w:t>417</w:t>
            </w:r>
          </w:p>
        </w:tc>
        <w:tc>
          <w:tcPr>
            <w:tcW w:w="1780" w:type="dxa"/>
            <w:vAlign w:val="bottom"/>
          </w:tcPr>
          <w:p>
            <w:pPr>
              <w:jc w:val="right"/>
              <w:ind w:right="330"/>
              <w:spacing w:after="0"/>
              <w:rPr>
                <w:sz w:val="20"/>
                <w:szCs w:val="20"/>
                <w:color w:val="auto"/>
              </w:rPr>
            </w:pPr>
            <w:r>
              <w:rPr>
                <w:rFonts w:ascii="Arial" w:cs="Arial" w:eastAsia="Arial" w:hAnsi="Arial"/>
                <w:sz w:val="18"/>
                <w:szCs w:val="18"/>
                <w:color w:val="auto"/>
              </w:rPr>
              <w:t>65</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Diversified</w:t>
            </w:r>
          </w:p>
        </w:tc>
        <w:tc>
          <w:tcPr>
            <w:tcW w:w="12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3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5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17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20"/>
              <w:spacing w:after="0"/>
              <w:rPr>
                <w:sz w:val="20"/>
                <w:szCs w:val="20"/>
                <w:color w:val="auto"/>
              </w:rPr>
            </w:pPr>
            <w:r>
              <w:rPr>
                <w:rFonts w:ascii="Arial" w:cs="Arial" w:eastAsia="Arial" w:hAnsi="Arial"/>
                <w:sz w:val="18"/>
                <w:szCs w:val="18"/>
                <w:color w:val="auto"/>
              </w:rPr>
              <w:t>Energy</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16</w:t>
            </w:r>
          </w:p>
        </w:tc>
        <w:tc>
          <w:tcPr>
            <w:tcW w:w="1360" w:type="dxa"/>
            <w:vAlign w:val="bottom"/>
          </w:tcPr>
          <w:p>
            <w:pPr>
              <w:jc w:val="right"/>
              <w:ind w:right="350"/>
              <w:spacing w:after="0"/>
              <w:rPr>
                <w:sz w:val="20"/>
                <w:szCs w:val="20"/>
                <w:color w:val="auto"/>
              </w:rPr>
            </w:pPr>
            <w:r>
              <w:rPr>
                <w:rFonts w:ascii="Arial" w:cs="Arial" w:eastAsia="Arial" w:hAnsi="Arial"/>
                <w:sz w:val="18"/>
                <w:szCs w:val="18"/>
                <w:color w:val="auto"/>
              </w:rPr>
              <w:t>11</w:t>
            </w:r>
          </w:p>
        </w:tc>
        <w:tc>
          <w:tcPr>
            <w:tcW w:w="960" w:type="dxa"/>
            <w:vAlign w:val="bottom"/>
          </w:tcPr>
          <w:p>
            <w:pPr>
              <w:jc w:val="right"/>
              <w:spacing w:after="0"/>
              <w:rPr>
                <w:sz w:val="20"/>
                <w:szCs w:val="20"/>
                <w:color w:val="auto"/>
              </w:rPr>
            </w:pPr>
            <w:r>
              <w:rPr>
                <w:rFonts w:ascii="Arial" w:cs="Arial" w:eastAsia="Arial" w:hAnsi="Arial"/>
                <w:sz w:val="18"/>
                <w:szCs w:val="18"/>
                <w:color w:val="auto"/>
              </w:rPr>
              <w:t>114</w:t>
            </w:r>
          </w:p>
        </w:tc>
        <w:tc>
          <w:tcPr>
            <w:tcW w:w="1560" w:type="dxa"/>
            <w:vAlign w:val="bottom"/>
          </w:tcPr>
          <w:p>
            <w:pPr>
              <w:jc w:val="right"/>
              <w:ind w:right="231"/>
              <w:spacing w:after="0"/>
              <w:rPr>
                <w:sz w:val="20"/>
                <w:szCs w:val="20"/>
                <w:color w:val="auto"/>
              </w:rPr>
            </w:pPr>
            <w:r>
              <w:rPr>
                <w:rFonts w:ascii="Arial" w:cs="Arial" w:eastAsia="Arial" w:hAnsi="Arial"/>
                <w:sz w:val="18"/>
                <w:szCs w:val="18"/>
                <w:color w:val="auto"/>
              </w:rPr>
              <w:t>346</w:t>
            </w:r>
          </w:p>
        </w:tc>
        <w:tc>
          <w:tcPr>
            <w:tcW w:w="1780" w:type="dxa"/>
            <w:vAlign w:val="bottom"/>
          </w:tcPr>
          <w:p>
            <w:pPr>
              <w:jc w:val="right"/>
              <w:ind w:right="330"/>
              <w:spacing w:after="0"/>
              <w:rPr>
                <w:sz w:val="20"/>
                <w:szCs w:val="20"/>
                <w:color w:val="auto"/>
              </w:rPr>
            </w:pPr>
            <w:r>
              <w:rPr>
                <w:rFonts w:ascii="Arial" w:cs="Arial" w:eastAsia="Arial" w:hAnsi="Arial"/>
                <w:sz w:val="18"/>
                <w:szCs w:val="18"/>
                <w:color w:val="auto"/>
              </w:rPr>
              <w:t>38</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Financial</w:t>
            </w:r>
          </w:p>
        </w:tc>
        <w:tc>
          <w:tcPr>
            <w:tcW w:w="12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27</w:t>
            </w:r>
          </w:p>
        </w:tc>
        <w:tc>
          <w:tcPr>
            <w:tcW w:w="13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294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5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635</w:t>
            </w:r>
          </w:p>
        </w:tc>
        <w:tc>
          <w:tcPr>
            <w:tcW w:w="17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144</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20"/>
              <w:spacing w:after="0"/>
              <w:rPr>
                <w:sz w:val="20"/>
                <w:szCs w:val="20"/>
                <w:color w:val="auto"/>
              </w:rPr>
            </w:pPr>
            <w:r>
              <w:rPr>
                <w:rFonts w:ascii="Arial" w:cs="Arial" w:eastAsia="Arial" w:hAnsi="Arial"/>
                <w:sz w:val="18"/>
                <w:szCs w:val="18"/>
                <w:color w:val="auto"/>
              </w:rPr>
              <w:t>Funds</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360" w:type="dxa"/>
            <w:vAlign w:val="bottom"/>
          </w:tcPr>
          <w:p>
            <w:pPr>
              <w:jc w:val="right"/>
              <w:ind w:right="350"/>
              <w:spacing w:after="0"/>
              <w:rPr>
                <w:sz w:val="20"/>
                <w:szCs w:val="20"/>
                <w:color w:val="auto"/>
              </w:rPr>
            </w:pPr>
            <w:r>
              <w:rPr>
                <w:rFonts w:ascii="Arial" w:cs="Arial" w:eastAsia="Arial" w:hAnsi="Arial"/>
                <w:sz w:val="18"/>
                <w:szCs w:val="18"/>
                <w:color w:val="auto"/>
              </w:rPr>
              <w:t>0</w:t>
            </w: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1560" w:type="dxa"/>
            <w:vAlign w:val="bottom"/>
          </w:tcPr>
          <w:p>
            <w:pPr>
              <w:jc w:val="right"/>
              <w:ind w:right="231"/>
              <w:spacing w:after="0"/>
              <w:rPr>
                <w:sz w:val="20"/>
                <w:szCs w:val="20"/>
                <w:color w:val="auto"/>
              </w:rPr>
            </w:pPr>
            <w:r>
              <w:rPr>
                <w:rFonts w:ascii="Arial" w:cs="Arial" w:eastAsia="Arial" w:hAnsi="Arial"/>
                <w:sz w:val="18"/>
                <w:szCs w:val="18"/>
                <w:color w:val="auto"/>
              </w:rPr>
              <w:t>5</w:t>
            </w:r>
          </w:p>
        </w:tc>
        <w:tc>
          <w:tcPr>
            <w:tcW w:w="178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Government-municipal</w:t>
            </w:r>
          </w:p>
        </w:tc>
        <w:tc>
          <w:tcPr>
            <w:tcW w:w="12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435</w:t>
            </w:r>
          </w:p>
        </w:tc>
        <w:tc>
          <w:tcPr>
            <w:tcW w:w="13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745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5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40</w:t>
            </w:r>
          </w:p>
        </w:tc>
        <w:tc>
          <w:tcPr>
            <w:tcW w:w="17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20"/>
              <w:spacing w:after="0"/>
              <w:rPr>
                <w:sz w:val="20"/>
                <w:szCs w:val="20"/>
                <w:color w:val="auto"/>
              </w:rPr>
            </w:pPr>
            <w:r>
              <w:rPr>
                <w:rFonts w:ascii="Arial" w:cs="Arial" w:eastAsia="Arial" w:hAnsi="Arial"/>
                <w:sz w:val="18"/>
                <w:szCs w:val="18"/>
                <w:color w:val="auto"/>
              </w:rPr>
              <w:t>Industrial</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360" w:type="dxa"/>
            <w:vAlign w:val="bottom"/>
          </w:tcPr>
          <w:p>
            <w:pPr>
              <w:jc w:val="right"/>
              <w:ind w:right="350"/>
              <w:spacing w:after="0"/>
              <w:rPr>
                <w:sz w:val="20"/>
                <w:szCs w:val="20"/>
                <w:color w:val="auto"/>
              </w:rPr>
            </w:pPr>
            <w:r>
              <w:rPr>
                <w:rFonts w:ascii="Arial" w:cs="Arial" w:eastAsia="Arial" w:hAnsi="Arial"/>
                <w:sz w:val="18"/>
                <w:szCs w:val="18"/>
                <w:color w:val="auto"/>
              </w:rPr>
              <w:t>5</w:t>
            </w:r>
          </w:p>
        </w:tc>
        <w:tc>
          <w:tcPr>
            <w:tcW w:w="960" w:type="dxa"/>
            <w:vAlign w:val="bottom"/>
          </w:tcPr>
          <w:p>
            <w:pPr>
              <w:jc w:val="right"/>
              <w:spacing w:after="0"/>
              <w:rPr>
                <w:sz w:val="20"/>
                <w:szCs w:val="20"/>
                <w:color w:val="auto"/>
              </w:rPr>
            </w:pPr>
            <w:r>
              <w:rPr>
                <w:rFonts w:ascii="Arial" w:cs="Arial" w:eastAsia="Arial" w:hAnsi="Arial"/>
                <w:sz w:val="18"/>
                <w:szCs w:val="18"/>
                <w:color w:val="auto"/>
              </w:rPr>
              <w:t>83</w:t>
            </w:r>
          </w:p>
        </w:tc>
        <w:tc>
          <w:tcPr>
            <w:tcW w:w="1560" w:type="dxa"/>
            <w:vAlign w:val="bottom"/>
          </w:tcPr>
          <w:p>
            <w:pPr>
              <w:jc w:val="right"/>
              <w:ind w:right="231"/>
              <w:spacing w:after="0"/>
              <w:rPr>
                <w:sz w:val="20"/>
                <w:szCs w:val="20"/>
                <w:color w:val="auto"/>
              </w:rPr>
            </w:pPr>
            <w:r>
              <w:rPr>
                <w:rFonts w:ascii="Arial" w:cs="Arial" w:eastAsia="Arial" w:hAnsi="Arial"/>
                <w:sz w:val="18"/>
                <w:szCs w:val="18"/>
                <w:color w:val="auto"/>
              </w:rPr>
              <w:t>216</w:t>
            </w:r>
          </w:p>
        </w:tc>
        <w:tc>
          <w:tcPr>
            <w:tcW w:w="1780" w:type="dxa"/>
            <w:vAlign w:val="bottom"/>
          </w:tcPr>
          <w:p>
            <w:pPr>
              <w:jc w:val="right"/>
              <w:ind w:right="330"/>
              <w:spacing w:after="0"/>
              <w:rPr>
                <w:sz w:val="20"/>
                <w:szCs w:val="20"/>
                <w:color w:val="auto"/>
              </w:rPr>
            </w:pPr>
            <w:r>
              <w:rPr>
                <w:rFonts w:ascii="Arial" w:cs="Arial" w:eastAsia="Arial" w:hAnsi="Arial"/>
                <w:sz w:val="18"/>
                <w:szCs w:val="18"/>
                <w:color w:val="auto"/>
              </w:rPr>
              <w:t>32</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treasury</w:t>
            </w:r>
          </w:p>
        </w:tc>
        <w:tc>
          <w:tcPr>
            <w:tcW w:w="12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w:t>
            </w:r>
          </w:p>
        </w:tc>
        <w:tc>
          <w:tcPr>
            <w:tcW w:w="13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5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17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20"/>
              <w:spacing w:after="0"/>
              <w:rPr>
                <w:sz w:val="20"/>
                <w:szCs w:val="20"/>
                <w:color w:val="auto"/>
              </w:rPr>
            </w:pPr>
            <w:r>
              <w:rPr>
                <w:rFonts w:ascii="Arial" w:cs="Arial" w:eastAsia="Arial" w:hAnsi="Arial"/>
                <w:sz w:val="18"/>
                <w:szCs w:val="18"/>
                <w:color w:val="auto"/>
              </w:rPr>
              <w:t>Government sponsored entity</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68</w:t>
            </w:r>
          </w:p>
        </w:tc>
        <w:tc>
          <w:tcPr>
            <w:tcW w:w="1360" w:type="dxa"/>
            <w:vAlign w:val="bottom"/>
          </w:tcPr>
          <w:p>
            <w:pPr>
              <w:jc w:val="right"/>
              <w:ind w:right="350"/>
              <w:spacing w:after="0"/>
              <w:rPr>
                <w:sz w:val="20"/>
                <w:szCs w:val="20"/>
                <w:color w:val="auto"/>
              </w:rPr>
            </w:pPr>
            <w:r>
              <w:rPr>
                <w:rFonts w:ascii="Arial" w:cs="Arial" w:eastAsia="Arial" w:hAnsi="Arial"/>
                <w:sz w:val="18"/>
                <w:szCs w:val="18"/>
                <w:color w:val="auto"/>
              </w:rPr>
              <w:t>0</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56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178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government</w:t>
            </w:r>
          </w:p>
        </w:tc>
        <w:tc>
          <w:tcPr>
            <w:tcW w:w="12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3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5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w:t>
            </w:r>
          </w:p>
        </w:tc>
        <w:tc>
          <w:tcPr>
            <w:tcW w:w="17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20"/>
              <w:spacing w:after="0"/>
              <w:rPr>
                <w:sz w:val="20"/>
                <w:szCs w:val="20"/>
                <w:color w:val="auto"/>
              </w:rPr>
            </w:pPr>
            <w:r>
              <w:rPr>
                <w:rFonts w:ascii="Arial" w:cs="Arial" w:eastAsia="Arial" w:hAnsi="Arial"/>
                <w:sz w:val="18"/>
                <w:szCs w:val="18"/>
                <w:color w:val="auto"/>
              </w:rPr>
              <w:t>Technology</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360" w:type="dxa"/>
            <w:vAlign w:val="bottom"/>
          </w:tcPr>
          <w:p>
            <w:pPr>
              <w:jc w:val="right"/>
              <w:ind w:right="350"/>
              <w:spacing w:after="0"/>
              <w:rPr>
                <w:sz w:val="20"/>
                <w:szCs w:val="20"/>
                <w:color w:val="auto"/>
              </w:rPr>
            </w:pPr>
            <w:r>
              <w:rPr>
                <w:rFonts w:ascii="Arial" w:cs="Arial" w:eastAsia="Arial" w:hAnsi="Arial"/>
                <w:sz w:val="18"/>
                <w:szCs w:val="18"/>
                <w:color w:val="auto"/>
              </w:rPr>
              <w:t>0</w:t>
            </w: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1560" w:type="dxa"/>
            <w:vAlign w:val="bottom"/>
          </w:tcPr>
          <w:p>
            <w:pPr>
              <w:jc w:val="right"/>
              <w:ind w:right="231"/>
              <w:spacing w:after="0"/>
              <w:rPr>
                <w:sz w:val="20"/>
                <w:szCs w:val="20"/>
                <w:color w:val="auto"/>
              </w:rPr>
            </w:pPr>
            <w:r>
              <w:rPr>
                <w:rFonts w:ascii="Arial" w:cs="Arial" w:eastAsia="Arial" w:hAnsi="Arial"/>
                <w:sz w:val="18"/>
                <w:szCs w:val="18"/>
                <w:color w:val="auto"/>
              </w:rPr>
              <w:t>72</w:t>
            </w:r>
          </w:p>
        </w:tc>
        <w:tc>
          <w:tcPr>
            <w:tcW w:w="178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Utilities</w:t>
            </w:r>
          </w:p>
        </w:tc>
        <w:tc>
          <w:tcPr>
            <w:tcW w:w="12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3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5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408</w:t>
            </w:r>
          </w:p>
        </w:tc>
        <w:tc>
          <w:tcPr>
            <w:tcW w:w="17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64</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ind w:left="240"/>
              <w:spacing w:after="0"/>
              <w:rPr>
                <w:sz w:val="20"/>
                <w:szCs w:val="20"/>
                <w:color w:val="auto"/>
              </w:rPr>
            </w:pPr>
            <w:r>
              <w:rPr>
                <w:rFonts w:ascii="Arial" w:cs="Arial" w:eastAsia="Arial" w:hAnsi="Arial"/>
                <w:sz w:val="18"/>
                <w:szCs w:val="18"/>
                <w:color w:val="auto"/>
              </w:rPr>
              <w:t>Total – Exchange</w:t>
            </w:r>
          </w:p>
        </w:tc>
        <w:tc>
          <w:tcPr>
            <w:tcW w:w="1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$884</w:t>
            </w:r>
          </w:p>
        </w:tc>
        <w:tc>
          <w:tcPr>
            <w:tcW w:w="13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$1,124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w:t>
            </w:r>
          </w:p>
        </w:tc>
        <w:tc>
          <w:tcPr>
            <w:tcW w:w="15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$2,675</w:t>
            </w:r>
          </w:p>
        </w:tc>
        <w:tc>
          <w:tcPr>
            <w:tcW w:w="1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$395</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180"/>
        <w:spacing w:after="0"/>
        <w:tabs>
          <w:tab w:leader="none" w:pos="460" w:val="left"/>
        </w:tabs>
        <w:rPr>
          <w:sz w:val="20"/>
          <w:szCs w:val="20"/>
          <w:color w:val="auto"/>
        </w:rPr>
      </w:pPr>
      <w:r>
        <w:rPr>
          <w:rFonts w:ascii="Arial" w:cs="Arial" w:eastAsia="Arial" w:hAnsi="Arial"/>
          <w:sz w:val="14"/>
          <w:szCs w:val="14"/>
          <w:i w:val="1"/>
          <w:iCs w:val="1"/>
          <w:color w:val="auto"/>
        </w:rPr>
        <w:t>(1)</w:t>
      </w:r>
      <w:r>
        <w:rPr>
          <w:sz w:val="20"/>
          <w:szCs w:val="20"/>
          <w:color w:val="auto"/>
        </w:rPr>
        <w:tab/>
      </w:r>
      <w:r>
        <w:rPr>
          <w:rFonts w:ascii="Arial" w:cs="Arial" w:eastAsia="Arial" w:hAnsi="Arial"/>
          <w:sz w:val="13"/>
          <w:szCs w:val="13"/>
          <w:i w:val="1"/>
          <w:iCs w:val="1"/>
          <w:color w:val="auto"/>
        </w:rPr>
        <w:t>Structured securities include asset-backed securities, collateral, lease and debt obligations, commercial mortgage-backed securities and residential mortgage-backed securities.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securities</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equity securities consist of common stock and nonredeemable preferred stock. Investment characteristics of common stock and nonredeemable preferred stock differ substantially from one another. Our nonredeemable preferred stock portfolio provides a source of current income that is competitive with investment-grade bonds.</w:t>
      </w:r>
    </w:p>
    <w:p>
      <w:pPr>
        <w:spacing w:after="0" w:line="19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following tables present an analysis of the fair value of our non-redeemable preferred and common stock securities by sector for Indemnity and Exchange,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2"/>
          </w:tcPr>
          <w:p>
            <w:pPr>
              <w:jc w:val="center"/>
              <w:ind w:left="232"/>
              <w:spacing w:after="0"/>
              <w:rPr>
                <w:sz w:val="20"/>
                <w:szCs w:val="20"/>
                <w:color w:val="auto"/>
              </w:rPr>
            </w:pPr>
            <w:r>
              <w:rPr>
                <w:rFonts w:ascii="Arial" w:cs="Arial" w:eastAsia="Arial" w:hAnsi="Arial"/>
                <w:sz w:val="18"/>
                <w:szCs w:val="18"/>
                <w:color w:val="auto"/>
                <w:w w:val="89"/>
              </w:rPr>
              <w:t>Erie Insurance Group</w:t>
            </w:r>
          </w:p>
        </w:tc>
        <w:tc>
          <w:tcPr>
            <w:tcW w:w="1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540" w:type="dxa"/>
            <w:vAlign w:val="bottom"/>
          </w:tcPr>
          <w:p>
            <w:pPr>
              <w:ind w:left="120"/>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spacing w:after="0"/>
              <w:rPr>
                <w:sz w:val="16"/>
                <w:szCs w:val="16"/>
                <w:color w:val="auto"/>
              </w:rPr>
            </w:pPr>
          </w:p>
        </w:tc>
        <w:tc>
          <w:tcPr>
            <w:tcW w:w="3460" w:type="dxa"/>
            <w:vAlign w:val="bottom"/>
            <w:gridSpan w:val="2"/>
          </w:tcPr>
          <w:p>
            <w:pPr>
              <w:jc w:val="center"/>
              <w:ind w:left="232"/>
              <w:spacing w:after="0" w:line="195" w:lineRule="exact"/>
              <w:rPr>
                <w:sz w:val="20"/>
                <w:szCs w:val="20"/>
                <w:color w:val="auto"/>
              </w:rPr>
            </w:pPr>
            <w:r>
              <w:rPr>
                <w:rFonts w:ascii="Arial" w:cs="Arial" w:eastAsia="Arial" w:hAnsi="Arial"/>
                <w:sz w:val="18"/>
                <w:szCs w:val="18"/>
                <w:color w:val="auto"/>
                <w:w w:val="88"/>
              </w:rPr>
              <w:t>Fair Value at</w:t>
            </w: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Indemnity</w:t>
            </w:r>
          </w:p>
        </w:tc>
        <w:tc>
          <w:tcPr>
            <w:tcW w:w="2960" w:type="dxa"/>
            <w:vAlign w:val="bottom"/>
            <w:gridSpan w:val="2"/>
          </w:tcPr>
          <w:p>
            <w:pPr>
              <w:jc w:val="center"/>
              <w:ind w:right="52"/>
              <w:spacing w:after="0"/>
              <w:rPr>
                <w:sz w:val="20"/>
                <w:szCs w:val="20"/>
                <w:color w:val="auto"/>
              </w:rPr>
            </w:pPr>
            <w:r>
              <w:rPr>
                <w:rFonts w:ascii="Arial" w:cs="Arial" w:eastAsia="Arial" w:hAnsi="Arial"/>
                <w:sz w:val="18"/>
                <w:szCs w:val="18"/>
                <w:color w:val="auto"/>
                <w:w w:val="91"/>
              </w:rPr>
              <w:t>March 31, 2011</w:t>
            </w:r>
          </w:p>
        </w:tc>
        <w:tc>
          <w:tcPr>
            <w:tcW w:w="3020" w:type="dxa"/>
            <w:vAlign w:val="bottom"/>
            <w:gridSpan w:val="3"/>
          </w:tcPr>
          <w:p>
            <w:pPr>
              <w:ind w:left="820"/>
              <w:spacing w:after="0"/>
              <w:rPr>
                <w:sz w:val="20"/>
                <w:szCs w:val="20"/>
                <w:color w:val="auto"/>
              </w:rPr>
            </w:pPr>
            <w:r>
              <w:rPr>
                <w:rFonts w:ascii="Arial" w:cs="Arial" w:eastAsia="Arial" w:hAnsi="Arial"/>
                <w:sz w:val="18"/>
                <w:szCs w:val="18"/>
                <w:color w:val="auto"/>
              </w:rPr>
              <w:t>December 31, 2010</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540" w:type="dxa"/>
            <w:vAlign w:val="bottom"/>
            <w:vMerge w:val="continue"/>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tcPr>
          <w:p>
            <w:pPr>
              <w:jc w:val="center"/>
              <w:ind w:right="1092"/>
              <w:spacing w:after="0"/>
              <w:rPr>
                <w:sz w:val="20"/>
                <w:szCs w:val="20"/>
                <w:color w:val="auto"/>
              </w:rPr>
            </w:pPr>
            <w:r>
              <w:rPr>
                <w:rFonts w:ascii="Arial" w:cs="Arial" w:eastAsia="Arial" w:hAnsi="Arial"/>
                <w:sz w:val="14"/>
                <w:szCs w:val="14"/>
                <w:color w:val="auto"/>
                <w:w w:val="95"/>
              </w:rPr>
              <w:t>(Unaudited)</w:t>
            </w:r>
          </w:p>
        </w:tc>
        <w:tc>
          <w:tcPr>
            <w:tcW w:w="15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040" w:type="dxa"/>
            <w:vAlign w:val="bottom"/>
          </w:tcPr>
          <w:p>
            <w:pPr>
              <w:jc w:val="center"/>
              <w:ind w:left="130"/>
              <w:spacing w:after="0"/>
              <w:rPr>
                <w:sz w:val="20"/>
                <w:szCs w:val="20"/>
                <w:color w:val="auto"/>
              </w:rPr>
            </w:pPr>
            <w:r>
              <w:rPr>
                <w:rFonts w:ascii="Arial" w:cs="Arial" w:eastAsia="Arial" w:hAnsi="Arial"/>
                <w:sz w:val="18"/>
                <w:szCs w:val="18"/>
                <w:color w:val="auto"/>
                <w:w w:val="87"/>
              </w:rPr>
              <w:t>Preferred</w:t>
            </w:r>
          </w:p>
        </w:tc>
        <w:tc>
          <w:tcPr>
            <w:tcW w:w="1920" w:type="dxa"/>
            <w:vAlign w:val="bottom"/>
          </w:tcPr>
          <w:p>
            <w:pPr>
              <w:jc w:val="center"/>
              <w:ind w:left="272"/>
              <w:spacing w:after="0"/>
              <w:rPr>
                <w:sz w:val="20"/>
                <w:szCs w:val="20"/>
                <w:color w:val="auto"/>
              </w:rPr>
            </w:pPr>
            <w:r>
              <w:rPr>
                <w:rFonts w:ascii="Arial" w:cs="Arial" w:eastAsia="Arial" w:hAnsi="Arial"/>
                <w:sz w:val="18"/>
                <w:szCs w:val="18"/>
                <w:color w:val="auto"/>
                <w:w w:val="93"/>
              </w:rPr>
              <w:t>Common</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Preferred</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0"/>
              </w:rPr>
              <w:t>Common</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100"/>
              <w:spacing w:after="0"/>
              <w:rPr>
                <w:sz w:val="20"/>
                <w:szCs w:val="20"/>
                <w:color w:val="auto"/>
              </w:rPr>
            </w:pPr>
            <w:r>
              <w:rPr>
                <w:rFonts w:ascii="Arial" w:cs="Arial" w:eastAsia="Arial" w:hAnsi="Arial"/>
                <w:sz w:val="18"/>
                <w:szCs w:val="18"/>
                <w:color w:val="auto"/>
              </w:rPr>
              <w:t>Industry sector</w:t>
            </w:r>
          </w:p>
        </w:tc>
        <w:tc>
          <w:tcPr>
            <w:tcW w:w="1040" w:type="dxa"/>
            <w:vAlign w:val="bottom"/>
          </w:tcPr>
          <w:p>
            <w:pPr>
              <w:jc w:val="center"/>
              <w:ind w:left="130"/>
              <w:spacing w:after="0"/>
              <w:rPr>
                <w:sz w:val="20"/>
                <w:szCs w:val="20"/>
                <w:color w:val="auto"/>
              </w:rPr>
            </w:pPr>
            <w:r>
              <w:rPr>
                <w:rFonts w:ascii="Arial" w:cs="Arial" w:eastAsia="Arial" w:hAnsi="Arial"/>
                <w:sz w:val="18"/>
                <w:szCs w:val="18"/>
                <w:color w:val="auto"/>
                <w:w w:val="90"/>
              </w:rPr>
              <w:t>stock</w:t>
            </w:r>
          </w:p>
        </w:tc>
        <w:tc>
          <w:tcPr>
            <w:tcW w:w="1920" w:type="dxa"/>
            <w:vAlign w:val="bottom"/>
          </w:tcPr>
          <w:p>
            <w:pPr>
              <w:jc w:val="center"/>
              <w:ind w:left="292"/>
              <w:spacing w:after="0"/>
              <w:rPr>
                <w:sz w:val="20"/>
                <w:szCs w:val="20"/>
                <w:color w:val="auto"/>
              </w:rPr>
            </w:pPr>
            <w:r>
              <w:rPr>
                <w:rFonts w:ascii="Arial" w:cs="Arial" w:eastAsia="Arial" w:hAnsi="Arial"/>
                <w:sz w:val="18"/>
                <w:szCs w:val="18"/>
                <w:color w:val="auto"/>
                <w:w w:val="90"/>
              </w:rPr>
              <w:t>stock</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stock</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0"/>
              </w:rPr>
              <w:t>stock</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Communications</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w:t>
            </w:r>
          </w:p>
        </w:tc>
        <w:tc>
          <w:tcPr>
            <w:tcW w:w="192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$ 2</w:t>
            </w:r>
          </w:p>
        </w:tc>
        <w:tc>
          <w:tcPr>
            <w:tcW w:w="1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$ 1</w:t>
            </w:r>
          </w:p>
        </w:tc>
        <w:tc>
          <w:tcPr>
            <w:tcW w:w="1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$ 2</w:t>
            </w:r>
          </w:p>
        </w:tc>
        <w:tc>
          <w:tcPr>
            <w:tcW w:w="120" w:type="dxa"/>
            <w:vAlign w:val="bottom"/>
            <w:tcBorders>
              <w:top w:val="single" w:sz="8" w:color="CCEEFF"/>
            </w:tcBorders>
            <w:shd w:val="clear" w:color="auto" w:fill="CCEEFF"/>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120"/>
              <w:spacing w:after="0"/>
              <w:rPr>
                <w:sz w:val="20"/>
                <w:szCs w:val="20"/>
                <w:color w:val="auto"/>
              </w:rPr>
            </w:pPr>
            <w:r>
              <w:rPr>
                <w:rFonts w:ascii="Arial" w:cs="Arial" w:eastAsia="Arial" w:hAnsi="Arial"/>
                <w:sz w:val="18"/>
                <w:szCs w:val="18"/>
                <w:color w:val="auto"/>
              </w:rPr>
              <w:t>Consumer</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c>
          <w:tcPr>
            <w:tcW w:w="1920" w:type="dxa"/>
            <w:vAlign w:val="bottom"/>
          </w:tcPr>
          <w:p>
            <w:pPr>
              <w:jc w:val="right"/>
              <w:ind w:right="332"/>
              <w:spacing w:after="0"/>
              <w:rPr>
                <w:sz w:val="20"/>
                <w:szCs w:val="20"/>
                <w:color w:val="auto"/>
              </w:rPr>
            </w:pPr>
            <w:r>
              <w:rPr>
                <w:rFonts w:ascii="Arial" w:cs="Arial" w:eastAsia="Arial" w:hAnsi="Arial"/>
                <w:sz w:val="18"/>
                <w:szCs w:val="18"/>
                <w:color w:val="auto"/>
              </w:rPr>
              <w:t>15</w:t>
            </w: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Diversified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9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120"/>
              <w:spacing w:after="0"/>
              <w:rPr>
                <w:sz w:val="20"/>
                <w:szCs w:val="20"/>
                <w:color w:val="auto"/>
              </w:rPr>
            </w:pPr>
            <w:r>
              <w:rPr>
                <w:rFonts w:ascii="Arial" w:cs="Arial" w:eastAsia="Arial" w:hAnsi="Arial"/>
                <w:sz w:val="18"/>
                <w:szCs w:val="18"/>
                <w:color w:val="auto"/>
              </w:rPr>
              <w:t>Energy</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c>
          <w:tcPr>
            <w:tcW w:w="1920" w:type="dxa"/>
            <w:vAlign w:val="bottom"/>
          </w:tcPr>
          <w:p>
            <w:pPr>
              <w:jc w:val="right"/>
              <w:ind w:right="332"/>
              <w:spacing w:after="0"/>
              <w:rPr>
                <w:sz w:val="20"/>
                <w:szCs w:val="20"/>
                <w:color w:val="auto"/>
              </w:rPr>
            </w:pPr>
            <w:r>
              <w:rPr>
                <w:rFonts w:ascii="Arial" w:cs="Arial" w:eastAsia="Arial" w:hAnsi="Arial"/>
                <w:sz w:val="18"/>
                <w:szCs w:val="18"/>
                <w:color w:val="auto"/>
              </w:rPr>
              <w:t>1</w:t>
            </w: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Financial</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9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6</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120"/>
              <w:spacing w:after="0"/>
              <w:rPr>
                <w:sz w:val="20"/>
                <w:szCs w:val="20"/>
                <w:color w:val="auto"/>
              </w:rPr>
            </w:pPr>
            <w:r>
              <w:rPr>
                <w:rFonts w:ascii="Arial" w:cs="Arial" w:eastAsia="Arial" w:hAnsi="Arial"/>
                <w:sz w:val="18"/>
                <w:szCs w:val="18"/>
                <w:color w:val="auto"/>
              </w:rPr>
              <w:t>Industrial</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920" w:type="dxa"/>
            <w:vAlign w:val="bottom"/>
          </w:tcPr>
          <w:p>
            <w:pPr>
              <w:jc w:val="right"/>
              <w:ind w:right="332"/>
              <w:spacing w:after="0"/>
              <w:rPr>
                <w:sz w:val="20"/>
                <w:szCs w:val="20"/>
                <w:color w:val="auto"/>
              </w:rPr>
            </w:pPr>
            <w:r>
              <w:rPr>
                <w:rFonts w:ascii="Arial" w:cs="Arial" w:eastAsia="Arial" w:hAnsi="Arial"/>
                <w:sz w:val="18"/>
                <w:szCs w:val="18"/>
                <w:color w:val="auto"/>
              </w:rPr>
              <w:t>3</w:t>
            </w: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2</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Technology</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9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Utilities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0</w:t>
            </w: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7</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 Indemnity</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9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$29</w:t>
            </w:r>
          </w:p>
        </w:tc>
        <w:tc>
          <w:tcPr>
            <w:tcW w:w="1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$24</w:t>
            </w: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20" w:type="dxa"/>
            <w:vAlign w:val="bottom"/>
          </w:tcPr>
          <w:p>
            <w:pPr>
              <w:jc w:val="center"/>
              <w:ind w:left="252"/>
              <w:spacing w:after="0"/>
              <w:rPr>
                <w:sz w:val="20"/>
                <w:szCs w:val="20"/>
                <w:color w:val="auto"/>
              </w:rPr>
            </w:pPr>
            <w:r>
              <w:rPr>
                <w:rFonts w:ascii="Arial" w:cs="Arial" w:eastAsia="Arial" w:hAnsi="Arial"/>
                <w:sz w:val="18"/>
                <w:szCs w:val="18"/>
                <w:color w:val="auto"/>
                <w:w w:val="89"/>
              </w:rPr>
              <w:t>53</w:t>
            </w: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54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3460" w:type="dxa"/>
            <w:vAlign w:val="bottom"/>
            <w:tcBorders>
              <w:bottom w:val="single" w:sz="8" w:color="010101"/>
            </w:tcBorders>
            <w:gridSpan w:val="2"/>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35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2"/>
          </w:tcPr>
          <w:p>
            <w:pPr>
              <w:jc w:val="center"/>
              <w:ind w:left="232"/>
              <w:spacing w:after="0"/>
              <w:rPr>
                <w:sz w:val="20"/>
                <w:szCs w:val="20"/>
                <w:color w:val="auto"/>
              </w:rPr>
            </w:pPr>
            <w:r>
              <w:rPr>
                <w:rFonts w:ascii="Arial" w:cs="Arial" w:eastAsia="Arial" w:hAnsi="Arial"/>
                <w:sz w:val="18"/>
                <w:szCs w:val="18"/>
                <w:color w:val="auto"/>
                <w:w w:val="89"/>
              </w:rPr>
              <w:t>Erie Insurance Group</w:t>
            </w: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540" w:type="dxa"/>
            <w:vAlign w:val="bottom"/>
          </w:tcPr>
          <w:p>
            <w:pPr>
              <w:ind w:left="120"/>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spacing w:after="0"/>
              <w:rPr>
                <w:sz w:val="16"/>
                <w:szCs w:val="16"/>
                <w:color w:val="auto"/>
              </w:rPr>
            </w:pPr>
          </w:p>
        </w:tc>
        <w:tc>
          <w:tcPr>
            <w:tcW w:w="3460" w:type="dxa"/>
            <w:vAlign w:val="bottom"/>
            <w:gridSpan w:val="2"/>
          </w:tcPr>
          <w:p>
            <w:pPr>
              <w:jc w:val="center"/>
              <w:ind w:left="252"/>
              <w:spacing w:after="0" w:line="195" w:lineRule="exact"/>
              <w:rPr>
                <w:sz w:val="20"/>
                <w:szCs w:val="20"/>
                <w:color w:val="auto"/>
              </w:rPr>
            </w:pPr>
            <w:r>
              <w:rPr>
                <w:rFonts w:ascii="Arial" w:cs="Arial" w:eastAsia="Arial" w:hAnsi="Arial"/>
                <w:sz w:val="18"/>
                <w:szCs w:val="18"/>
                <w:color w:val="auto"/>
                <w:w w:val="90"/>
              </w:rPr>
              <w:t>Fair Value at</w:t>
            </w: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Exchange</w:t>
            </w:r>
          </w:p>
        </w:tc>
        <w:tc>
          <w:tcPr>
            <w:tcW w:w="2960" w:type="dxa"/>
            <w:vAlign w:val="bottom"/>
            <w:gridSpan w:val="2"/>
          </w:tcPr>
          <w:p>
            <w:pPr>
              <w:jc w:val="center"/>
              <w:ind w:right="52"/>
              <w:spacing w:after="0"/>
              <w:rPr>
                <w:sz w:val="20"/>
                <w:szCs w:val="20"/>
                <w:color w:val="auto"/>
              </w:rPr>
            </w:pPr>
            <w:r>
              <w:rPr>
                <w:rFonts w:ascii="Arial" w:cs="Arial" w:eastAsia="Arial" w:hAnsi="Arial"/>
                <w:sz w:val="18"/>
                <w:szCs w:val="18"/>
                <w:color w:val="auto"/>
                <w:w w:val="91"/>
              </w:rPr>
              <w:t>March 31, 2011</w:t>
            </w:r>
          </w:p>
        </w:tc>
        <w:tc>
          <w:tcPr>
            <w:tcW w:w="3020" w:type="dxa"/>
            <w:vAlign w:val="bottom"/>
            <w:gridSpan w:val="3"/>
          </w:tcPr>
          <w:p>
            <w:pPr>
              <w:ind w:left="820"/>
              <w:spacing w:after="0"/>
              <w:rPr>
                <w:sz w:val="20"/>
                <w:szCs w:val="20"/>
                <w:color w:val="auto"/>
              </w:rPr>
            </w:pPr>
            <w:r>
              <w:rPr>
                <w:rFonts w:ascii="Arial" w:cs="Arial" w:eastAsia="Arial" w:hAnsi="Arial"/>
                <w:sz w:val="18"/>
                <w:szCs w:val="18"/>
                <w:color w:val="auto"/>
              </w:rPr>
              <w:t>December 31, 2010</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540" w:type="dxa"/>
            <w:vAlign w:val="bottom"/>
            <w:vMerge w:val="continue"/>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tcPr>
          <w:p>
            <w:pPr>
              <w:jc w:val="center"/>
              <w:ind w:right="1092"/>
              <w:spacing w:after="0"/>
              <w:rPr>
                <w:sz w:val="20"/>
                <w:szCs w:val="20"/>
                <w:color w:val="auto"/>
              </w:rPr>
            </w:pPr>
            <w:r>
              <w:rPr>
                <w:rFonts w:ascii="Arial" w:cs="Arial" w:eastAsia="Arial" w:hAnsi="Arial"/>
                <w:sz w:val="14"/>
                <w:szCs w:val="14"/>
                <w:color w:val="auto"/>
                <w:w w:val="95"/>
              </w:rPr>
              <w:t>(Unaudited)</w:t>
            </w:r>
          </w:p>
        </w:tc>
        <w:tc>
          <w:tcPr>
            <w:tcW w:w="15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040" w:type="dxa"/>
            <w:vAlign w:val="bottom"/>
          </w:tcPr>
          <w:p>
            <w:pPr>
              <w:jc w:val="center"/>
              <w:ind w:left="130"/>
              <w:spacing w:after="0"/>
              <w:rPr>
                <w:sz w:val="20"/>
                <w:szCs w:val="20"/>
                <w:color w:val="auto"/>
              </w:rPr>
            </w:pPr>
            <w:r>
              <w:rPr>
                <w:rFonts w:ascii="Arial" w:cs="Arial" w:eastAsia="Arial" w:hAnsi="Arial"/>
                <w:sz w:val="18"/>
                <w:szCs w:val="18"/>
                <w:color w:val="auto"/>
                <w:w w:val="87"/>
              </w:rPr>
              <w:t>Preferred</w:t>
            </w:r>
          </w:p>
        </w:tc>
        <w:tc>
          <w:tcPr>
            <w:tcW w:w="1920" w:type="dxa"/>
            <w:vAlign w:val="bottom"/>
          </w:tcPr>
          <w:p>
            <w:pPr>
              <w:jc w:val="center"/>
              <w:ind w:left="272"/>
              <w:spacing w:after="0"/>
              <w:rPr>
                <w:sz w:val="20"/>
                <w:szCs w:val="20"/>
                <w:color w:val="auto"/>
              </w:rPr>
            </w:pPr>
            <w:r>
              <w:rPr>
                <w:rFonts w:ascii="Arial" w:cs="Arial" w:eastAsia="Arial" w:hAnsi="Arial"/>
                <w:sz w:val="18"/>
                <w:szCs w:val="18"/>
                <w:color w:val="auto"/>
                <w:w w:val="93"/>
              </w:rPr>
              <w:t>Common</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Preferred</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0"/>
              </w:rPr>
              <w:t>Common</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100"/>
              <w:spacing w:after="0"/>
              <w:rPr>
                <w:sz w:val="20"/>
                <w:szCs w:val="20"/>
                <w:color w:val="auto"/>
              </w:rPr>
            </w:pPr>
            <w:r>
              <w:rPr>
                <w:rFonts w:ascii="Arial" w:cs="Arial" w:eastAsia="Arial" w:hAnsi="Arial"/>
                <w:sz w:val="18"/>
                <w:szCs w:val="18"/>
                <w:color w:val="auto"/>
              </w:rPr>
              <w:t>Industry sector</w:t>
            </w:r>
          </w:p>
        </w:tc>
        <w:tc>
          <w:tcPr>
            <w:tcW w:w="1040" w:type="dxa"/>
            <w:vAlign w:val="bottom"/>
          </w:tcPr>
          <w:p>
            <w:pPr>
              <w:jc w:val="center"/>
              <w:ind w:left="130"/>
              <w:spacing w:after="0"/>
              <w:rPr>
                <w:sz w:val="20"/>
                <w:szCs w:val="20"/>
                <w:color w:val="auto"/>
              </w:rPr>
            </w:pPr>
            <w:r>
              <w:rPr>
                <w:rFonts w:ascii="Arial" w:cs="Arial" w:eastAsia="Arial" w:hAnsi="Arial"/>
                <w:sz w:val="18"/>
                <w:szCs w:val="18"/>
                <w:color w:val="auto"/>
                <w:w w:val="90"/>
              </w:rPr>
              <w:t>stock</w:t>
            </w:r>
          </w:p>
        </w:tc>
        <w:tc>
          <w:tcPr>
            <w:tcW w:w="1920" w:type="dxa"/>
            <w:vAlign w:val="bottom"/>
          </w:tcPr>
          <w:p>
            <w:pPr>
              <w:jc w:val="center"/>
              <w:ind w:left="292"/>
              <w:spacing w:after="0"/>
              <w:rPr>
                <w:sz w:val="20"/>
                <w:szCs w:val="20"/>
                <w:color w:val="auto"/>
              </w:rPr>
            </w:pPr>
            <w:r>
              <w:rPr>
                <w:rFonts w:ascii="Arial" w:cs="Arial" w:eastAsia="Arial" w:hAnsi="Arial"/>
                <w:sz w:val="18"/>
                <w:szCs w:val="18"/>
                <w:color w:val="auto"/>
                <w:w w:val="90"/>
              </w:rPr>
              <w:t>stock</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stock</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0"/>
              </w:rPr>
              <w:t>stock</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Basic materials</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w:t>
            </w:r>
          </w:p>
        </w:tc>
        <w:tc>
          <w:tcPr>
            <w:tcW w:w="192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$ 128</w:t>
            </w:r>
          </w:p>
        </w:tc>
        <w:tc>
          <w:tcPr>
            <w:tcW w:w="1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  0</w:t>
            </w:r>
          </w:p>
        </w:tc>
        <w:tc>
          <w:tcPr>
            <w:tcW w:w="1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  124</w:t>
            </w:r>
          </w:p>
        </w:tc>
        <w:tc>
          <w:tcPr>
            <w:tcW w:w="120" w:type="dxa"/>
            <w:vAlign w:val="bottom"/>
            <w:tcBorders>
              <w:top w:val="single" w:sz="8" w:color="CCEEFF"/>
            </w:tcBorders>
            <w:shd w:val="clear" w:color="auto" w:fill="CCEEFF"/>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-1365250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25" w:right="199" w:bottom="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3540" w:type="dxa"/>
            <w:vAlign w:val="bottom"/>
          </w:tcPr>
          <w:p>
            <w:pPr>
              <w:ind w:left="120"/>
              <w:spacing w:after="0"/>
              <w:rPr>
                <w:sz w:val="20"/>
                <w:szCs w:val="20"/>
                <w:color w:val="auto"/>
              </w:rPr>
            </w:pPr>
            <w:r>
              <w:rPr>
                <w:rFonts w:ascii="Arial" w:cs="Arial" w:eastAsia="Arial" w:hAnsi="Arial"/>
                <w:sz w:val="18"/>
                <w:szCs w:val="18"/>
                <w:color w:val="auto"/>
              </w:rPr>
              <w:t>Communications</w:t>
            </w: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9</w:t>
            </w:r>
          </w:p>
        </w:tc>
        <w:tc>
          <w:tcPr>
            <w:tcW w:w="1620" w:type="dxa"/>
            <w:vAlign w:val="bottom"/>
          </w:tcPr>
          <w:p>
            <w:pPr>
              <w:jc w:val="right"/>
              <w:ind w:right="510"/>
              <w:spacing w:after="0"/>
              <w:rPr>
                <w:sz w:val="20"/>
                <w:szCs w:val="20"/>
                <w:color w:val="auto"/>
              </w:rPr>
            </w:pPr>
            <w:r>
              <w:rPr>
                <w:rFonts w:ascii="Arial" w:cs="Arial" w:eastAsia="Arial" w:hAnsi="Arial"/>
                <w:sz w:val="18"/>
                <w:szCs w:val="18"/>
                <w:color w:val="auto"/>
              </w:rPr>
              <w:t>196</w:t>
            </w:r>
          </w:p>
        </w:tc>
        <w:tc>
          <w:tcPr>
            <w:tcW w:w="1460" w:type="dxa"/>
            <w:vAlign w:val="bottom"/>
          </w:tcPr>
          <w:p>
            <w:pPr>
              <w:jc w:val="right"/>
              <w:ind w:right="430"/>
              <w:spacing w:after="0"/>
              <w:rPr>
                <w:sz w:val="20"/>
                <w:szCs w:val="20"/>
                <w:color w:val="auto"/>
              </w:rPr>
            </w:pPr>
            <w:r>
              <w:rPr>
                <w:rFonts w:ascii="Arial" w:cs="Arial" w:eastAsia="Arial" w:hAnsi="Arial"/>
                <w:sz w:val="18"/>
                <w:szCs w:val="18"/>
                <w:color w:val="auto"/>
              </w:rPr>
              <w:t>9</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0"/>
                <w:szCs w:val="20"/>
                <w:color w:val="auto"/>
              </w:rPr>
            </w:pPr>
          </w:p>
        </w:tc>
      </w:tr>
      <w:tr>
        <w:trPr>
          <w:trHeight w:val="216"/>
        </w:trPr>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Consumer</w:t>
            </w:r>
          </w:p>
        </w:tc>
        <w:tc>
          <w:tcPr>
            <w:tcW w:w="15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w:t>
            </w:r>
          </w:p>
        </w:tc>
        <w:tc>
          <w:tcPr>
            <w:tcW w:w="16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612</w:t>
            </w:r>
          </w:p>
        </w:tc>
        <w:tc>
          <w:tcPr>
            <w:tcW w:w="14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CCEEFF"/>
          </w:tcPr>
          <w:p>
            <w:pPr>
              <w:spacing w:after="0"/>
              <w:rPr>
                <w:sz w:val="18"/>
                <w:szCs w:val="18"/>
                <w:color w:val="auto"/>
              </w:rPr>
            </w:pPr>
          </w:p>
        </w:tc>
      </w:tr>
      <w:tr>
        <w:trPr>
          <w:trHeight w:val="216"/>
        </w:trPr>
        <w:tc>
          <w:tcPr>
            <w:tcW w:w="3540" w:type="dxa"/>
            <w:vAlign w:val="bottom"/>
          </w:tcPr>
          <w:p>
            <w:pPr>
              <w:ind w:left="120"/>
              <w:spacing w:after="0"/>
              <w:rPr>
                <w:sz w:val="20"/>
                <w:szCs w:val="20"/>
                <w:color w:val="auto"/>
              </w:rPr>
            </w:pPr>
            <w:r>
              <w:rPr>
                <w:rFonts w:ascii="Arial" w:cs="Arial" w:eastAsia="Arial" w:hAnsi="Arial"/>
                <w:sz w:val="18"/>
                <w:szCs w:val="18"/>
                <w:color w:val="auto"/>
              </w:rPr>
              <w:t>Diversified</w:t>
            </w: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0</w:t>
            </w:r>
          </w:p>
        </w:tc>
        <w:tc>
          <w:tcPr>
            <w:tcW w:w="1620" w:type="dxa"/>
            <w:vAlign w:val="bottom"/>
          </w:tcPr>
          <w:p>
            <w:pPr>
              <w:jc w:val="right"/>
              <w:ind w:right="510"/>
              <w:spacing w:after="0"/>
              <w:rPr>
                <w:sz w:val="20"/>
                <w:szCs w:val="20"/>
                <w:color w:val="auto"/>
              </w:rPr>
            </w:pPr>
            <w:r>
              <w:rPr>
                <w:rFonts w:ascii="Arial" w:cs="Arial" w:eastAsia="Arial" w:hAnsi="Arial"/>
                <w:sz w:val="18"/>
                <w:szCs w:val="18"/>
                <w:color w:val="auto"/>
              </w:rPr>
              <w:t>15</w:t>
            </w:r>
          </w:p>
        </w:tc>
        <w:tc>
          <w:tcPr>
            <w:tcW w:w="1460" w:type="dxa"/>
            <w:vAlign w:val="bottom"/>
          </w:tcPr>
          <w:p>
            <w:pPr>
              <w:jc w:val="right"/>
              <w:ind w:right="430"/>
              <w:spacing w:after="0"/>
              <w:rPr>
                <w:sz w:val="20"/>
                <w:szCs w:val="20"/>
                <w:color w:val="auto"/>
              </w:rPr>
            </w:pPr>
            <w:r>
              <w:rPr>
                <w:rFonts w:ascii="Arial" w:cs="Arial" w:eastAsia="Arial" w:hAnsi="Arial"/>
                <w:sz w:val="18"/>
                <w:szCs w:val="18"/>
                <w:color w:val="auto"/>
              </w:rPr>
              <w:t>0</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r>
      <w:tr>
        <w:trPr>
          <w:trHeight w:val="216"/>
        </w:trPr>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Energy</w:t>
            </w:r>
          </w:p>
        </w:tc>
        <w:tc>
          <w:tcPr>
            <w:tcW w:w="15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w:t>
            </w:r>
          </w:p>
        </w:tc>
        <w:tc>
          <w:tcPr>
            <w:tcW w:w="16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240</w:t>
            </w:r>
          </w:p>
        </w:tc>
        <w:tc>
          <w:tcPr>
            <w:tcW w:w="14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8"/>
                <w:szCs w:val="18"/>
                <w:color w:val="auto"/>
              </w:rPr>
            </w:pPr>
          </w:p>
        </w:tc>
      </w:tr>
      <w:tr>
        <w:trPr>
          <w:trHeight w:val="216"/>
        </w:trPr>
        <w:tc>
          <w:tcPr>
            <w:tcW w:w="3540" w:type="dxa"/>
            <w:vAlign w:val="bottom"/>
          </w:tcPr>
          <w:p>
            <w:pPr>
              <w:ind w:left="120"/>
              <w:spacing w:after="0"/>
              <w:rPr>
                <w:sz w:val="20"/>
                <w:szCs w:val="20"/>
                <w:color w:val="auto"/>
              </w:rPr>
            </w:pPr>
            <w:r>
              <w:rPr>
                <w:rFonts w:ascii="Arial" w:cs="Arial" w:eastAsia="Arial" w:hAnsi="Arial"/>
                <w:sz w:val="18"/>
                <w:szCs w:val="18"/>
                <w:color w:val="auto"/>
              </w:rPr>
              <w:t>Financial</w:t>
            </w: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449</w:t>
            </w:r>
          </w:p>
        </w:tc>
        <w:tc>
          <w:tcPr>
            <w:tcW w:w="1620" w:type="dxa"/>
            <w:vAlign w:val="bottom"/>
          </w:tcPr>
          <w:p>
            <w:pPr>
              <w:jc w:val="right"/>
              <w:ind w:right="510"/>
              <w:spacing w:after="0"/>
              <w:rPr>
                <w:sz w:val="20"/>
                <w:szCs w:val="20"/>
                <w:color w:val="auto"/>
              </w:rPr>
            </w:pPr>
            <w:r>
              <w:rPr>
                <w:rFonts w:ascii="Arial" w:cs="Arial" w:eastAsia="Arial" w:hAnsi="Arial"/>
                <w:sz w:val="18"/>
                <w:szCs w:val="18"/>
                <w:color w:val="auto"/>
              </w:rPr>
              <w:t>306</w:t>
            </w:r>
          </w:p>
        </w:tc>
        <w:tc>
          <w:tcPr>
            <w:tcW w:w="1460" w:type="dxa"/>
            <w:vAlign w:val="bottom"/>
          </w:tcPr>
          <w:p>
            <w:pPr>
              <w:jc w:val="right"/>
              <w:ind w:right="430"/>
              <w:spacing w:after="0"/>
              <w:rPr>
                <w:sz w:val="20"/>
                <w:szCs w:val="20"/>
                <w:color w:val="auto"/>
              </w:rPr>
            </w:pPr>
            <w:r>
              <w:rPr>
                <w:rFonts w:ascii="Arial" w:cs="Arial" w:eastAsia="Arial" w:hAnsi="Arial"/>
                <w:sz w:val="18"/>
                <w:szCs w:val="18"/>
                <w:color w:val="auto"/>
              </w:rPr>
              <w:t>428</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8"/>
                <w:szCs w:val="18"/>
                <w:color w:val="auto"/>
              </w:rPr>
            </w:pPr>
          </w:p>
        </w:tc>
      </w:tr>
      <w:tr>
        <w:trPr>
          <w:trHeight w:val="216"/>
        </w:trPr>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Funds</w:t>
            </w:r>
          </w:p>
        </w:tc>
        <w:tc>
          <w:tcPr>
            <w:tcW w:w="15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w:t>
            </w:r>
          </w:p>
        </w:tc>
        <w:tc>
          <w:tcPr>
            <w:tcW w:w="16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276</w:t>
            </w:r>
          </w:p>
        </w:tc>
        <w:tc>
          <w:tcPr>
            <w:tcW w:w="14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8"/>
                <w:szCs w:val="18"/>
                <w:color w:val="auto"/>
              </w:rPr>
            </w:pPr>
          </w:p>
        </w:tc>
      </w:tr>
      <w:tr>
        <w:trPr>
          <w:trHeight w:val="216"/>
        </w:trPr>
        <w:tc>
          <w:tcPr>
            <w:tcW w:w="3540" w:type="dxa"/>
            <w:vAlign w:val="bottom"/>
          </w:tcPr>
          <w:p>
            <w:pPr>
              <w:ind w:left="120"/>
              <w:spacing w:after="0"/>
              <w:rPr>
                <w:sz w:val="20"/>
                <w:szCs w:val="20"/>
                <w:color w:val="auto"/>
              </w:rPr>
            </w:pPr>
            <w:r>
              <w:rPr>
                <w:rFonts w:ascii="Arial" w:cs="Arial" w:eastAsia="Arial" w:hAnsi="Arial"/>
                <w:sz w:val="18"/>
                <w:szCs w:val="18"/>
                <w:color w:val="auto"/>
              </w:rPr>
              <w:t>Government</w:t>
            </w: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620" w:type="dxa"/>
            <w:vAlign w:val="bottom"/>
          </w:tcPr>
          <w:p>
            <w:pPr>
              <w:jc w:val="right"/>
              <w:ind w:right="510"/>
              <w:spacing w:after="0"/>
              <w:rPr>
                <w:sz w:val="20"/>
                <w:szCs w:val="20"/>
                <w:color w:val="auto"/>
              </w:rPr>
            </w:pPr>
            <w:r>
              <w:rPr>
                <w:rFonts w:ascii="Arial" w:cs="Arial" w:eastAsia="Arial" w:hAnsi="Arial"/>
                <w:sz w:val="18"/>
                <w:szCs w:val="18"/>
                <w:color w:val="auto"/>
              </w:rPr>
              <w:t>0</w:t>
            </w:r>
          </w:p>
        </w:tc>
        <w:tc>
          <w:tcPr>
            <w:tcW w:w="1460" w:type="dxa"/>
            <w:vAlign w:val="bottom"/>
          </w:tcPr>
          <w:p>
            <w:pPr>
              <w:jc w:val="right"/>
              <w:ind w:right="430"/>
              <w:spacing w:after="0"/>
              <w:rPr>
                <w:sz w:val="20"/>
                <w:szCs w:val="20"/>
                <w:color w:val="auto"/>
              </w:rPr>
            </w:pPr>
            <w:r>
              <w:rPr>
                <w:rFonts w:ascii="Arial" w:cs="Arial" w:eastAsia="Arial" w:hAnsi="Arial"/>
                <w:sz w:val="18"/>
                <w:szCs w:val="18"/>
                <w:color w:val="auto"/>
              </w:rPr>
              <w:t>0</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r>
      <w:tr>
        <w:trPr>
          <w:trHeight w:val="216"/>
        </w:trPr>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Industrial</w:t>
            </w:r>
          </w:p>
        </w:tc>
        <w:tc>
          <w:tcPr>
            <w:tcW w:w="15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w:t>
            </w:r>
          </w:p>
        </w:tc>
        <w:tc>
          <w:tcPr>
            <w:tcW w:w="16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353</w:t>
            </w:r>
          </w:p>
        </w:tc>
        <w:tc>
          <w:tcPr>
            <w:tcW w:w="14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8"/>
                <w:szCs w:val="18"/>
                <w:color w:val="auto"/>
              </w:rPr>
            </w:pPr>
          </w:p>
        </w:tc>
      </w:tr>
      <w:tr>
        <w:trPr>
          <w:trHeight w:val="216"/>
        </w:trPr>
        <w:tc>
          <w:tcPr>
            <w:tcW w:w="3540" w:type="dxa"/>
            <w:vAlign w:val="bottom"/>
          </w:tcPr>
          <w:p>
            <w:pPr>
              <w:ind w:left="120"/>
              <w:spacing w:after="0"/>
              <w:rPr>
                <w:sz w:val="20"/>
                <w:szCs w:val="20"/>
                <w:color w:val="auto"/>
              </w:rPr>
            </w:pPr>
            <w:r>
              <w:rPr>
                <w:rFonts w:ascii="Arial" w:cs="Arial" w:eastAsia="Arial" w:hAnsi="Arial"/>
                <w:sz w:val="18"/>
                <w:szCs w:val="18"/>
                <w:color w:val="auto"/>
              </w:rPr>
              <w:t>Technology</w:t>
            </w: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15</w:t>
            </w:r>
          </w:p>
        </w:tc>
        <w:tc>
          <w:tcPr>
            <w:tcW w:w="1620" w:type="dxa"/>
            <w:vAlign w:val="bottom"/>
          </w:tcPr>
          <w:p>
            <w:pPr>
              <w:jc w:val="right"/>
              <w:ind w:right="510"/>
              <w:spacing w:after="0"/>
              <w:rPr>
                <w:sz w:val="20"/>
                <w:szCs w:val="20"/>
                <w:color w:val="auto"/>
              </w:rPr>
            </w:pPr>
            <w:r>
              <w:rPr>
                <w:rFonts w:ascii="Arial" w:cs="Arial" w:eastAsia="Arial" w:hAnsi="Arial"/>
                <w:sz w:val="18"/>
                <w:szCs w:val="18"/>
                <w:color w:val="auto"/>
              </w:rPr>
              <w:t>306</w:t>
            </w:r>
          </w:p>
        </w:tc>
        <w:tc>
          <w:tcPr>
            <w:tcW w:w="1460" w:type="dxa"/>
            <w:vAlign w:val="bottom"/>
          </w:tcPr>
          <w:p>
            <w:pPr>
              <w:jc w:val="right"/>
              <w:ind w:right="430"/>
              <w:spacing w:after="0"/>
              <w:rPr>
                <w:sz w:val="20"/>
                <w:szCs w:val="20"/>
                <w:color w:val="auto"/>
              </w:rPr>
            </w:pPr>
            <w:r>
              <w:rPr>
                <w:rFonts w:ascii="Arial" w:cs="Arial" w:eastAsia="Arial" w:hAnsi="Arial"/>
                <w:sz w:val="18"/>
                <w:szCs w:val="18"/>
                <w:color w:val="auto"/>
              </w:rPr>
              <w:t>14</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18"/>
                <w:szCs w:val="18"/>
                <w:color w:val="auto"/>
              </w:rPr>
            </w:pPr>
          </w:p>
        </w:tc>
      </w:tr>
      <w:tr>
        <w:trPr>
          <w:trHeight w:val="216"/>
        </w:trPr>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Utilities</w:t>
            </w:r>
          </w:p>
        </w:tc>
        <w:tc>
          <w:tcPr>
            <w:tcW w:w="15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119</w:t>
            </w:r>
          </w:p>
        </w:tc>
        <w:tc>
          <w:tcPr>
            <w:tcW w:w="16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30</w:t>
            </w:r>
          </w:p>
        </w:tc>
        <w:tc>
          <w:tcPr>
            <w:tcW w:w="14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109</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r>
      <w:tr>
        <w:trPr>
          <w:trHeight w:val="210"/>
        </w:trPr>
        <w:tc>
          <w:tcPr>
            <w:tcW w:w="3540" w:type="dxa"/>
            <w:vAlign w:val="bottom"/>
          </w:tcPr>
          <w:p>
            <w:pPr>
              <w:ind w:left="240"/>
              <w:spacing w:after="0"/>
              <w:rPr>
                <w:sz w:val="20"/>
                <w:szCs w:val="20"/>
                <w:color w:val="auto"/>
              </w:rPr>
            </w:pPr>
            <w:r>
              <w:rPr>
                <w:rFonts w:ascii="Arial" w:cs="Arial" w:eastAsia="Arial" w:hAnsi="Arial"/>
                <w:sz w:val="18"/>
                <w:szCs w:val="18"/>
                <w:color w:val="auto"/>
              </w:rPr>
              <w:t>Total – Exchange</w:t>
            </w:r>
          </w:p>
        </w:tc>
        <w:tc>
          <w:tcPr>
            <w:tcW w:w="15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$603</w:t>
            </w:r>
          </w:p>
        </w:tc>
        <w:tc>
          <w:tcPr>
            <w:tcW w:w="16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$2,462</w:t>
            </w: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$570</w:t>
            </w: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$2,306</w:t>
            </w:r>
          </w:p>
        </w:tc>
        <w:tc>
          <w:tcPr>
            <w:tcW w:w="120" w:type="dxa"/>
            <w:vAlign w:val="bottom"/>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preferred stock equity securities are classified as available-for-sale and are carried at fair value on our Consolidated Statements of Financial Position with all changes in unrealized gains and losses reflected in other comprehensive income. At March 31, 2011, the unrealized gain on preferred stock classified as available-for-sale securities, net of deferred taxes amounted to $3 million for Indemnity and $55 million for the Exchange compared to a $3 million gain for Indemnity and $44 million gain for the Exchange at December 31, 2010.</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common stock portfolio is classified as a trading portfolio and is measured at fair value with all changes in unrealized gains and losses reflected in our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Limited partnerships</w:t>
      </w:r>
    </w:p>
    <w:p>
      <w:pPr>
        <w:spacing w:after="0" w:line="23"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color w:val="auto"/>
        </w:rPr>
        <w:t>In the first quarter of 2011, investments in limited partnerships remained relatively flat from the investment levels at December 31, 2010. The changes in partnership value are a function of contributions and distributions, adjusted for fair value changes. During 2011, the limited partnership market values and partnerships earnings have been generally positive as the recent market conditions continue to show signs of improvement.</w:t>
      </w:r>
    </w:p>
    <w:p>
      <w:pPr>
        <w:sectPr>
          <w:pgSz w:w="11900" w:h="16838" w:orient="portrait"/>
          <w:cols w:equalWidth="0" w:num="1">
            <w:col w:w="11400"/>
          </w:cols>
          <w:pgMar w:left="240" w:top="125" w:right="259" w:bottom="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limited partnership investments are as follows: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Private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03758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758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Real estate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Mezzanine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03758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7580" cy="137160"/>
                    </a:xfrm>
                    <a:prstGeom prst="rect">
                      <a:avLst/>
                    </a:prstGeom>
                    <a:noFill/>
                  </pic:spPr>
                </pic:pic>
              </a:graphicData>
            </a:graphic>
          </wp:anchor>
        </w:drawing>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limited partnerships – Indemnity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Private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03758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758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Real estate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Mezzanine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03758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7580" cy="137160"/>
                    </a:xfrm>
                    <a:prstGeom prst="rect">
                      <a:avLst/>
                    </a:prstGeom>
                    <a:noFill/>
                  </pic:spPr>
                </pic:pic>
              </a:graphicData>
            </a:graphic>
          </wp:anchor>
        </w:drawing>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limited partnerships – Exchange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Erie Insurance Group</w:t>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1640" w:type="dxa"/>
            <w:vAlign w:val="bottom"/>
            <w:tcBorders>
              <w:top w:val="single" w:sz="8" w:color="auto"/>
            </w:tcBorders>
          </w:tcPr>
          <w:p>
            <w:pPr>
              <w:jc w:val="center"/>
              <w:ind w:right="32"/>
              <w:spacing w:after="0" w:line="195" w:lineRule="exact"/>
              <w:rPr>
                <w:sz w:val="20"/>
                <w:szCs w:val="20"/>
                <w:color w:val="auto"/>
              </w:rPr>
            </w:pPr>
            <w:r>
              <w:rPr>
                <w:rFonts w:ascii="Arial" w:cs="Arial" w:eastAsia="Arial" w:hAnsi="Arial"/>
                <w:sz w:val="18"/>
                <w:szCs w:val="18"/>
                <w:color w:val="auto"/>
                <w:w w:val="94"/>
              </w:rPr>
              <w:t>At March 31,</w:t>
            </w:r>
          </w:p>
        </w:tc>
        <w:tc>
          <w:tcPr>
            <w:tcW w:w="178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At December 31,</w:t>
            </w:r>
          </w:p>
        </w:tc>
      </w:tr>
      <w:tr>
        <w:trPr>
          <w:trHeight w:val="230"/>
        </w:trPr>
        <w:tc>
          <w:tcPr>
            <w:tcW w:w="16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9"/>
              </w:rPr>
              <w:t>2011</w:t>
            </w:r>
          </w:p>
        </w:tc>
        <w:tc>
          <w:tcPr>
            <w:tcW w:w="17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2010</w:t>
            </w:r>
          </w:p>
        </w:tc>
      </w:tr>
      <w:tr>
        <w:trPr>
          <w:trHeight w:val="182"/>
        </w:trPr>
        <w:tc>
          <w:tcPr>
            <w:tcW w:w="1640" w:type="dxa"/>
            <w:vAlign w:val="bottom"/>
          </w:tcPr>
          <w:p>
            <w:pPr>
              <w:jc w:val="center"/>
              <w:ind w:right="32"/>
              <w:spacing w:after="0"/>
              <w:rPr>
                <w:sz w:val="20"/>
                <w:szCs w:val="20"/>
                <w:color w:val="auto"/>
              </w:rPr>
            </w:pPr>
            <w:r>
              <w:rPr>
                <w:rFonts w:ascii="Arial" w:cs="Arial" w:eastAsia="Arial" w:hAnsi="Arial"/>
                <w:sz w:val="14"/>
                <w:szCs w:val="14"/>
                <w:color w:val="auto"/>
                <w:w w:val="92"/>
              </w:rPr>
              <w:t>(Unaudited)</w:t>
            </w:r>
          </w:p>
        </w:tc>
        <w:tc>
          <w:tcPr>
            <w:tcW w:w="1780" w:type="dxa"/>
            <w:vAlign w:val="bottom"/>
          </w:tcPr>
          <w:p>
            <w:pPr>
              <w:spacing w:after="0"/>
              <w:rPr>
                <w:sz w:val="15"/>
                <w:szCs w:val="15"/>
                <w:color w:val="auto"/>
              </w:rPr>
            </w:pPr>
          </w:p>
        </w:tc>
      </w:tr>
      <w:tr>
        <w:trPr>
          <w:trHeight w:val="216"/>
        </w:trPr>
        <w:tc>
          <w:tcPr>
            <w:tcW w:w="1640" w:type="dxa"/>
            <w:vAlign w:val="bottom"/>
          </w:tcPr>
          <w:p>
            <w:pPr>
              <w:jc w:val="right"/>
              <w:ind w:right="572"/>
              <w:spacing w:after="0"/>
              <w:rPr>
                <w:sz w:val="20"/>
                <w:szCs w:val="20"/>
                <w:color w:val="auto"/>
              </w:rPr>
            </w:pPr>
            <w:r>
              <w:rPr>
                <w:rFonts w:ascii="Arial" w:cs="Arial" w:eastAsia="Arial" w:hAnsi="Arial"/>
                <w:sz w:val="18"/>
                <w:szCs w:val="18"/>
                <w:color w:val="auto"/>
              </w:rPr>
              <w:t>$  90</w:t>
            </w:r>
          </w:p>
        </w:tc>
        <w:tc>
          <w:tcPr>
            <w:tcW w:w="1780" w:type="dxa"/>
            <w:vAlign w:val="bottom"/>
          </w:tcPr>
          <w:p>
            <w:pPr>
              <w:jc w:val="right"/>
              <w:ind w:right="410"/>
              <w:spacing w:after="0"/>
              <w:rPr>
                <w:sz w:val="20"/>
                <w:szCs w:val="20"/>
                <w:color w:val="auto"/>
              </w:rPr>
            </w:pPr>
            <w:r>
              <w:rPr>
                <w:rFonts w:ascii="Arial" w:cs="Arial" w:eastAsia="Arial" w:hAnsi="Arial"/>
                <w:sz w:val="18"/>
                <w:szCs w:val="18"/>
                <w:color w:val="auto"/>
              </w:rPr>
              <w:t>$  86</w:t>
            </w:r>
          </w:p>
        </w:tc>
      </w:tr>
      <w:tr>
        <w:trPr>
          <w:trHeight w:val="216"/>
        </w:trPr>
        <w:tc>
          <w:tcPr>
            <w:tcW w:w="1640" w:type="dxa"/>
            <w:vAlign w:val="bottom"/>
          </w:tcPr>
          <w:p>
            <w:pPr>
              <w:jc w:val="right"/>
              <w:ind w:right="572"/>
              <w:spacing w:after="0"/>
              <w:rPr>
                <w:sz w:val="20"/>
                <w:szCs w:val="20"/>
                <w:color w:val="auto"/>
              </w:rPr>
            </w:pPr>
            <w:r>
              <w:rPr>
                <w:rFonts w:ascii="Arial" w:cs="Arial" w:eastAsia="Arial" w:hAnsi="Arial"/>
                <w:sz w:val="18"/>
                <w:szCs w:val="18"/>
                <w:color w:val="auto"/>
              </w:rPr>
              <w:t>86</w:t>
            </w:r>
          </w:p>
        </w:tc>
        <w:tc>
          <w:tcPr>
            <w:tcW w:w="1780" w:type="dxa"/>
            <w:vAlign w:val="bottom"/>
          </w:tcPr>
          <w:p>
            <w:pPr>
              <w:jc w:val="right"/>
              <w:ind w:right="410"/>
              <w:spacing w:after="0"/>
              <w:rPr>
                <w:sz w:val="20"/>
                <w:szCs w:val="20"/>
                <w:color w:val="auto"/>
              </w:rPr>
            </w:pPr>
            <w:r>
              <w:rPr>
                <w:rFonts w:ascii="Arial" w:cs="Arial" w:eastAsia="Arial" w:hAnsi="Arial"/>
                <w:sz w:val="18"/>
                <w:szCs w:val="18"/>
                <w:color w:val="auto"/>
              </w:rPr>
              <w:t>83</w:t>
            </w:r>
          </w:p>
        </w:tc>
      </w:tr>
      <w:tr>
        <w:trPr>
          <w:trHeight w:val="230"/>
        </w:trPr>
        <w:tc>
          <w:tcPr>
            <w:tcW w:w="164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46</w:t>
            </w:r>
          </w:p>
        </w:tc>
        <w:tc>
          <w:tcPr>
            <w:tcW w:w="17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47</w:t>
            </w:r>
          </w:p>
        </w:tc>
      </w:tr>
      <w:tr>
        <w:trPr>
          <w:trHeight w:val="210"/>
        </w:trPr>
        <w:tc>
          <w:tcPr>
            <w:tcW w:w="164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$ 222</w:t>
            </w:r>
          </w:p>
        </w:tc>
        <w:tc>
          <w:tcPr>
            <w:tcW w:w="17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$ 216</w:t>
            </w: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412"/>
        </w:trPr>
        <w:tc>
          <w:tcPr>
            <w:tcW w:w="1640" w:type="dxa"/>
            <w:vAlign w:val="bottom"/>
          </w:tcPr>
          <w:p>
            <w:pPr>
              <w:jc w:val="right"/>
              <w:ind w:right="572"/>
              <w:spacing w:after="0"/>
              <w:rPr>
                <w:sz w:val="20"/>
                <w:szCs w:val="20"/>
                <w:color w:val="auto"/>
              </w:rPr>
            </w:pPr>
            <w:r>
              <w:rPr>
                <w:rFonts w:ascii="Arial" w:cs="Arial" w:eastAsia="Arial" w:hAnsi="Arial"/>
                <w:sz w:val="18"/>
                <w:szCs w:val="18"/>
                <w:color w:val="auto"/>
              </w:rPr>
              <w:t>$ 582</w:t>
            </w:r>
          </w:p>
        </w:tc>
        <w:tc>
          <w:tcPr>
            <w:tcW w:w="1780" w:type="dxa"/>
            <w:vAlign w:val="bottom"/>
          </w:tcPr>
          <w:p>
            <w:pPr>
              <w:jc w:val="right"/>
              <w:ind w:right="410"/>
              <w:spacing w:after="0"/>
              <w:rPr>
                <w:sz w:val="20"/>
                <w:szCs w:val="20"/>
                <w:color w:val="auto"/>
              </w:rPr>
            </w:pPr>
            <w:r>
              <w:rPr>
                <w:rFonts w:ascii="Arial" w:cs="Arial" w:eastAsia="Arial" w:hAnsi="Arial"/>
                <w:sz w:val="18"/>
                <w:szCs w:val="18"/>
                <w:color w:val="auto"/>
              </w:rPr>
              <w:t>$ 555</w:t>
            </w:r>
          </w:p>
        </w:tc>
      </w:tr>
      <w:tr>
        <w:trPr>
          <w:trHeight w:val="216"/>
        </w:trPr>
        <w:tc>
          <w:tcPr>
            <w:tcW w:w="1640" w:type="dxa"/>
            <w:vAlign w:val="bottom"/>
          </w:tcPr>
          <w:p>
            <w:pPr>
              <w:jc w:val="right"/>
              <w:ind w:right="572"/>
              <w:spacing w:after="0"/>
              <w:rPr>
                <w:sz w:val="20"/>
                <w:szCs w:val="20"/>
                <w:color w:val="auto"/>
              </w:rPr>
            </w:pPr>
            <w:r>
              <w:rPr>
                <w:rFonts w:ascii="Arial" w:cs="Arial" w:eastAsia="Arial" w:hAnsi="Arial"/>
                <w:sz w:val="18"/>
                <w:szCs w:val="18"/>
                <w:color w:val="auto"/>
              </w:rPr>
              <w:t>356</w:t>
            </w:r>
          </w:p>
        </w:tc>
        <w:tc>
          <w:tcPr>
            <w:tcW w:w="1780" w:type="dxa"/>
            <w:vAlign w:val="bottom"/>
          </w:tcPr>
          <w:p>
            <w:pPr>
              <w:jc w:val="right"/>
              <w:ind w:right="410"/>
              <w:spacing w:after="0"/>
              <w:rPr>
                <w:sz w:val="20"/>
                <w:szCs w:val="20"/>
                <w:color w:val="auto"/>
              </w:rPr>
            </w:pPr>
            <w:r>
              <w:rPr>
                <w:rFonts w:ascii="Arial" w:cs="Arial" w:eastAsia="Arial" w:hAnsi="Arial"/>
                <w:sz w:val="18"/>
                <w:szCs w:val="18"/>
                <w:color w:val="auto"/>
              </w:rPr>
              <w:t>339</w:t>
            </w:r>
          </w:p>
        </w:tc>
      </w:tr>
      <w:tr>
        <w:trPr>
          <w:trHeight w:val="230"/>
        </w:trPr>
        <w:tc>
          <w:tcPr>
            <w:tcW w:w="164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215</w:t>
            </w:r>
          </w:p>
        </w:tc>
        <w:tc>
          <w:tcPr>
            <w:tcW w:w="17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214</w:t>
            </w:r>
          </w:p>
        </w:tc>
      </w:tr>
      <w:tr>
        <w:trPr>
          <w:trHeight w:val="210"/>
        </w:trPr>
        <w:tc>
          <w:tcPr>
            <w:tcW w:w="164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$1,153</w:t>
            </w:r>
          </w:p>
        </w:tc>
        <w:tc>
          <w:tcPr>
            <w:tcW w:w="17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$1,108</w:t>
            </w: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780"/>
          </w:cols>
          <w:pgMar w:left="240" w:top="125" w:right="259" w:bottom="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casualty loss reserves</w:t>
      </w:r>
    </w:p>
    <w:p>
      <w:pPr>
        <w:spacing w:after="0" w:line="9"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Loss reserves are established to account for the estimated ultimate costs of loss and loss expenses for claims that have been reported but not yet settled and claims that have been incurred but not reported. While we exercise professional diligence to establish reserves at the end of each period that are fully reflective of the ultimate value of all claims incurred, these reserves are, by their nature, only estimates and cannot be established with absolute certainty.</w:t>
      </w:r>
    </w:p>
    <w:p>
      <w:pPr>
        <w:spacing w:after="0" w:line="15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factors which may potentially cause the greatest variation between current reserve estimates and the actual future paid amounts are: unforeseen changes in statutory or case law altering the amounts to be paid on existing claim obligations, new medical procedures and/or drugs with costs significantly different from those seen in the past, and claims patterns on current business that differ significantly from historical claims patterns.</w:t>
      </w:r>
    </w:p>
    <w:p>
      <w:pPr>
        <w:spacing w:after="0" w:line="16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Loss and loss expense reserves are presented on our Consolidated Statements of Financial Position on a gross basis. The following table represents the direct and assumed loss and loss expense reserves by major line of business for our property and casualty insurance operations. The reinsurance recoverable amount represents the related ceded amounts which results in the net liability attributable to the Exchange.</w:t>
      </w:r>
    </w:p>
    <w:p>
      <w:pPr>
        <w:spacing w:after="0" w:line="16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December 31, 2010, all property and casualty insurance underwriting risk resides with the Exchange. (See Item 1. “Financial Statements - Note 1, Nature of Operations,” contained within this report.)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p>
        </w:tc>
        <w:tc>
          <w:tcPr>
            <w:tcW w:w="3580" w:type="dxa"/>
            <w:vAlign w:val="bottom"/>
            <w:gridSpan w:val="3"/>
          </w:tcPr>
          <w:p>
            <w:pPr>
              <w:ind w:left="960"/>
              <w:spacing w:after="0"/>
              <w:rPr>
                <w:sz w:val="20"/>
                <w:szCs w:val="20"/>
                <w:color w:val="auto"/>
              </w:rPr>
            </w:pPr>
            <w:r>
              <w:rPr>
                <w:rFonts w:ascii="Arial" w:cs="Arial" w:eastAsia="Arial" w:hAnsi="Arial"/>
                <w:sz w:val="18"/>
                <w:szCs w:val="18"/>
                <w:color w:val="auto"/>
              </w:rPr>
              <w:t>Erie Insurance Group</w:t>
            </w:r>
          </w:p>
        </w:tc>
        <w:tc>
          <w:tcPr>
            <w:tcW w:w="0" w:type="dxa"/>
            <w:vAlign w:val="bottom"/>
          </w:tcPr>
          <w:p>
            <w:pPr>
              <w:spacing w:after="0"/>
              <w:rPr>
                <w:sz w:val="1"/>
                <w:szCs w:val="1"/>
                <w:color w:val="auto"/>
              </w:rPr>
            </w:pPr>
          </w:p>
        </w:tc>
      </w:tr>
      <w:tr>
        <w:trPr>
          <w:trHeight w:val="195"/>
        </w:trPr>
        <w:tc>
          <w:tcPr>
            <w:tcW w:w="59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6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At March 31,</w:t>
            </w:r>
          </w:p>
        </w:tc>
        <w:tc>
          <w:tcPr>
            <w:tcW w:w="178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At December 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940" w:type="dxa"/>
            <w:vAlign w:val="bottom"/>
            <w:vMerge w:val="restart"/>
          </w:tcPr>
          <w:p>
            <w:pPr>
              <w:spacing w:after="0"/>
              <w:rPr>
                <w:sz w:val="20"/>
                <w:szCs w:val="20"/>
                <w:color w:val="auto"/>
              </w:rPr>
            </w:pPr>
            <w:r>
              <w:rPr>
                <w:rFonts w:ascii="Arial" w:cs="Arial" w:eastAsia="Arial" w:hAnsi="Arial"/>
                <w:sz w:val="18"/>
                <w:szCs w:val="18"/>
                <w:b w:val="1"/>
                <w:bCs w:val="1"/>
                <w:color w:val="auto"/>
              </w:rPr>
              <w:t>Exchange</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17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940" w:type="dxa"/>
            <w:vAlign w:val="bottom"/>
            <w:vMerge w:val="continue"/>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2"/>
              </w:rPr>
              <w:t>(Unaudited)</w:t>
            </w: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Gross reserve liability:</w:t>
            </w:r>
          </w:p>
        </w:tc>
        <w:tc>
          <w:tcPr>
            <w:tcW w:w="1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Personal auto</w:t>
            </w:r>
          </w:p>
        </w:tc>
        <w:tc>
          <w:tcPr>
            <w:tcW w:w="1680" w:type="dxa"/>
            <w:vAlign w:val="bottom"/>
          </w:tcPr>
          <w:p>
            <w:pPr>
              <w:jc w:val="right"/>
              <w:ind w:right="591"/>
              <w:spacing w:after="0"/>
              <w:rPr>
                <w:sz w:val="20"/>
                <w:szCs w:val="20"/>
                <w:color w:val="auto"/>
              </w:rPr>
            </w:pPr>
            <w:r>
              <w:rPr>
                <w:rFonts w:ascii="Arial" w:cs="Arial" w:eastAsia="Arial" w:hAnsi="Arial"/>
                <w:sz w:val="18"/>
                <w:szCs w:val="18"/>
                <w:color w:val="auto"/>
              </w:rPr>
              <w:t>$1,075</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Automobile massive injury</w:t>
            </w:r>
          </w:p>
        </w:tc>
        <w:tc>
          <w:tcPr>
            <w:tcW w:w="1680" w:type="dxa"/>
            <w:vAlign w:val="bottom"/>
            <w:shd w:val="clear" w:color="auto" w:fill="CCEEFF"/>
          </w:tcPr>
          <w:p>
            <w:pPr>
              <w:jc w:val="right"/>
              <w:ind w:right="591"/>
              <w:spacing w:after="0"/>
              <w:rPr>
                <w:sz w:val="20"/>
                <w:szCs w:val="20"/>
                <w:color w:val="auto"/>
              </w:rPr>
            </w:pPr>
            <w:r>
              <w:rPr>
                <w:rFonts w:ascii="Arial" w:cs="Arial" w:eastAsia="Arial" w:hAnsi="Arial"/>
                <w:sz w:val="18"/>
                <w:szCs w:val="18"/>
                <w:color w:val="auto"/>
              </w:rPr>
              <w:t>413</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Homeowners</w:t>
            </w:r>
          </w:p>
        </w:tc>
        <w:tc>
          <w:tcPr>
            <w:tcW w:w="1680" w:type="dxa"/>
            <w:vAlign w:val="bottom"/>
          </w:tcPr>
          <w:p>
            <w:pPr>
              <w:jc w:val="right"/>
              <w:ind w:right="591"/>
              <w:spacing w:after="0"/>
              <w:rPr>
                <w:sz w:val="20"/>
                <w:szCs w:val="20"/>
                <w:color w:val="auto"/>
              </w:rPr>
            </w:pPr>
            <w:r>
              <w:rPr>
                <w:rFonts w:ascii="Arial" w:cs="Arial" w:eastAsia="Arial" w:hAnsi="Arial"/>
                <w:sz w:val="18"/>
                <w:szCs w:val="18"/>
                <w:color w:val="auto"/>
              </w:rPr>
              <w:t>271</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Workers compensation</w:t>
            </w:r>
          </w:p>
        </w:tc>
        <w:tc>
          <w:tcPr>
            <w:tcW w:w="1680" w:type="dxa"/>
            <w:vAlign w:val="bottom"/>
            <w:shd w:val="clear" w:color="auto" w:fill="CCEEFF"/>
          </w:tcPr>
          <w:p>
            <w:pPr>
              <w:jc w:val="right"/>
              <w:ind w:right="591"/>
              <w:spacing w:after="0"/>
              <w:rPr>
                <w:sz w:val="20"/>
                <w:szCs w:val="20"/>
                <w:color w:val="auto"/>
              </w:rPr>
            </w:pPr>
            <w:r>
              <w:rPr>
                <w:rFonts w:ascii="Arial" w:cs="Arial" w:eastAsia="Arial" w:hAnsi="Arial"/>
                <w:sz w:val="18"/>
                <w:szCs w:val="18"/>
                <w:color w:val="auto"/>
              </w:rPr>
              <w:t>481</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Workers compensation massive injury</w:t>
            </w:r>
          </w:p>
        </w:tc>
        <w:tc>
          <w:tcPr>
            <w:tcW w:w="1680" w:type="dxa"/>
            <w:vAlign w:val="bottom"/>
          </w:tcPr>
          <w:p>
            <w:pPr>
              <w:jc w:val="right"/>
              <w:ind w:right="591"/>
              <w:spacing w:after="0"/>
              <w:rPr>
                <w:sz w:val="20"/>
                <w:szCs w:val="20"/>
                <w:color w:val="auto"/>
              </w:rPr>
            </w:pPr>
            <w:r>
              <w:rPr>
                <w:rFonts w:ascii="Arial" w:cs="Arial" w:eastAsia="Arial" w:hAnsi="Arial"/>
                <w:sz w:val="18"/>
                <w:szCs w:val="18"/>
                <w:color w:val="auto"/>
              </w:rPr>
              <w:t>152</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auto</w:t>
            </w:r>
          </w:p>
        </w:tc>
        <w:tc>
          <w:tcPr>
            <w:tcW w:w="1680" w:type="dxa"/>
            <w:vAlign w:val="bottom"/>
            <w:shd w:val="clear" w:color="auto" w:fill="CCEEFF"/>
          </w:tcPr>
          <w:p>
            <w:pPr>
              <w:jc w:val="right"/>
              <w:ind w:right="591"/>
              <w:spacing w:after="0"/>
              <w:rPr>
                <w:sz w:val="20"/>
                <w:szCs w:val="20"/>
                <w:color w:val="auto"/>
              </w:rPr>
            </w:pPr>
            <w:r>
              <w:rPr>
                <w:rFonts w:ascii="Arial" w:cs="Arial" w:eastAsia="Arial" w:hAnsi="Arial"/>
                <w:sz w:val="18"/>
                <w:szCs w:val="18"/>
                <w:color w:val="auto"/>
              </w:rPr>
              <w:t>286</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Commercial multi-peril</w:t>
            </w:r>
          </w:p>
        </w:tc>
        <w:tc>
          <w:tcPr>
            <w:tcW w:w="1680" w:type="dxa"/>
            <w:vAlign w:val="bottom"/>
          </w:tcPr>
          <w:p>
            <w:pPr>
              <w:jc w:val="right"/>
              <w:ind w:right="591"/>
              <w:spacing w:after="0"/>
              <w:rPr>
                <w:sz w:val="20"/>
                <w:szCs w:val="20"/>
                <w:color w:val="auto"/>
              </w:rPr>
            </w:pPr>
            <w:r>
              <w:rPr>
                <w:rFonts w:ascii="Arial" w:cs="Arial" w:eastAsia="Arial" w:hAnsi="Arial"/>
                <w:sz w:val="18"/>
                <w:szCs w:val="18"/>
                <w:color w:val="auto"/>
              </w:rPr>
              <w:t>562</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 other lines of business</w:t>
            </w:r>
          </w:p>
        </w:tc>
        <w:tc>
          <w:tcPr>
            <w:tcW w:w="1680" w:type="dxa"/>
            <w:vAlign w:val="bottom"/>
            <w:tcBorders>
              <w:bottom w:val="single" w:sz="8" w:color="auto"/>
            </w:tcBorders>
            <w:shd w:val="clear" w:color="auto" w:fill="CCEEFF"/>
          </w:tcPr>
          <w:p>
            <w:pPr>
              <w:jc w:val="right"/>
              <w:ind w:right="591"/>
              <w:spacing w:after="0"/>
              <w:rPr>
                <w:sz w:val="20"/>
                <w:szCs w:val="20"/>
                <w:color w:val="auto"/>
              </w:rPr>
            </w:pPr>
            <w:r>
              <w:rPr>
                <w:rFonts w:ascii="Arial" w:cs="Arial" w:eastAsia="Arial" w:hAnsi="Arial"/>
                <w:sz w:val="18"/>
                <w:szCs w:val="18"/>
                <w:color w:val="auto"/>
              </w:rPr>
              <w:t>319</w:t>
            </w:r>
          </w:p>
        </w:tc>
        <w:tc>
          <w:tcPr>
            <w:tcW w:w="17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color w:val="auto"/>
        </w:rPr>
        <w:t>Gross reserves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Reinsurance recoverable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Net reserve liability – Exchange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jc w:val="right"/>
              <w:ind w:right="630"/>
              <w:spacing w:after="0"/>
              <w:rPr>
                <w:sz w:val="20"/>
                <w:szCs w:val="20"/>
                <w:color w:val="auto"/>
              </w:rPr>
            </w:pPr>
            <w:r>
              <w:rPr>
                <w:rFonts w:ascii="Arial" w:cs="Arial" w:eastAsia="Arial" w:hAnsi="Arial"/>
                <w:sz w:val="18"/>
                <w:szCs w:val="18"/>
                <w:color w:val="auto"/>
              </w:rPr>
              <w:t>3,559</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3,584</w:t>
            </w:r>
          </w:p>
        </w:tc>
      </w:tr>
      <w:tr>
        <w:trPr>
          <w:trHeight w:val="230"/>
        </w:trPr>
        <w:tc>
          <w:tcPr>
            <w:tcW w:w="17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186</w:t>
            </w:r>
          </w:p>
        </w:tc>
        <w:tc>
          <w:tcPr>
            <w:tcW w:w="17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188</w:t>
            </w:r>
          </w:p>
        </w:tc>
      </w:tr>
      <w:tr>
        <w:trPr>
          <w:trHeight w:val="210"/>
        </w:trPr>
        <w:tc>
          <w:tcPr>
            <w:tcW w:w="17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$3,373</w:t>
            </w:r>
          </w:p>
        </w:tc>
        <w:tc>
          <w:tcPr>
            <w:tcW w:w="17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$3,396</w:t>
            </w: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-307975</wp:posOffset>
            </wp:positionV>
            <wp:extent cx="603758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758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5480"/>
          </w:cols>
          <w:pgMar w:left="240" w:top="125" w:right="239" w:bottom="0" w:gutter="0" w:footer="0" w:header="0"/>
        </w:sectPr>
      </w:pP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reserves that have the greatest potential for variation are the massive injury claim reserves. The Property and Casualty Group is currently reserving for about 300 claimants requiring lifetime medical care, of which about 120 involve massive injuries. The reserve carried by the Property and Casualty Group for the massive injury claimants, which includes automobile massive injury and workers compensation massive injury reserves, totaled $400 million at March 31, 2011, which is net of $165 million of anticipated reinsurance recoverables, compared to $428 million at December 31, 2010, which was net of $166 million of anticipated reinsurance recoverables. The pre-1986 automobile massive injury reserves decreased at March 31, 2011, compared to December 31, 2010, primarily due to improved annual claim cost expectations on massive injury lifetime medical benefits claims and the closing of one massive injury lifetime medical benefits claim.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Life insurance reserves</w:t>
      </w:r>
    </w:p>
    <w:p>
      <w:pPr>
        <w:spacing w:after="0" w:line="2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EFL’s primary commitment is its obligation to pay future policy benefits under the terms of its life insurance and annuity contracts. To meet these future obligations, EFL establishes life insurance reserves based on the type of policy, the age, gender and risk class of the insured and the number of years the policy has been in force. EFL also establishes annuity and universal life reserves based on the amount of policyholder deposits (less applicable insurance and expense charges) plus interest earned on those deposits. Life insurance and annuity reserves are supported primarily by EFL’s long-term, fixed income investments as the underlying policy reserves are generally also of a long-term nature.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IMPACT OF INFLATION</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Property and casualty insurance premiums are established before losses occur and before loss expenses are incurred, and therefore, before the extent to which inflation may impact such costs is known. Consequently, in establishing premium rates, we attempt to anticipate the potential impact of inflation, including medical cost inflation, construction and auto repair cost inflation and tort issues. Medical costs are a broad element of inflation that impacts personal and commercial auto, general liability, workers compensation and commercial multi-peril lines of insurance written by the Property and Casualty Group.</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2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Liquidity is a measure of a company’s ability to generate sufficient cash flows to meet the short- and long-term cash requirements of its business operations and growth needs. Our liquidity requirements have been met primarily by funds generated from premiums collected and income from investments. The insurance operations provide liquidity in that premiums are collected in advance of paying losses under the policies purchased with those premiums. Cash outflows for the property and casualty business are generally variable since settlement dates for liabilities for unpaid losses and the potential for large losses, whether individual or in the aggregate, cannot be predicted with absolute certainty. Accordingly, after satisfying our operating cash requirements, excess cash flows are used to build our investment portfolio in order to increase future investment income, which then may be used as a source of liquidity if cash from our insurance operations would not be sufficient to meet our obligations. Cash provided from these sources is used primarily to fund losses and policyholder benefits, fund the costs of operations including commissions, salaries and wages, pension plans, share repurchases, dividends to shareholders and the purchase and development of information technology. We expect that our operating cash needs will be met by funds generated from operations.</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Volatility in the financial markets presents challenges to us as we do occasionally access our investment portfolio as a source of cash. Some of our fixed income investments, despite being publicly traded, are illiquid. Volatility in these markets could impair our ability to sell certain of our fixed income securities or cause such securities to sell at deep discounts. Additionally, our limited partnership investments are significantly less liquid. We believe we have sufficient liquidity to meet our needs from other sources even if market volatility persists throughout 2011.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activities – Erie Insurance Group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our condensed consolidated cash flows for the three months ended March 31:</w:t>
      </w:r>
    </w:p>
    <w:p>
      <w:pPr>
        <w:sectPr>
          <w:pgSz w:w="11900" w:h="16838" w:orient="portrait"/>
          <w:cols w:equalWidth="0" w:num="1">
            <w:col w:w="11420"/>
          </w:cols>
          <w:pgMar w:left="240" w:top="125" w:right="239" w:bottom="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603758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7580" cy="13716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03758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7580" cy="137160"/>
                    </a:xfrm>
                    <a:prstGeom prst="rect">
                      <a:avLst/>
                    </a:prstGeom>
                    <a:noFill/>
                  </pic:spPr>
                </pic:pic>
              </a:graphicData>
            </a:graphic>
          </wp:anchor>
        </w:drawing>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decrease in cash</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right="2380"/>
        <w:spacing w:after="0"/>
        <w:rPr>
          <w:sz w:val="20"/>
          <w:szCs w:val="20"/>
          <w:color w:val="auto"/>
        </w:rPr>
      </w:pPr>
      <w:r>
        <w:rPr>
          <w:rFonts w:ascii="Arial" w:cs="Arial" w:eastAsia="Arial" w:hAnsi="Arial"/>
          <w:sz w:val="18"/>
          <w:szCs w:val="18"/>
          <w:color w:val="auto"/>
        </w:rPr>
        <w:t>Erie Insurance Group</w:t>
      </w:r>
    </w:p>
    <w:p>
      <w:pPr>
        <w:spacing w:after="0" w:line="23" w:lineRule="exact"/>
        <w:rPr>
          <w:sz w:val="20"/>
          <w:szCs w:val="20"/>
          <w:color w:val="auto"/>
        </w:rPr>
      </w:pPr>
    </w:p>
    <w:p>
      <w:pPr>
        <w:ind w:left="100"/>
        <w:spacing w:after="0"/>
        <w:tabs>
          <w:tab w:leader="none" w:pos="1600" w:val="left"/>
        </w:tabs>
        <w:rPr>
          <w:sz w:val="20"/>
          <w:szCs w:val="20"/>
          <w:color w:val="auto"/>
        </w:rPr>
      </w:pPr>
      <w:r>
        <w:rPr>
          <w:rFonts w:ascii="Arial" w:cs="Arial" w:eastAsia="Arial" w:hAnsi="Arial"/>
          <w:sz w:val="18"/>
          <w:szCs w:val="18"/>
          <w:color w:val="auto"/>
        </w:rPr>
        <w:t>2011</w:t>
      </w:r>
      <w:r>
        <w:rPr>
          <w:sz w:val="20"/>
          <w:szCs w:val="20"/>
          <w:color w:val="auto"/>
        </w:rPr>
        <w:tab/>
      </w:r>
      <w:r>
        <w:rPr>
          <w:rFonts w:ascii="Arial" w:cs="Arial" w:eastAsia="Arial" w:hAnsi="Arial"/>
          <w:sz w:val="18"/>
          <w:szCs w:val="18"/>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-130810</wp:posOffset>
            </wp:positionV>
            <wp:extent cx="17754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3" w:lineRule="exact"/>
        <w:rPr>
          <w:sz w:val="20"/>
          <w:szCs w:val="20"/>
          <w:color w:val="auto"/>
        </w:rPr>
      </w:pPr>
    </w:p>
    <w:p>
      <w:pPr>
        <w:jc w:val="center"/>
        <w:ind w:right="2380"/>
        <w:spacing w:after="0"/>
        <w:rPr>
          <w:sz w:val="20"/>
          <w:szCs w:val="20"/>
          <w:color w:val="auto"/>
        </w:rPr>
      </w:pPr>
      <w:r>
        <w:rPr>
          <w:rFonts w:ascii="Arial" w:cs="Arial" w:eastAsia="Arial" w:hAnsi="Arial"/>
          <w:sz w:val="14"/>
          <w:szCs w:val="14"/>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-101600</wp:posOffset>
            </wp:positionV>
            <wp:extent cx="17754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ind w:left="60"/>
        <w:spacing w:after="0"/>
        <w:tabs>
          <w:tab w:leader="none" w:pos="1680" w:val="left"/>
        </w:tabs>
        <w:rPr>
          <w:sz w:val="20"/>
          <w:szCs w:val="20"/>
          <w:color w:val="auto"/>
        </w:rPr>
      </w:pPr>
      <w:r>
        <w:rPr>
          <w:rFonts w:ascii="Arial" w:cs="Arial" w:eastAsia="Arial" w:hAnsi="Arial"/>
          <w:sz w:val="18"/>
          <w:szCs w:val="18"/>
          <w:color w:val="auto"/>
        </w:rPr>
        <w:t>$ 92</w:t>
      </w:r>
      <w:r>
        <w:rPr>
          <w:sz w:val="20"/>
          <w:szCs w:val="20"/>
          <w:color w:val="auto"/>
        </w:rPr>
        <w:tab/>
      </w:r>
      <w:r>
        <w:rPr>
          <w:rFonts w:ascii="Arial" w:cs="Arial" w:eastAsia="Arial" w:hAnsi="Arial"/>
          <w:sz w:val="16"/>
          <w:szCs w:val="16"/>
          <w:color w:val="auto"/>
        </w:rPr>
        <w:t>$ 27</w:t>
      </w:r>
    </w:p>
    <w:p>
      <w:pPr>
        <w:spacing w:after="0" w:line="7" w:lineRule="exact"/>
        <w:rPr>
          <w:sz w:val="20"/>
          <w:szCs w:val="20"/>
          <w:color w:val="auto"/>
        </w:rPr>
      </w:pPr>
    </w:p>
    <w:p>
      <w:pPr>
        <w:ind w:left="1780" w:hanging="1681"/>
        <w:spacing w:after="0"/>
        <w:tabs>
          <w:tab w:leader="none" w:pos="1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(49)</w:t>
      </w:r>
    </w:p>
    <w:p>
      <w:pPr>
        <w:spacing w:after="0" w:line="32" w:lineRule="exact"/>
        <w:rPr>
          <w:sz w:val="20"/>
          <w:szCs w:val="20"/>
          <w:color w:val="auto"/>
        </w:rPr>
      </w:pPr>
    </w:p>
    <w:p>
      <w:pPr>
        <w:ind w:left="1780" w:hanging="1591"/>
        <w:spacing w:after="0"/>
        <w:tabs>
          <w:tab w:leader="none" w:pos="1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(10)</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$(219)</w:t>
      </w: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14605</wp:posOffset>
            </wp:positionV>
            <wp:extent cx="17754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75460" cy="8890"/>
                    </a:xfrm>
                    <a:prstGeom prst="rect">
                      <a:avLst/>
                    </a:prstGeom>
                    <a:noFill/>
                  </pic:spPr>
                </pic:pic>
              </a:graphicData>
            </a:graphic>
          </wp:anchor>
        </w:drawing>
        <w:drawing>
          <wp:anchor simplePos="0" relativeHeight="251657728" behindDoc="1" locked="0" layoutInCell="0" allowOverlap="1">
            <wp:simplePos x="0" y="0"/>
            <wp:positionH relativeFrom="column">
              <wp:posOffset>-233045</wp:posOffset>
            </wp:positionH>
            <wp:positionV relativeFrom="paragraph">
              <wp:posOffset>31750</wp:posOffset>
            </wp:positionV>
            <wp:extent cx="17754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75460" cy="8890"/>
                    </a:xfrm>
                    <a:prstGeom prst="rect">
                      <a:avLst/>
                    </a:prstGeom>
                    <a:noFill/>
                  </pic:spPr>
                </pic:pic>
              </a:graphicData>
            </a:graphic>
          </wp:anchor>
        </w:drawing>
        <w:drawing>
          <wp:anchor simplePos="0" relativeHeight="251657728" behindDoc="1" locked="0" layoutInCell="0" allowOverlap="1">
            <wp:simplePos x="0" y="0"/>
            <wp:positionH relativeFrom="column">
              <wp:posOffset>-233045</wp:posOffset>
            </wp:positionH>
            <wp:positionV relativeFrom="paragraph">
              <wp:posOffset>-130810</wp:posOffset>
            </wp:positionV>
            <wp:extent cx="17754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6260" w:space="720"/>
            <w:col w:w="4440"/>
          </w:cols>
          <w:pgMar w:left="240" w:top="125" w:right="239" w:bottom="0" w:gutter="0" w:footer="0" w:header="0"/>
          <w:type w:val="continuous"/>
        </w:sectPr>
      </w:pPr>
    </w:p>
    <w:p>
      <w:pPr>
        <w:spacing w:after="0" w:line="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Cash flows provided by operating activities totaled $92 million and $27 million in the first quarters of 2011 and 2010, respectively. Increased cash from operating activities in the first quarter of 2011 was primarily driven by an increase in the premiums collected by the Exchange driven by the increase in premiums written compared to the first quarter of 2010. Also increasing the cash flows from operating activities in the first quarter of 2011 was a decrease in losses paid and an increase in limited partnership distributions, offset by an increase in income taxes paid.</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March 31, 2011, we recorded a net deferred tax liability of $323 million, which included capital loss carry-forwards of $8 million. There was no valuation allowance at March 31, 2011. We have the ability to carry-back capital losses of $281 million as a result of gains recognized in prior years. At March 31, 2011, the carry-back relating to the 2010 capital losses has not been filed. This carry-back is estimated to be $256 million, with a tax refund expected to be $90 million.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Cash flows used in investing activities totaled $254 million and $49 million in the first quarters of 2011 and 2010, respectively. In the first quarter of 2011, we used more cash to purchase certain fixed maturity and common stock investments, offset somewhat by generating more proceeds from the sale of other</w:t>
      </w:r>
    </w:p>
    <w:p>
      <w:pPr>
        <w:sectPr>
          <w:pgSz w:w="11900" w:h="16838" w:orient="portrait"/>
          <w:cols w:equalWidth="0" w:num="1">
            <w:col w:w="11420"/>
          </w:cols>
          <w:pgMar w:left="240" w:top="125" w:right="239" w:bottom="0" w:gutter="0" w:footer="0" w:header="0"/>
          <w:type w:val="continuous"/>
        </w:sectPr>
      </w:pPr>
    </w:p>
    <w:bookmarkStart w:id="37" w:name="page38"/>
    <w:bookmarkEnd w:id="37"/>
    <w:p>
      <w:pPr>
        <w:spacing w:after="0" w:line="312" w:lineRule="auto"/>
        <w:rPr>
          <w:sz w:val="20"/>
          <w:szCs w:val="20"/>
          <w:color w:val="auto"/>
        </w:rPr>
      </w:pPr>
      <w:r>
        <w:rPr>
          <w:rFonts w:ascii="Arial" w:cs="Arial" w:eastAsia="Arial" w:hAnsi="Arial"/>
          <w:sz w:val="16"/>
          <w:szCs w:val="16"/>
          <w:color w:val="auto"/>
        </w:rPr>
        <w:t>common stocks, compared to the first quarter of 2010. At March 31, 2011, we had contractual commitments to invest up to $476 million related to our limited partnership investments to be funded as required by the partnerships’ agreements. Of this amount, the total remaining commitment to fund limited partnerships that invest in private equity securities was $190 million, real estate activities was $147 million and mezzanine debt securities was $139 million.</w:t>
      </w:r>
    </w:p>
    <w:p>
      <w:pPr>
        <w:spacing w:after="0" w:line="1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For a discussion of cash flows used in financing activities, see the following “Cash flow activities – Indemnity,” as the primary drivers of financing cash flows related to Indemnity.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activities – Indemnity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cash flows for Indemnity for the three months ended March 31:</w:t>
      </w:r>
    </w:p>
    <w:p>
      <w:pPr>
        <w:spacing w:after="0" w:line="211"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Indemnity</w:t>
      </w:r>
    </w:p>
    <w:p>
      <w:pPr>
        <w:sectPr>
          <w:pgSz w:w="11900" w:h="16838" w:orient="portrait"/>
          <w:cols w:equalWidth="0" w:num="1">
            <w:col w:w="11400"/>
          </w:cols>
          <w:pgMar w:left="240" w:top="125" w:right="259" w:bottom="54" w:gutter="0" w:footer="0" w:header="0"/>
        </w:sectPr>
      </w:pP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decrease in cash</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0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2011</w:t>
            </w:r>
          </w:p>
        </w:tc>
        <w:tc>
          <w:tcPr>
            <w:tcW w:w="19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8"/>
                <w:szCs w:val="18"/>
                <w:color w:val="auto"/>
              </w:rPr>
              <w:t>2010</w:t>
            </w:r>
          </w:p>
        </w:tc>
      </w:tr>
      <w:tr>
        <w:trPr>
          <w:trHeight w:val="128"/>
        </w:trPr>
        <w:tc>
          <w:tcPr>
            <w:tcW w:w="1060" w:type="dxa"/>
            <w:vAlign w:val="bottom"/>
          </w:tcPr>
          <w:p>
            <w:pPr>
              <w:spacing w:after="0"/>
              <w:rPr>
                <w:sz w:val="11"/>
                <w:szCs w:val="11"/>
                <w:color w:val="auto"/>
              </w:rPr>
            </w:pPr>
          </w:p>
        </w:tc>
        <w:tc>
          <w:tcPr>
            <w:tcW w:w="1960" w:type="dxa"/>
            <w:vAlign w:val="bottom"/>
          </w:tcPr>
          <w:p>
            <w:pPr>
              <w:jc w:val="right"/>
              <w:ind w:right="1073"/>
              <w:spacing w:after="0" w:line="128" w:lineRule="exact"/>
              <w:rPr>
                <w:sz w:val="20"/>
                <w:szCs w:val="20"/>
                <w:color w:val="auto"/>
              </w:rPr>
            </w:pPr>
            <w:r>
              <w:rPr>
                <w:rFonts w:ascii="Arial" w:cs="Arial" w:eastAsia="Arial" w:hAnsi="Arial"/>
                <w:sz w:val="14"/>
                <w:szCs w:val="14"/>
                <w:color w:val="auto"/>
              </w:rPr>
              <w:t>(Unaudited)</w:t>
            </w:r>
          </w:p>
        </w:tc>
      </w:tr>
      <w:tr>
        <w:trPr>
          <w:trHeight w:val="216"/>
        </w:trPr>
        <w:tc>
          <w:tcPr>
            <w:tcW w:w="1060" w:type="dxa"/>
            <w:vAlign w:val="bottom"/>
          </w:tcPr>
          <w:p>
            <w:pPr>
              <w:jc w:val="right"/>
              <w:ind w:right="70"/>
              <w:spacing w:after="0"/>
              <w:rPr>
                <w:sz w:val="20"/>
                <w:szCs w:val="20"/>
                <w:color w:val="auto"/>
              </w:rPr>
            </w:pPr>
            <w:r>
              <w:rPr>
                <w:rFonts w:ascii="Arial" w:cs="Arial" w:eastAsia="Arial" w:hAnsi="Arial"/>
                <w:sz w:val="18"/>
                <w:szCs w:val="18"/>
                <w:color w:val="auto"/>
              </w:rPr>
              <w:t>$ 6</w:t>
            </w:r>
          </w:p>
        </w:tc>
        <w:tc>
          <w:tcPr>
            <w:tcW w:w="1960" w:type="dxa"/>
            <w:vAlign w:val="bottom"/>
          </w:tcPr>
          <w:p>
            <w:pPr>
              <w:jc w:val="right"/>
              <w:ind w:right="393"/>
              <w:spacing w:after="0"/>
              <w:rPr>
                <w:sz w:val="20"/>
                <w:szCs w:val="20"/>
                <w:color w:val="auto"/>
              </w:rPr>
            </w:pPr>
            <w:r>
              <w:rPr>
                <w:rFonts w:ascii="Arial" w:cs="Arial" w:eastAsia="Arial" w:hAnsi="Arial"/>
                <w:sz w:val="18"/>
                <w:szCs w:val="18"/>
                <w:color w:val="auto"/>
              </w:rPr>
              <w:t>$ 0</w:t>
            </w:r>
          </w:p>
        </w:tc>
      </w:tr>
      <w:tr>
        <w:trPr>
          <w:trHeight w:val="216"/>
        </w:trPr>
        <w:tc>
          <w:tcPr>
            <w:tcW w:w="106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1960" w:type="dxa"/>
            <w:vAlign w:val="bottom"/>
          </w:tcPr>
          <w:p>
            <w:pPr>
              <w:jc w:val="right"/>
              <w:ind w:right="333"/>
              <w:spacing w:after="0"/>
              <w:rPr>
                <w:sz w:val="20"/>
                <w:szCs w:val="20"/>
                <w:color w:val="auto"/>
              </w:rPr>
            </w:pPr>
            <w:r>
              <w:rPr>
                <w:rFonts w:ascii="Arial" w:cs="Arial" w:eastAsia="Arial" w:hAnsi="Arial"/>
                <w:sz w:val="18"/>
                <w:szCs w:val="18"/>
                <w:color w:val="auto"/>
              </w:rPr>
              <w:t>(19)</w:t>
            </w:r>
          </w:p>
        </w:tc>
      </w:tr>
      <w:tr>
        <w:trPr>
          <w:trHeight w:val="230"/>
        </w:trPr>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w:t>
            </w:r>
          </w:p>
        </w:tc>
        <w:tc>
          <w:tcPr>
            <w:tcW w:w="196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(28)</w:t>
            </w:r>
          </w:p>
        </w:tc>
      </w:tr>
      <w:tr>
        <w:trPr>
          <w:trHeight w:val="210"/>
        </w:trPr>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$(224)</w:t>
            </w:r>
          </w:p>
        </w:tc>
        <w:tc>
          <w:tcPr>
            <w:tcW w:w="196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$(47)</w:t>
            </w: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-4045585</wp:posOffset>
            </wp:positionH>
            <wp:positionV relativeFrom="paragraph">
              <wp:posOffset>-582295</wp:posOffset>
            </wp:positionV>
            <wp:extent cx="603758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7580" cy="137160"/>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-307975</wp:posOffset>
            </wp:positionV>
            <wp:extent cx="6037580"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758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60" w:space="720"/>
            <w:col w:w="5020"/>
          </w:cols>
          <w:pgMar w:left="240" w:top="125" w:right="259" w:bottom="54"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See Item 1. “Financial Statements - Note 14, Indemnity Supplemental Information,” contained within this report for more detail on Indemnity cash flows.</w:t>
      </w:r>
    </w:p>
    <w:p>
      <w:pPr>
        <w:spacing w:after="0" w:line="23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Indemnity’s cash flows provided by operating activities increased to $6 million in the first quarter of 2011, compared to $0 million in the first quarter of 2010. Increased cash from operating activities in the first quarter of 2011 was primarily due to an increase in management fee revenue received, offset by decreases in net investment income received and reimbursements collected from affiliates. Management fee revenues were higher reflecting the increase in the premiums written or assumed by the Exchange. Cash paid for agent commissions and bonuses increased to $178 million in the first quarter of 2011, compared to $169 million in the first quarter of 2010, as a result of an increase in cash paid for agent commissions. Indemnity’s policy for funding its pension plan is generally to contribute an amount equal to the greater of the IRS minimum required contribution or the target normal cost for the year plus interest to the date the contribution is made. For 2011, the expected contribution amount is $15 million, which does exceed the required minimum amount. Indemnity is generally reimbursed about 57% of the net periodic benefit cost of the pension plan from its affiliates.</w:t>
      </w:r>
    </w:p>
    <w:p>
      <w:pPr>
        <w:spacing w:after="0" w:line="17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At March 31, 2011, Indemnity recorded a net deferred tax liability of $14 million. There was no valuation allowance at March 31, 2011. Indemnity has the ability to carry back capital losses of $39 million as a result of gains recognized in prior years. At March 31, 2011, the carry-back relating to the 2010 capital losses has not been filed. This carry-back is estimated to be $39 million, with a tax refund expected to be $14 million. Indemnity’s capital gain and loss strategies take into consideration its ability to offset gains and losses in future periods, carry-back of capital loss opportunities to the three preceding years, and capital loss carry-forward opportunities to apply against future capital gains over the next five years.</w:t>
      </w:r>
    </w:p>
    <w:p>
      <w:pPr>
        <w:spacing w:after="0" w:line="17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Cash flows used in Indemnity investing activities totaled $168 million in the first quarter of 2011, compared to cash used of $19 million in the first quarter of 2010. In the first quarter of 2011, Indemnity received cash consideration from the Exchange of $82 million as a result of the sale of Indemnity’s 21.6% ownership interest in EFL to the Exchange on March 31, 2011, based upon an estimated purchase price. Final settlement of the transaction was made on April 25, 2011 for a final purchase price of $82 million. Net after-tax cash proceeds to Indemnity from the sale are estimated to be $58 million. Also, on March 18, 2011, a payment of $8 million was made by Indemnity to the Exchange as final settlement of the sale of EIC, ENY and EPC to the Exchange based upon the final purchase price. (See Item 1. “Financial Statements - Note 1, Nature of Operations,” contained within this report.)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Indemnity’s first quarter of 2011 investing activities also included increased cash used to purchase certain fixed maturities, offset somewhat by increased cash from the sale of other fixed maturities compared to the first quarter of 2010. Also impacting Indemnity’s future investing activities are limited partnership commitments, which totaled $47 million at March 31, 2011, and will be funded as required by the partnerships’ agreements. Of this amount, the total remaining commitment to fund limited partnerships that invest in private equity securities was $20 million, real estate activities was $15 million and mezzanine debt securities was $12 million.</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Cash flows used in Indemnity financing activities totaled $62 million and $28 million in the first quarters of 2011 and 2010, respectively. The increase in cash used in financing activities in the first quarter of 2011 was primarily driven by increases in the cash outlay for share repurchases and dividends paid to shareholders. Indemnity repurchased 0.5 million shares of its Class A nonvoting common stock in conjunction with its stock repurchase program at a total cost of $36 million in the first quarter of 2011. In the first quarter of 2010, shares repurchased under this program totaled 0.1 million at a total cost of $3 million. In December 2010, our Board of Directors approved a continuation of the current stock repurchase program for a total of $150 million. Indemnity had approximately $109.7 million of repurchase authority remaining under this program at March 31, 2011.</w:t>
      </w:r>
    </w:p>
    <w:p>
      <w:pPr>
        <w:spacing w:after="0" w:line="17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Dividends paid to shareholders totaled $26 million in the first quarter of 2011, compared to $25 million in the first quarter of 2010. Indemnity increased both its Class A and Class B shareholder quarterly dividends by 7.3% in 2011, compared to 2010. There are no regulatory restrictions on the payment of dividends to Indemnity’s shareholders.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Outlook</w:t>
      </w:r>
    </w:p>
    <w:p>
      <w:pPr>
        <w:spacing w:after="0" w:line="23"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We regularly prepare forecasts evaluating the current and future cash requirements of Indemnity and the Exchange for both normal and extreme risk events. Should an extreme risk event result in a cash requirement exceeding normal cash flows, we have the ability to meet our future funding requirements through various alternatives available to us.</w:t>
      </w:r>
    </w:p>
    <w:p>
      <w:pPr>
        <w:spacing w:after="0" w:line="1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Indemnity – </w:t>
      </w:r>
      <w:r>
        <w:rPr>
          <w:rFonts w:ascii="Arial" w:cs="Arial" w:eastAsia="Arial" w:hAnsi="Arial"/>
          <w:sz w:val="18"/>
          <w:szCs w:val="18"/>
          <w:color w:val="auto"/>
        </w:rPr>
        <w:t>Outside of Indemnity’s normal operating and investing cash activities, future funding requirements could be met through 1) Indemnity’s cash and</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which total approximately $86 million at March 31, 2011, 2) a $100 million bank line of credit held by Indemnity, and 3) liquidation of assets held in Indemnity’s investment portfolio, including common stock, preferred stock and investment grade bonds which totaled approximately $558 million at March 31, 2011. Volatility in the financial markets could impair Indemnity’s ability to sell certain of its fixed income securities or cause such securities to sell at deep discounts. Additionally, Indemnity has the ability to curtail or modify discretionary cash outlays such as those related to shareholder dividends and share repurchase activities.</w:t>
      </w:r>
    </w:p>
    <w:p>
      <w:pPr>
        <w:sectPr>
          <w:pgSz w:w="11900" w:h="16838" w:orient="portrait"/>
          <w:cols w:equalWidth="0" w:num="1">
            <w:col w:w="11400"/>
          </w:cols>
          <w:pgMar w:left="240" w:top="125" w:right="259" w:bottom="54" w:gutter="0" w:footer="0" w:header="0"/>
          <w:type w:val="continuous"/>
        </w:sectPr>
      </w:pPr>
    </w:p>
    <w:bookmarkStart w:id="38" w:name="page39"/>
    <w:bookmarkEnd w:id="38"/>
    <w:p>
      <w:pPr>
        <w:jc w:val="both"/>
        <w:spacing w:after="0" w:line="264" w:lineRule="auto"/>
        <w:rPr>
          <w:sz w:val="20"/>
          <w:szCs w:val="20"/>
          <w:color w:val="auto"/>
        </w:rPr>
      </w:pPr>
      <w:r>
        <w:rPr>
          <w:rFonts w:ascii="Arial" w:cs="Arial" w:eastAsia="Arial" w:hAnsi="Arial"/>
          <w:sz w:val="18"/>
          <w:szCs w:val="18"/>
          <w:color w:val="auto"/>
        </w:rPr>
        <w:t>Indemnity had no borrowings under its line of credit at March 31, 2011. At March 31, 2011, bonds with fair values of $134 million were pledged as collateral. These securities have no restrictions. The bank requires compliance with certain covenants, which include minimum net worth and leverage ratios. Indemnity was in compliance with its bank covenants at March 31, 2011.</w:t>
      </w:r>
    </w:p>
    <w:p>
      <w:pPr>
        <w:spacing w:after="0" w:line="18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Prior to and through December 31, 2010, the underwriting results retained by EIC and ENY and the investment results of EIC, ENY and EPC accrued to the benefit of the Indemnity shareholder interest. Due to the sale of Indemnity’s property and casualty subsidiaries to the Exchange on December 31, 2010, all property and casualty underwriting results and all investment results for these companies accrue to the benefit of the subscribers (policyholders) of the Exchange, or noncontrolling interest, after December 31, 2010. The net cash provided from these entities by operating activities totaled $3 million for the three months ended March 31, 2010. These operating cash flows will accrue to the benefit of the subscribers (policyholders) of the Exchange, or noncontrolling interest, in 2011 and thereafter. (See Item 1. “Financial Statements - Note 1, Nature of Operations,” contained within this report.)</w:t>
      </w:r>
    </w:p>
    <w:p>
      <w:pPr>
        <w:spacing w:after="0" w:line="16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Exchange – </w:t>
      </w:r>
      <w:r>
        <w:rPr>
          <w:rFonts w:ascii="Arial" w:cs="Arial" w:eastAsia="Arial" w:hAnsi="Arial"/>
          <w:sz w:val="18"/>
          <w:szCs w:val="18"/>
          <w:color w:val="auto"/>
        </w:rPr>
        <w:t>Outside of the Exchange’s normal operating and investing cash activities, future funding requirements could be met through 1) the Exchange’s</w:t>
      </w:r>
      <w:r>
        <w:rPr>
          <w:rFonts w:ascii="Arial" w:cs="Arial" w:eastAsia="Arial" w:hAnsi="Arial"/>
          <w:sz w:val="18"/>
          <w:szCs w:val="18"/>
          <w:i w:val="1"/>
          <w:iCs w:val="1"/>
          <w:color w:val="auto"/>
        </w:rPr>
        <w:t xml:space="preserve"> </w:t>
      </w:r>
      <w:r>
        <w:rPr>
          <w:rFonts w:ascii="Arial" w:cs="Arial" w:eastAsia="Arial" w:hAnsi="Arial"/>
          <w:sz w:val="18"/>
          <w:szCs w:val="18"/>
          <w:color w:val="auto"/>
        </w:rPr>
        <w:t>cash and cash equivalents, which total approximately $125 million at March 31, 2011, 2) a $200 million bank revolving line of credit held by the Exchange, and 3) liquidation of assets held in the Exchange’s investment portfolio, including common stock, preferred stock and investment grade bonds which totaled approximately $9.9 billion at March 31, 2011. Volatility in the financial markets could impair the Exchange’s ability to sell certain of its fixed income securities or cause such securities to sell at deep discounts.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Exchange had no borrowings under its line of credit at March 31, 2011. At March 31, 2011, bonds with fair values of $258 million were pledged as collateral. These securities have no restrictions. The bank requires compliance with certain covenants, which include statutory surplus and risk based capital ratios. The Exchange was in compliance with its bank covenants at March 31, 2011.</w:t>
      </w:r>
    </w:p>
    <w:p>
      <w:pPr>
        <w:spacing w:after="0" w:line="181" w:lineRule="exact"/>
        <w:rPr>
          <w:sz w:val="20"/>
          <w:szCs w:val="20"/>
          <w:color w:val="auto"/>
        </w:rPr>
      </w:pPr>
    </w:p>
    <w:p>
      <w:pPr>
        <w:jc w:val="both"/>
        <w:ind w:right="360"/>
        <w:spacing w:after="0" w:line="277" w:lineRule="auto"/>
        <w:rPr>
          <w:sz w:val="20"/>
          <w:szCs w:val="20"/>
          <w:color w:val="auto"/>
        </w:rPr>
      </w:pPr>
      <w:r>
        <w:rPr>
          <w:rFonts w:ascii="Arial" w:cs="Arial" w:eastAsia="Arial" w:hAnsi="Arial"/>
          <w:sz w:val="18"/>
          <w:szCs w:val="18"/>
          <w:color w:val="auto"/>
        </w:rPr>
        <w:t>Indemnity has no rights to the assets, capital, or line of credit of the Exchange and, conversely, the Exchange has no rights to the assets, capital, or line of credit of Indemnity. We believe we have the funding sources available to us to support cash flow requirements in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7" w:lineRule="exact"/>
        <w:rPr>
          <w:sz w:val="20"/>
          <w:szCs w:val="20"/>
          <w:color w:val="auto"/>
        </w:rPr>
      </w:pPr>
    </w:p>
    <w:p>
      <w:pPr>
        <w:jc w:val="both"/>
        <w:ind w:right="360"/>
        <w:spacing w:after="0" w:line="255" w:lineRule="auto"/>
        <w:rPr>
          <w:sz w:val="20"/>
          <w:szCs w:val="20"/>
          <w:color w:val="auto"/>
        </w:rPr>
      </w:pPr>
      <w:r>
        <w:rPr>
          <w:rFonts w:ascii="Arial" w:cs="Arial" w:eastAsia="Arial" w:hAnsi="Arial"/>
          <w:sz w:val="18"/>
          <w:szCs w:val="18"/>
          <w:color w:val="auto"/>
        </w:rPr>
        <w:t>Off-balance sheet arrangements include those with unconsolidated entities that may have a material current or future effect on our financial condition or results of operations, including material variable interests in unconsolidated entities that conduct certain activities. We have no material off-balance sheet obligations or guarantees, other than our limited partnership investment commitments.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Surplus notes</w:t>
      </w:r>
    </w:p>
    <w:p>
      <w:pPr>
        <w:spacing w:after="0" w:line="2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Indemnity holds a surplus note for $25 million from EFL that is payable on demand on or after December 31, 2018 with prior approval of the Pennsylvania Insurance Commissioner. EFL accrued interest to Indemnity on the surplus note of $0.4 million through March 31, 2011 and 2010. No other interest is charged or received on this intercompany balance due to the timely settlement terms and nature of the note.</w:t>
      </w:r>
    </w:p>
    <w:p>
      <w:pPr>
        <w:spacing w:after="0" w:line="19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Exchange holds a surplus note for $20 million from EFL that is payable on demand on or after December 31, 2025 with prior approval of the Pennsylvania Insurance Commissioner. EFL accrued interest to the Exchange on the surplus note of $0.3 million through March 31, 2011 and 2010. No other interest is charged or received on this intercompany balance due to the timely settlement terms and nature of the note.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29"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We make estimates and assumptions that have a significant effect on the amounts and disclosures reported in the financial statements. The most significant estimates relate to the valuation of investments, reserves for property/casualty insurance unpaid losses and loss adjustment expenses, life insurance and annuity policy reserves, deferred acquisition costs related to life insurance and investment-type contracts, deferred taxes and retirement benefits. While management believes its estimates are appropriate, the ultimate amounts may differ from estimates provided. Our most critical accounting estimates are described in Item 7. “Management’s Discussion and Analysis of Financial Condition and Results of Operations,” for the year ended December 31, 2010 of our Annual Report on Form 10-K as filed with the Securities and Exchange Commission on February 24, 2011. See Item 1. “Financial Statements - Note 6, Fair Value,” contained within this report for additional information on our valuation of investments.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exposure to market risk is primarily related to fluctuations in prices and interest rates. Quantitative and qualitative disclosures about market risk resulting from changes in prices and interest rates for the year ended December 31, 2010 are included in Item 7A. “Quantitative and Qualitative Disclosures About Market Risk,” of our Annual Report on Form 10-K as filed with the Securities and Exchange Commission on February 24, 2011. There have been no material changes that impact our portfolio or reshape our periodic investment reviews of asset allocations during the three months ended March 31, 2011. For a recent discussion of conditions surrounding our investment portfolio, see the “Operating Overview,” “Investment Operations,” and “Financial Condition, Investments” discussions contained in Item 2. “Management’s Discussion and Analysis of Financial Condition and Results of Operations,” within this report.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carried out an evaluation, with the participation of management, including the Chief Executive Officer and Chief Financial Officer, of the effectiveness of our disclosure controls and procedures (pursuant to Rule 13a-15(e) under the Securities Exchange Act of 1934, as amended) as of the end of the period covered by this report. Based upon that evaluation, the Chief Executive Officer and Chief Financial Officer concluded that our disclosure controls and procedures are effective. Our management evaluated, with the participation of the Chief Executive Officer and Chief Financial Officer, any change in our</w:t>
      </w:r>
    </w:p>
    <w:p>
      <w:pPr>
        <w:sectPr>
          <w:pgSz w:w="11900" w:h="16838" w:orient="portrait"/>
          <w:cols w:equalWidth="0" w:num="1">
            <w:col w:w="11400"/>
          </w:cols>
          <w:pgMar w:left="240" w:top="125" w:right="259" w:bottom="0" w:gutter="0" w:footer="0" w:header="0"/>
        </w:sectPr>
      </w:pPr>
    </w:p>
    <w:bookmarkStart w:id="39" w:name="page40"/>
    <w:bookmarkEnd w:id="39"/>
    <w:p>
      <w:pPr>
        <w:spacing w:after="0" w:line="73"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internal control over financial reporting and determined there has been no change in our internal control over financial reporting during the three months ended March 31, 2011 that has materially affected, or is reasonably likely to materially affect, our internal control over financial reporting.</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fiscal year ended December 31, 2010 as filed with the Securities and Exchange Commission on February 24, 2011.</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following table summarizes Indemnity’s Class A common stock repurchased each month, based upon trade date, during the quarter ended March 31, 2011: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5"/>
              </w:rPr>
              <w:t>Approximate</w:t>
            </w:r>
          </w:p>
        </w:tc>
      </w:tr>
      <w:tr>
        <w:trPr>
          <w:trHeight w:val="203"/>
        </w:trPr>
        <w:tc>
          <w:tcPr>
            <w:tcW w:w="2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4"/>
              </w:rPr>
              <w:t>Dollar Value</w:t>
            </w:r>
          </w:p>
        </w:tc>
      </w:tr>
      <w:tr>
        <w:trPr>
          <w:trHeight w:val="203"/>
        </w:trPr>
        <w:tc>
          <w:tcPr>
            <w:tcW w:w="3080" w:type="dxa"/>
            <w:vAlign w:val="bottom"/>
            <w:gridSpan w:val="2"/>
          </w:tcPr>
          <w:p>
            <w:pPr>
              <w:ind w:left="120"/>
              <w:spacing w:after="0"/>
              <w:rPr>
                <w:sz w:val="20"/>
                <w:szCs w:val="20"/>
                <w:color w:val="auto"/>
              </w:rPr>
            </w:pPr>
            <w:r>
              <w:rPr>
                <w:rFonts w:ascii="Arial" w:cs="Arial" w:eastAsia="Arial" w:hAnsi="Arial"/>
                <w:sz w:val="14"/>
                <w:szCs w:val="14"/>
                <w:i w:val="1"/>
                <w:iCs w:val="1"/>
                <w:color w:val="auto"/>
              </w:rPr>
              <w:t>(dollars in millions, except per</w:t>
            </w:r>
          </w:p>
        </w:tc>
        <w:tc>
          <w:tcPr>
            <w:tcW w:w="2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540" w:type="dxa"/>
            <w:vAlign w:val="bottom"/>
            <w:gridSpan w:val="2"/>
          </w:tcPr>
          <w:p>
            <w:pPr>
              <w:jc w:val="center"/>
              <w:ind w:right="280"/>
              <w:spacing w:after="0"/>
              <w:rPr>
                <w:sz w:val="20"/>
                <w:szCs w:val="20"/>
                <w:color w:val="auto"/>
              </w:rPr>
            </w:pPr>
            <w:r>
              <w:rPr>
                <w:rFonts w:ascii="Arial" w:cs="Arial" w:eastAsia="Arial" w:hAnsi="Arial"/>
                <w:sz w:val="16"/>
                <w:szCs w:val="16"/>
                <w:color w:val="auto"/>
                <w:w w:val="92"/>
              </w:rPr>
              <w:t>Total Number of</w:t>
            </w:r>
          </w:p>
        </w:tc>
        <w:tc>
          <w:tcPr>
            <w:tcW w:w="1940" w:type="dxa"/>
            <w:vAlign w:val="bottom"/>
          </w:tcPr>
          <w:p>
            <w:pPr>
              <w:jc w:val="center"/>
              <w:spacing w:after="0"/>
              <w:rPr>
                <w:sz w:val="20"/>
                <w:szCs w:val="20"/>
                <w:color w:val="auto"/>
              </w:rPr>
            </w:pPr>
            <w:r>
              <w:rPr>
                <w:rFonts w:ascii="Arial" w:cs="Arial" w:eastAsia="Arial" w:hAnsi="Arial"/>
                <w:sz w:val="16"/>
                <w:szCs w:val="16"/>
                <w:color w:val="auto"/>
                <w:w w:val="90"/>
              </w:rPr>
              <w:t>of Shares that</w:t>
            </w:r>
          </w:p>
        </w:tc>
      </w:tr>
      <w:tr>
        <w:trPr>
          <w:trHeight w:val="203"/>
        </w:trPr>
        <w:tc>
          <w:tcPr>
            <w:tcW w:w="3080" w:type="dxa"/>
            <w:vAlign w:val="bottom"/>
            <w:gridSpan w:val="2"/>
          </w:tcPr>
          <w:p>
            <w:pPr>
              <w:ind w:left="120"/>
              <w:spacing w:after="0"/>
              <w:rPr>
                <w:sz w:val="20"/>
                <w:szCs w:val="20"/>
                <w:color w:val="auto"/>
              </w:rPr>
            </w:pPr>
            <w:r>
              <w:rPr>
                <w:rFonts w:ascii="Arial" w:cs="Arial" w:eastAsia="Arial" w:hAnsi="Arial"/>
                <w:sz w:val="14"/>
                <w:szCs w:val="14"/>
                <w:i w:val="1"/>
                <w:iCs w:val="1"/>
                <w:color w:val="auto"/>
              </w:rPr>
              <w:t>share data)</w:t>
            </w:r>
          </w:p>
        </w:tc>
        <w:tc>
          <w:tcPr>
            <w:tcW w:w="2300" w:type="dxa"/>
            <w:vAlign w:val="bottom"/>
          </w:tcPr>
          <w:p>
            <w:pPr>
              <w:jc w:val="center"/>
              <w:spacing w:after="0"/>
              <w:rPr>
                <w:sz w:val="20"/>
                <w:szCs w:val="20"/>
                <w:color w:val="auto"/>
              </w:rPr>
            </w:pPr>
            <w:r>
              <w:rPr>
                <w:rFonts w:ascii="Arial" w:cs="Arial" w:eastAsia="Arial" w:hAnsi="Arial"/>
                <w:sz w:val="16"/>
                <w:szCs w:val="16"/>
                <w:color w:val="auto"/>
                <w:w w:val="92"/>
              </w:rPr>
              <w:t>Total Number</w:t>
            </w:r>
          </w:p>
        </w:tc>
        <w:tc>
          <w:tcPr>
            <w:tcW w:w="1560" w:type="dxa"/>
            <w:vAlign w:val="bottom"/>
          </w:tcPr>
          <w:p>
            <w:pPr>
              <w:jc w:val="center"/>
              <w:spacing w:after="0"/>
              <w:rPr>
                <w:sz w:val="20"/>
                <w:szCs w:val="20"/>
                <w:color w:val="auto"/>
              </w:rPr>
            </w:pPr>
            <w:r>
              <w:rPr>
                <w:rFonts w:ascii="Arial" w:cs="Arial" w:eastAsia="Arial" w:hAnsi="Arial"/>
                <w:sz w:val="16"/>
                <w:szCs w:val="16"/>
                <w:color w:val="auto"/>
                <w:w w:val="87"/>
              </w:rPr>
              <w:t>Average</w:t>
            </w:r>
          </w:p>
        </w:tc>
        <w:tc>
          <w:tcPr>
            <w:tcW w:w="2540" w:type="dxa"/>
            <w:vAlign w:val="bottom"/>
            <w:gridSpan w:val="2"/>
          </w:tcPr>
          <w:p>
            <w:pPr>
              <w:jc w:val="center"/>
              <w:ind w:right="280"/>
              <w:spacing w:after="0"/>
              <w:rPr>
                <w:sz w:val="20"/>
                <w:szCs w:val="20"/>
                <w:color w:val="auto"/>
              </w:rPr>
            </w:pPr>
            <w:r>
              <w:rPr>
                <w:rFonts w:ascii="Arial" w:cs="Arial" w:eastAsia="Arial" w:hAnsi="Arial"/>
                <w:sz w:val="16"/>
                <w:szCs w:val="16"/>
                <w:color w:val="auto"/>
                <w:w w:val="86"/>
              </w:rPr>
              <w:t>Shares Purchased</w:t>
            </w:r>
          </w:p>
        </w:tc>
        <w:tc>
          <w:tcPr>
            <w:tcW w:w="1940" w:type="dxa"/>
            <w:vAlign w:val="bottom"/>
          </w:tcPr>
          <w:p>
            <w:pPr>
              <w:jc w:val="center"/>
              <w:spacing w:after="0"/>
              <w:rPr>
                <w:sz w:val="20"/>
                <w:szCs w:val="20"/>
                <w:color w:val="auto"/>
              </w:rPr>
            </w:pPr>
            <w:r>
              <w:rPr>
                <w:rFonts w:ascii="Arial" w:cs="Arial" w:eastAsia="Arial" w:hAnsi="Arial"/>
                <w:sz w:val="16"/>
                <w:szCs w:val="16"/>
                <w:color w:val="auto"/>
                <w:w w:val="94"/>
              </w:rPr>
              <w:t>May Yet Be</w:t>
            </w:r>
          </w:p>
        </w:tc>
      </w:tr>
      <w:tr>
        <w:trPr>
          <w:trHeight w:val="203"/>
        </w:trPr>
        <w:tc>
          <w:tcPr>
            <w:tcW w:w="2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87"/>
              </w:rPr>
              <w:t>of Shares</w:t>
            </w:r>
          </w:p>
        </w:tc>
        <w:tc>
          <w:tcPr>
            <w:tcW w:w="1560" w:type="dxa"/>
            <w:vAlign w:val="bottom"/>
          </w:tcPr>
          <w:p>
            <w:pPr>
              <w:jc w:val="center"/>
              <w:spacing w:after="0"/>
              <w:rPr>
                <w:sz w:val="20"/>
                <w:szCs w:val="20"/>
                <w:color w:val="auto"/>
              </w:rPr>
            </w:pPr>
            <w:r>
              <w:rPr>
                <w:rFonts w:ascii="Arial" w:cs="Arial" w:eastAsia="Arial" w:hAnsi="Arial"/>
                <w:sz w:val="16"/>
                <w:szCs w:val="16"/>
                <w:color w:val="auto"/>
                <w:w w:val="93"/>
              </w:rPr>
              <w:t>Price Paid</w:t>
            </w:r>
          </w:p>
        </w:tc>
        <w:tc>
          <w:tcPr>
            <w:tcW w:w="2540" w:type="dxa"/>
            <w:vAlign w:val="bottom"/>
            <w:gridSpan w:val="2"/>
          </w:tcPr>
          <w:p>
            <w:pPr>
              <w:jc w:val="center"/>
              <w:ind w:right="280"/>
              <w:spacing w:after="0"/>
              <w:rPr>
                <w:sz w:val="20"/>
                <w:szCs w:val="20"/>
                <w:color w:val="auto"/>
              </w:rPr>
            </w:pPr>
            <w:r>
              <w:rPr>
                <w:rFonts w:ascii="Arial" w:cs="Arial" w:eastAsia="Arial" w:hAnsi="Arial"/>
                <w:sz w:val="16"/>
                <w:szCs w:val="16"/>
                <w:color w:val="auto"/>
                <w:w w:val="92"/>
              </w:rPr>
              <w:t>as Part of Publicly</w:t>
            </w:r>
          </w:p>
        </w:tc>
        <w:tc>
          <w:tcPr>
            <w:tcW w:w="1940" w:type="dxa"/>
            <w:vAlign w:val="bottom"/>
          </w:tcPr>
          <w:p>
            <w:pPr>
              <w:jc w:val="center"/>
              <w:spacing w:after="0"/>
              <w:rPr>
                <w:sz w:val="20"/>
                <w:szCs w:val="20"/>
                <w:color w:val="auto"/>
              </w:rPr>
            </w:pPr>
            <w:r>
              <w:rPr>
                <w:rFonts w:ascii="Arial" w:cs="Arial" w:eastAsia="Arial" w:hAnsi="Arial"/>
                <w:sz w:val="16"/>
                <w:szCs w:val="16"/>
                <w:color w:val="auto"/>
                <w:w w:val="86"/>
              </w:rPr>
              <w:t>Purchased</w:t>
            </w:r>
          </w:p>
        </w:tc>
      </w:tr>
      <w:tr>
        <w:trPr>
          <w:trHeight w:val="209"/>
        </w:trPr>
        <w:tc>
          <w:tcPr>
            <w:tcW w:w="3080" w:type="dxa"/>
            <w:vAlign w:val="bottom"/>
            <w:gridSpan w:val="2"/>
          </w:tcPr>
          <w:p>
            <w:pPr>
              <w:ind w:left="120"/>
              <w:spacing w:after="0"/>
              <w:rPr>
                <w:sz w:val="20"/>
                <w:szCs w:val="20"/>
                <w:color w:val="auto"/>
              </w:rPr>
            </w:pPr>
            <w:r>
              <w:rPr>
                <w:rFonts w:ascii="Arial" w:cs="Arial" w:eastAsia="Arial" w:hAnsi="Arial"/>
                <w:sz w:val="16"/>
                <w:szCs w:val="16"/>
                <w:color w:val="auto"/>
              </w:rPr>
              <w:t>Period</w:t>
            </w:r>
          </w:p>
        </w:tc>
        <w:tc>
          <w:tcPr>
            <w:tcW w:w="2300" w:type="dxa"/>
            <w:vAlign w:val="bottom"/>
          </w:tcPr>
          <w:p>
            <w:pPr>
              <w:jc w:val="center"/>
              <w:spacing w:after="0"/>
              <w:rPr>
                <w:sz w:val="20"/>
                <w:szCs w:val="20"/>
                <w:color w:val="auto"/>
              </w:rPr>
            </w:pPr>
            <w:r>
              <w:rPr>
                <w:rFonts w:ascii="Arial" w:cs="Arial" w:eastAsia="Arial" w:hAnsi="Arial"/>
                <w:sz w:val="16"/>
                <w:szCs w:val="16"/>
                <w:color w:val="auto"/>
                <w:w w:val="86"/>
              </w:rPr>
              <w:t>Purchased</w:t>
            </w:r>
          </w:p>
        </w:tc>
        <w:tc>
          <w:tcPr>
            <w:tcW w:w="1560" w:type="dxa"/>
            <w:vAlign w:val="bottom"/>
          </w:tcPr>
          <w:p>
            <w:pPr>
              <w:jc w:val="center"/>
              <w:spacing w:after="0"/>
              <w:rPr>
                <w:sz w:val="20"/>
                <w:szCs w:val="20"/>
                <w:color w:val="auto"/>
              </w:rPr>
            </w:pPr>
            <w:r>
              <w:rPr>
                <w:rFonts w:ascii="Arial" w:cs="Arial" w:eastAsia="Arial" w:hAnsi="Arial"/>
                <w:sz w:val="16"/>
                <w:szCs w:val="16"/>
                <w:color w:val="auto"/>
                <w:w w:val="88"/>
              </w:rPr>
              <w:t>Per Share</w:t>
            </w:r>
          </w:p>
        </w:tc>
        <w:tc>
          <w:tcPr>
            <w:tcW w:w="254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Announced Program</w:t>
            </w:r>
          </w:p>
        </w:tc>
        <w:tc>
          <w:tcPr>
            <w:tcW w:w="1940" w:type="dxa"/>
            <w:vAlign w:val="bottom"/>
          </w:tcPr>
          <w:p>
            <w:pPr>
              <w:jc w:val="center"/>
              <w:spacing w:after="0"/>
              <w:rPr>
                <w:sz w:val="20"/>
                <w:szCs w:val="20"/>
                <w:color w:val="auto"/>
              </w:rPr>
            </w:pPr>
            <w:r>
              <w:rPr>
                <w:rFonts w:ascii="Arial" w:cs="Arial" w:eastAsia="Arial" w:hAnsi="Arial"/>
                <w:sz w:val="16"/>
                <w:szCs w:val="16"/>
                <w:color w:val="auto"/>
                <w:w w:val="91"/>
              </w:rPr>
              <w:t>Under the Program</w:t>
            </w:r>
          </w:p>
        </w:tc>
      </w:tr>
      <w:tr>
        <w:trPr>
          <w:trHeight w:val="213"/>
        </w:trPr>
        <w:tc>
          <w:tcPr>
            <w:tcW w:w="28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January 1 – 31, 2011</w:t>
            </w:r>
          </w:p>
        </w:tc>
        <w:tc>
          <w:tcPr>
            <w:tcW w:w="2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654"/>
              <w:spacing w:after="0"/>
              <w:rPr>
                <w:sz w:val="20"/>
                <w:szCs w:val="20"/>
                <w:color w:val="auto"/>
              </w:rPr>
            </w:pPr>
            <w:r>
              <w:rPr>
                <w:rFonts w:ascii="Arial" w:cs="Arial" w:eastAsia="Arial" w:hAnsi="Arial"/>
                <w:sz w:val="18"/>
                <w:szCs w:val="18"/>
                <w:color w:val="auto"/>
              </w:rPr>
              <w:t>168,431</w:t>
            </w:r>
          </w:p>
        </w:tc>
        <w:tc>
          <w:tcPr>
            <w:tcW w:w="1560" w:type="dxa"/>
            <w:vAlign w:val="bottom"/>
            <w:tcBorders>
              <w:top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$65.86</w:t>
            </w:r>
          </w:p>
        </w:tc>
        <w:tc>
          <w:tcPr>
            <w:tcW w:w="2260" w:type="dxa"/>
            <w:vAlign w:val="bottom"/>
            <w:tcBorders>
              <w:top w:val="single" w:sz="8" w:color="auto"/>
            </w:tcBorders>
            <w:shd w:val="clear" w:color="auto" w:fill="CCEEFF"/>
          </w:tcPr>
          <w:p>
            <w:pPr>
              <w:jc w:val="right"/>
              <w:ind w:right="434"/>
              <w:spacing w:after="0"/>
              <w:rPr>
                <w:sz w:val="20"/>
                <w:szCs w:val="20"/>
                <w:color w:val="auto"/>
              </w:rPr>
            </w:pPr>
            <w:r>
              <w:rPr>
                <w:rFonts w:ascii="Arial" w:cs="Arial" w:eastAsia="Arial" w:hAnsi="Arial"/>
                <w:sz w:val="18"/>
                <w:szCs w:val="18"/>
                <w:color w:val="auto"/>
              </w:rPr>
              <w:t>168,431</w:t>
            </w:r>
          </w:p>
        </w:tc>
        <w:tc>
          <w:tcPr>
            <w:tcW w:w="2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216"/>
        </w:trPr>
        <w:tc>
          <w:tcPr>
            <w:tcW w:w="3080" w:type="dxa"/>
            <w:vAlign w:val="bottom"/>
            <w:gridSpan w:val="2"/>
          </w:tcPr>
          <w:p>
            <w:pPr>
              <w:ind w:left="120"/>
              <w:spacing w:after="0"/>
              <w:rPr>
                <w:sz w:val="20"/>
                <w:szCs w:val="20"/>
                <w:color w:val="auto"/>
              </w:rPr>
            </w:pPr>
            <w:r>
              <w:rPr>
                <w:rFonts w:ascii="Arial" w:cs="Arial" w:eastAsia="Arial" w:hAnsi="Arial"/>
                <w:sz w:val="18"/>
                <w:szCs w:val="18"/>
                <w:color w:val="auto"/>
              </w:rPr>
              <w:t>February 1 – 28, 2011</w:t>
            </w:r>
          </w:p>
        </w:tc>
        <w:tc>
          <w:tcPr>
            <w:tcW w:w="2300" w:type="dxa"/>
            <w:vAlign w:val="bottom"/>
          </w:tcPr>
          <w:p>
            <w:pPr>
              <w:jc w:val="right"/>
              <w:ind w:right="654"/>
              <w:spacing w:after="0"/>
              <w:rPr>
                <w:sz w:val="20"/>
                <w:szCs w:val="20"/>
                <w:color w:val="auto"/>
              </w:rPr>
            </w:pPr>
            <w:r>
              <w:rPr>
                <w:rFonts w:ascii="Arial" w:cs="Arial" w:eastAsia="Arial" w:hAnsi="Arial"/>
                <w:sz w:val="18"/>
                <w:szCs w:val="18"/>
                <w:color w:val="auto"/>
              </w:rPr>
              <w:t>186,436</w:t>
            </w:r>
          </w:p>
        </w:tc>
        <w:tc>
          <w:tcPr>
            <w:tcW w:w="1560" w:type="dxa"/>
            <w:vAlign w:val="bottom"/>
          </w:tcPr>
          <w:p>
            <w:pPr>
              <w:jc w:val="right"/>
              <w:ind w:right="354"/>
              <w:spacing w:after="0"/>
              <w:rPr>
                <w:sz w:val="20"/>
                <w:szCs w:val="20"/>
                <w:color w:val="auto"/>
              </w:rPr>
            </w:pPr>
            <w:r>
              <w:rPr>
                <w:rFonts w:ascii="Arial" w:cs="Arial" w:eastAsia="Arial" w:hAnsi="Arial"/>
                <w:sz w:val="18"/>
                <w:szCs w:val="18"/>
                <w:color w:val="auto"/>
              </w:rPr>
              <w:t>$68.65</w:t>
            </w:r>
          </w:p>
        </w:tc>
        <w:tc>
          <w:tcPr>
            <w:tcW w:w="2260" w:type="dxa"/>
            <w:vAlign w:val="bottom"/>
          </w:tcPr>
          <w:p>
            <w:pPr>
              <w:jc w:val="right"/>
              <w:ind w:right="434"/>
              <w:spacing w:after="0"/>
              <w:rPr>
                <w:sz w:val="20"/>
                <w:szCs w:val="20"/>
                <w:color w:val="auto"/>
              </w:rPr>
            </w:pPr>
            <w:r>
              <w:rPr>
                <w:rFonts w:ascii="Arial" w:cs="Arial" w:eastAsia="Arial" w:hAnsi="Arial"/>
                <w:sz w:val="18"/>
                <w:szCs w:val="18"/>
                <w:color w:val="auto"/>
              </w:rPr>
              <w:t>186,436</w:t>
            </w: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3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March 1 – 31, 2011</w:t>
            </w:r>
          </w:p>
        </w:tc>
        <w:tc>
          <w:tcPr>
            <w:tcW w:w="2300" w:type="dxa"/>
            <w:vAlign w:val="bottom"/>
            <w:tcBorders>
              <w:bottom w:val="single" w:sz="8" w:color="auto"/>
            </w:tcBorders>
            <w:shd w:val="clear" w:color="auto" w:fill="CCEEFF"/>
          </w:tcPr>
          <w:p>
            <w:pPr>
              <w:jc w:val="right"/>
              <w:ind w:right="654"/>
              <w:spacing w:after="0"/>
              <w:rPr>
                <w:sz w:val="20"/>
                <w:szCs w:val="20"/>
                <w:color w:val="auto"/>
              </w:rPr>
            </w:pPr>
            <w:r>
              <w:rPr>
                <w:rFonts w:ascii="Arial" w:cs="Arial" w:eastAsia="Arial" w:hAnsi="Arial"/>
                <w:sz w:val="18"/>
                <w:szCs w:val="18"/>
                <w:color w:val="auto"/>
              </w:rPr>
              <w:t>174,157</w:t>
            </w:r>
          </w:p>
        </w:tc>
        <w:tc>
          <w:tcPr>
            <w:tcW w:w="156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$70.24</w:t>
            </w:r>
          </w:p>
        </w:tc>
        <w:tc>
          <w:tcPr>
            <w:tcW w:w="226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8"/>
                <w:szCs w:val="18"/>
                <w:color w:val="auto"/>
              </w:rPr>
              <w:t>174,157</w:t>
            </w:r>
          </w:p>
        </w:tc>
        <w:tc>
          <w:tcPr>
            <w:tcW w:w="2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10"/>
        </w:trPr>
        <w:tc>
          <w:tcPr>
            <w:tcW w:w="308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2300" w:type="dxa"/>
            <w:vAlign w:val="bottom"/>
            <w:tcBorders>
              <w:bottom w:val="single" w:sz="8" w:color="auto"/>
            </w:tcBorders>
          </w:tcPr>
          <w:p>
            <w:pPr>
              <w:jc w:val="right"/>
              <w:ind w:right="654"/>
              <w:spacing w:after="0"/>
              <w:rPr>
                <w:sz w:val="20"/>
                <w:szCs w:val="20"/>
                <w:color w:val="auto"/>
              </w:rPr>
            </w:pPr>
            <w:r>
              <w:rPr>
                <w:rFonts w:ascii="Arial" w:cs="Arial" w:eastAsia="Arial" w:hAnsi="Arial"/>
                <w:sz w:val="18"/>
                <w:szCs w:val="18"/>
                <w:color w:val="auto"/>
              </w:rPr>
              <w:t>529,024</w:t>
            </w:r>
          </w:p>
        </w:tc>
        <w:tc>
          <w:tcPr>
            <w:tcW w:w="1560" w:type="dxa"/>
            <w:vAlign w:val="bottom"/>
          </w:tcPr>
          <w:p>
            <w:pPr>
              <w:spacing w:after="0"/>
              <w:rPr>
                <w:sz w:val="18"/>
                <w:szCs w:val="18"/>
                <w:color w:val="auto"/>
              </w:rPr>
            </w:pPr>
          </w:p>
        </w:tc>
        <w:tc>
          <w:tcPr>
            <w:tcW w:w="2260" w:type="dxa"/>
            <w:vAlign w:val="bottom"/>
            <w:tcBorders>
              <w:bottom w:val="single" w:sz="8" w:color="auto"/>
            </w:tcBorders>
          </w:tcPr>
          <w:p>
            <w:pPr>
              <w:jc w:val="right"/>
              <w:ind w:right="434"/>
              <w:spacing w:after="0"/>
              <w:rPr>
                <w:sz w:val="20"/>
                <w:szCs w:val="20"/>
                <w:color w:val="auto"/>
              </w:rPr>
            </w:pPr>
            <w:r>
              <w:rPr>
                <w:rFonts w:ascii="Arial" w:cs="Arial" w:eastAsia="Arial" w:hAnsi="Arial"/>
                <w:sz w:val="18"/>
                <w:szCs w:val="18"/>
                <w:color w:val="auto"/>
              </w:rPr>
              <w:t>529,024</w:t>
            </w:r>
          </w:p>
        </w:tc>
        <w:tc>
          <w:tcPr>
            <w:tcW w:w="280" w:type="dxa"/>
            <w:vAlign w:val="bottom"/>
          </w:tcPr>
          <w:p>
            <w:pPr>
              <w:spacing w:after="0"/>
              <w:rPr>
                <w:sz w:val="18"/>
                <w:szCs w:val="18"/>
                <w:color w:val="auto"/>
              </w:rPr>
            </w:pPr>
          </w:p>
        </w:tc>
        <w:tc>
          <w:tcPr>
            <w:tcW w:w="1940" w:type="dxa"/>
            <w:vAlign w:val="bottom"/>
            <w:tcBorders>
              <w:bottom w:val="single" w:sz="8" w:color="auto"/>
            </w:tcBorders>
          </w:tcPr>
          <w:p>
            <w:pPr>
              <w:jc w:val="right"/>
              <w:ind w:right="818"/>
              <w:spacing w:after="0"/>
              <w:rPr>
                <w:sz w:val="20"/>
                <w:szCs w:val="20"/>
                <w:color w:val="auto"/>
              </w:rPr>
            </w:pPr>
            <w:r>
              <w:rPr>
                <w:rFonts w:ascii="Arial" w:cs="Arial" w:eastAsia="Arial" w:hAnsi="Arial"/>
                <w:sz w:val="18"/>
                <w:szCs w:val="18"/>
                <w:color w:val="auto"/>
              </w:rPr>
              <w:t>$109.7</w:t>
            </w:r>
          </w:p>
        </w:tc>
      </w:tr>
      <w:tr>
        <w:trPr>
          <w:trHeight w:val="20"/>
        </w:trPr>
        <w:tc>
          <w:tcPr>
            <w:tcW w:w="2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December 2010, our Board of Directors approved a continuation of the current stock repurchase program, authorizing repurchases for a total of $150 million with no time limitation.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22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On April 1, 2011, we entered into an Indemnification Agreement with George D. Dufala, our Executive Vice President – Services, and John F. Kearns, our Executive Vice President – Sales &amp; Marketing. A copy of these agreements is filed herewith as Exhibit 10.4 and 10.5, respectively.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0" w:type="dxa"/>
            <w:vAlign w:val="bottom"/>
            <w:gridSpan w:val="4"/>
          </w:tcPr>
          <w:p>
            <w:pPr>
              <w:jc w:val="right"/>
              <w:ind w:right="5660"/>
              <w:spacing w:after="0"/>
              <w:rPr>
                <w:sz w:val="20"/>
                <w:szCs w:val="20"/>
                <w:color w:val="auto"/>
              </w:rPr>
            </w:pPr>
            <w:r>
              <w:rPr>
                <w:rFonts w:ascii="Arial" w:cs="Arial" w:eastAsia="Arial" w:hAnsi="Arial"/>
                <w:sz w:val="18"/>
                <w:szCs w:val="18"/>
                <w:color w:val="auto"/>
              </w:rPr>
              <w:t>62</w:t>
            </w:r>
          </w:p>
        </w:tc>
      </w:tr>
      <w:tr>
        <w:trPr>
          <w:trHeight w:val="132"/>
        </w:trPr>
        <w:tc>
          <w:tcPr>
            <w:tcW w:w="60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gridSpan w:val="2"/>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8500" w:type="dxa"/>
            <w:vAlign w:val="bottom"/>
            <w:tcBorders>
              <w:bottom w:val="single" w:sz="8" w:color="010101"/>
            </w:tcBorders>
          </w:tcPr>
          <w:p>
            <w:pPr>
              <w:spacing w:after="0"/>
              <w:rPr>
                <w:sz w:val="11"/>
                <w:szCs w:val="11"/>
                <w:color w:val="auto"/>
              </w:rPr>
            </w:pPr>
          </w:p>
        </w:tc>
      </w:tr>
      <w:tr>
        <w:trPr>
          <w:trHeight w:val="740"/>
        </w:trPr>
        <w:tc>
          <w:tcPr>
            <w:tcW w:w="11460" w:type="dxa"/>
            <w:vAlign w:val="bottom"/>
            <w:gridSpan w:val="6"/>
          </w:tcPr>
          <w:p>
            <w:pPr>
              <w:spacing w:after="0"/>
              <w:rPr>
                <w:sz w:val="20"/>
                <w:szCs w:val="20"/>
                <w:color w:val="auto"/>
              </w:rPr>
            </w:pPr>
            <w:r>
              <w:rPr>
                <w:rFonts w:ascii="Arial" w:cs="Arial" w:eastAsia="Arial" w:hAnsi="Arial"/>
                <w:sz w:val="18"/>
                <w:szCs w:val="18"/>
                <w:b w:val="1"/>
                <w:bCs w:val="1"/>
                <w:color w:val="auto"/>
              </w:rPr>
              <w:t>ITEM 6. EXHIBITS</w:t>
            </w:r>
          </w:p>
        </w:tc>
      </w:tr>
      <w:tr>
        <w:trPr>
          <w:trHeight w:val="438"/>
        </w:trPr>
        <w:tc>
          <w:tcPr>
            <w:tcW w:w="10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Exhibit</w:t>
            </w:r>
          </w:p>
        </w:tc>
        <w:tc>
          <w:tcPr>
            <w:tcW w:w="2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8500" w:type="dxa"/>
            <w:vAlign w:val="bottom"/>
          </w:tcPr>
          <w:p>
            <w:pPr>
              <w:spacing w:after="0"/>
              <w:rPr>
                <w:sz w:val="24"/>
                <w:szCs w:val="24"/>
                <w:color w:val="auto"/>
              </w:rPr>
            </w:pPr>
          </w:p>
        </w:tc>
      </w:tr>
      <w:tr>
        <w:trPr>
          <w:trHeight w:val="190"/>
        </w:trPr>
        <w:tc>
          <w:tcPr>
            <w:tcW w:w="6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Number</w:t>
            </w: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94"/>
              </w:rPr>
              <w:t>Description of Exhibit</w:t>
            </w:r>
          </w:p>
        </w:tc>
        <w:tc>
          <w:tcPr>
            <w:tcW w:w="8500" w:type="dxa"/>
            <w:vAlign w:val="bottom"/>
          </w:tcPr>
          <w:p>
            <w:pPr>
              <w:spacing w:after="0"/>
              <w:rPr>
                <w:sz w:val="16"/>
                <w:szCs w:val="16"/>
                <w:color w:val="auto"/>
              </w:rPr>
            </w:pPr>
          </w:p>
        </w:tc>
      </w:tr>
      <w:tr>
        <w:trPr>
          <w:trHeight w:val="438"/>
        </w:trPr>
        <w:tc>
          <w:tcPr>
            <w:tcW w:w="600" w:type="dxa"/>
            <w:vAlign w:val="bottom"/>
          </w:tcPr>
          <w:p>
            <w:pPr>
              <w:ind w:left="100"/>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24"/>
                <w:szCs w:val="24"/>
                <w:color w:val="auto"/>
              </w:rPr>
            </w:pPr>
          </w:p>
        </w:tc>
        <w:tc>
          <w:tcPr>
            <w:tcW w:w="10400" w:type="dxa"/>
            <w:vAlign w:val="bottom"/>
            <w:gridSpan w:val="4"/>
          </w:tcPr>
          <w:p>
            <w:pPr>
              <w:ind w:left="280"/>
              <w:spacing w:after="0"/>
              <w:rPr>
                <w:sz w:val="20"/>
                <w:szCs w:val="20"/>
                <w:color w:val="auto"/>
              </w:rPr>
            </w:pPr>
            <w:r>
              <w:rPr>
                <w:rFonts w:ascii="Arial" w:cs="Arial" w:eastAsia="Arial" w:hAnsi="Arial"/>
                <w:sz w:val="18"/>
                <w:szCs w:val="18"/>
                <w:color w:val="auto"/>
                <w:w w:val="92"/>
              </w:rPr>
              <w:t>Services Agreement between Erie Indemnity Company and Erie Family Life Insurance Company effective March 31, 2011. Such exhibit is</w:t>
            </w:r>
          </w:p>
        </w:tc>
      </w:tr>
      <w:tr>
        <w:trPr>
          <w:trHeight w:val="230"/>
        </w:trPr>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0" w:type="dxa"/>
            <w:vAlign w:val="bottom"/>
            <w:gridSpan w:val="4"/>
          </w:tcPr>
          <w:p>
            <w:pPr>
              <w:ind w:left="280"/>
              <w:spacing w:after="0"/>
              <w:rPr>
                <w:sz w:val="20"/>
                <w:szCs w:val="20"/>
                <w:color w:val="auto"/>
              </w:rPr>
            </w:pPr>
            <w:r>
              <w:rPr>
                <w:rFonts w:ascii="Arial" w:cs="Arial" w:eastAsia="Arial" w:hAnsi="Arial"/>
                <w:sz w:val="18"/>
                <w:szCs w:val="18"/>
                <w:color w:val="auto"/>
                <w:w w:val="95"/>
              </w:rPr>
              <w:t>incorporated by reference to the like titled exhibit in the Registrant’s Form 8-K that was filed with the Commission on March 31, 2011.</w:t>
            </w:r>
          </w:p>
        </w:tc>
      </w:tr>
      <w:tr>
        <w:trPr>
          <w:trHeight w:val="418"/>
        </w:trPr>
        <w:tc>
          <w:tcPr>
            <w:tcW w:w="600" w:type="dxa"/>
            <w:vAlign w:val="bottom"/>
          </w:tcPr>
          <w:p>
            <w:pPr>
              <w:ind w:left="100"/>
              <w:spacing w:after="0"/>
              <w:rPr>
                <w:sz w:val="20"/>
                <w:szCs w:val="20"/>
                <w:color w:val="auto"/>
              </w:rPr>
            </w:pPr>
            <w:r>
              <w:rPr>
                <w:rFonts w:ascii="Arial" w:cs="Arial" w:eastAsia="Arial" w:hAnsi="Arial"/>
                <w:sz w:val="18"/>
                <w:szCs w:val="18"/>
                <w:color w:val="auto"/>
              </w:rPr>
              <w:t>10.2</w:t>
            </w:r>
          </w:p>
        </w:tc>
        <w:tc>
          <w:tcPr>
            <w:tcW w:w="460" w:type="dxa"/>
            <w:vAlign w:val="bottom"/>
          </w:tcPr>
          <w:p>
            <w:pPr>
              <w:spacing w:after="0"/>
              <w:rPr>
                <w:sz w:val="24"/>
                <w:szCs w:val="24"/>
                <w:color w:val="auto"/>
              </w:rPr>
            </w:pPr>
          </w:p>
        </w:tc>
        <w:tc>
          <w:tcPr>
            <w:tcW w:w="10400" w:type="dxa"/>
            <w:vAlign w:val="bottom"/>
            <w:gridSpan w:val="4"/>
          </w:tcPr>
          <w:p>
            <w:pPr>
              <w:ind w:left="280"/>
              <w:spacing w:after="0"/>
              <w:rPr>
                <w:sz w:val="20"/>
                <w:szCs w:val="20"/>
                <w:color w:val="auto"/>
              </w:rPr>
            </w:pPr>
            <w:r>
              <w:rPr>
                <w:rFonts w:ascii="Arial" w:cs="Arial" w:eastAsia="Arial" w:hAnsi="Arial"/>
                <w:sz w:val="18"/>
                <w:szCs w:val="18"/>
                <w:color w:val="auto"/>
                <w:w w:val="93"/>
              </w:rPr>
              <w:t>Third Amendment to Erie Indemnity Company Annual Incentive Plan (As Amended and Restated Effective as of January 1, 2009) dated</w:t>
            </w:r>
          </w:p>
        </w:tc>
      </w:tr>
      <w:tr>
        <w:trPr>
          <w:trHeight w:val="230"/>
        </w:trPr>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0" w:type="dxa"/>
            <w:vAlign w:val="bottom"/>
            <w:gridSpan w:val="4"/>
          </w:tcPr>
          <w:p>
            <w:pPr>
              <w:ind w:left="280"/>
              <w:spacing w:after="0"/>
              <w:rPr>
                <w:sz w:val="20"/>
                <w:szCs w:val="20"/>
                <w:color w:val="auto"/>
              </w:rPr>
            </w:pPr>
            <w:r>
              <w:rPr>
                <w:rFonts w:ascii="Arial" w:cs="Arial" w:eastAsia="Arial" w:hAnsi="Arial"/>
                <w:sz w:val="18"/>
                <w:szCs w:val="18"/>
                <w:color w:val="auto"/>
              </w:rPr>
              <w:t>February 24, 2011.</w:t>
            </w:r>
          </w:p>
        </w:tc>
      </w:tr>
      <w:tr>
        <w:trPr>
          <w:trHeight w:val="418"/>
        </w:trPr>
        <w:tc>
          <w:tcPr>
            <w:tcW w:w="600" w:type="dxa"/>
            <w:vAlign w:val="bottom"/>
          </w:tcPr>
          <w:p>
            <w:pPr>
              <w:ind w:left="100"/>
              <w:spacing w:after="0"/>
              <w:rPr>
                <w:sz w:val="20"/>
                <w:szCs w:val="20"/>
                <w:color w:val="auto"/>
              </w:rPr>
            </w:pPr>
            <w:r>
              <w:rPr>
                <w:rFonts w:ascii="Arial" w:cs="Arial" w:eastAsia="Arial" w:hAnsi="Arial"/>
                <w:sz w:val="18"/>
                <w:szCs w:val="18"/>
                <w:color w:val="auto"/>
              </w:rPr>
              <w:t>10.3</w:t>
            </w:r>
          </w:p>
        </w:tc>
        <w:tc>
          <w:tcPr>
            <w:tcW w:w="460" w:type="dxa"/>
            <w:vAlign w:val="bottom"/>
          </w:tcPr>
          <w:p>
            <w:pPr>
              <w:spacing w:after="0"/>
              <w:rPr>
                <w:sz w:val="24"/>
                <w:szCs w:val="24"/>
                <w:color w:val="auto"/>
              </w:rPr>
            </w:pPr>
          </w:p>
        </w:tc>
        <w:tc>
          <w:tcPr>
            <w:tcW w:w="10400" w:type="dxa"/>
            <w:vAlign w:val="bottom"/>
            <w:gridSpan w:val="4"/>
          </w:tcPr>
          <w:p>
            <w:pPr>
              <w:ind w:left="280"/>
              <w:spacing w:after="0"/>
              <w:rPr>
                <w:sz w:val="20"/>
                <w:szCs w:val="20"/>
                <w:color w:val="auto"/>
              </w:rPr>
            </w:pPr>
            <w:r>
              <w:rPr>
                <w:rFonts w:ascii="Arial" w:cs="Arial" w:eastAsia="Arial" w:hAnsi="Arial"/>
                <w:sz w:val="18"/>
                <w:szCs w:val="18"/>
                <w:color w:val="auto"/>
                <w:w w:val="91"/>
              </w:rPr>
              <w:t>First Amendment to Erie Indemnity Company Long-Term Incentive Plan (As Amended and Restated Effective as of January 1, 2009) dated</w:t>
            </w:r>
          </w:p>
        </w:tc>
      </w:tr>
      <w:tr>
        <w:trPr>
          <w:trHeight w:val="230"/>
        </w:trPr>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0" w:type="dxa"/>
            <w:vAlign w:val="bottom"/>
            <w:gridSpan w:val="4"/>
          </w:tcPr>
          <w:p>
            <w:pPr>
              <w:ind w:left="280"/>
              <w:spacing w:after="0"/>
              <w:rPr>
                <w:sz w:val="20"/>
                <w:szCs w:val="20"/>
                <w:color w:val="auto"/>
              </w:rPr>
            </w:pPr>
            <w:r>
              <w:rPr>
                <w:rFonts w:ascii="Arial" w:cs="Arial" w:eastAsia="Arial" w:hAnsi="Arial"/>
                <w:sz w:val="18"/>
                <w:szCs w:val="18"/>
                <w:color w:val="auto"/>
              </w:rPr>
              <w:t>February 24, 2011.</w:t>
            </w:r>
          </w:p>
        </w:tc>
      </w:tr>
      <w:tr>
        <w:trPr>
          <w:trHeight w:val="432"/>
        </w:trPr>
        <w:tc>
          <w:tcPr>
            <w:tcW w:w="600" w:type="dxa"/>
            <w:vAlign w:val="bottom"/>
          </w:tcPr>
          <w:p>
            <w:pPr>
              <w:ind w:left="100"/>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4"/>
                <w:szCs w:val="24"/>
                <w:color w:val="auto"/>
              </w:rPr>
            </w:pPr>
          </w:p>
        </w:tc>
        <w:tc>
          <w:tcPr>
            <w:tcW w:w="10400" w:type="dxa"/>
            <w:vAlign w:val="bottom"/>
            <w:gridSpan w:val="4"/>
          </w:tcPr>
          <w:p>
            <w:pPr>
              <w:ind w:left="280"/>
              <w:spacing w:after="0"/>
              <w:rPr>
                <w:sz w:val="20"/>
                <w:szCs w:val="20"/>
                <w:color w:val="auto"/>
              </w:rPr>
            </w:pPr>
            <w:r>
              <w:rPr>
                <w:rFonts w:ascii="Arial" w:cs="Arial" w:eastAsia="Arial" w:hAnsi="Arial"/>
                <w:sz w:val="18"/>
                <w:szCs w:val="18"/>
                <w:color w:val="auto"/>
              </w:rPr>
              <w:t>Indemnification Agreement by and between Erie Indemnity Company and George D. Dufala dated April 1, 2011.</w:t>
            </w:r>
          </w:p>
        </w:tc>
      </w:tr>
      <w:tr>
        <w:trPr>
          <w:trHeight w:val="432"/>
        </w:trPr>
        <w:tc>
          <w:tcPr>
            <w:tcW w:w="600" w:type="dxa"/>
            <w:vAlign w:val="bottom"/>
          </w:tcPr>
          <w:p>
            <w:pPr>
              <w:ind w:left="100"/>
              <w:spacing w:after="0"/>
              <w:rPr>
                <w:sz w:val="20"/>
                <w:szCs w:val="20"/>
                <w:color w:val="auto"/>
              </w:rPr>
            </w:pPr>
            <w:r>
              <w:rPr>
                <w:rFonts w:ascii="Arial" w:cs="Arial" w:eastAsia="Arial" w:hAnsi="Arial"/>
                <w:sz w:val="18"/>
                <w:szCs w:val="18"/>
                <w:color w:val="auto"/>
              </w:rPr>
              <w:t>10.5</w:t>
            </w:r>
          </w:p>
        </w:tc>
        <w:tc>
          <w:tcPr>
            <w:tcW w:w="460" w:type="dxa"/>
            <w:vAlign w:val="bottom"/>
          </w:tcPr>
          <w:p>
            <w:pPr>
              <w:spacing w:after="0"/>
              <w:rPr>
                <w:sz w:val="24"/>
                <w:szCs w:val="24"/>
                <w:color w:val="auto"/>
              </w:rPr>
            </w:pPr>
          </w:p>
        </w:tc>
        <w:tc>
          <w:tcPr>
            <w:tcW w:w="10400" w:type="dxa"/>
            <w:vAlign w:val="bottom"/>
            <w:gridSpan w:val="4"/>
          </w:tcPr>
          <w:p>
            <w:pPr>
              <w:ind w:left="280"/>
              <w:spacing w:after="0"/>
              <w:rPr>
                <w:sz w:val="20"/>
                <w:szCs w:val="20"/>
                <w:color w:val="auto"/>
              </w:rPr>
            </w:pPr>
            <w:r>
              <w:rPr>
                <w:rFonts w:ascii="Arial" w:cs="Arial" w:eastAsia="Arial" w:hAnsi="Arial"/>
                <w:sz w:val="18"/>
                <w:szCs w:val="18"/>
                <w:color w:val="auto"/>
              </w:rPr>
              <w:t>Indemnification Agreement by and between Erie Indemnity Company and John F. Kearns dated April 1, 2011.</w:t>
            </w:r>
          </w:p>
        </w:tc>
      </w:tr>
      <w:tr>
        <w:trPr>
          <w:trHeight w:val="432"/>
        </w:trPr>
        <w:tc>
          <w:tcPr>
            <w:tcW w:w="600" w:type="dxa"/>
            <w:vAlign w:val="bottom"/>
          </w:tcPr>
          <w:p>
            <w:pPr>
              <w:ind w:left="100"/>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4"/>
                <w:szCs w:val="24"/>
                <w:color w:val="auto"/>
              </w:rPr>
            </w:pPr>
          </w:p>
        </w:tc>
        <w:tc>
          <w:tcPr>
            <w:tcW w:w="10400" w:type="dxa"/>
            <w:vAlign w:val="bottom"/>
            <w:gridSpan w:val="4"/>
          </w:tcPr>
          <w:p>
            <w:pPr>
              <w:ind w:left="28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600" w:type="dxa"/>
            <w:vAlign w:val="bottom"/>
          </w:tcPr>
          <w:p>
            <w:pPr>
              <w:ind w:left="100"/>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10400" w:type="dxa"/>
            <w:vAlign w:val="bottom"/>
            <w:gridSpan w:val="4"/>
          </w:tcPr>
          <w:p>
            <w:pPr>
              <w:ind w:left="28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600" w:type="dxa"/>
            <w:vAlign w:val="bottom"/>
          </w:tcPr>
          <w:p>
            <w:pPr>
              <w:ind w:left="100"/>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24"/>
                <w:szCs w:val="24"/>
                <w:color w:val="auto"/>
              </w:rPr>
            </w:pPr>
          </w:p>
        </w:tc>
        <w:tc>
          <w:tcPr>
            <w:tcW w:w="10400" w:type="dxa"/>
            <w:vAlign w:val="bottom"/>
            <w:gridSpan w:val="4"/>
          </w:tcPr>
          <w:p>
            <w:pPr>
              <w:ind w:left="28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32"/>
        </w:trPr>
        <w:tc>
          <w:tcPr>
            <w:tcW w:w="1060" w:type="dxa"/>
            <w:vAlign w:val="bottom"/>
            <w:gridSpan w:val="2"/>
          </w:tcPr>
          <w:p>
            <w:pPr>
              <w:ind w:left="80"/>
              <w:spacing w:after="0"/>
              <w:rPr>
                <w:sz w:val="20"/>
                <w:szCs w:val="20"/>
                <w:color w:val="auto"/>
              </w:rPr>
            </w:pPr>
            <w:r>
              <w:rPr>
                <w:rFonts w:ascii="Arial" w:cs="Arial" w:eastAsia="Arial" w:hAnsi="Arial"/>
                <w:sz w:val="18"/>
                <w:szCs w:val="18"/>
                <w:color w:val="auto"/>
              </w:rPr>
              <w:t>101.INS</w:t>
            </w:r>
          </w:p>
        </w:tc>
        <w:tc>
          <w:tcPr>
            <w:tcW w:w="10400" w:type="dxa"/>
            <w:vAlign w:val="bottom"/>
            <w:gridSpan w:val="4"/>
          </w:tcPr>
          <w:p>
            <w:pPr>
              <w:ind w:left="280"/>
              <w:spacing w:after="0"/>
              <w:rPr>
                <w:sz w:val="20"/>
                <w:szCs w:val="20"/>
                <w:color w:val="auto"/>
              </w:rPr>
            </w:pPr>
            <w:r>
              <w:rPr>
                <w:rFonts w:ascii="Arial" w:cs="Arial" w:eastAsia="Arial" w:hAnsi="Arial"/>
                <w:sz w:val="18"/>
                <w:szCs w:val="18"/>
                <w:color w:val="auto"/>
              </w:rPr>
              <w:t>XBRL Instance Document</w:t>
            </w:r>
          </w:p>
        </w:tc>
      </w:tr>
      <w:tr>
        <w:trPr>
          <w:trHeight w:val="432"/>
        </w:trPr>
        <w:tc>
          <w:tcPr>
            <w:tcW w:w="1060" w:type="dxa"/>
            <w:vAlign w:val="bottom"/>
            <w:gridSpan w:val="2"/>
          </w:tcPr>
          <w:p>
            <w:pPr>
              <w:ind w:left="80"/>
              <w:spacing w:after="0"/>
              <w:rPr>
                <w:sz w:val="20"/>
                <w:szCs w:val="20"/>
                <w:color w:val="auto"/>
              </w:rPr>
            </w:pPr>
            <w:r>
              <w:rPr>
                <w:rFonts w:ascii="Arial" w:cs="Arial" w:eastAsia="Arial" w:hAnsi="Arial"/>
                <w:sz w:val="18"/>
                <w:szCs w:val="18"/>
                <w:color w:val="auto"/>
              </w:rPr>
              <w:t>101.SCH</w:t>
            </w:r>
          </w:p>
        </w:tc>
        <w:tc>
          <w:tcPr>
            <w:tcW w:w="10400" w:type="dxa"/>
            <w:vAlign w:val="bottom"/>
            <w:gridSpan w:val="4"/>
          </w:tcPr>
          <w:p>
            <w:pPr>
              <w:ind w:left="28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060" w:type="dxa"/>
            <w:vAlign w:val="bottom"/>
            <w:gridSpan w:val="2"/>
          </w:tcPr>
          <w:p>
            <w:pPr>
              <w:ind w:left="80"/>
              <w:spacing w:after="0"/>
              <w:rPr>
                <w:sz w:val="20"/>
                <w:szCs w:val="20"/>
                <w:color w:val="auto"/>
              </w:rPr>
            </w:pPr>
            <w:r>
              <w:rPr>
                <w:rFonts w:ascii="Arial" w:cs="Arial" w:eastAsia="Arial" w:hAnsi="Arial"/>
                <w:sz w:val="18"/>
                <w:szCs w:val="18"/>
                <w:color w:val="auto"/>
              </w:rPr>
              <w:t>101.CAL</w:t>
            </w:r>
          </w:p>
        </w:tc>
        <w:tc>
          <w:tcPr>
            <w:tcW w:w="10400" w:type="dxa"/>
            <w:vAlign w:val="bottom"/>
            <w:gridSpan w:val="4"/>
          </w:tcPr>
          <w:p>
            <w:pPr>
              <w:ind w:left="280"/>
              <w:spacing w:after="0"/>
              <w:rPr>
                <w:sz w:val="20"/>
                <w:szCs w:val="20"/>
                <w:color w:val="auto"/>
              </w:rPr>
            </w:pPr>
            <w:r>
              <w:rPr>
                <w:rFonts w:ascii="Arial" w:cs="Arial" w:eastAsia="Arial" w:hAnsi="Arial"/>
                <w:sz w:val="18"/>
                <w:szCs w:val="18"/>
                <w:color w:val="auto"/>
              </w:rPr>
              <w:t>XBRL Taxonomy Extension Calculation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-4366260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-4366260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11" w:orient="portrait"/>
          <w:cols w:equalWidth="0" w:num="1">
            <w:col w:w="11460"/>
          </w:cols>
          <w:pgMar w:left="240" w:top="125" w:right="199" w:bottom="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0"/>
        </w:trPr>
        <w:tc>
          <w:tcPr>
            <w:tcW w:w="1060" w:type="dxa"/>
            <w:vAlign w:val="bottom"/>
          </w:tcPr>
          <w:p>
            <w:pPr>
              <w:ind w:left="80"/>
              <w:spacing w:after="0"/>
              <w:rPr>
                <w:sz w:val="20"/>
                <w:szCs w:val="20"/>
                <w:color w:val="auto"/>
              </w:rPr>
            </w:pPr>
            <w:r>
              <w:rPr>
                <w:rFonts w:ascii="Arial" w:cs="Arial" w:eastAsia="Arial" w:hAnsi="Arial"/>
                <w:sz w:val="18"/>
                <w:szCs w:val="18"/>
                <w:color w:val="auto"/>
              </w:rPr>
              <w:t>101.LAB</w:t>
            </w:r>
          </w:p>
        </w:tc>
        <w:tc>
          <w:tcPr>
            <w:tcW w:w="10400" w:type="dxa"/>
            <w:vAlign w:val="bottom"/>
          </w:tcPr>
          <w:p>
            <w:pPr>
              <w:ind w:left="280"/>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1060" w:type="dxa"/>
            <w:vAlign w:val="bottom"/>
          </w:tcPr>
          <w:p>
            <w:pPr>
              <w:ind w:left="80"/>
              <w:spacing w:after="0"/>
              <w:rPr>
                <w:sz w:val="20"/>
                <w:szCs w:val="20"/>
                <w:color w:val="auto"/>
              </w:rPr>
            </w:pPr>
            <w:r>
              <w:rPr>
                <w:rFonts w:ascii="Arial" w:cs="Arial" w:eastAsia="Arial" w:hAnsi="Arial"/>
                <w:sz w:val="18"/>
                <w:szCs w:val="18"/>
                <w:color w:val="auto"/>
              </w:rPr>
              <w:t>101.PRE</w:t>
            </w:r>
          </w:p>
        </w:tc>
        <w:tc>
          <w:tcPr>
            <w:tcW w:w="10400" w:type="dxa"/>
            <w:vAlign w:val="bottom"/>
          </w:tcPr>
          <w:p>
            <w:pPr>
              <w:ind w:left="2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1060" w:type="dxa"/>
            <w:vAlign w:val="bottom"/>
          </w:tcPr>
          <w:p>
            <w:pPr>
              <w:ind w:left="80"/>
              <w:spacing w:after="0"/>
              <w:rPr>
                <w:sz w:val="20"/>
                <w:szCs w:val="20"/>
                <w:color w:val="auto"/>
              </w:rPr>
            </w:pPr>
            <w:r>
              <w:rPr>
                <w:rFonts w:ascii="Arial" w:cs="Arial" w:eastAsia="Arial" w:hAnsi="Arial"/>
                <w:sz w:val="18"/>
                <w:szCs w:val="18"/>
                <w:color w:val="auto"/>
              </w:rPr>
              <w:t>101.DEF</w:t>
            </w:r>
          </w:p>
        </w:tc>
        <w:tc>
          <w:tcPr>
            <w:tcW w:w="10400" w:type="dxa"/>
            <w:vAlign w:val="bottom"/>
          </w:tcPr>
          <w:p>
            <w:pPr>
              <w:ind w:left="28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060" w:type="dxa"/>
            <w:vAlign w:val="bottom"/>
          </w:tcPr>
          <w:p>
            <w:pPr>
              <w:spacing w:after="0"/>
              <w:rPr>
                <w:sz w:val="24"/>
                <w:szCs w:val="24"/>
                <w:color w:val="auto"/>
              </w:rPr>
            </w:pPr>
          </w:p>
        </w:tc>
        <w:tc>
          <w:tcPr>
            <w:tcW w:w="10400" w:type="dxa"/>
            <w:vAlign w:val="bottom"/>
          </w:tcPr>
          <w:p>
            <w:pPr>
              <w:jc w:val="right"/>
              <w:ind w:right="5570"/>
              <w:spacing w:after="0"/>
              <w:rPr>
                <w:sz w:val="20"/>
                <w:szCs w:val="20"/>
                <w:color w:val="auto"/>
              </w:rPr>
            </w:pPr>
            <w:r>
              <w:rPr>
                <w:rFonts w:ascii="Arial" w:cs="Arial" w:eastAsia="Arial" w:hAnsi="Arial"/>
                <w:sz w:val="18"/>
                <w:szCs w:val="18"/>
                <w:color w:val="auto"/>
              </w:rPr>
              <w:t>63</w:t>
            </w:r>
          </w:p>
        </w:tc>
      </w:tr>
      <w:tr>
        <w:trPr>
          <w:trHeight w:val="132"/>
        </w:trPr>
        <w:tc>
          <w:tcPr>
            <w:tcW w:w="1060" w:type="dxa"/>
            <w:vAlign w:val="bottom"/>
            <w:tcBorders>
              <w:bottom w:val="single" w:sz="8" w:color="010101"/>
            </w:tcBorders>
          </w:tcPr>
          <w:p>
            <w:pPr>
              <w:spacing w:after="0"/>
              <w:rPr>
                <w:sz w:val="11"/>
                <w:szCs w:val="11"/>
                <w:color w:val="auto"/>
              </w:rPr>
            </w:pPr>
          </w:p>
        </w:tc>
        <w:tc>
          <w:tcPr>
            <w:tcW w:w="104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Erie Indemnity Company</w:t>
            </w:r>
          </w:p>
        </w:tc>
        <w:tc>
          <w:tcPr>
            <w:tcW w:w="260" w:type="dxa"/>
            <w:vAlign w:val="bottom"/>
          </w:tcPr>
          <w:p>
            <w:pPr>
              <w:spacing w:after="0"/>
              <w:rPr>
                <w:sz w:val="20"/>
                <w:szCs w:val="20"/>
                <w:color w:val="auto"/>
              </w:rPr>
            </w:pPr>
          </w:p>
        </w:tc>
      </w:tr>
      <w:tr>
        <w:trPr>
          <w:trHeight w:val="224"/>
        </w:trPr>
        <w:tc>
          <w:tcPr>
            <w:tcW w:w="32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(Registrant)</w:t>
            </w:r>
          </w:p>
        </w:tc>
        <w:tc>
          <w:tcPr>
            <w:tcW w:w="260" w:type="dxa"/>
            <w:vAlign w:val="bottom"/>
          </w:tcPr>
          <w:p>
            <w:pPr>
              <w:spacing w:after="0"/>
              <w:rPr>
                <w:sz w:val="19"/>
                <w:szCs w:val="19"/>
                <w:color w:val="auto"/>
              </w:rPr>
            </w:pPr>
          </w:p>
        </w:tc>
      </w:tr>
      <w:tr>
        <w:trPr>
          <w:trHeight w:val="634"/>
        </w:trPr>
        <w:tc>
          <w:tcPr>
            <w:tcW w:w="3280" w:type="dxa"/>
            <w:vAlign w:val="bottom"/>
          </w:tcPr>
          <w:p>
            <w:pPr>
              <w:spacing w:after="0"/>
              <w:rPr>
                <w:sz w:val="20"/>
                <w:szCs w:val="20"/>
                <w:color w:val="auto"/>
              </w:rPr>
            </w:pPr>
            <w:r>
              <w:rPr>
                <w:rFonts w:ascii="Arial" w:cs="Arial" w:eastAsia="Arial" w:hAnsi="Arial"/>
                <w:sz w:val="18"/>
                <w:szCs w:val="18"/>
                <w:color w:val="auto"/>
              </w:rPr>
              <w:t>Date: May 5, 2011</w:t>
            </w:r>
          </w:p>
        </w:tc>
        <w:tc>
          <w:tcPr>
            <w:tcW w:w="2260" w:type="dxa"/>
            <w:vAlign w:val="bottom"/>
          </w:tcPr>
          <w:p>
            <w:pPr>
              <w:ind w:left="1920"/>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Terrence W. Cavanaugh</w:t>
            </w:r>
          </w:p>
        </w:tc>
        <w:tc>
          <w:tcPr>
            <w:tcW w:w="260" w:type="dxa"/>
            <w:vAlign w:val="bottom"/>
          </w:tcPr>
          <w:p>
            <w:pPr>
              <w:spacing w:after="0"/>
              <w:rPr>
                <w:sz w:val="24"/>
                <w:szCs w:val="24"/>
                <w:color w:val="auto"/>
              </w:rPr>
            </w:pPr>
          </w:p>
        </w:tc>
      </w:tr>
      <w:tr>
        <w:trPr>
          <w:trHeight w:val="224"/>
        </w:trPr>
        <w:tc>
          <w:tcPr>
            <w:tcW w:w="32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Terrence W. Cavanaugh, President &amp; CEO</w:t>
            </w:r>
          </w:p>
        </w:tc>
        <w:tc>
          <w:tcPr>
            <w:tcW w:w="260" w:type="dxa"/>
            <w:vAlign w:val="bottom"/>
          </w:tcPr>
          <w:p>
            <w:pPr>
              <w:spacing w:after="0"/>
              <w:rPr>
                <w:sz w:val="19"/>
                <w:szCs w:val="19"/>
                <w:color w:val="auto"/>
              </w:rPr>
            </w:pPr>
          </w:p>
        </w:tc>
      </w:tr>
      <w:tr>
        <w:trPr>
          <w:trHeight w:val="418"/>
        </w:trPr>
        <w:tc>
          <w:tcPr>
            <w:tcW w:w="3280" w:type="dxa"/>
            <w:vAlign w:val="bottom"/>
          </w:tcPr>
          <w:p>
            <w:pPr>
              <w:spacing w:after="0"/>
              <w:rPr>
                <w:sz w:val="24"/>
                <w:szCs w:val="24"/>
                <w:color w:val="auto"/>
              </w:rPr>
            </w:pPr>
          </w:p>
        </w:tc>
        <w:tc>
          <w:tcPr>
            <w:tcW w:w="2260" w:type="dxa"/>
            <w:vAlign w:val="bottom"/>
          </w:tcPr>
          <w:p>
            <w:pPr>
              <w:ind w:left="1920"/>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Marcia A. Dall</w:t>
            </w:r>
          </w:p>
        </w:tc>
        <w:tc>
          <w:tcPr>
            <w:tcW w:w="260" w:type="dxa"/>
            <w:vAlign w:val="bottom"/>
          </w:tcPr>
          <w:p>
            <w:pPr>
              <w:spacing w:after="0"/>
              <w:rPr>
                <w:sz w:val="24"/>
                <w:szCs w:val="24"/>
                <w:color w:val="auto"/>
              </w:rPr>
            </w:pPr>
          </w:p>
        </w:tc>
      </w:tr>
      <w:tr>
        <w:trPr>
          <w:trHeight w:val="224"/>
        </w:trPr>
        <w:tc>
          <w:tcPr>
            <w:tcW w:w="32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Marcia A. Dall, Executive Vice President &amp; CFO</w:t>
            </w:r>
          </w:p>
        </w:tc>
        <w:tc>
          <w:tcPr>
            <w:tcW w:w="260" w:type="dxa"/>
            <w:vAlign w:val="bottom"/>
          </w:tcPr>
          <w:p>
            <w:pPr>
              <w:spacing w:after="0"/>
              <w:rPr>
                <w:sz w:val="19"/>
                <w:szCs w:val="19"/>
                <w:color w:val="auto"/>
              </w:rPr>
            </w:pPr>
          </w:p>
        </w:tc>
      </w:tr>
      <w:tr>
        <w:trPr>
          <w:trHeight w:val="418"/>
        </w:trPr>
        <w:tc>
          <w:tcPr>
            <w:tcW w:w="3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660" w:type="dxa"/>
            <w:vAlign w:val="bottom"/>
            <w:gridSpan w:val="2"/>
          </w:tcPr>
          <w:p>
            <w:pPr>
              <w:jc w:val="right"/>
              <w:ind w:right="5310"/>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24"/>
                <w:szCs w:val="24"/>
                <w:color w:val="auto"/>
              </w:rPr>
            </w:pPr>
          </w:p>
        </w:tc>
      </w:tr>
      <w:tr>
        <w:trPr>
          <w:trHeight w:val="132"/>
        </w:trPr>
        <w:tc>
          <w:tcPr>
            <w:tcW w:w="3280" w:type="dxa"/>
            <w:vAlign w:val="bottom"/>
            <w:tcBorders>
              <w:bottom w:val="single" w:sz="8" w:color="010101"/>
            </w:tcBorders>
          </w:tcPr>
          <w:p>
            <w:pPr>
              <w:spacing w:after="0"/>
              <w:rPr>
                <w:sz w:val="11"/>
                <w:szCs w:val="11"/>
                <w:color w:val="auto"/>
              </w:rPr>
            </w:pPr>
          </w:p>
        </w:tc>
        <w:tc>
          <w:tcPr>
            <w:tcW w:w="22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55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1" w:name="page42"/>
    <w:bookmarkEnd w:id="41"/>
    <w:p>
      <w:pPr>
        <w:jc w:val="center"/>
        <w:ind w:right="40"/>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THIRD AMENDMENT</w:t>
      </w:r>
    </w:p>
    <w:p>
      <w:pPr>
        <w:spacing w:after="0" w:line="112"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to</w:t>
      </w:r>
    </w:p>
    <w:p>
      <w:pPr>
        <w:spacing w:after="0" w:line="112"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ERIE INDEMNITY COMPANY</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u w:val="single" w:color="auto"/>
          <w:color w:val="auto"/>
        </w:rPr>
        <w:t>ANNUAL INCENTIVE PLAN</w:t>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(As Amended and Restated Effective as of January 1, 2009)</w:t>
      </w:r>
    </w:p>
    <w:p>
      <w:pPr>
        <w:spacing w:after="0" w:line="200" w:lineRule="exact"/>
        <w:rPr>
          <w:sz w:val="20"/>
          <w:szCs w:val="20"/>
          <w:color w:val="auto"/>
        </w:rPr>
      </w:pPr>
    </w:p>
    <w:p>
      <w:pPr>
        <w:spacing w:after="0" w:line="282" w:lineRule="exact"/>
        <w:rPr>
          <w:sz w:val="20"/>
          <w:szCs w:val="20"/>
          <w:color w:val="auto"/>
        </w:rPr>
      </w:pPr>
    </w:p>
    <w:p>
      <w:pPr>
        <w:jc w:val="both"/>
        <w:ind w:right="300" w:firstLine="1297"/>
        <w:spacing w:after="0" w:line="297" w:lineRule="auto"/>
        <w:rPr>
          <w:sz w:val="20"/>
          <w:szCs w:val="20"/>
          <w:color w:val="auto"/>
        </w:rPr>
      </w:pPr>
      <w:r>
        <w:rPr>
          <w:rFonts w:ascii="Arial" w:cs="Arial" w:eastAsia="Arial" w:hAnsi="Arial"/>
          <w:sz w:val="19"/>
          <w:szCs w:val="19"/>
          <w:color w:val="auto"/>
        </w:rPr>
        <w:t>WHEREAS, Erie Indemnity Company (the “Company”) adopted the Erie Indemnity Company Annual Incentive Plan (As Amended and Restated Effective as of January 1, 2009) (the “Plan”) by action of its Board of Directors on February 26, 2009, and the Company’s shareholders approved the Plan at the Annual Meeting of Shareholders in 2009, and</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WHEREAS, pursuant to Plan Section 8.03 the Board of Directors reserved authority to amend the Plan, and</w:t>
      </w:r>
    </w:p>
    <w:p>
      <w:pPr>
        <w:spacing w:after="0" w:line="245" w:lineRule="exact"/>
        <w:rPr>
          <w:sz w:val="20"/>
          <w:szCs w:val="20"/>
          <w:color w:val="auto"/>
        </w:rPr>
      </w:pPr>
    </w:p>
    <w:p>
      <w:pPr>
        <w:jc w:val="both"/>
        <w:ind w:right="280" w:firstLine="1297"/>
        <w:spacing w:after="0" w:line="251" w:lineRule="auto"/>
        <w:rPr>
          <w:sz w:val="20"/>
          <w:szCs w:val="20"/>
          <w:color w:val="auto"/>
        </w:rPr>
      </w:pPr>
      <w:r>
        <w:rPr>
          <w:rFonts w:ascii="Arial" w:cs="Arial" w:eastAsia="Arial" w:hAnsi="Arial"/>
          <w:sz w:val="22"/>
          <w:szCs w:val="22"/>
          <w:color w:val="auto"/>
        </w:rPr>
        <w:t>WHEREAS, the Board of Directors has determined to streamline the administration of the Plan by eliminating the requirement that an Award Agreement be signed on behalf of the Company and by the Participant,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NOW, THEREFORE, the Plan is amended as follows:</w:t>
      </w:r>
    </w:p>
    <w:p>
      <w:pPr>
        <w:spacing w:after="0" w:line="233" w:lineRule="exact"/>
        <w:rPr>
          <w:sz w:val="20"/>
          <w:szCs w:val="20"/>
          <w:color w:val="auto"/>
        </w:rPr>
      </w:pPr>
    </w:p>
    <w:p>
      <w:pPr>
        <w:ind w:left="1960" w:hanging="655"/>
        <w:spacing w:after="0"/>
        <w:tabs>
          <w:tab w:leader="none" w:pos="1960" w:val="left"/>
        </w:tabs>
        <w:numPr>
          <w:ilvl w:val="0"/>
          <w:numId w:val="23"/>
        </w:numPr>
        <w:rPr>
          <w:rFonts w:ascii="Arial" w:cs="Arial" w:eastAsia="Arial" w:hAnsi="Arial"/>
          <w:sz w:val="22"/>
          <w:szCs w:val="22"/>
          <w:color w:val="auto"/>
        </w:rPr>
      </w:pPr>
      <w:r>
        <w:rPr>
          <w:rFonts w:ascii="Arial" w:cs="Arial" w:eastAsia="Arial" w:hAnsi="Arial"/>
          <w:sz w:val="22"/>
          <w:szCs w:val="22"/>
          <w:color w:val="auto"/>
        </w:rPr>
        <w:t>Section 8.05 is amended in its entirety to read as follows:</w:t>
      </w:r>
    </w:p>
    <w:p>
      <w:pPr>
        <w:spacing w:after="0" w:line="233" w:lineRule="exact"/>
        <w:rPr>
          <w:sz w:val="20"/>
          <w:szCs w:val="20"/>
          <w:color w:val="auto"/>
        </w:rPr>
      </w:pPr>
    </w:p>
    <w:p>
      <w:pPr>
        <w:ind w:right="120" w:firstLine="1297"/>
        <w:spacing w:after="0" w:line="246" w:lineRule="auto"/>
        <w:rPr>
          <w:sz w:val="20"/>
          <w:szCs w:val="20"/>
          <w:color w:val="auto"/>
        </w:rPr>
      </w:pPr>
      <w:r>
        <w:rPr>
          <w:rFonts w:ascii="Arial" w:cs="Arial" w:eastAsia="Arial" w:hAnsi="Arial"/>
          <w:sz w:val="21"/>
          <w:szCs w:val="21"/>
          <w:u w:val="single" w:color="auto"/>
          <w:color w:val="auto"/>
        </w:rPr>
        <w:t>Section 8.05</w:t>
      </w:r>
      <w:r>
        <w:rPr>
          <w:rFonts w:ascii="Arial" w:cs="Arial" w:eastAsia="Arial" w:hAnsi="Arial"/>
          <w:sz w:val="21"/>
          <w:szCs w:val="21"/>
          <w:color w:val="auto"/>
        </w:rPr>
        <w:t xml:space="preserve">. </w:t>
      </w:r>
      <w:r>
        <w:rPr>
          <w:rFonts w:ascii="Arial" w:cs="Arial" w:eastAsia="Arial" w:hAnsi="Arial"/>
          <w:sz w:val="21"/>
          <w:szCs w:val="21"/>
          <w:u w:val="single" w:color="auto"/>
          <w:color w:val="auto"/>
        </w:rPr>
        <w:t>Award Agreements; Recoupment Policy and Share Purchase and Retention Program</w:t>
      </w:r>
      <w:r>
        <w:rPr>
          <w:rFonts w:ascii="Arial" w:cs="Arial" w:eastAsia="Arial" w:hAnsi="Arial"/>
          <w:sz w:val="21"/>
          <w:szCs w:val="21"/>
          <w:color w:val="auto"/>
        </w:rPr>
        <w:t>. Company Incentive Awards and Individual Incentive Awards shall be evidenced and communicated to Participants by such written or electronic documentation as the Committee shall determine. Such documentation with respect to a Participant’s award shall be referred to as the “</w:t>
      </w:r>
      <w:r>
        <w:rPr>
          <w:rFonts w:ascii="Arial" w:cs="Arial" w:eastAsia="Arial" w:hAnsi="Arial"/>
          <w:sz w:val="21"/>
          <w:szCs w:val="21"/>
          <w:u w:val="single" w:color="auto"/>
          <w:color w:val="auto"/>
        </w:rPr>
        <w:t>Award Agreement</w:t>
      </w:r>
      <w:r>
        <w:rPr>
          <w:rFonts w:ascii="Arial" w:cs="Arial" w:eastAsia="Arial" w:hAnsi="Arial"/>
          <w:sz w:val="21"/>
          <w:szCs w:val="21"/>
          <w:color w:val="auto"/>
        </w:rPr>
        <w:t>” for that award. An Award Agreement shall contain such provisions as the Committee or Board shall determine to be appropriate requiring the Participant to comply with the Company’s policies or programs regarding the recoupment of bonuses and/or share purchase and retention requirements, as such policies and programs may be modified or changed by the Board from time to time. To the extent an Award Agreement conflicts with the terms of this Plan, the terms of this Plan shall supersede the terms of the Award Agreement.</w:t>
      </w:r>
    </w:p>
    <w:p>
      <w:pPr>
        <w:spacing w:after="0" w:line="208" w:lineRule="exact"/>
        <w:rPr>
          <w:sz w:val="20"/>
          <w:szCs w:val="20"/>
          <w:color w:val="auto"/>
        </w:rPr>
      </w:pPr>
    </w:p>
    <w:p>
      <w:pPr>
        <w:ind w:left="1960" w:hanging="655"/>
        <w:spacing w:after="0"/>
        <w:tabs>
          <w:tab w:leader="none" w:pos="1960" w:val="left"/>
        </w:tabs>
        <w:numPr>
          <w:ilvl w:val="0"/>
          <w:numId w:val="24"/>
        </w:numPr>
        <w:rPr>
          <w:rFonts w:ascii="Arial" w:cs="Arial" w:eastAsia="Arial" w:hAnsi="Arial"/>
          <w:sz w:val="21"/>
          <w:szCs w:val="21"/>
          <w:color w:val="auto"/>
        </w:rPr>
      </w:pPr>
      <w:r>
        <w:rPr>
          <w:rFonts w:ascii="Arial" w:cs="Arial" w:eastAsia="Arial" w:hAnsi="Arial"/>
          <w:sz w:val="21"/>
          <w:szCs w:val="21"/>
          <w:color w:val="auto"/>
        </w:rPr>
        <w:t>This amendment is effective January 1, 2011, with respect to awards granted on or after that date.</w:t>
      </w:r>
    </w:p>
    <w:p>
      <w:pPr>
        <w:spacing w:after="0" w:line="245" w:lineRule="exact"/>
        <w:rPr>
          <w:sz w:val="20"/>
          <w:szCs w:val="20"/>
          <w:color w:val="auto"/>
        </w:rPr>
      </w:pPr>
    </w:p>
    <w:p>
      <w:pPr>
        <w:ind w:right="220" w:firstLine="648"/>
        <w:spacing w:after="0" w:line="251" w:lineRule="auto"/>
        <w:rPr>
          <w:sz w:val="20"/>
          <w:szCs w:val="20"/>
          <w:color w:val="auto"/>
        </w:rPr>
      </w:pPr>
      <w:r>
        <w:rPr>
          <w:rFonts w:ascii="Arial" w:cs="Arial" w:eastAsia="Arial" w:hAnsi="Arial"/>
          <w:sz w:val="22"/>
          <w:szCs w:val="22"/>
          <w:color w:val="auto"/>
        </w:rPr>
        <w:t>IN WITNESS WHEREOF, the Board of Directors of the Company has caused this document to be executed as of the 24th day of February 2011.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ERIE INDEMNITY COMPANY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660" w:type="dxa"/>
            <w:vAlign w:val="bottom"/>
          </w:tcPr>
          <w:p>
            <w:pPr>
              <w:ind w:left="4280"/>
              <w:spacing w:after="0"/>
              <w:rPr>
                <w:sz w:val="20"/>
                <w:szCs w:val="20"/>
                <w:color w:val="auto"/>
              </w:rPr>
            </w:pPr>
            <w:r>
              <w:rPr>
                <w:rFonts w:ascii="Arial" w:cs="Arial" w:eastAsia="Arial" w:hAnsi="Arial"/>
                <w:sz w:val="22"/>
                <w:szCs w:val="22"/>
                <w:color w:val="auto"/>
              </w:rPr>
              <w:t>by</w:t>
            </w:r>
          </w:p>
        </w:tc>
        <w:tc>
          <w:tcPr>
            <w:tcW w:w="6760" w:type="dxa"/>
            <w:vAlign w:val="bottom"/>
            <w:tcBorders>
              <w:bottom w:val="single" w:sz="8" w:color="auto"/>
            </w:tcBorders>
          </w:tcPr>
          <w:p>
            <w:pPr>
              <w:ind w:left="800"/>
              <w:spacing w:after="0"/>
              <w:rPr>
                <w:sz w:val="20"/>
                <w:szCs w:val="20"/>
                <w:color w:val="auto"/>
              </w:rPr>
            </w:pPr>
            <w:r>
              <w:rPr>
                <w:rFonts w:ascii="Arial" w:cs="Arial" w:eastAsia="Arial" w:hAnsi="Arial"/>
                <w:sz w:val="22"/>
                <w:szCs w:val="22"/>
                <w:color w:val="auto"/>
              </w:rPr>
              <w:t>/s/ James J. Tanous</w:t>
            </w:r>
          </w:p>
        </w:tc>
        <w:tc>
          <w:tcPr>
            <w:tcW w:w="40" w:type="dxa"/>
            <w:vAlign w:val="bottom"/>
          </w:tcPr>
          <w:p>
            <w:pPr>
              <w:spacing w:after="0"/>
              <w:rPr>
                <w:sz w:val="23"/>
                <w:szCs w:val="23"/>
                <w:color w:val="auto"/>
              </w:rPr>
            </w:pPr>
          </w:p>
        </w:tc>
      </w:tr>
      <w:tr>
        <w:trPr>
          <w:trHeight w:val="215"/>
        </w:trPr>
        <w:tc>
          <w:tcPr>
            <w:tcW w:w="4660" w:type="dxa"/>
            <w:vAlign w:val="bottom"/>
          </w:tcPr>
          <w:p>
            <w:pPr>
              <w:spacing w:after="0"/>
              <w:rPr>
                <w:sz w:val="18"/>
                <w:szCs w:val="18"/>
                <w:color w:val="auto"/>
              </w:rPr>
            </w:pPr>
          </w:p>
        </w:tc>
        <w:tc>
          <w:tcPr>
            <w:tcW w:w="6760" w:type="dxa"/>
            <w:vAlign w:val="bottom"/>
          </w:tcPr>
          <w:p>
            <w:pPr>
              <w:ind w:left="800"/>
              <w:spacing w:after="0" w:line="216" w:lineRule="exact"/>
              <w:rPr>
                <w:sz w:val="20"/>
                <w:szCs w:val="20"/>
                <w:color w:val="auto"/>
              </w:rPr>
            </w:pPr>
            <w:r>
              <w:rPr>
                <w:rFonts w:ascii="Arial" w:cs="Arial" w:eastAsia="Arial" w:hAnsi="Arial"/>
                <w:sz w:val="22"/>
                <w:szCs w:val="22"/>
                <w:color w:val="auto"/>
              </w:rPr>
              <w:t>James J. Tanous</w:t>
            </w:r>
          </w:p>
        </w:tc>
        <w:tc>
          <w:tcPr>
            <w:tcW w:w="40" w:type="dxa"/>
            <w:vAlign w:val="bottom"/>
          </w:tcPr>
          <w:p>
            <w:pPr>
              <w:spacing w:after="0"/>
              <w:rPr>
                <w:sz w:val="18"/>
                <w:szCs w:val="18"/>
                <w:color w:val="auto"/>
              </w:rPr>
            </w:pPr>
          </w:p>
        </w:tc>
      </w:tr>
      <w:tr>
        <w:trPr>
          <w:trHeight w:val="243"/>
        </w:trPr>
        <w:tc>
          <w:tcPr>
            <w:tcW w:w="4660" w:type="dxa"/>
            <w:vAlign w:val="bottom"/>
          </w:tcPr>
          <w:p>
            <w:pPr>
              <w:spacing w:after="0"/>
              <w:rPr>
                <w:sz w:val="21"/>
                <w:szCs w:val="21"/>
                <w:color w:val="auto"/>
              </w:rPr>
            </w:pPr>
          </w:p>
        </w:tc>
        <w:tc>
          <w:tcPr>
            <w:tcW w:w="6760" w:type="dxa"/>
            <w:vAlign w:val="bottom"/>
          </w:tcPr>
          <w:p>
            <w:pPr>
              <w:ind w:left="800"/>
              <w:spacing w:after="0" w:line="243" w:lineRule="exact"/>
              <w:rPr>
                <w:sz w:val="20"/>
                <w:szCs w:val="20"/>
                <w:color w:val="auto"/>
              </w:rPr>
            </w:pPr>
            <w:r>
              <w:rPr>
                <w:rFonts w:ascii="Arial" w:cs="Arial" w:eastAsia="Arial" w:hAnsi="Arial"/>
                <w:sz w:val="22"/>
                <w:szCs w:val="22"/>
                <w:color w:val="auto"/>
              </w:rPr>
              <w:t>Executive Vice President,</w:t>
            </w:r>
          </w:p>
        </w:tc>
        <w:tc>
          <w:tcPr>
            <w:tcW w:w="40" w:type="dxa"/>
            <w:vAlign w:val="bottom"/>
          </w:tcPr>
          <w:p>
            <w:pPr>
              <w:spacing w:after="0"/>
              <w:rPr>
                <w:sz w:val="21"/>
                <w:szCs w:val="21"/>
                <w:color w:val="auto"/>
              </w:rPr>
            </w:pPr>
          </w:p>
        </w:tc>
      </w:tr>
      <w:tr>
        <w:trPr>
          <w:trHeight w:val="275"/>
        </w:trPr>
        <w:tc>
          <w:tcPr>
            <w:tcW w:w="4660" w:type="dxa"/>
            <w:vAlign w:val="bottom"/>
          </w:tcPr>
          <w:p>
            <w:pPr>
              <w:spacing w:after="0"/>
              <w:rPr>
                <w:sz w:val="23"/>
                <w:szCs w:val="23"/>
                <w:color w:val="auto"/>
              </w:rPr>
            </w:pPr>
          </w:p>
        </w:tc>
        <w:tc>
          <w:tcPr>
            <w:tcW w:w="6760" w:type="dxa"/>
            <w:vAlign w:val="bottom"/>
          </w:tcPr>
          <w:p>
            <w:pPr>
              <w:ind w:left="940"/>
              <w:spacing w:after="0"/>
              <w:rPr>
                <w:sz w:val="20"/>
                <w:szCs w:val="20"/>
                <w:color w:val="auto"/>
              </w:rPr>
            </w:pPr>
            <w:r>
              <w:rPr>
                <w:rFonts w:ascii="Arial" w:cs="Arial" w:eastAsia="Arial" w:hAnsi="Arial"/>
                <w:sz w:val="22"/>
                <w:szCs w:val="22"/>
                <w:color w:val="auto"/>
              </w:rPr>
              <w:t>Secretary and General Counsel</w:t>
            </w:r>
          </w:p>
        </w:tc>
        <w:tc>
          <w:tcPr>
            <w:tcW w:w="40" w:type="dxa"/>
            <w:vAlign w:val="bottom"/>
          </w:tcPr>
          <w:p>
            <w:pPr>
              <w:spacing w:after="0"/>
              <w:rPr>
                <w:sz w:val="23"/>
                <w:szCs w:val="23"/>
                <w:color w:val="auto"/>
              </w:rPr>
            </w:pPr>
          </w:p>
        </w:tc>
      </w:tr>
      <w:tr>
        <w:trPr>
          <w:trHeight w:val="365"/>
        </w:trPr>
        <w:tc>
          <w:tcPr>
            <w:tcW w:w="4660" w:type="dxa"/>
            <w:vAlign w:val="bottom"/>
            <w:tcBorders>
              <w:bottom w:val="single" w:sz="8" w:color="010101"/>
            </w:tcBorders>
          </w:tcPr>
          <w:p>
            <w:pPr>
              <w:spacing w:after="0"/>
              <w:rPr>
                <w:sz w:val="24"/>
                <w:szCs w:val="24"/>
                <w:color w:val="auto"/>
              </w:rPr>
            </w:pPr>
          </w:p>
        </w:tc>
        <w:tc>
          <w:tcPr>
            <w:tcW w:w="67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5" w:right="199" w:bottom="1440" w:gutter="0" w:footer="0" w:header="0"/>
        </w:sectPr>
      </w:pPr>
    </w:p>
    <w:bookmarkStart w:id="42" w:name="page43"/>
    <w:bookmarkEnd w:id="42"/>
    <w:p>
      <w:pPr>
        <w:jc w:val="center"/>
        <w:ind w:right="40"/>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276"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FIRST AMENDMENT</w:t>
      </w:r>
    </w:p>
    <w:p>
      <w:pPr>
        <w:spacing w:after="0" w:line="112"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to</w:t>
      </w:r>
    </w:p>
    <w:p>
      <w:pPr>
        <w:spacing w:after="0" w:line="112" w:lineRule="exact"/>
        <w:rPr>
          <w:sz w:val="20"/>
          <w:szCs w:val="20"/>
          <w:color w:val="auto"/>
        </w:rPr>
      </w:pPr>
    </w:p>
    <w:p>
      <w:pPr>
        <w:ind w:left="4200"/>
        <w:spacing w:after="0"/>
        <w:rPr>
          <w:sz w:val="20"/>
          <w:szCs w:val="20"/>
          <w:color w:val="auto"/>
        </w:rPr>
      </w:pPr>
      <w:r>
        <w:rPr>
          <w:rFonts w:ascii="Arial" w:cs="Arial" w:eastAsia="Arial" w:hAnsi="Arial"/>
          <w:sz w:val="22"/>
          <w:szCs w:val="22"/>
          <w:b w:val="1"/>
          <w:bCs w:val="1"/>
          <w:color w:val="auto"/>
        </w:rPr>
        <w:t>ERIE INDEMNITY COMPANY</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u w:val="single" w:color="auto"/>
          <w:color w:val="auto"/>
        </w:rPr>
        <w:t>LONG-TERM INCENTIVE PLAN</w:t>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(As Amended and Restated Effective as of January 1, 2009)</w:t>
      </w:r>
    </w:p>
    <w:p>
      <w:pPr>
        <w:spacing w:after="0" w:line="200" w:lineRule="exact"/>
        <w:rPr>
          <w:sz w:val="20"/>
          <w:szCs w:val="20"/>
          <w:color w:val="auto"/>
        </w:rPr>
      </w:pPr>
    </w:p>
    <w:p>
      <w:pPr>
        <w:spacing w:after="0" w:line="282" w:lineRule="exact"/>
        <w:rPr>
          <w:sz w:val="20"/>
          <w:szCs w:val="20"/>
          <w:color w:val="auto"/>
        </w:rPr>
      </w:pPr>
    </w:p>
    <w:p>
      <w:pPr>
        <w:ind w:right="60" w:firstLine="1297"/>
        <w:spacing w:after="0" w:line="297" w:lineRule="auto"/>
        <w:rPr>
          <w:sz w:val="20"/>
          <w:szCs w:val="20"/>
          <w:color w:val="auto"/>
        </w:rPr>
      </w:pPr>
      <w:r>
        <w:rPr>
          <w:rFonts w:ascii="Arial" w:cs="Arial" w:eastAsia="Arial" w:hAnsi="Arial"/>
          <w:sz w:val="19"/>
          <w:szCs w:val="19"/>
          <w:color w:val="auto"/>
        </w:rPr>
        <w:t>WHEREAS, Erie Indemnity Company (the “Company”) adopted the Erie Indemnity Company Long-Term Incentive Plan (As Amended and Restated Effective as of January 1, 2009) (the “Plan”) by action of its Board of Directors on February 26, 2009, and the Company’s shareholders approved the Plan at the Annual Meeting of Shareholders in 2009, and</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WHEREAS, pursuant to Plan Section 4.1 the Board of Directors reserved authority to amend the Plan, and</w:t>
      </w:r>
    </w:p>
    <w:p>
      <w:pPr>
        <w:spacing w:after="0" w:line="245" w:lineRule="exact"/>
        <w:rPr>
          <w:sz w:val="20"/>
          <w:szCs w:val="20"/>
          <w:color w:val="auto"/>
        </w:rPr>
      </w:pPr>
    </w:p>
    <w:p>
      <w:pPr>
        <w:ind w:right="280" w:firstLine="1297"/>
        <w:spacing w:after="0" w:line="251" w:lineRule="auto"/>
        <w:rPr>
          <w:sz w:val="20"/>
          <w:szCs w:val="20"/>
          <w:color w:val="auto"/>
        </w:rPr>
      </w:pPr>
      <w:r>
        <w:rPr>
          <w:rFonts w:ascii="Arial" w:cs="Arial" w:eastAsia="Arial" w:hAnsi="Arial"/>
          <w:sz w:val="22"/>
          <w:szCs w:val="22"/>
          <w:color w:val="auto"/>
        </w:rPr>
        <w:t>WHEREAS, the Board of Directors has determined to streamline the administration of the Plan by eliminating the requirement that an Award Agreement be signed on behalf of the Company and by the Participant,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NOW, THEREFORE, the Plan is amended as follows:</w:t>
      </w:r>
    </w:p>
    <w:p>
      <w:pPr>
        <w:spacing w:after="0" w:line="233" w:lineRule="exact"/>
        <w:rPr>
          <w:sz w:val="20"/>
          <w:szCs w:val="20"/>
          <w:color w:val="auto"/>
        </w:rPr>
      </w:pPr>
    </w:p>
    <w:p>
      <w:pPr>
        <w:ind w:left="1960" w:hanging="655"/>
        <w:spacing w:after="0"/>
        <w:tabs>
          <w:tab w:leader="none" w:pos="19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Section 5.7 is amended in its entirety to read as follows:</w:t>
      </w:r>
    </w:p>
    <w:p>
      <w:pPr>
        <w:spacing w:after="0" w:line="233"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9"/>
          <w:szCs w:val="19"/>
          <w:u w:val="single" w:color="auto"/>
          <w:color w:val="auto"/>
        </w:rPr>
        <w:t>Section 5.7</w:t>
      </w:r>
      <w:r>
        <w:rPr>
          <w:rFonts w:ascii="Arial" w:cs="Arial" w:eastAsia="Arial" w:hAnsi="Arial"/>
          <w:sz w:val="19"/>
          <w:szCs w:val="19"/>
          <w:color w:val="auto"/>
        </w:rPr>
        <w:t xml:space="preserve">. </w:t>
      </w:r>
      <w:r>
        <w:rPr>
          <w:rFonts w:ascii="Arial" w:cs="Arial" w:eastAsia="Arial" w:hAnsi="Arial"/>
          <w:sz w:val="19"/>
          <w:szCs w:val="19"/>
          <w:u w:val="single" w:color="auto"/>
          <w:color w:val="auto"/>
        </w:rPr>
        <w:t>Award Agreements; Recoupment Policy and Share Purchase and Retention Program</w:t>
      </w:r>
      <w:r>
        <w:rPr>
          <w:rFonts w:ascii="Arial" w:cs="Arial" w:eastAsia="Arial" w:hAnsi="Arial"/>
          <w:sz w:val="19"/>
          <w:szCs w:val="19"/>
          <w:color w:val="auto"/>
        </w:rPr>
        <w:t>. An award shall be evidenced and communicated to the Participant by such written or electronic documentation as the Committee shall determine. Such documentation with respect to a Participant’s award shall be referred to as the “</w:t>
      </w:r>
      <w:r>
        <w:rPr>
          <w:rFonts w:ascii="Arial" w:cs="Arial" w:eastAsia="Arial" w:hAnsi="Arial"/>
          <w:sz w:val="19"/>
          <w:szCs w:val="19"/>
          <w:u w:val="single" w:color="auto"/>
          <w:color w:val="auto"/>
        </w:rPr>
        <w:t>Award Agreement</w:t>
      </w:r>
      <w:r>
        <w:rPr>
          <w:rFonts w:ascii="Arial" w:cs="Arial" w:eastAsia="Arial" w:hAnsi="Arial"/>
          <w:sz w:val="19"/>
          <w:szCs w:val="19"/>
          <w:color w:val="auto"/>
        </w:rPr>
        <w:t>” for that award. An Award Agreement shall contain such provisions as the Committee or Board shall determine to be appropriate requiring the Participant to comply with the Company’s policies or programs regarding the recoupment of bonuses and/or share purchase and retention requirements, as such policies and programs may be modified or changed by the Board from time to time. To the extent an Award Agreement conflicts with the terms of this Plan, the terms of this Plan shall supersede the terms of the Award Agreement.</w:t>
      </w:r>
    </w:p>
    <w:p>
      <w:pPr>
        <w:spacing w:after="0" w:line="180" w:lineRule="exact"/>
        <w:rPr>
          <w:sz w:val="20"/>
          <w:szCs w:val="20"/>
          <w:color w:val="auto"/>
        </w:rPr>
      </w:pPr>
    </w:p>
    <w:p>
      <w:pPr>
        <w:ind w:left="1960" w:hanging="655"/>
        <w:spacing w:after="0"/>
        <w:tabs>
          <w:tab w:leader="none" w:pos="1960" w:val="left"/>
        </w:tabs>
        <w:numPr>
          <w:ilvl w:val="0"/>
          <w:numId w:val="26"/>
        </w:numPr>
        <w:rPr>
          <w:rFonts w:ascii="Arial" w:cs="Arial" w:eastAsia="Arial" w:hAnsi="Arial"/>
          <w:sz w:val="21"/>
          <w:szCs w:val="21"/>
          <w:color w:val="auto"/>
        </w:rPr>
      </w:pPr>
      <w:r>
        <w:rPr>
          <w:rFonts w:ascii="Arial" w:cs="Arial" w:eastAsia="Arial" w:hAnsi="Arial"/>
          <w:sz w:val="21"/>
          <w:szCs w:val="21"/>
          <w:color w:val="auto"/>
        </w:rPr>
        <w:t>This amendment is effective January 1, 2011, with respect to awards granted on or after that date.</w:t>
      </w:r>
    </w:p>
    <w:p>
      <w:pPr>
        <w:spacing w:after="0" w:line="245" w:lineRule="exact"/>
        <w:rPr>
          <w:sz w:val="20"/>
          <w:szCs w:val="20"/>
          <w:color w:val="auto"/>
        </w:rPr>
      </w:pPr>
    </w:p>
    <w:p>
      <w:pPr>
        <w:ind w:right="220" w:firstLine="648"/>
        <w:spacing w:after="0" w:line="251" w:lineRule="auto"/>
        <w:rPr>
          <w:sz w:val="20"/>
          <w:szCs w:val="20"/>
          <w:color w:val="auto"/>
        </w:rPr>
      </w:pPr>
      <w:r>
        <w:rPr>
          <w:rFonts w:ascii="Arial" w:cs="Arial" w:eastAsia="Arial" w:hAnsi="Arial"/>
          <w:sz w:val="22"/>
          <w:szCs w:val="22"/>
          <w:color w:val="auto"/>
        </w:rPr>
        <w:t>IN WITNESS WHEREOF, the Board of Directors of the Company has caused this document to be executed as of the 24th day of February 2011.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ERIE INDEMNITY COMPANY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660" w:type="dxa"/>
            <w:vAlign w:val="bottom"/>
          </w:tcPr>
          <w:p>
            <w:pPr>
              <w:ind w:left="4280"/>
              <w:spacing w:after="0"/>
              <w:rPr>
                <w:sz w:val="20"/>
                <w:szCs w:val="20"/>
                <w:color w:val="auto"/>
              </w:rPr>
            </w:pPr>
            <w:r>
              <w:rPr>
                <w:rFonts w:ascii="Arial" w:cs="Arial" w:eastAsia="Arial" w:hAnsi="Arial"/>
                <w:sz w:val="22"/>
                <w:szCs w:val="22"/>
                <w:color w:val="auto"/>
              </w:rPr>
              <w:t>by</w:t>
            </w:r>
          </w:p>
        </w:tc>
        <w:tc>
          <w:tcPr>
            <w:tcW w:w="6760" w:type="dxa"/>
            <w:vAlign w:val="bottom"/>
            <w:tcBorders>
              <w:bottom w:val="single" w:sz="8" w:color="auto"/>
            </w:tcBorders>
          </w:tcPr>
          <w:p>
            <w:pPr>
              <w:ind w:left="800"/>
              <w:spacing w:after="0"/>
              <w:rPr>
                <w:sz w:val="20"/>
                <w:szCs w:val="20"/>
                <w:color w:val="auto"/>
              </w:rPr>
            </w:pPr>
            <w:r>
              <w:rPr>
                <w:rFonts w:ascii="Arial" w:cs="Arial" w:eastAsia="Arial" w:hAnsi="Arial"/>
                <w:sz w:val="22"/>
                <w:szCs w:val="22"/>
                <w:color w:val="auto"/>
              </w:rPr>
              <w:t>/s/ James J. Tanous</w:t>
            </w:r>
          </w:p>
        </w:tc>
        <w:tc>
          <w:tcPr>
            <w:tcW w:w="40" w:type="dxa"/>
            <w:vAlign w:val="bottom"/>
          </w:tcPr>
          <w:p>
            <w:pPr>
              <w:spacing w:after="0"/>
              <w:rPr>
                <w:sz w:val="23"/>
                <w:szCs w:val="23"/>
                <w:color w:val="auto"/>
              </w:rPr>
            </w:pPr>
          </w:p>
        </w:tc>
      </w:tr>
      <w:tr>
        <w:trPr>
          <w:trHeight w:val="215"/>
        </w:trPr>
        <w:tc>
          <w:tcPr>
            <w:tcW w:w="4660" w:type="dxa"/>
            <w:vAlign w:val="bottom"/>
          </w:tcPr>
          <w:p>
            <w:pPr>
              <w:spacing w:after="0"/>
              <w:rPr>
                <w:sz w:val="18"/>
                <w:szCs w:val="18"/>
                <w:color w:val="auto"/>
              </w:rPr>
            </w:pPr>
          </w:p>
        </w:tc>
        <w:tc>
          <w:tcPr>
            <w:tcW w:w="6760" w:type="dxa"/>
            <w:vAlign w:val="bottom"/>
          </w:tcPr>
          <w:p>
            <w:pPr>
              <w:ind w:left="800"/>
              <w:spacing w:after="0" w:line="216" w:lineRule="exact"/>
              <w:rPr>
                <w:sz w:val="20"/>
                <w:szCs w:val="20"/>
                <w:color w:val="auto"/>
              </w:rPr>
            </w:pPr>
            <w:r>
              <w:rPr>
                <w:rFonts w:ascii="Arial" w:cs="Arial" w:eastAsia="Arial" w:hAnsi="Arial"/>
                <w:sz w:val="22"/>
                <w:szCs w:val="22"/>
                <w:color w:val="auto"/>
              </w:rPr>
              <w:t>James J. Tanous</w:t>
            </w:r>
          </w:p>
        </w:tc>
        <w:tc>
          <w:tcPr>
            <w:tcW w:w="40" w:type="dxa"/>
            <w:vAlign w:val="bottom"/>
          </w:tcPr>
          <w:p>
            <w:pPr>
              <w:spacing w:after="0"/>
              <w:rPr>
                <w:sz w:val="18"/>
                <w:szCs w:val="18"/>
                <w:color w:val="auto"/>
              </w:rPr>
            </w:pPr>
          </w:p>
        </w:tc>
      </w:tr>
      <w:tr>
        <w:trPr>
          <w:trHeight w:val="243"/>
        </w:trPr>
        <w:tc>
          <w:tcPr>
            <w:tcW w:w="4660" w:type="dxa"/>
            <w:vAlign w:val="bottom"/>
          </w:tcPr>
          <w:p>
            <w:pPr>
              <w:spacing w:after="0"/>
              <w:rPr>
                <w:sz w:val="21"/>
                <w:szCs w:val="21"/>
                <w:color w:val="auto"/>
              </w:rPr>
            </w:pPr>
          </w:p>
        </w:tc>
        <w:tc>
          <w:tcPr>
            <w:tcW w:w="6760" w:type="dxa"/>
            <w:vAlign w:val="bottom"/>
          </w:tcPr>
          <w:p>
            <w:pPr>
              <w:ind w:left="800"/>
              <w:spacing w:after="0" w:line="243" w:lineRule="exact"/>
              <w:rPr>
                <w:sz w:val="20"/>
                <w:szCs w:val="20"/>
                <w:color w:val="auto"/>
              </w:rPr>
            </w:pPr>
            <w:r>
              <w:rPr>
                <w:rFonts w:ascii="Arial" w:cs="Arial" w:eastAsia="Arial" w:hAnsi="Arial"/>
                <w:sz w:val="22"/>
                <w:szCs w:val="22"/>
                <w:color w:val="auto"/>
              </w:rPr>
              <w:t>Executive Vice President,</w:t>
            </w:r>
          </w:p>
        </w:tc>
        <w:tc>
          <w:tcPr>
            <w:tcW w:w="40" w:type="dxa"/>
            <w:vAlign w:val="bottom"/>
          </w:tcPr>
          <w:p>
            <w:pPr>
              <w:spacing w:after="0"/>
              <w:rPr>
                <w:sz w:val="21"/>
                <w:szCs w:val="21"/>
                <w:color w:val="auto"/>
              </w:rPr>
            </w:pPr>
          </w:p>
        </w:tc>
      </w:tr>
      <w:tr>
        <w:trPr>
          <w:trHeight w:val="275"/>
        </w:trPr>
        <w:tc>
          <w:tcPr>
            <w:tcW w:w="4660" w:type="dxa"/>
            <w:vAlign w:val="bottom"/>
          </w:tcPr>
          <w:p>
            <w:pPr>
              <w:spacing w:after="0"/>
              <w:rPr>
                <w:sz w:val="23"/>
                <w:szCs w:val="23"/>
                <w:color w:val="auto"/>
              </w:rPr>
            </w:pPr>
          </w:p>
        </w:tc>
        <w:tc>
          <w:tcPr>
            <w:tcW w:w="6760" w:type="dxa"/>
            <w:vAlign w:val="bottom"/>
          </w:tcPr>
          <w:p>
            <w:pPr>
              <w:ind w:left="940"/>
              <w:spacing w:after="0"/>
              <w:rPr>
                <w:sz w:val="20"/>
                <w:szCs w:val="20"/>
                <w:color w:val="auto"/>
              </w:rPr>
            </w:pPr>
            <w:r>
              <w:rPr>
                <w:rFonts w:ascii="Arial" w:cs="Arial" w:eastAsia="Arial" w:hAnsi="Arial"/>
                <w:sz w:val="22"/>
                <w:szCs w:val="22"/>
                <w:color w:val="auto"/>
              </w:rPr>
              <w:t>Secretary and General Counsel</w:t>
            </w:r>
          </w:p>
        </w:tc>
        <w:tc>
          <w:tcPr>
            <w:tcW w:w="40" w:type="dxa"/>
            <w:vAlign w:val="bottom"/>
          </w:tcPr>
          <w:p>
            <w:pPr>
              <w:spacing w:after="0"/>
              <w:rPr>
                <w:sz w:val="23"/>
                <w:szCs w:val="23"/>
                <w:color w:val="auto"/>
              </w:rPr>
            </w:pPr>
          </w:p>
        </w:tc>
      </w:tr>
      <w:tr>
        <w:trPr>
          <w:trHeight w:val="365"/>
        </w:trPr>
        <w:tc>
          <w:tcPr>
            <w:tcW w:w="4660" w:type="dxa"/>
            <w:vAlign w:val="bottom"/>
            <w:tcBorders>
              <w:bottom w:val="single" w:sz="8" w:color="010101"/>
            </w:tcBorders>
          </w:tcPr>
          <w:p>
            <w:pPr>
              <w:spacing w:after="0"/>
              <w:rPr>
                <w:sz w:val="24"/>
                <w:szCs w:val="24"/>
                <w:color w:val="auto"/>
              </w:rPr>
            </w:pPr>
          </w:p>
        </w:tc>
        <w:tc>
          <w:tcPr>
            <w:tcW w:w="67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5" w:right="19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22"/>
          <w:szCs w:val="22"/>
          <w:b w:val="1"/>
          <w:bCs w:val="1"/>
          <w:color w:val="auto"/>
        </w:rPr>
        <w:t>EXHIBIT 10.4</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INDEMNIFICATION AGREEMENT</w:t>
      </w:r>
    </w:p>
    <w:p>
      <w:pPr>
        <w:spacing w:after="0" w:line="200" w:lineRule="exact"/>
        <w:rPr>
          <w:sz w:val="20"/>
          <w:szCs w:val="20"/>
          <w:color w:val="auto"/>
        </w:rPr>
      </w:pPr>
    </w:p>
    <w:p>
      <w:pPr>
        <w:spacing w:after="0" w:line="276" w:lineRule="exact"/>
        <w:rPr>
          <w:sz w:val="20"/>
          <w:szCs w:val="20"/>
          <w:color w:val="auto"/>
        </w:rPr>
      </w:pPr>
    </w:p>
    <w:p>
      <w:pPr>
        <w:ind w:right="420" w:firstLine="1297"/>
        <w:spacing w:after="0" w:line="335" w:lineRule="auto"/>
        <w:rPr>
          <w:sz w:val="20"/>
          <w:szCs w:val="20"/>
          <w:color w:val="auto"/>
        </w:rPr>
      </w:pPr>
      <w:r>
        <w:rPr>
          <w:rFonts w:ascii="Arial" w:cs="Arial" w:eastAsia="Arial" w:hAnsi="Arial"/>
          <w:sz w:val="19"/>
          <w:szCs w:val="19"/>
          <w:color w:val="auto"/>
        </w:rPr>
        <w:t xml:space="preserve">This INDEMNIFICATION AGREEMENT is made as of April 1, 2011, by and between </w:t>
      </w:r>
      <w:r>
        <w:rPr>
          <w:rFonts w:ascii="Arial" w:cs="Arial" w:eastAsia="Arial" w:hAnsi="Arial"/>
          <w:sz w:val="19"/>
          <w:szCs w:val="19"/>
          <w:b w:val="1"/>
          <w:bCs w:val="1"/>
          <w:color w:val="auto"/>
        </w:rPr>
        <w:t>ERIE INDEMNITY</w:t>
      </w:r>
      <w:r>
        <w:rPr>
          <w:rFonts w:ascii="Arial" w:cs="Arial" w:eastAsia="Arial" w:hAnsi="Arial"/>
          <w:sz w:val="19"/>
          <w:szCs w:val="19"/>
          <w:color w:val="auto"/>
        </w:rPr>
        <w:t xml:space="preserve"> </w:t>
      </w:r>
      <w:r>
        <w:rPr>
          <w:rFonts w:ascii="Arial" w:cs="Arial" w:eastAsia="Arial" w:hAnsi="Arial"/>
          <w:sz w:val="19"/>
          <w:szCs w:val="19"/>
          <w:b w:val="1"/>
          <w:bCs w:val="1"/>
          <w:color w:val="auto"/>
        </w:rPr>
        <w:t>COMPANY</w:t>
      </w:r>
      <w:r>
        <w:rPr>
          <w:rFonts w:ascii="Arial" w:cs="Arial" w:eastAsia="Arial" w:hAnsi="Arial"/>
          <w:sz w:val="19"/>
          <w:szCs w:val="19"/>
          <w:color w:val="auto"/>
        </w:rPr>
        <w:t>, a Pennsylvania business corporation (the “Company”), and</w:t>
      </w:r>
      <w:r>
        <w:rPr>
          <w:rFonts w:ascii="Arial" w:cs="Arial" w:eastAsia="Arial" w:hAnsi="Arial"/>
          <w:sz w:val="19"/>
          <w:szCs w:val="19"/>
          <w:b w:val="1"/>
          <w:bCs w:val="1"/>
          <w:color w:val="auto"/>
        </w:rPr>
        <w:t xml:space="preserve"> GEORGE D. DUFALA </w:t>
      </w:r>
      <w:r>
        <w:rPr>
          <w:rFonts w:ascii="Arial" w:cs="Arial" w:eastAsia="Arial" w:hAnsi="Arial"/>
          <w:sz w:val="19"/>
          <w:szCs w:val="19"/>
          <w:color w:val="auto"/>
        </w:rPr>
        <w:t>(the “Indemnified Person”).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INTRODUCTION</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It is essential to the Company to attract and retain as officers the most capable persons available.</w:t>
      </w:r>
    </w:p>
    <w:p>
      <w:pPr>
        <w:spacing w:after="0" w:line="233" w:lineRule="exact"/>
        <w:rPr>
          <w:sz w:val="20"/>
          <w:szCs w:val="20"/>
          <w:color w:val="auto"/>
        </w:rPr>
      </w:pPr>
    </w:p>
    <w:p>
      <w:pPr>
        <w:ind w:right="60" w:firstLine="1297"/>
        <w:spacing w:after="0" w:line="274" w:lineRule="auto"/>
        <w:rPr>
          <w:sz w:val="20"/>
          <w:szCs w:val="20"/>
          <w:color w:val="auto"/>
        </w:rPr>
      </w:pPr>
      <w:r>
        <w:rPr>
          <w:rFonts w:ascii="Arial" w:cs="Arial" w:eastAsia="Arial" w:hAnsi="Arial"/>
          <w:sz w:val="21"/>
          <w:szCs w:val="21"/>
          <w:color w:val="auto"/>
        </w:rPr>
        <w:t>The Company wishes the Indemnified Person to continue to serve as an officer of the Company and the Indemnified Person is willing to continue in such position with the indemnification and other rights provided hereby.</w:t>
      </w:r>
    </w:p>
    <w:p>
      <w:pPr>
        <w:spacing w:after="0" w:line="178" w:lineRule="exact"/>
        <w:rPr>
          <w:sz w:val="20"/>
          <w:szCs w:val="20"/>
          <w:color w:val="auto"/>
        </w:rPr>
      </w:pPr>
    </w:p>
    <w:p>
      <w:pPr>
        <w:ind w:right="180" w:firstLine="1297"/>
        <w:spacing w:after="0"/>
        <w:rPr>
          <w:sz w:val="20"/>
          <w:szCs w:val="20"/>
          <w:color w:val="auto"/>
        </w:rPr>
      </w:pPr>
      <w:r>
        <w:rPr>
          <w:rFonts w:ascii="Arial" w:cs="Arial" w:eastAsia="Arial" w:hAnsi="Arial"/>
          <w:sz w:val="22"/>
          <w:szCs w:val="22"/>
          <w:color w:val="auto"/>
        </w:rPr>
        <w:t>In recent years, litigation seeking to impose liability on directors and officers of publicly-held corporations has become more frequent. Such litigation is extremely expensive to defend. The possibility of liability for extremely large sums is a deterrent to persons accepting positions of responsibility with a public corporation.</w:t>
      </w:r>
    </w:p>
    <w:p>
      <w:pPr>
        <w:spacing w:after="0" w:line="213" w:lineRule="exact"/>
        <w:rPr>
          <w:sz w:val="20"/>
          <w:szCs w:val="20"/>
          <w:color w:val="auto"/>
        </w:rPr>
      </w:pPr>
    </w:p>
    <w:p>
      <w:pPr>
        <w:jc w:val="both"/>
        <w:ind w:right="100" w:firstLine="1297"/>
        <w:spacing w:after="0"/>
        <w:rPr>
          <w:sz w:val="20"/>
          <w:szCs w:val="20"/>
          <w:color w:val="auto"/>
        </w:rPr>
      </w:pPr>
      <w:r>
        <w:rPr>
          <w:rFonts w:ascii="Arial" w:cs="Arial" w:eastAsia="Arial" w:hAnsi="Arial"/>
          <w:sz w:val="22"/>
          <w:szCs w:val="22"/>
          <w:color w:val="auto"/>
        </w:rPr>
        <w:t>The Indemnified Person is deeply concerned regarding this situation, as well as the adequacy of the indemnification available under the Company’s bylaws. It is therefore of critical importance to the Indemnified Person that adequate provisions be made for advancing costs and expenses of legal defense.</w:t>
      </w:r>
    </w:p>
    <w:p>
      <w:pPr>
        <w:spacing w:after="0" w:line="213" w:lineRule="exact"/>
        <w:rPr>
          <w:sz w:val="20"/>
          <w:szCs w:val="20"/>
          <w:color w:val="auto"/>
        </w:rPr>
      </w:pPr>
    </w:p>
    <w:p>
      <w:pPr>
        <w:ind w:right="260" w:firstLine="1297"/>
        <w:spacing w:after="0" w:line="252" w:lineRule="auto"/>
        <w:rPr>
          <w:sz w:val="20"/>
          <w:szCs w:val="20"/>
          <w:color w:val="auto"/>
        </w:rPr>
      </w:pPr>
      <w:r>
        <w:rPr>
          <w:rFonts w:ascii="Arial" w:cs="Arial" w:eastAsia="Arial" w:hAnsi="Arial"/>
          <w:sz w:val="21"/>
          <w:szCs w:val="21"/>
          <w:color w:val="auto"/>
        </w:rPr>
        <w:t>In recognition of the foregoing, the Company wishes to provide in this Agreement for the indemnification of, and the advancement of expenses to, the Indemnified Person to the fullest extent (whether partial or complete) permitted by Pennsylvania law and as set forth in this Agreement, and, to the extent insurance is maintained, for the continued coverage of the Indemnified Person under the Company’s directors’ and officers’ liability insurance policies.</w:t>
      </w:r>
    </w:p>
    <w:p>
      <w:pPr>
        <w:spacing w:after="0" w:line="201" w:lineRule="exact"/>
        <w:rPr>
          <w:sz w:val="20"/>
          <w:szCs w:val="20"/>
          <w:color w:val="auto"/>
        </w:rPr>
      </w:pPr>
    </w:p>
    <w:p>
      <w:pPr>
        <w:ind w:right="40" w:firstLine="1297"/>
        <w:spacing w:after="0"/>
        <w:rPr>
          <w:sz w:val="20"/>
          <w:szCs w:val="20"/>
          <w:color w:val="auto"/>
        </w:rPr>
      </w:pPr>
      <w:r>
        <w:rPr>
          <w:rFonts w:ascii="Arial" w:cs="Arial" w:eastAsia="Arial" w:hAnsi="Arial"/>
          <w:sz w:val="22"/>
          <w:szCs w:val="22"/>
          <w:color w:val="auto"/>
        </w:rPr>
        <w:t>NOW, THEREFORE, in consideration of the premises and of the Indemnified Person continuing to serve the Company, and for other good and valuable consideration, the receipt and sufficiency of which are hereby acknowledged, the parties hereto agree as follows: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ONE</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INTERPRETIVE RULES; DEFINITIONS</w:t>
      </w:r>
    </w:p>
    <w:p>
      <w:pPr>
        <w:spacing w:after="0" w:line="20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19"/>
          <w:szCs w:val="19"/>
          <w:b w:val="1"/>
          <w:bCs w:val="1"/>
          <w:color w:val="auto"/>
        </w:rPr>
        <w:t>General Interpretive Rules.</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For purposes of this Agreement, except as otherwise expressly provided or unless the context otherwise requires,</w:t>
      </w:r>
    </w:p>
    <w:p>
      <w:pPr>
        <w:spacing w:after="0" w:line="43"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terms defined in this Article have the meanings assigned to them in this Article and include the plural as well as the singular;</w:t>
      </w:r>
    </w:p>
    <w:p>
      <w:pPr>
        <w:spacing w:after="0" w:line="24" w:lineRule="exact"/>
        <w:rPr>
          <w:rFonts w:ascii="Arial" w:cs="Arial" w:eastAsia="Arial" w:hAnsi="Arial"/>
          <w:sz w:val="19"/>
          <w:szCs w:val="19"/>
          <w:color w:val="auto"/>
        </w:rPr>
      </w:pPr>
    </w:p>
    <w:p>
      <w:pPr>
        <w:ind w:right="140" w:firstLine="8"/>
        <w:spacing w:after="0" w:line="237" w:lineRule="auto"/>
        <w:tabs>
          <w:tab w:leader="none" w:pos="318" w:val="left"/>
        </w:tabs>
        <w:numPr>
          <w:ilvl w:val="0"/>
          <w:numId w:val="27"/>
        </w:numPr>
        <w:rPr>
          <w:rFonts w:ascii="Arial" w:cs="Arial" w:eastAsia="Arial" w:hAnsi="Arial"/>
          <w:sz w:val="22"/>
          <w:szCs w:val="22"/>
          <w:color w:val="auto"/>
        </w:rPr>
      </w:pPr>
      <w:r>
        <w:rPr>
          <w:rFonts w:ascii="Arial" w:cs="Arial" w:eastAsia="Arial" w:hAnsi="Arial"/>
          <w:sz w:val="22"/>
          <w:szCs w:val="22"/>
          <w:color w:val="auto"/>
        </w:rPr>
        <w:t>references herein to “Sections” without reference to a document are to designated Sections of this Agreement; (iii) “including” means “including but not limited to;” and (iv) “herein,” “hereof,” “hereunder”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color w:val="auto"/>
        </w:rPr>
        <w:t>other words of similar import refer to this Agreement as a whole and not to any particular provision.</w:t>
      </w:r>
    </w:p>
    <w:p>
      <w:pPr>
        <w:spacing w:after="0" w:line="22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1.2.</w:t>
      </w:r>
      <w:r>
        <w:rPr>
          <w:sz w:val="20"/>
          <w:szCs w:val="20"/>
          <w:color w:val="auto"/>
        </w:rPr>
        <w:tab/>
      </w:r>
      <w:r>
        <w:rPr>
          <w:rFonts w:ascii="Arial" w:cs="Arial" w:eastAsia="Arial" w:hAnsi="Arial"/>
          <w:sz w:val="19"/>
          <w:szCs w:val="19"/>
          <w:b w:val="1"/>
          <w:bCs w:val="1"/>
          <w:color w:val="auto"/>
        </w:rPr>
        <w:t>Definitions.</w:t>
      </w:r>
    </w:p>
    <w:p>
      <w:pPr>
        <w:spacing w:after="0" w:line="233" w:lineRule="exact"/>
        <w:rPr>
          <w:sz w:val="20"/>
          <w:szCs w:val="20"/>
          <w:color w:val="auto"/>
        </w:rPr>
      </w:pPr>
    </w:p>
    <w:p>
      <w:pPr>
        <w:ind w:right="540" w:firstLine="1297"/>
        <w:spacing w:after="0" w:line="256" w:lineRule="auto"/>
        <w:rPr>
          <w:sz w:val="20"/>
          <w:szCs w:val="20"/>
          <w:color w:val="auto"/>
        </w:rPr>
      </w:pPr>
      <w:r>
        <w:rPr>
          <w:rFonts w:ascii="Arial" w:cs="Arial" w:eastAsia="Arial" w:hAnsi="Arial"/>
          <w:sz w:val="22"/>
          <w:szCs w:val="22"/>
          <w:b w:val="1"/>
          <w:bCs w:val="1"/>
          <w:color w:val="auto"/>
        </w:rPr>
        <w:t xml:space="preserve">Agreement </w:t>
      </w:r>
      <w:r>
        <w:rPr>
          <w:rFonts w:ascii="Arial" w:cs="Arial" w:eastAsia="Arial" w:hAnsi="Arial"/>
          <w:sz w:val="22"/>
          <w:szCs w:val="22"/>
          <w:color w:val="auto"/>
        </w:rPr>
        <w:t>means this Indemnification Agreement as executed by the parties hereto as of the date first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above or, if amended, as amended.</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Board </w:t>
      </w:r>
      <w:r>
        <w:rPr>
          <w:rFonts w:ascii="Arial" w:cs="Arial" w:eastAsia="Arial" w:hAnsi="Arial"/>
          <w:sz w:val="22"/>
          <w:szCs w:val="22"/>
          <w:color w:val="auto"/>
        </w:rPr>
        <w:t>means the Board of Directors of the Company.</w:t>
      </w:r>
    </w:p>
    <w:p>
      <w:pPr>
        <w:spacing w:after="0" w:line="233" w:lineRule="exact"/>
        <w:rPr>
          <w:sz w:val="20"/>
          <w:szCs w:val="20"/>
          <w:color w:val="auto"/>
        </w:rPr>
      </w:pPr>
    </w:p>
    <w:p>
      <w:pPr>
        <w:ind w:right="220" w:firstLine="1297"/>
        <w:spacing w:after="0" w:line="256" w:lineRule="auto"/>
        <w:rPr>
          <w:sz w:val="20"/>
          <w:szCs w:val="20"/>
          <w:color w:val="auto"/>
        </w:rPr>
      </w:pPr>
      <w:r>
        <w:rPr>
          <w:rFonts w:ascii="Arial" w:cs="Arial" w:eastAsia="Arial" w:hAnsi="Arial"/>
          <w:sz w:val="22"/>
          <w:szCs w:val="22"/>
          <w:b w:val="1"/>
          <w:bCs w:val="1"/>
          <w:color w:val="auto"/>
        </w:rPr>
        <w:t xml:space="preserve">Derivative Proceeding </w:t>
      </w:r>
      <w:r>
        <w:rPr>
          <w:rFonts w:ascii="Arial" w:cs="Arial" w:eastAsia="Arial" w:hAnsi="Arial"/>
          <w:sz w:val="22"/>
          <w:szCs w:val="22"/>
          <w:color w:val="auto"/>
        </w:rPr>
        <w:t>means a Proceeding brought by or in the right of the Company or one of its subsidiaries to</w:t>
      </w:r>
      <w:r>
        <w:rPr>
          <w:rFonts w:ascii="Arial" w:cs="Arial" w:eastAsia="Arial" w:hAnsi="Arial"/>
          <w:sz w:val="22"/>
          <w:szCs w:val="22"/>
          <w:b w:val="1"/>
          <w:bCs w:val="1"/>
          <w:color w:val="auto"/>
        </w:rPr>
        <w:t xml:space="preserve"> </w:t>
      </w:r>
      <w:r>
        <w:rPr>
          <w:rFonts w:ascii="Arial" w:cs="Arial" w:eastAsia="Arial" w:hAnsi="Arial"/>
          <w:sz w:val="22"/>
          <w:szCs w:val="22"/>
          <w:color w:val="auto"/>
        </w:rPr>
        <w:t>procure a judgment in its favor.</w:t>
      </w:r>
    </w:p>
    <w:p>
      <w:pPr>
        <w:spacing w:after="0" w:line="190" w:lineRule="exact"/>
        <w:rPr>
          <w:sz w:val="20"/>
          <w:szCs w:val="20"/>
          <w:color w:val="auto"/>
        </w:rPr>
      </w:pPr>
    </w:p>
    <w:p>
      <w:pPr>
        <w:ind w:right="300" w:firstLine="1297"/>
        <w:spacing w:after="0" w:line="280" w:lineRule="auto"/>
        <w:rPr>
          <w:sz w:val="20"/>
          <w:szCs w:val="20"/>
          <w:color w:val="auto"/>
        </w:rPr>
      </w:pPr>
      <w:r>
        <w:rPr>
          <w:rFonts w:ascii="Arial" w:cs="Arial" w:eastAsia="Arial" w:hAnsi="Arial"/>
          <w:sz w:val="21"/>
          <w:szCs w:val="21"/>
          <w:b w:val="1"/>
          <w:bCs w:val="1"/>
          <w:color w:val="auto"/>
        </w:rPr>
        <w:t xml:space="preserve">Entity </w:t>
      </w:r>
      <w:r>
        <w:rPr>
          <w:rFonts w:ascii="Arial" w:cs="Arial" w:eastAsia="Arial" w:hAnsi="Arial"/>
          <w:sz w:val="21"/>
          <w:szCs w:val="21"/>
          <w:color w:val="auto"/>
        </w:rPr>
        <w:t>means a corporation, business, general or limited partnership, limited liability partnership, limited liability</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reciprocal insurance exchange, joint venture, trust, employee benefit plan or trust, or other enterprise.</w:t>
      </w:r>
    </w:p>
    <w:p>
      <w:pPr>
        <w:spacing w:after="0" w:line="166" w:lineRule="exact"/>
        <w:rPr>
          <w:sz w:val="20"/>
          <w:szCs w:val="20"/>
          <w:color w:val="auto"/>
        </w:rPr>
      </w:pPr>
    </w:p>
    <w:p>
      <w:pPr>
        <w:ind w:right="280" w:firstLine="1297"/>
        <w:spacing w:after="0" w:line="256" w:lineRule="auto"/>
        <w:rPr>
          <w:sz w:val="20"/>
          <w:szCs w:val="20"/>
          <w:color w:val="auto"/>
        </w:rPr>
      </w:pPr>
      <w:r>
        <w:rPr>
          <w:rFonts w:ascii="Arial" w:cs="Arial" w:eastAsia="Arial" w:hAnsi="Arial"/>
          <w:sz w:val="22"/>
          <w:szCs w:val="22"/>
          <w:b w:val="1"/>
          <w:bCs w:val="1"/>
          <w:color w:val="auto"/>
        </w:rPr>
        <w:t xml:space="preserve">Fine </w:t>
      </w:r>
      <w:r>
        <w:rPr>
          <w:rFonts w:ascii="Arial" w:cs="Arial" w:eastAsia="Arial" w:hAnsi="Arial"/>
          <w:sz w:val="22"/>
          <w:szCs w:val="22"/>
          <w:color w:val="auto"/>
        </w:rPr>
        <w:t>means any fine, penalty or, with respect to an employee benefit plan, any excise tax or penalty assessed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thereto.</w:t>
      </w:r>
    </w:p>
    <w:p>
      <w:pPr>
        <w:spacing w:after="0" w:line="190"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2"/>
          <w:szCs w:val="22"/>
          <w:b w:val="1"/>
          <w:bCs w:val="1"/>
          <w:color w:val="auto"/>
        </w:rPr>
        <w:t xml:space="preserve">Litigation Costs </w:t>
      </w:r>
      <w:r>
        <w:rPr>
          <w:rFonts w:ascii="Arial" w:cs="Arial" w:eastAsia="Arial" w:hAnsi="Arial"/>
          <w:sz w:val="22"/>
          <w:szCs w:val="22"/>
          <w:color w:val="auto"/>
        </w:rPr>
        <w:t>means reasonable costs, charges and expenses, including attorneys’ fees, reasonably incurred in the</w:t>
      </w:r>
      <w:r>
        <w:rPr>
          <w:rFonts w:ascii="Arial" w:cs="Arial" w:eastAsia="Arial" w:hAnsi="Arial"/>
          <w:sz w:val="22"/>
          <w:szCs w:val="22"/>
          <w:b w:val="1"/>
          <w:bCs w:val="1"/>
          <w:color w:val="auto"/>
        </w:rPr>
        <w:t xml:space="preserve"> </w:t>
      </w:r>
      <w:r>
        <w:rPr>
          <w:rFonts w:ascii="Arial" w:cs="Arial" w:eastAsia="Arial" w:hAnsi="Arial"/>
          <w:sz w:val="22"/>
          <w:szCs w:val="22"/>
          <w:color w:val="auto"/>
        </w:rPr>
        <w:t>investigation, defense or prosecution of or other involvement in any Proceeding and any appeal therefrom, and the reasonable costs of appeal, attachment and similar bonds.</w:t>
      </w:r>
    </w:p>
    <w:p>
      <w:pPr>
        <w:sectPr>
          <w:pgSz w:w="11900" w:h="16838" w:orient="portrait"/>
          <w:cols w:equalWidth="0" w:num="1">
            <w:col w:w="11420"/>
          </w:cols>
          <w:pgMar w:left="240" w:top="355" w:right="239" w:bottom="0" w:gutter="0" w:footer="0" w:header="0"/>
        </w:sectPr>
      </w:pPr>
    </w:p>
    <w:bookmarkStart w:id="44" w:name="page45"/>
    <w:bookmarkEnd w:id="44"/>
    <w:p>
      <w:pPr>
        <w:spacing w:after="0" w:line="92" w:lineRule="exact"/>
        <w:rPr>
          <w:sz w:val="20"/>
          <w:szCs w:val="20"/>
          <w:color w:val="auto"/>
        </w:rPr>
      </w:pPr>
    </w:p>
    <w:p>
      <w:pPr>
        <w:ind w:right="220" w:firstLine="1297"/>
        <w:spacing w:after="0" w:line="257" w:lineRule="auto"/>
        <w:rPr>
          <w:sz w:val="20"/>
          <w:szCs w:val="20"/>
          <w:color w:val="auto"/>
        </w:rPr>
      </w:pPr>
      <w:r>
        <w:rPr>
          <w:rFonts w:ascii="Arial" w:cs="Arial" w:eastAsia="Arial" w:hAnsi="Arial"/>
          <w:sz w:val="22"/>
          <w:szCs w:val="22"/>
          <w:b w:val="1"/>
          <w:bCs w:val="1"/>
          <w:color w:val="auto"/>
        </w:rPr>
        <w:t xml:space="preserve">Losses </w:t>
      </w:r>
      <w:r>
        <w:rPr>
          <w:rFonts w:ascii="Arial" w:cs="Arial" w:eastAsia="Arial" w:hAnsi="Arial"/>
          <w:sz w:val="22"/>
          <w:szCs w:val="22"/>
          <w:color w:val="auto"/>
        </w:rPr>
        <w:t>means the total amount which the Indemnified Person becomes legally obligated to pay in connection with</w:t>
      </w:r>
      <w:r>
        <w:rPr>
          <w:rFonts w:ascii="Arial" w:cs="Arial" w:eastAsia="Arial" w:hAnsi="Arial"/>
          <w:sz w:val="22"/>
          <w:szCs w:val="22"/>
          <w:b w:val="1"/>
          <w:bCs w:val="1"/>
          <w:color w:val="auto"/>
        </w:rPr>
        <w:t xml:space="preserve"> </w:t>
      </w:r>
      <w:r>
        <w:rPr>
          <w:rFonts w:ascii="Arial" w:cs="Arial" w:eastAsia="Arial" w:hAnsi="Arial"/>
          <w:sz w:val="22"/>
          <w:szCs w:val="22"/>
          <w:color w:val="auto"/>
        </w:rPr>
        <w:t>any Proceeding, including judgments, Fines, amounts paid in settlement and Litigation Costs.</w:t>
      </w:r>
    </w:p>
    <w:p>
      <w:pPr>
        <w:spacing w:after="0" w:line="188" w:lineRule="exact"/>
        <w:rPr>
          <w:sz w:val="20"/>
          <w:szCs w:val="20"/>
          <w:color w:val="auto"/>
        </w:rPr>
      </w:pPr>
    </w:p>
    <w:p>
      <w:pPr>
        <w:ind w:firstLine="1297"/>
        <w:spacing w:after="0" w:line="254" w:lineRule="auto"/>
        <w:rPr>
          <w:sz w:val="20"/>
          <w:szCs w:val="20"/>
          <w:color w:val="auto"/>
        </w:rPr>
      </w:pPr>
      <w:r>
        <w:rPr>
          <w:rFonts w:ascii="Arial" w:cs="Arial" w:eastAsia="Arial" w:hAnsi="Arial"/>
          <w:sz w:val="21"/>
          <w:szCs w:val="21"/>
          <w:b w:val="1"/>
          <w:bCs w:val="1"/>
          <w:color w:val="auto"/>
        </w:rPr>
        <w:t xml:space="preserve">Proceeding </w:t>
      </w:r>
      <w:r>
        <w:rPr>
          <w:rFonts w:ascii="Arial" w:cs="Arial" w:eastAsia="Arial" w:hAnsi="Arial"/>
          <w:sz w:val="21"/>
          <w:szCs w:val="21"/>
          <w:color w:val="auto"/>
        </w:rPr>
        <w:t>means any threatened, pending or completed action, suit, proceeding or investigation, whether of a civil,</w:t>
      </w:r>
      <w:r>
        <w:rPr>
          <w:rFonts w:ascii="Arial" w:cs="Arial" w:eastAsia="Arial" w:hAnsi="Arial"/>
          <w:sz w:val="21"/>
          <w:szCs w:val="21"/>
          <w:b w:val="1"/>
          <w:bCs w:val="1"/>
          <w:color w:val="auto"/>
        </w:rPr>
        <w:t xml:space="preserve"> </w:t>
      </w:r>
      <w:r>
        <w:rPr>
          <w:rFonts w:ascii="Arial" w:cs="Arial" w:eastAsia="Arial" w:hAnsi="Arial"/>
          <w:sz w:val="21"/>
          <w:szCs w:val="21"/>
          <w:color w:val="auto"/>
        </w:rPr>
        <w:t>criminal, administrative or investigative (whether external or internal to the Company) nature, and whether formal or informal, in which the Indemnified Person is or was a director, officer or employee of the Company, or is or was serving at the request of the Company as a director, officer, partner, member, employee, agent or trustee of another Entity.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TWO</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INDEMNIFICATION</w:t>
      </w:r>
    </w:p>
    <w:p>
      <w:pPr>
        <w:spacing w:after="0" w:line="20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2.1.</w:t>
      </w:r>
      <w:r>
        <w:rPr>
          <w:sz w:val="20"/>
          <w:szCs w:val="20"/>
          <w:color w:val="auto"/>
        </w:rPr>
        <w:tab/>
      </w:r>
      <w:r>
        <w:rPr>
          <w:rFonts w:ascii="Arial" w:cs="Arial" w:eastAsia="Arial" w:hAnsi="Arial"/>
          <w:sz w:val="19"/>
          <w:szCs w:val="19"/>
          <w:b w:val="1"/>
          <w:bCs w:val="1"/>
          <w:color w:val="auto"/>
        </w:rPr>
        <w:t>Proceedings by Third Parties.</w:t>
      </w:r>
    </w:p>
    <w:p>
      <w:pPr>
        <w:spacing w:after="0" w:line="239" w:lineRule="exact"/>
        <w:rPr>
          <w:sz w:val="20"/>
          <w:szCs w:val="20"/>
          <w:color w:val="auto"/>
        </w:rPr>
      </w:pPr>
    </w:p>
    <w:p>
      <w:pPr>
        <w:ind w:right="60" w:firstLine="1297"/>
        <w:spacing w:after="0"/>
        <w:rPr>
          <w:sz w:val="20"/>
          <w:szCs w:val="20"/>
          <w:color w:val="auto"/>
        </w:rPr>
      </w:pPr>
      <w:r>
        <w:rPr>
          <w:rFonts w:ascii="Arial" w:cs="Arial" w:eastAsia="Arial" w:hAnsi="Arial"/>
          <w:sz w:val="22"/>
          <w:szCs w:val="22"/>
          <w:color w:val="auto"/>
        </w:rPr>
        <w:t>The Company shall indemnify the Indemnified Person if he was or is a party or is threatened to be made a party to a Proceeding (other than a Derivative Proceeding) against Losses incurred in connection with such Proceeding to the fullest extent permitted by Pennsylvania law.</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2.2.</w:t>
      </w:r>
      <w:r>
        <w:rPr>
          <w:sz w:val="20"/>
          <w:szCs w:val="20"/>
          <w:color w:val="auto"/>
        </w:rPr>
        <w:tab/>
      </w:r>
      <w:r>
        <w:rPr>
          <w:rFonts w:ascii="Arial" w:cs="Arial" w:eastAsia="Arial" w:hAnsi="Arial"/>
          <w:sz w:val="19"/>
          <w:szCs w:val="19"/>
          <w:b w:val="1"/>
          <w:bCs w:val="1"/>
          <w:color w:val="auto"/>
        </w:rPr>
        <w:t>Derivative Proceedings.</w:t>
      </w:r>
    </w:p>
    <w:p>
      <w:pPr>
        <w:spacing w:after="0" w:line="239" w:lineRule="exact"/>
        <w:rPr>
          <w:sz w:val="20"/>
          <w:szCs w:val="20"/>
          <w:color w:val="auto"/>
        </w:rPr>
      </w:pPr>
    </w:p>
    <w:p>
      <w:pPr>
        <w:ind w:right="100" w:firstLine="1305"/>
        <w:spacing w:after="0" w:line="238" w:lineRule="auto"/>
        <w:tabs>
          <w:tab w:leader="none" w:pos="1969" w:val="left"/>
        </w:tabs>
        <w:numPr>
          <w:ilvl w:val="0"/>
          <w:numId w:val="28"/>
        </w:numPr>
        <w:rPr>
          <w:rFonts w:ascii="Arial" w:cs="Arial" w:eastAsia="Arial" w:hAnsi="Arial"/>
          <w:sz w:val="22"/>
          <w:szCs w:val="22"/>
          <w:color w:val="auto"/>
        </w:rPr>
      </w:pPr>
      <w:r>
        <w:rPr>
          <w:rFonts w:ascii="Arial" w:cs="Arial" w:eastAsia="Arial" w:hAnsi="Arial"/>
          <w:sz w:val="22"/>
          <w:szCs w:val="22"/>
          <w:color w:val="auto"/>
        </w:rPr>
        <w:t>Except as provided in Section 2.2(b), the Company shall indemnify the Indemnified Person if he was or is a party to, or is threatened to be made a party to, or otherwise involved in, a Derivative Proceeding against amounts paid in settlement and Litigation Costs incurred in connection with the defense or settlement of such Derivative Proceeding to the fullest extent permitted by Pennsylvania law.</w:t>
      </w:r>
    </w:p>
    <w:p>
      <w:pPr>
        <w:spacing w:after="0" w:line="212" w:lineRule="exact"/>
        <w:rPr>
          <w:rFonts w:ascii="Arial" w:cs="Arial" w:eastAsia="Arial" w:hAnsi="Arial"/>
          <w:sz w:val="22"/>
          <w:szCs w:val="22"/>
          <w:color w:val="auto"/>
        </w:rPr>
      </w:pPr>
    </w:p>
    <w:p>
      <w:pPr>
        <w:ind w:right="40" w:firstLine="1305"/>
        <w:spacing w:after="0" w:line="282" w:lineRule="auto"/>
        <w:tabs>
          <w:tab w:leader="none" w:pos="1981" w:val="left"/>
        </w:tabs>
        <w:numPr>
          <w:ilvl w:val="0"/>
          <w:numId w:val="28"/>
        </w:numPr>
        <w:rPr>
          <w:rFonts w:ascii="Arial" w:cs="Arial" w:eastAsia="Arial" w:hAnsi="Arial"/>
          <w:sz w:val="19"/>
          <w:szCs w:val="19"/>
          <w:color w:val="auto"/>
        </w:rPr>
      </w:pPr>
      <w:r>
        <w:rPr>
          <w:rFonts w:ascii="Arial" w:cs="Arial" w:eastAsia="Arial" w:hAnsi="Arial"/>
          <w:sz w:val="19"/>
          <w:szCs w:val="19"/>
          <w:color w:val="auto"/>
        </w:rPr>
        <w:t>No indemnification under Section 2.2(a) shall be made in respect of any claim, issue or matter in a Derivative Proceeding as to which the Indemnified Person shall have been adjudged to be liable to the Company unless and only to the extent that a court of competent jurisdiction or the court in which such Proceeding was brought determines upon application that, despite the adjudication of liability but in view of all the circumstances of the case, the Indemnified Person is fairly and reasonably entitled to indemnity for the expenses that a court of competent jurisdiction or other court deems proper.</w:t>
      </w:r>
    </w:p>
    <w:p>
      <w:pPr>
        <w:spacing w:after="0" w:line="16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2.3.</w:t>
      </w:r>
      <w:r>
        <w:rPr>
          <w:sz w:val="20"/>
          <w:szCs w:val="20"/>
          <w:color w:val="auto"/>
        </w:rPr>
        <w:tab/>
      </w:r>
      <w:r>
        <w:rPr>
          <w:rFonts w:ascii="Arial" w:cs="Arial" w:eastAsia="Arial" w:hAnsi="Arial"/>
          <w:sz w:val="19"/>
          <w:szCs w:val="19"/>
          <w:b w:val="1"/>
          <w:bCs w:val="1"/>
          <w:color w:val="auto"/>
        </w:rPr>
        <w:t>No Presumptions Based on Manner Proceeding is Terminated.</w:t>
      </w:r>
    </w:p>
    <w:p>
      <w:pPr>
        <w:spacing w:after="0" w:line="239" w:lineRule="exact"/>
        <w:rPr>
          <w:sz w:val="20"/>
          <w:szCs w:val="20"/>
          <w:color w:val="auto"/>
        </w:rPr>
      </w:pPr>
    </w:p>
    <w:p>
      <w:pPr>
        <w:ind w:right="120" w:firstLine="1297"/>
        <w:spacing w:after="0"/>
        <w:rPr>
          <w:sz w:val="20"/>
          <w:szCs w:val="20"/>
          <w:color w:val="auto"/>
        </w:rPr>
      </w:pPr>
      <w:r>
        <w:rPr>
          <w:rFonts w:ascii="Arial" w:cs="Arial" w:eastAsia="Arial" w:hAnsi="Arial"/>
          <w:sz w:val="22"/>
          <w:szCs w:val="22"/>
          <w:color w:val="auto"/>
        </w:rPr>
        <w:t>The termination of any Proceeding by judgment, order, settlement, conviction, or upon a plea of nolo contendere or its equivalent, shall not, of itself, create a presumption that the Indemnified Person is not entitled to indemnification or the advancement of Litigation Costs to the fullest extent permitted by Pennsylvania law.</w:t>
      </w:r>
    </w:p>
    <w:p>
      <w:pPr>
        <w:spacing w:after="0" w:line="20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2.4.</w:t>
      </w:r>
      <w:r>
        <w:rPr>
          <w:sz w:val="20"/>
          <w:szCs w:val="20"/>
          <w:color w:val="auto"/>
        </w:rPr>
        <w:tab/>
      </w:r>
      <w:r>
        <w:rPr>
          <w:rFonts w:ascii="Arial" w:cs="Arial" w:eastAsia="Arial" w:hAnsi="Arial"/>
          <w:sz w:val="19"/>
          <w:szCs w:val="19"/>
          <w:b w:val="1"/>
          <w:bCs w:val="1"/>
          <w:color w:val="auto"/>
        </w:rPr>
        <w:t>Indemnification for Expenses of Successful Party.</w:t>
      </w:r>
    </w:p>
    <w:p>
      <w:pPr>
        <w:spacing w:after="0" w:line="239" w:lineRule="exact"/>
        <w:rPr>
          <w:sz w:val="20"/>
          <w:szCs w:val="20"/>
          <w:color w:val="auto"/>
        </w:rPr>
      </w:pPr>
    </w:p>
    <w:p>
      <w:pPr>
        <w:ind w:right="20" w:firstLine="1297"/>
        <w:spacing w:after="0" w:line="258" w:lineRule="auto"/>
        <w:rPr>
          <w:sz w:val="20"/>
          <w:szCs w:val="20"/>
          <w:color w:val="auto"/>
        </w:rPr>
      </w:pPr>
      <w:r>
        <w:rPr>
          <w:rFonts w:ascii="Arial" w:cs="Arial" w:eastAsia="Arial" w:hAnsi="Arial"/>
          <w:sz w:val="21"/>
          <w:szCs w:val="21"/>
          <w:color w:val="auto"/>
        </w:rPr>
        <w:t>Notwithstanding any other provision hereof, to the extent that the Indemnified Person has been successful on the merits or otherwise in defense of any Proceeding or in defense of any claim, issue or matter therein, he shall be indemnified against Litigation Costs actually and reasonably incurred by the Indemnified Person in connection therewith.</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2.5.</w:t>
      </w:r>
      <w:r>
        <w:rPr>
          <w:sz w:val="20"/>
          <w:szCs w:val="20"/>
          <w:color w:val="auto"/>
        </w:rPr>
        <w:tab/>
      </w:r>
      <w:r>
        <w:rPr>
          <w:rFonts w:ascii="Arial" w:cs="Arial" w:eastAsia="Arial" w:hAnsi="Arial"/>
          <w:sz w:val="19"/>
          <w:szCs w:val="19"/>
          <w:b w:val="1"/>
          <w:bCs w:val="1"/>
          <w:color w:val="auto"/>
        </w:rPr>
        <w:t>Advances of Litigation Costs.</w:t>
      </w:r>
    </w:p>
    <w:p>
      <w:pPr>
        <w:spacing w:after="0" w:line="239" w:lineRule="exact"/>
        <w:rPr>
          <w:sz w:val="20"/>
          <w:szCs w:val="20"/>
          <w:color w:val="auto"/>
        </w:rPr>
      </w:pPr>
    </w:p>
    <w:p>
      <w:pPr>
        <w:ind w:right="40" w:firstLine="1297"/>
        <w:spacing w:after="0" w:line="287" w:lineRule="auto"/>
        <w:rPr>
          <w:sz w:val="20"/>
          <w:szCs w:val="20"/>
          <w:color w:val="auto"/>
        </w:rPr>
      </w:pPr>
      <w:r>
        <w:rPr>
          <w:rFonts w:ascii="Arial" w:cs="Arial" w:eastAsia="Arial" w:hAnsi="Arial"/>
          <w:sz w:val="19"/>
          <w:szCs w:val="19"/>
          <w:color w:val="auto"/>
        </w:rPr>
        <w:t>At the request of the Indemnified Person, Litigation Costs incurred by the Indemnified Person in any Proceeding shall be paid by the Company in advance of the final disposition of such Proceeding to the fullest extent permitted by Pennsylvania law with the undertaking of the Indemnified Person, which undertaking is hereby given, to repay the amount if it is ultimately determined that he is not entitled to be indemnified by the Company as authorized by Pennsylvania law.</w:t>
      </w:r>
    </w:p>
    <w:p>
      <w:pPr>
        <w:spacing w:after="0" w:line="164" w:lineRule="exact"/>
        <w:rPr>
          <w:sz w:val="20"/>
          <w:szCs w:val="20"/>
          <w:color w:val="auto"/>
        </w:rPr>
      </w:pPr>
    </w:p>
    <w:p>
      <w:pPr>
        <w:ind w:left="1960" w:right="300" w:hanging="1296"/>
        <w:spacing w:after="0" w:line="256" w:lineRule="auto"/>
        <w:tabs>
          <w:tab w:leader="none" w:pos="1940" w:val="left"/>
        </w:tabs>
        <w:rPr>
          <w:sz w:val="20"/>
          <w:szCs w:val="20"/>
          <w:color w:val="auto"/>
        </w:rPr>
      </w:pPr>
      <w:r>
        <w:rPr>
          <w:rFonts w:ascii="Arial" w:cs="Arial" w:eastAsia="Arial" w:hAnsi="Arial"/>
          <w:sz w:val="22"/>
          <w:szCs w:val="22"/>
          <w:b w:val="1"/>
          <w:bCs w:val="1"/>
          <w:color w:val="auto"/>
        </w:rPr>
        <w:t>Section 2.6.</w:t>
        <w:tab/>
        <w:t>Determination of Right to Indemnification or Advancing of Expenses Upon Application; Procedure Upon Application.</w:t>
      </w:r>
    </w:p>
    <w:p>
      <w:pPr>
        <w:spacing w:after="0" w:line="196" w:lineRule="exact"/>
        <w:rPr>
          <w:sz w:val="20"/>
          <w:szCs w:val="20"/>
          <w:color w:val="auto"/>
        </w:rPr>
      </w:pPr>
    </w:p>
    <w:p>
      <w:pPr>
        <w:ind w:right="220" w:firstLine="1305"/>
        <w:spacing w:after="0" w:line="238" w:lineRule="auto"/>
        <w:tabs>
          <w:tab w:leader="none" w:pos="1969" w:val="left"/>
        </w:tabs>
        <w:numPr>
          <w:ilvl w:val="0"/>
          <w:numId w:val="29"/>
        </w:numPr>
        <w:rPr>
          <w:rFonts w:ascii="Arial" w:cs="Arial" w:eastAsia="Arial" w:hAnsi="Arial"/>
          <w:sz w:val="22"/>
          <w:szCs w:val="22"/>
          <w:color w:val="auto"/>
        </w:rPr>
      </w:pPr>
      <w:r>
        <w:rPr>
          <w:rFonts w:ascii="Arial" w:cs="Arial" w:eastAsia="Arial" w:hAnsi="Arial"/>
          <w:sz w:val="22"/>
          <w:szCs w:val="22"/>
          <w:color w:val="auto"/>
        </w:rPr>
        <w:t>Indemnification under Sections 2.1 and 2.2 shall be made promptly, and in any event within 90 days of the Indemnified Person’s written request therefore, unless a determination is made reasonably and within such 90-day period by the Company, in the manner provided in Section 2.6(b), that the Indemnified Person is not entitled to indemnification under Pennsylvania law.</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1305"/>
        <w:spacing w:after="0" w:line="297" w:lineRule="auto"/>
        <w:tabs>
          <w:tab w:leader="none" w:pos="1981"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determination to be made by the Company under Section 2.6(a) shall be based on the facts known at the time and shall be made (i) by the Board of Directors by a majority vote of a quorum consisting of directors who were not parties to the Proceeding (“disinterested directors”); (ii) if such a quorum is not obtainable, by independent legal counsel in a written opinion;</w:t>
      </w:r>
    </w:p>
    <w:p>
      <w:pPr>
        <w:sectPr>
          <w:pgSz w:w="11900" w:h="16931" w:orient="portrait"/>
          <w:cols w:equalWidth="0" w:num="1">
            <w:col w:w="11400"/>
          </w:cols>
          <w:pgMar w:left="240" w:top="111" w:right="259" w:bottom="0" w:gutter="0" w:footer="0" w:header="0"/>
        </w:sectPr>
      </w:pPr>
    </w:p>
    <w:bookmarkStart w:id="45" w:name="page46"/>
    <w:bookmarkEnd w:id="45"/>
    <w:p>
      <w:pPr>
        <w:ind w:right="380"/>
        <w:spacing w:after="0" w:line="251" w:lineRule="auto"/>
        <w:rPr>
          <w:sz w:val="20"/>
          <w:szCs w:val="20"/>
          <w:color w:val="auto"/>
        </w:rPr>
      </w:pPr>
      <w:r>
        <w:rPr>
          <w:rFonts w:ascii="Arial" w:cs="Arial" w:eastAsia="Arial" w:hAnsi="Arial"/>
          <w:sz w:val="22"/>
          <w:szCs w:val="22"/>
          <w:color w:val="auto"/>
        </w:rPr>
        <w:t>or (iii) if such a quorum is obtainable and a majority vote of a quorum of disinterested directors so directs, by independent legal counsel in a written opinion; or (iv) by the shareholders of the Company.</w:t>
      </w:r>
    </w:p>
    <w:p>
      <w:pPr>
        <w:spacing w:after="0" w:line="201" w:lineRule="exact"/>
        <w:rPr>
          <w:sz w:val="20"/>
          <w:szCs w:val="20"/>
          <w:color w:val="auto"/>
        </w:rPr>
      </w:pPr>
    </w:p>
    <w:p>
      <w:pPr>
        <w:ind w:right="180" w:firstLine="1305"/>
        <w:spacing w:after="0"/>
        <w:tabs>
          <w:tab w:leader="none" w:pos="1969"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right to indemnification hereunder shall be enforceable by the Indemnified Person in any court of competent jurisdiction if the Indemnified Person’s claim therefore is denied, in whole or in part, in the manner provided herein, or if no disposition of such claim is made within the aforesaid 90-day period.</w:t>
      </w:r>
    </w:p>
    <w:p>
      <w:pPr>
        <w:spacing w:after="0" w:line="213" w:lineRule="exact"/>
        <w:rPr>
          <w:rFonts w:ascii="Arial" w:cs="Arial" w:eastAsia="Arial" w:hAnsi="Arial"/>
          <w:sz w:val="22"/>
          <w:szCs w:val="22"/>
          <w:color w:val="auto"/>
        </w:rPr>
      </w:pPr>
    </w:p>
    <w:p>
      <w:pPr>
        <w:ind w:right="60" w:firstLine="1305"/>
        <w:spacing w:after="0" w:line="274" w:lineRule="auto"/>
        <w:tabs>
          <w:tab w:leader="none" w:pos="1981" w:val="left"/>
        </w:tabs>
        <w:numPr>
          <w:ilvl w:val="1"/>
          <w:numId w:val="31"/>
        </w:numPr>
        <w:rPr>
          <w:rFonts w:ascii="Arial" w:cs="Arial" w:eastAsia="Arial" w:hAnsi="Arial"/>
          <w:sz w:val="19"/>
          <w:szCs w:val="19"/>
          <w:color w:val="auto"/>
        </w:rPr>
      </w:pPr>
      <w:r>
        <w:rPr>
          <w:rFonts w:ascii="Arial" w:cs="Arial" w:eastAsia="Arial" w:hAnsi="Arial"/>
          <w:sz w:val="19"/>
          <w:szCs w:val="19"/>
          <w:color w:val="auto"/>
        </w:rPr>
        <w:t>It shall be a defense to an action under Section 2.6(c) that the Indemnified Person has not met the standards of conduct under Pennsylvania law which make it permissible hereunder for the Company to indemnify the Indemnified Person for the amount claimed, but the burden of proving such defense shall be on the Company. Neither the failure of the Company (including the Board, independent legal counsel, or its shareholders, as the case may be) to have made a determination prior to the commencement of such action that indemnification of the Indemnified Person is proper in the circumstances because the Indemnified Person has met the applicable standards of conduct under Pennsylvania law, nor an actual determination by the Company (including the Board, independent legal counsel, or its shareholders, as the case may be) that the Indemnified Person had not met such applicable standards of conduct, shall be a defense to the Indemnified Person’s action or create a presumption that the Indemnified Person had not met the applicable standards of conduct.</w:t>
      </w:r>
    </w:p>
    <w:p>
      <w:pPr>
        <w:spacing w:after="0" w:line="185" w:lineRule="exact"/>
        <w:rPr>
          <w:rFonts w:ascii="Arial" w:cs="Arial" w:eastAsia="Arial" w:hAnsi="Arial"/>
          <w:sz w:val="19"/>
          <w:szCs w:val="19"/>
          <w:color w:val="auto"/>
        </w:rPr>
      </w:pPr>
    </w:p>
    <w:p>
      <w:pPr>
        <w:ind w:right="140" w:firstLine="1305"/>
        <w:spacing w:after="0" w:line="251" w:lineRule="auto"/>
        <w:tabs>
          <w:tab w:leader="none" w:pos="1969"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Indemnified Person’s Litigation Costs incurred in connection with successfully establishing his right to indemnification or advances, in whole or in part, shall also be indemnified by the Company.</w:t>
      </w:r>
    </w:p>
    <w:p>
      <w:pPr>
        <w:spacing w:after="0" w:line="200" w:lineRule="exact"/>
        <w:rPr>
          <w:rFonts w:ascii="Arial" w:cs="Arial" w:eastAsia="Arial" w:hAnsi="Arial"/>
          <w:sz w:val="22"/>
          <w:szCs w:val="22"/>
          <w:color w:val="auto"/>
        </w:rPr>
      </w:pPr>
    </w:p>
    <w:p>
      <w:pPr>
        <w:ind w:right="20" w:firstLine="1305"/>
        <w:spacing w:after="0" w:line="268" w:lineRule="auto"/>
        <w:tabs>
          <w:tab w:leader="none" w:pos="1999" w:val="left"/>
        </w:tabs>
        <w:numPr>
          <w:ilvl w:val="1"/>
          <w:numId w:val="31"/>
        </w:numPr>
        <w:rPr>
          <w:rFonts w:ascii="Arial" w:cs="Arial" w:eastAsia="Arial" w:hAnsi="Arial"/>
          <w:sz w:val="19"/>
          <w:szCs w:val="19"/>
          <w:color w:val="auto"/>
        </w:rPr>
      </w:pPr>
      <w:r>
        <w:rPr>
          <w:rFonts w:ascii="Arial" w:cs="Arial" w:eastAsia="Arial" w:hAnsi="Arial"/>
          <w:sz w:val="19"/>
          <w:szCs w:val="19"/>
          <w:color w:val="auto"/>
        </w:rPr>
        <w:t>With respect to any Proceeding (other than a Derivative Proceeding) for which indemnification is requested, the Company will be entitled to participate therein at its own expense and, except as otherwise provided below, the Company may assume the defense thereof, with counsel satisfactory to the Indemnified Person. After notice from the Company to the Indemnified Person of its election to assume the defense of a Proceeding, the Company will not be liable to the Indemnified Person under this Agreement for any Litigation Costs subsequently incurred by the Indemnified Person in connection with the defense thereof, other than as provided below. The Company shall not settle any Proceeding in any manner which would impose any penalty or limitation on the Indemnified Person without his written consent. The Indemnified Person shall have the right to employ counsel in any Proceeding but the fees and expenses of such counsel incurred after notice from the Company of its assumption of the defense of the Proceeding shall be at the expense of the Indemnified Person, unless (i) the employment of counsel by the Indemnified Person has been authorized by the Company; (ii) the Indemnified Person shall have reasonably concluded that there may be a conflict of interest between the Company and the Indemnified Person in the conduct of the defense of a Proceeding; or</w:t>
      </w:r>
    </w:p>
    <w:p>
      <w:pPr>
        <w:spacing w:after="0" w:line="8" w:lineRule="exact"/>
        <w:rPr>
          <w:rFonts w:ascii="Arial" w:cs="Arial" w:eastAsia="Arial" w:hAnsi="Arial"/>
          <w:sz w:val="19"/>
          <w:szCs w:val="19"/>
          <w:color w:val="auto"/>
        </w:rPr>
      </w:pPr>
    </w:p>
    <w:p>
      <w:pPr>
        <w:ind w:left="380" w:hanging="372"/>
        <w:spacing w:after="0"/>
        <w:tabs>
          <w:tab w:leader="none" w:pos="3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Company shall not in fact have employed counsel to assume the defense of a</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9"/>
          <w:szCs w:val="19"/>
          <w:color w:val="auto"/>
        </w:rPr>
        <w:t>Proceeding, in each of which cases the fees and expenses of the Indemnified Person’s counsel shall be advanced by the Company.</w:t>
      </w:r>
    </w:p>
    <w:p>
      <w:pPr>
        <w:spacing w:after="0" w:line="26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2.7.</w:t>
      </w:r>
      <w:r>
        <w:rPr>
          <w:sz w:val="20"/>
          <w:szCs w:val="20"/>
          <w:color w:val="auto"/>
        </w:rPr>
        <w:tab/>
      </w:r>
      <w:r>
        <w:rPr>
          <w:rFonts w:ascii="Arial" w:cs="Arial" w:eastAsia="Arial" w:hAnsi="Arial"/>
          <w:sz w:val="18"/>
          <w:szCs w:val="18"/>
          <w:b w:val="1"/>
          <w:bCs w:val="1"/>
          <w:color w:val="auto"/>
        </w:rPr>
        <w:t>Exclusions.</w:t>
      </w:r>
    </w:p>
    <w:p>
      <w:pPr>
        <w:spacing w:after="0" w:line="239" w:lineRule="exact"/>
        <w:rPr>
          <w:sz w:val="20"/>
          <w:szCs w:val="20"/>
          <w:color w:val="auto"/>
        </w:rPr>
      </w:pPr>
    </w:p>
    <w:p>
      <w:pPr>
        <w:ind w:firstLine="1305"/>
        <w:spacing w:after="0" w:line="275" w:lineRule="auto"/>
        <w:tabs>
          <w:tab w:leader="none" w:pos="1969"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Company shall not be liable to make any payment hereunder (whether in the nature of indemnification or contribution) to the extent payment is actually made to the Indemnified Person under a valid, enforceable and collectible insurance policy (the “Insurance Policy”). If the Indemnified Person is required to pay any amount that the Company is obligated to pay hereunder except for the exclusion in this subsection, before payment is reasonably expected to be made under the Insurance Policy, the Company shall promptly advance the amount the Indemnified Person is required to pay for which the Company is liable hereunder. Any advance by the Company shall be made with the undertaking of the Indemnified Person, which hereby is given, that the Indemnified Person shall immediately pay over to the Company, from the funds the Indemnified Person later receives under the Insurance Policy, an amount equal to the amount which the Company advanced pursuant to this subsection.</w:t>
      </w:r>
    </w:p>
    <w:p>
      <w:pPr>
        <w:spacing w:after="0" w:line="185" w:lineRule="exact"/>
        <w:rPr>
          <w:rFonts w:ascii="Arial" w:cs="Arial" w:eastAsia="Arial" w:hAnsi="Arial"/>
          <w:sz w:val="19"/>
          <w:szCs w:val="19"/>
          <w:color w:val="auto"/>
        </w:rPr>
      </w:pPr>
    </w:p>
    <w:p>
      <w:pPr>
        <w:ind w:right="140" w:firstLine="1305"/>
        <w:spacing w:after="0" w:line="275" w:lineRule="auto"/>
        <w:tabs>
          <w:tab w:leader="none" w:pos="1981"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Company shall not be liable hereunder for amounts paid in settlement of a Proceeding effected without its written consent, which consent may not be unreasonably withheld. Without intending to limit the circumstances in which it would be unreasonable for the Company to withhold its consent to a settlement, the parties agree that it would be unreasonable for the Company to withhold its consent (i) to a settlement in an amount that did not exceed, in the judgment of the Board, the estimated amount of Litigation Costs of the Indemnified Person to litigate the Proceeding to conclusion or (ii) with respect to a Proceeding other than a Derivative Proceeding, to any settlement proposed by the Indemnified Person unless a determination is made reasonably and within 90 days of being proposed by the Company, in the manner provided in Section 2.6(b), that the Indemnified Person is not entitled to indemnification under Pennsylvania law.</w:t>
      </w:r>
    </w:p>
    <w:p>
      <w:pPr>
        <w:spacing w:after="0" w:line="185" w:lineRule="exact"/>
        <w:rPr>
          <w:rFonts w:ascii="Arial" w:cs="Arial" w:eastAsia="Arial" w:hAnsi="Arial"/>
          <w:sz w:val="19"/>
          <w:szCs w:val="19"/>
          <w:color w:val="auto"/>
        </w:rPr>
      </w:pPr>
    </w:p>
    <w:p>
      <w:pPr>
        <w:ind w:right="240" w:firstLine="1305"/>
        <w:spacing w:after="0" w:line="251" w:lineRule="auto"/>
        <w:tabs>
          <w:tab w:leader="none" w:pos="1969"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Company shall not be liable hereunder for any Fine imposed by law which the Company is prohibited by applicable law from paying as indemnity or otherwise.</w:t>
      </w:r>
    </w:p>
    <w:p>
      <w:pPr>
        <w:spacing w:after="0" w:line="200" w:lineRule="exact"/>
        <w:rPr>
          <w:rFonts w:ascii="Arial" w:cs="Arial" w:eastAsia="Arial" w:hAnsi="Arial"/>
          <w:sz w:val="22"/>
          <w:szCs w:val="22"/>
          <w:color w:val="auto"/>
        </w:rPr>
      </w:pPr>
    </w:p>
    <w:p>
      <w:pPr>
        <w:ind w:right="280" w:firstLine="1305"/>
        <w:spacing w:after="0"/>
        <w:tabs>
          <w:tab w:leader="none" w:pos="1981" w:val="left"/>
        </w:tabs>
        <w:numPr>
          <w:ilvl w:val="0"/>
          <w:numId w:val="33"/>
        </w:numPr>
        <w:rPr>
          <w:rFonts w:ascii="Arial" w:cs="Arial" w:eastAsia="Arial" w:hAnsi="Arial"/>
          <w:sz w:val="22"/>
          <w:szCs w:val="22"/>
          <w:color w:val="auto"/>
        </w:rPr>
      </w:pPr>
      <w:r>
        <w:rPr>
          <w:rFonts w:ascii="Arial" w:cs="Arial" w:eastAsia="Arial" w:hAnsi="Arial"/>
          <w:sz w:val="22"/>
          <w:szCs w:val="22"/>
          <w:color w:val="auto"/>
        </w:rPr>
        <w:t>Indemnification pursuant to this Agreement shall not be made by the Company in any case where the Indemnified Person’s act or failure to act giving rise to the claim for indemnification is determined by a court to have constituted willful misconduct or recklessness.</w:t>
      </w:r>
    </w:p>
    <w:p>
      <w:pPr>
        <w:spacing w:after="0" w:line="20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2.8.</w:t>
      </w:r>
      <w:r>
        <w:rPr>
          <w:sz w:val="20"/>
          <w:szCs w:val="20"/>
          <w:color w:val="auto"/>
        </w:rPr>
        <w:tab/>
      </w:r>
      <w:r>
        <w:rPr>
          <w:rFonts w:ascii="Arial" w:cs="Arial" w:eastAsia="Arial" w:hAnsi="Arial"/>
          <w:sz w:val="19"/>
          <w:szCs w:val="19"/>
          <w:b w:val="1"/>
          <w:bCs w:val="1"/>
          <w:color w:val="auto"/>
        </w:rPr>
        <w:t>Contribution.</w:t>
      </w:r>
    </w:p>
    <w:p>
      <w:pPr>
        <w:sectPr>
          <w:pgSz w:w="11900" w:h="16838" w:orient="portrait"/>
          <w:cols w:equalWidth="0" w:num="1">
            <w:col w:w="11420"/>
          </w:cols>
          <w:pgMar w:left="240" w:top="118" w:right="239" w:bottom="0" w:gutter="0" w:footer="0" w:header="0"/>
        </w:sectPr>
      </w:pPr>
    </w:p>
    <w:bookmarkStart w:id="46" w:name="page47"/>
    <w:bookmarkEnd w:id="46"/>
    <w:p>
      <w:pPr>
        <w:ind w:right="60" w:firstLine="1297"/>
        <w:spacing w:after="0" w:line="279" w:lineRule="auto"/>
        <w:rPr>
          <w:sz w:val="20"/>
          <w:szCs w:val="20"/>
          <w:color w:val="auto"/>
        </w:rPr>
      </w:pPr>
      <w:r>
        <w:rPr>
          <w:rFonts w:ascii="Arial" w:cs="Arial" w:eastAsia="Arial" w:hAnsi="Arial"/>
          <w:sz w:val="19"/>
          <w:szCs w:val="19"/>
          <w:color w:val="auto"/>
        </w:rPr>
        <w:t>In order to provide for just and equitable contribution in circumstances in which the indemnification provided for herein is held by a court of competent jurisdiction to be unavailable to the Indemnified Person in whole or part, the parties agree that, in such event, the Company shall contribute to the payment of the Indemnified Person’s Losses in an amount that is just and equitable in the circumstances, taking into account, among other things, contributions by other directors and officers of the Company pursuant to indemnification agreements to which they are parties with the Company or otherwise. The Company and the Indemnified Person agree that, in the absence of personal enrichment of the Indemnified Person, or acts of intentional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40"/>
        <w:spacing w:after="0" w:line="270" w:lineRule="auto"/>
        <w:rPr>
          <w:sz w:val="20"/>
          <w:szCs w:val="20"/>
          <w:color w:val="auto"/>
        </w:rPr>
      </w:pPr>
      <w:r>
        <w:rPr>
          <w:rFonts w:ascii="Arial" w:cs="Arial" w:eastAsia="Arial" w:hAnsi="Arial"/>
          <w:sz w:val="19"/>
          <w:szCs w:val="19"/>
          <w:color w:val="auto"/>
        </w:rPr>
        <w:t>fraud or dishonesty or criminal conduct on the part of the Indemnified Person, it would not be just and equitable for the Indemnified Person to contribute to the payment of Losses arising out of a Proceeding (including a Derivative Proceeding) in an amount greater than: (i) in a case where the Indemnified Person is a director of the Company or any of its subsidiaries but not an officer of either, the amount of all annual Board and committee retainers and meeting fees paid to the Indemnified Person for serving as a director during the 12 months preceding the commencement of such Proceeding; or (ii) in a case where the Indemnified Person is a director of the Company or any of its subsidiaries and is an officer of either, the amount set forth in clause</w:t>
      </w:r>
    </w:p>
    <w:p>
      <w:pPr>
        <w:spacing w:after="0" w:line="2" w:lineRule="exact"/>
        <w:rPr>
          <w:sz w:val="20"/>
          <w:szCs w:val="20"/>
          <w:color w:val="auto"/>
        </w:rPr>
      </w:pPr>
    </w:p>
    <w:p>
      <w:pPr>
        <w:ind w:right="100" w:firstLine="8"/>
        <w:spacing w:after="0" w:line="277" w:lineRule="auto"/>
        <w:tabs>
          <w:tab w:leader="none" w:pos="258" w:val="left"/>
        </w:tabs>
        <w:numPr>
          <w:ilvl w:val="0"/>
          <w:numId w:val="34"/>
        </w:numPr>
        <w:rPr>
          <w:rFonts w:ascii="Arial" w:cs="Arial" w:eastAsia="Arial" w:hAnsi="Arial"/>
          <w:sz w:val="19"/>
          <w:szCs w:val="19"/>
          <w:color w:val="auto"/>
        </w:rPr>
      </w:pPr>
      <w:r>
        <w:rPr>
          <w:rFonts w:ascii="Arial" w:cs="Arial" w:eastAsia="Arial" w:hAnsi="Arial"/>
          <w:sz w:val="19"/>
          <w:szCs w:val="19"/>
          <w:color w:val="auto"/>
        </w:rPr>
        <w:t>plus 5% of the annual base salary paid to the Indemnified Person for serving as such officer(s) during the 12 months preceding the commencement of such Proceeding; or (iii) in a case where the Indemnified Person is only an officer of the Company or any of its subsidiaries, 5% of the annual base salary paid to the Indemnified Person for serving as such officer(s) during the 12 months preceding the commencement of such Proceeding. The Company shall contribute to the payment of Losses covered hereby to the extent not payable by the Indemnified Person pursuant to the contribution provisions set forth in the preceding sentence.</w:t>
      </w:r>
    </w:p>
    <w:p>
      <w:pPr>
        <w:spacing w:after="0" w:line="17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2.9.</w:t>
      </w:r>
      <w:r>
        <w:rPr>
          <w:sz w:val="20"/>
          <w:szCs w:val="20"/>
          <w:color w:val="auto"/>
        </w:rPr>
        <w:tab/>
      </w:r>
      <w:r>
        <w:rPr>
          <w:rFonts w:ascii="Arial" w:cs="Arial" w:eastAsia="Arial" w:hAnsi="Arial"/>
          <w:sz w:val="19"/>
          <w:szCs w:val="19"/>
          <w:b w:val="1"/>
          <w:bCs w:val="1"/>
          <w:color w:val="auto"/>
        </w:rPr>
        <w:t>Notice to the Company; Cooperation.</w:t>
      </w:r>
    </w:p>
    <w:p>
      <w:pPr>
        <w:spacing w:after="0" w:line="239" w:lineRule="exact"/>
        <w:rPr>
          <w:sz w:val="20"/>
          <w:szCs w:val="20"/>
          <w:color w:val="auto"/>
        </w:rPr>
      </w:pPr>
    </w:p>
    <w:p>
      <w:pPr>
        <w:ind w:right="300" w:firstLine="1305"/>
        <w:spacing w:after="0" w:line="251" w:lineRule="auto"/>
        <w:tabs>
          <w:tab w:leader="none" w:pos="1969"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Indemnified Person shall give the Company notice, as soon as practicable, of any claim made against the Indemnified Person for which indemnification will be or could be sought hereunder.</w:t>
      </w:r>
    </w:p>
    <w:p>
      <w:pPr>
        <w:spacing w:after="0" w:line="200" w:lineRule="exact"/>
        <w:rPr>
          <w:rFonts w:ascii="Arial" w:cs="Arial" w:eastAsia="Arial" w:hAnsi="Arial"/>
          <w:sz w:val="22"/>
          <w:szCs w:val="22"/>
          <w:color w:val="auto"/>
        </w:rPr>
      </w:pPr>
    </w:p>
    <w:p>
      <w:pPr>
        <w:ind w:right="460" w:firstLine="1305"/>
        <w:spacing w:after="0" w:line="251" w:lineRule="auto"/>
        <w:tabs>
          <w:tab w:leader="none" w:pos="1981"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Indemnified Person shall give the Company such cooperation and information as it may reasonably require in connection with any claim by the Indemnified Person hereunder.</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2.10.  Other Rights and Remedies.</w:t>
      </w:r>
    </w:p>
    <w:p>
      <w:pPr>
        <w:spacing w:after="0" w:line="239" w:lineRule="exact"/>
        <w:rPr>
          <w:sz w:val="20"/>
          <w:szCs w:val="20"/>
          <w:color w:val="auto"/>
        </w:rPr>
      </w:pPr>
    </w:p>
    <w:p>
      <w:pPr>
        <w:ind w:firstLine="1297"/>
        <w:spacing w:after="0" w:line="236" w:lineRule="auto"/>
        <w:rPr>
          <w:sz w:val="20"/>
          <w:szCs w:val="20"/>
          <w:color w:val="auto"/>
        </w:rPr>
      </w:pPr>
      <w:r>
        <w:rPr>
          <w:rFonts w:ascii="Arial" w:cs="Arial" w:eastAsia="Arial" w:hAnsi="Arial"/>
          <w:sz w:val="22"/>
          <w:szCs w:val="22"/>
          <w:color w:val="auto"/>
        </w:rPr>
        <w:t>The rights provided hereby shall not be deemed exclusive of any other right to which the Indemnified Person may be entitled under any statute, applicable charter or bylaw provision, agreement, vote of shareholders or of disinterested directors or otherwise, both as to action in the Indemnified Person’s official capacity and as to action in another capacity while holding such office, and shall continue after the Indemnified Person ceases to serve the Company in the position identified in the Introduction hereof.</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2.11.  Serving at the Company’s Request.</w:t>
      </w:r>
    </w:p>
    <w:p>
      <w:pPr>
        <w:spacing w:after="0" w:line="239" w:lineRule="exact"/>
        <w:rPr>
          <w:sz w:val="20"/>
          <w:szCs w:val="20"/>
          <w:color w:val="auto"/>
        </w:rPr>
      </w:pPr>
    </w:p>
    <w:p>
      <w:pPr>
        <w:ind w:right="140" w:firstLine="1297"/>
        <w:spacing w:after="0" w:line="251" w:lineRule="auto"/>
        <w:rPr>
          <w:sz w:val="20"/>
          <w:szCs w:val="20"/>
          <w:color w:val="auto"/>
        </w:rPr>
      </w:pPr>
      <w:r>
        <w:rPr>
          <w:rFonts w:ascii="Arial" w:cs="Arial" w:eastAsia="Arial" w:hAnsi="Arial"/>
          <w:sz w:val="22"/>
          <w:szCs w:val="22"/>
          <w:color w:val="auto"/>
        </w:rPr>
        <w:t>References in Article Two to “serving at the request of the Company” include service with respect to any employee benefit plan or trust, its participants or beneficiaries.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2.12.  Proceedings Initiated by the Indemnified Person.</w:t>
      </w:r>
    </w:p>
    <w:p>
      <w:pPr>
        <w:spacing w:after="0" w:line="239" w:lineRule="exact"/>
        <w:rPr>
          <w:sz w:val="20"/>
          <w:szCs w:val="20"/>
          <w:color w:val="auto"/>
        </w:rPr>
      </w:pPr>
    </w:p>
    <w:p>
      <w:pPr>
        <w:ind w:right="20" w:firstLine="1297"/>
        <w:spacing w:after="0" w:line="236" w:lineRule="auto"/>
        <w:rPr>
          <w:sz w:val="20"/>
          <w:szCs w:val="20"/>
          <w:color w:val="auto"/>
        </w:rPr>
      </w:pPr>
      <w:r>
        <w:rPr>
          <w:rFonts w:ascii="Arial" w:cs="Arial" w:eastAsia="Arial" w:hAnsi="Arial"/>
          <w:sz w:val="22"/>
          <w:szCs w:val="22"/>
          <w:color w:val="auto"/>
        </w:rPr>
        <w:t>No payment pursuant to this Agreement shall be made by the Company to indemnify or advance funds to the Indemnified Person for Litigation Costs with respect to Proceedings initiated, brought, participated in or joined in voluntarily by the Indemnified Person and not by way of affirmative defense or counterclaim, except with respect to Proceedings brought to establish or enforce a right to indemnification or advancement of Litigation Costs under this Agreement or as otherwise required by Pennsylvania law, but such indemnification or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380"/>
        <w:spacing w:after="0" w:line="251" w:lineRule="auto"/>
        <w:rPr>
          <w:sz w:val="20"/>
          <w:szCs w:val="20"/>
          <w:color w:val="auto"/>
        </w:rPr>
      </w:pPr>
      <w:r>
        <w:rPr>
          <w:rFonts w:ascii="Arial" w:cs="Arial" w:eastAsia="Arial" w:hAnsi="Arial"/>
          <w:sz w:val="22"/>
          <w:szCs w:val="22"/>
          <w:color w:val="auto"/>
        </w:rPr>
        <w:t>advancement of Litigation Costs may be provided by the Company in specific cases if, by majority vote, the Board of Directors finds it to be appropriate.</w:t>
      </w:r>
    </w:p>
    <w:p>
      <w:pPr>
        <w:spacing w:after="0" w:line="194"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ARTICLE THREE</w:t>
      </w:r>
    </w:p>
    <w:p>
      <w:pPr>
        <w:spacing w:after="0" w:line="14"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MISCELLANEOUS</w:t>
      </w:r>
    </w:p>
    <w:p>
      <w:pPr>
        <w:spacing w:after="0" w:line="20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3.1.</w:t>
      </w:r>
      <w:r>
        <w:rPr>
          <w:sz w:val="20"/>
          <w:szCs w:val="20"/>
          <w:color w:val="auto"/>
        </w:rPr>
        <w:tab/>
      </w:r>
      <w:r>
        <w:rPr>
          <w:rFonts w:ascii="Arial" w:cs="Arial" w:eastAsia="Arial" w:hAnsi="Arial"/>
          <w:sz w:val="19"/>
          <w:szCs w:val="19"/>
          <w:b w:val="1"/>
          <w:bCs w:val="1"/>
          <w:color w:val="auto"/>
        </w:rPr>
        <w:t>Binding Effect.</w:t>
      </w:r>
    </w:p>
    <w:p>
      <w:pPr>
        <w:spacing w:after="0" w:line="239" w:lineRule="exact"/>
        <w:rPr>
          <w:sz w:val="20"/>
          <w:szCs w:val="20"/>
          <w:color w:val="auto"/>
        </w:rPr>
      </w:pPr>
    </w:p>
    <w:p>
      <w:pPr>
        <w:ind w:right="120" w:firstLine="1297"/>
        <w:spacing w:after="0"/>
        <w:rPr>
          <w:sz w:val="20"/>
          <w:szCs w:val="20"/>
          <w:color w:val="auto"/>
        </w:rPr>
      </w:pPr>
      <w:r>
        <w:rPr>
          <w:rFonts w:ascii="Arial" w:cs="Arial" w:eastAsia="Arial" w:hAnsi="Arial"/>
          <w:sz w:val="22"/>
          <w:szCs w:val="22"/>
          <w:color w:val="auto"/>
        </w:rPr>
        <w:t>This Agreement shall be binding upon all successors and assigns of the Company (including any transferee of all or substantially all of its assets and any successor by merger or operation of law) and shall inure to the benefit of the heirs, personal representatives and estate of the Indemnified Person.</w:t>
      </w:r>
    </w:p>
    <w:p>
      <w:pPr>
        <w:sectPr>
          <w:pgSz w:w="11900" w:h="16838" w:orient="portrait"/>
          <w:cols w:equalWidth="0" w:num="1">
            <w:col w:w="11420"/>
          </w:cols>
          <w:pgMar w:left="240" w:top="118" w:right="239" w:bottom="0" w:gutter="0" w:footer="0" w:header="0"/>
        </w:sectPr>
      </w:pPr>
    </w:p>
    <w:bookmarkStart w:id="47" w:name="page48"/>
    <w:bookmarkEnd w:id="47"/>
    <w:p>
      <w:pPr>
        <w:spacing w:after="0" w:line="8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3.2.</w:t>
      </w:r>
      <w:r>
        <w:rPr>
          <w:sz w:val="20"/>
          <w:szCs w:val="20"/>
          <w:color w:val="auto"/>
        </w:rPr>
        <w:tab/>
      </w:r>
      <w:r>
        <w:rPr>
          <w:rFonts w:ascii="Arial" w:cs="Arial" w:eastAsia="Arial" w:hAnsi="Arial"/>
          <w:sz w:val="18"/>
          <w:szCs w:val="18"/>
          <w:b w:val="1"/>
          <w:bCs w:val="1"/>
          <w:color w:val="auto"/>
        </w:rPr>
        <w:t>Savings Clause.</w:t>
      </w:r>
    </w:p>
    <w:p>
      <w:pPr>
        <w:spacing w:after="0" w:line="240" w:lineRule="exact"/>
        <w:rPr>
          <w:sz w:val="20"/>
          <w:szCs w:val="20"/>
          <w:color w:val="auto"/>
        </w:rPr>
      </w:pPr>
    </w:p>
    <w:p>
      <w:pPr>
        <w:ind w:right="140" w:firstLine="1297"/>
        <w:spacing w:after="0" w:line="258" w:lineRule="auto"/>
        <w:rPr>
          <w:sz w:val="20"/>
          <w:szCs w:val="20"/>
          <w:color w:val="auto"/>
        </w:rPr>
      </w:pPr>
      <w:r>
        <w:rPr>
          <w:rFonts w:ascii="Arial" w:cs="Arial" w:eastAsia="Arial" w:hAnsi="Arial"/>
          <w:sz w:val="21"/>
          <w:szCs w:val="21"/>
          <w:color w:val="auto"/>
        </w:rPr>
        <w:t>If all or any portion of any section hereof is held invalid or unenforceable on any ground by any court of competent jurisdiction, the Company nevertheless shall indemnify the Indemnified Person for his Losses to the full extent permitted by any applicable portion hereof that has not been held invalid or unenforceable or by any other applicable law.</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3.3.</w:t>
      </w:r>
      <w:r>
        <w:rPr>
          <w:sz w:val="20"/>
          <w:szCs w:val="20"/>
          <w:color w:val="auto"/>
        </w:rPr>
        <w:tab/>
      </w:r>
      <w:r>
        <w:rPr>
          <w:rFonts w:ascii="Arial" w:cs="Arial" w:eastAsia="Arial" w:hAnsi="Arial"/>
          <w:sz w:val="19"/>
          <w:szCs w:val="19"/>
          <w:b w:val="1"/>
          <w:bCs w:val="1"/>
          <w:color w:val="auto"/>
        </w:rPr>
        <w:t>Governing Law.</w:t>
      </w:r>
    </w:p>
    <w:p>
      <w:pPr>
        <w:spacing w:after="0" w:line="239" w:lineRule="exact"/>
        <w:rPr>
          <w:sz w:val="20"/>
          <w:szCs w:val="20"/>
          <w:color w:val="auto"/>
        </w:rPr>
      </w:pPr>
    </w:p>
    <w:p>
      <w:pPr>
        <w:ind w:right="80" w:firstLine="1297"/>
        <w:spacing w:after="0" w:line="279" w:lineRule="auto"/>
        <w:rPr>
          <w:sz w:val="20"/>
          <w:szCs w:val="20"/>
          <w:color w:val="auto"/>
        </w:rPr>
      </w:pPr>
      <w:r>
        <w:rPr>
          <w:rFonts w:ascii="Arial" w:cs="Arial" w:eastAsia="Arial" w:hAnsi="Arial"/>
          <w:sz w:val="19"/>
          <w:szCs w:val="19"/>
          <w:color w:val="auto"/>
        </w:rPr>
        <w:t>The validity, construction, enforcement and interpretation of this Agreement shall be governed by the internal law (and not the law of conflicts) of Pennsylvania. This Agreement, in accordance with the Company’s bylaws, is intended to indemnify and advance Litigation Costs to an Indemnified Person to the fullest extent permitted by Pennsylvania law. As used herein, “to the fullest extent permitted by Pennsylvania law” means to the fullest extent permitted by Pennsylvania law as the same exists or hereafter may be amended, but in the case of any such amendment, only to the extent that such amendment permits the Company to provide broader indemnification rights than such law permitted the Company to provide prior to such amendment.</w:t>
      </w:r>
    </w:p>
    <w:p>
      <w:pPr>
        <w:spacing w:after="0" w:line="17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3.4.</w:t>
      </w:r>
      <w:r>
        <w:rPr>
          <w:sz w:val="20"/>
          <w:szCs w:val="20"/>
          <w:color w:val="auto"/>
        </w:rPr>
        <w:tab/>
      </w:r>
      <w:r>
        <w:rPr>
          <w:rFonts w:ascii="Arial" w:cs="Arial" w:eastAsia="Arial" w:hAnsi="Arial"/>
          <w:sz w:val="19"/>
          <w:szCs w:val="19"/>
          <w:b w:val="1"/>
          <w:bCs w:val="1"/>
          <w:color w:val="auto"/>
        </w:rPr>
        <w:t>Effect of Headings.</w:t>
      </w:r>
    </w:p>
    <w:p>
      <w:pPr>
        <w:spacing w:after="0" w:line="239" w:lineRule="exact"/>
        <w:rPr>
          <w:sz w:val="20"/>
          <w:szCs w:val="20"/>
          <w:color w:val="auto"/>
        </w:rPr>
      </w:pPr>
    </w:p>
    <w:p>
      <w:pPr>
        <w:ind w:right="940" w:firstLine="1297"/>
        <w:spacing w:after="0" w:line="251" w:lineRule="auto"/>
        <w:rPr>
          <w:sz w:val="20"/>
          <w:szCs w:val="20"/>
          <w:color w:val="auto"/>
        </w:rPr>
      </w:pPr>
      <w:r>
        <w:rPr>
          <w:rFonts w:ascii="Arial" w:cs="Arial" w:eastAsia="Arial" w:hAnsi="Arial"/>
          <w:sz w:val="22"/>
          <w:szCs w:val="22"/>
          <w:color w:val="auto"/>
        </w:rPr>
        <w:t>The Introduction and Article and Section headings herein are for convenience only and shall not affect the construction hereof.</w:t>
      </w:r>
    </w:p>
    <w:p>
      <w:pPr>
        <w:spacing w:after="0" w:line="19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3.5.</w:t>
      </w:r>
      <w:r>
        <w:rPr>
          <w:sz w:val="20"/>
          <w:szCs w:val="20"/>
          <w:color w:val="auto"/>
        </w:rPr>
        <w:tab/>
      </w:r>
      <w:r>
        <w:rPr>
          <w:rFonts w:ascii="Arial" w:cs="Arial" w:eastAsia="Arial" w:hAnsi="Arial"/>
          <w:sz w:val="18"/>
          <w:szCs w:val="18"/>
          <w:b w:val="1"/>
          <w:bCs w:val="1"/>
          <w:color w:val="auto"/>
        </w:rPr>
        <w:t>Notices.</w:t>
      </w:r>
    </w:p>
    <w:p>
      <w:pPr>
        <w:spacing w:after="0" w:line="239" w:lineRule="exact"/>
        <w:rPr>
          <w:sz w:val="20"/>
          <w:szCs w:val="20"/>
          <w:color w:val="auto"/>
        </w:rPr>
      </w:pPr>
    </w:p>
    <w:p>
      <w:pPr>
        <w:ind w:firstLine="1305"/>
        <w:spacing w:after="0" w:line="287" w:lineRule="auto"/>
        <w:tabs>
          <w:tab w:leader="none" w:pos="1969" w:val="left"/>
        </w:tabs>
        <w:numPr>
          <w:ilvl w:val="0"/>
          <w:numId w:val="36"/>
        </w:numPr>
        <w:rPr>
          <w:rFonts w:ascii="Arial" w:cs="Arial" w:eastAsia="Arial" w:hAnsi="Arial"/>
          <w:sz w:val="19"/>
          <w:szCs w:val="19"/>
          <w:color w:val="auto"/>
        </w:rPr>
      </w:pPr>
      <w:r>
        <w:rPr>
          <w:rFonts w:ascii="Arial" w:cs="Arial" w:eastAsia="Arial" w:hAnsi="Arial"/>
          <w:sz w:val="19"/>
          <w:szCs w:val="19"/>
          <w:color w:val="auto"/>
        </w:rPr>
        <w:t>Any notice, request or other communication hereunder to or on the Company or the Indemnified Person shall be in writing and delivered or sent by postage prepaid first-class mail, as follows: (i) if to the Company, addressed to Erie Indemnity Company, 100 Erie Insurance Place, Erie, Pennsylvania 16530, “Attention: Corporate Secretary;” and (ii) if to the Indemnified Person, addressed to the Indemnified Person at the address shown on the signature page hereof.</w:t>
      </w:r>
    </w:p>
    <w:p>
      <w:pPr>
        <w:spacing w:after="0" w:line="170" w:lineRule="exact"/>
        <w:rPr>
          <w:rFonts w:ascii="Arial" w:cs="Arial" w:eastAsia="Arial" w:hAnsi="Arial"/>
          <w:sz w:val="19"/>
          <w:szCs w:val="19"/>
          <w:color w:val="auto"/>
        </w:rPr>
      </w:pPr>
    </w:p>
    <w:p>
      <w:pPr>
        <w:ind w:right="400" w:firstLine="1305"/>
        <w:spacing w:after="0" w:line="251" w:lineRule="auto"/>
        <w:tabs>
          <w:tab w:leader="none" w:pos="1981" w:val="left"/>
        </w:tabs>
        <w:numPr>
          <w:ilvl w:val="0"/>
          <w:numId w:val="36"/>
        </w:numPr>
        <w:rPr>
          <w:rFonts w:ascii="Arial" w:cs="Arial" w:eastAsia="Arial" w:hAnsi="Arial"/>
          <w:sz w:val="22"/>
          <w:szCs w:val="22"/>
          <w:color w:val="auto"/>
        </w:rPr>
      </w:pPr>
      <w:r>
        <w:rPr>
          <w:rFonts w:ascii="Arial" w:cs="Arial" w:eastAsia="Arial" w:hAnsi="Arial"/>
          <w:sz w:val="22"/>
          <w:szCs w:val="22"/>
          <w:color w:val="auto"/>
        </w:rPr>
        <w:t>Either address referred to in the preceding subsection may be changed from time to time and shall be the most recent such address furnished in writing by the party</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auto"/>
        </w:rPr>
        <w:t>whose address has changed to the other party in the manner specified in the preceding subsection.</w:t>
      </w:r>
    </w:p>
    <w:p>
      <w:pPr>
        <w:spacing w:after="0" w:line="22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3.6.</w:t>
      </w:r>
      <w:r>
        <w:rPr>
          <w:sz w:val="20"/>
          <w:szCs w:val="20"/>
          <w:color w:val="auto"/>
        </w:rPr>
        <w:tab/>
      </w:r>
      <w:r>
        <w:rPr>
          <w:rFonts w:ascii="Arial" w:cs="Arial" w:eastAsia="Arial" w:hAnsi="Arial"/>
          <w:sz w:val="19"/>
          <w:szCs w:val="19"/>
          <w:b w:val="1"/>
          <w:bCs w:val="1"/>
          <w:color w:val="auto"/>
        </w:rPr>
        <w:t>Counterparts.</w:t>
      </w:r>
    </w:p>
    <w:p>
      <w:pPr>
        <w:spacing w:after="0" w:line="239" w:lineRule="exact"/>
        <w:rPr>
          <w:sz w:val="20"/>
          <w:szCs w:val="20"/>
          <w:color w:val="auto"/>
        </w:rPr>
      </w:pPr>
    </w:p>
    <w:p>
      <w:pPr>
        <w:ind w:right="40" w:firstLine="1297"/>
        <w:spacing w:after="0" w:line="258" w:lineRule="auto"/>
        <w:rPr>
          <w:sz w:val="20"/>
          <w:szCs w:val="20"/>
          <w:color w:val="auto"/>
        </w:rPr>
      </w:pPr>
      <w:r>
        <w:rPr>
          <w:rFonts w:ascii="Arial" w:cs="Arial" w:eastAsia="Arial" w:hAnsi="Arial"/>
          <w:sz w:val="21"/>
          <w:szCs w:val="21"/>
          <w:color w:val="auto"/>
        </w:rPr>
        <w:t>This Agreement may be executed in any number of counterparts. Each counterpart of an agreement so executed shall be deemed an original, but all such counterparts shall together constitute but one and the same instrument. In making proof of this Agreement, it shall not be necessary to produce or account for more than one counterpart.</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3.7.</w:t>
      </w:r>
      <w:r>
        <w:rPr>
          <w:sz w:val="20"/>
          <w:szCs w:val="20"/>
          <w:color w:val="auto"/>
        </w:rPr>
        <w:tab/>
      </w:r>
      <w:r>
        <w:rPr>
          <w:rFonts w:ascii="Arial" w:cs="Arial" w:eastAsia="Arial" w:hAnsi="Arial"/>
          <w:sz w:val="19"/>
          <w:szCs w:val="19"/>
          <w:b w:val="1"/>
          <w:bCs w:val="1"/>
          <w:color w:val="auto"/>
        </w:rPr>
        <w:t>Subrogation.</w:t>
      </w:r>
    </w:p>
    <w:p>
      <w:pPr>
        <w:spacing w:after="0" w:line="239" w:lineRule="exact"/>
        <w:rPr>
          <w:sz w:val="20"/>
          <w:szCs w:val="20"/>
          <w:color w:val="auto"/>
        </w:rPr>
      </w:pPr>
    </w:p>
    <w:p>
      <w:pPr>
        <w:ind w:right="60" w:firstLine="1297"/>
        <w:spacing w:after="0" w:line="238" w:lineRule="auto"/>
        <w:rPr>
          <w:sz w:val="20"/>
          <w:szCs w:val="20"/>
          <w:color w:val="auto"/>
        </w:rPr>
      </w:pPr>
      <w:r>
        <w:rPr>
          <w:rFonts w:ascii="Arial" w:cs="Arial" w:eastAsia="Arial" w:hAnsi="Arial"/>
          <w:sz w:val="22"/>
          <w:szCs w:val="22"/>
          <w:color w:val="auto"/>
        </w:rPr>
        <w:t>In the event of payment under this Agreement, the Company shall be subrogated to the extent of such payment to all of the rights of recovery of the Indemnified Person, who shall execute all papers required and shall do everything that may be necessary to secure such rights, including the execution of those documents necessary to enable the Company effectively to bring suit to enforce such rights.</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parties have caused this Agreement to be duly executed as of the date first written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200" w:lineRule="exact"/>
        <w:rPr>
          <w:sz w:val="20"/>
          <w:szCs w:val="20"/>
          <w:color w:val="auto"/>
        </w:rPr>
      </w:pPr>
    </w:p>
    <w:p>
      <w:pPr>
        <w:spacing w:after="0" w:line="252"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ERIE INDEMNITY COMPANY</w:t>
      </w:r>
    </w:p>
    <w:p>
      <w:pPr>
        <w:spacing w:after="0" w:line="200" w:lineRule="exact"/>
        <w:rPr>
          <w:sz w:val="20"/>
          <w:szCs w:val="20"/>
          <w:color w:val="auto"/>
        </w:rPr>
      </w:pPr>
    </w:p>
    <w:p>
      <w:pPr>
        <w:spacing w:after="0" w:line="272" w:lineRule="exact"/>
        <w:rPr>
          <w:sz w:val="20"/>
          <w:szCs w:val="20"/>
          <w:color w:val="auto"/>
        </w:rPr>
      </w:pPr>
    </w:p>
    <w:tbl>
      <w:tblPr>
        <w:tblLayout w:type="fixed"/>
        <w:tblInd w:w="5100" w:type="dxa"/>
        <w:tblCellMar>
          <w:top w:w="0" w:type="dxa"/>
          <w:left w:w="0" w:type="dxa"/>
          <w:bottom w:w="0" w:type="dxa"/>
          <w:right w:w="0" w:type="dxa"/>
        </w:tblCellMar>
      </w:tblPr>
      <w:tr>
        <w:trPr>
          <w:trHeight w:val="253"/>
        </w:trPr>
        <w:tc>
          <w:tcPr>
            <w:tcW w:w="820" w:type="dxa"/>
            <w:vAlign w:val="bottom"/>
            <w:gridSpan w:val="2"/>
          </w:tcPr>
          <w:p>
            <w:pPr>
              <w:spacing w:after="0"/>
              <w:rPr>
                <w:sz w:val="20"/>
                <w:szCs w:val="20"/>
                <w:color w:val="auto"/>
              </w:rPr>
            </w:pPr>
            <w:r>
              <w:rPr>
                <w:rFonts w:ascii="Arial" w:cs="Arial" w:eastAsia="Arial" w:hAnsi="Arial"/>
                <w:sz w:val="22"/>
                <w:szCs w:val="22"/>
                <w:color w:val="auto"/>
              </w:rPr>
              <w:t>By:</w:t>
            </w:r>
          </w:p>
        </w:tc>
        <w:tc>
          <w:tcPr>
            <w:tcW w:w="4640" w:type="dxa"/>
            <w:vAlign w:val="bottom"/>
          </w:tcPr>
          <w:p>
            <w:pPr>
              <w:ind w:left="240"/>
              <w:spacing w:after="0"/>
              <w:rPr>
                <w:sz w:val="20"/>
                <w:szCs w:val="20"/>
                <w:color w:val="auto"/>
              </w:rPr>
            </w:pPr>
            <w:r>
              <w:rPr>
                <w:rFonts w:ascii="Arial" w:cs="Arial" w:eastAsia="Arial" w:hAnsi="Arial"/>
                <w:sz w:val="22"/>
                <w:szCs w:val="22"/>
                <w:color w:val="auto"/>
              </w:rPr>
              <w:t>/s/ Terrence W. Cavanaugh</w:t>
            </w:r>
          </w:p>
        </w:tc>
        <w:tc>
          <w:tcPr>
            <w:tcW w:w="0" w:type="dxa"/>
            <w:vAlign w:val="bottom"/>
          </w:tcPr>
          <w:p>
            <w:pPr>
              <w:spacing w:after="0"/>
              <w:rPr>
                <w:sz w:val="1"/>
                <w:szCs w:val="1"/>
                <w:color w:val="auto"/>
              </w:rPr>
            </w:pPr>
          </w:p>
        </w:tc>
      </w:tr>
      <w:tr>
        <w:trPr>
          <w:trHeight w:val="21"/>
        </w:trPr>
        <w:tc>
          <w:tcPr>
            <w:tcW w:w="560" w:type="dxa"/>
            <w:vAlign w:val="bottom"/>
            <w:vMerge w:val="restart"/>
          </w:tcPr>
          <w:p>
            <w:pPr>
              <w:spacing w:after="0"/>
              <w:rPr>
                <w:sz w:val="20"/>
                <w:szCs w:val="20"/>
                <w:color w:val="auto"/>
              </w:rPr>
            </w:pPr>
            <w:r>
              <w:rPr>
                <w:rFonts w:ascii="Arial" w:cs="Arial" w:eastAsia="Arial" w:hAnsi="Arial"/>
                <w:sz w:val="22"/>
                <w:szCs w:val="22"/>
                <w:color w:val="auto"/>
                <w:w w:val="83"/>
              </w:rPr>
              <w:t>Name:</w:t>
            </w:r>
          </w:p>
        </w:tc>
        <w:tc>
          <w:tcPr>
            <w:tcW w:w="26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5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4640" w:type="dxa"/>
            <w:vAlign w:val="bottom"/>
          </w:tcPr>
          <w:p>
            <w:pPr>
              <w:ind w:left="780"/>
              <w:spacing w:after="0" w:line="216" w:lineRule="exact"/>
              <w:rPr>
                <w:sz w:val="20"/>
                <w:szCs w:val="20"/>
                <w:color w:val="auto"/>
              </w:rPr>
            </w:pPr>
            <w:r>
              <w:rPr>
                <w:rFonts w:ascii="Arial" w:cs="Arial" w:eastAsia="Arial" w:hAnsi="Arial"/>
                <w:sz w:val="22"/>
                <w:szCs w:val="22"/>
                <w:color w:val="auto"/>
              </w:rPr>
              <w:t>Terrence W. Cavanaugh</w:t>
            </w:r>
          </w:p>
        </w:tc>
        <w:tc>
          <w:tcPr>
            <w:tcW w:w="0" w:type="dxa"/>
            <w:vAlign w:val="bottom"/>
          </w:tcPr>
          <w:p>
            <w:pPr>
              <w:spacing w:after="0"/>
              <w:rPr>
                <w:sz w:val="1"/>
                <w:szCs w:val="1"/>
                <w:color w:val="auto"/>
              </w:rPr>
            </w:pPr>
          </w:p>
        </w:tc>
      </w:tr>
      <w:tr>
        <w:trPr>
          <w:trHeight w:val="275"/>
        </w:trPr>
        <w:tc>
          <w:tcPr>
            <w:tcW w:w="820" w:type="dxa"/>
            <w:vAlign w:val="bottom"/>
            <w:gridSpan w:val="2"/>
          </w:tcPr>
          <w:p>
            <w:pPr>
              <w:spacing w:after="0"/>
              <w:rPr>
                <w:sz w:val="20"/>
                <w:szCs w:val="20"/>
                <w:color w:val="auto"/>
              </w:rPr>
            </w:pPr>
            <w:r>
              <w:rPr>
                <w:rFonts w:ascii="Arial" w:cs="Arial" w:eastAsia="Arial" w:hAnsi="Arial"/>
                <w:sz w:val="22"/>
                <w:szCs w:val="22"/>
                <w:color w:val="auto"/>
              </w:rPr>
              <w:t>Title:</w:t>
            </w:r>
          </w:p>
        </w:tc>
        <w:tc>
          <w:tcPr>
            <w:tcW w:w="4640" w:type="dxa"/>
            <w:vAlign w:val="bottom"/>
          </w:tcPr>
          <w:p>
            <w:pPr>
              <w:ind w:left="780"/>
              <w:spacing w:after="0"/>
              <w:rPr>
                <w:sz w:val="20"/>
                <w:szCs w:val="20"/>
                <w:color w:val="auto"/>
              </w:rPr>
            </w:pPr>
            <w:r>
              <w:rPr>
                <w:rFonts w:ascii="Arial" w:cs="Arial" w:eastAsia="Arial" w:hAnsi="Arial"/>
                <w:sz w:val="22"/>
                <w:szCs w:val="22"/>
                <w:color w:val="auto"/>
              </w:rPr>
              <w:t>President and CEO</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INDEMNIFIED PERSON</w:t>
      </w:r>
    </w:p>
    <w:p>
      <w:pPr>
        <w:spacing w:after="0" w:line="200" w:lineRule="exact"/>
        <w:rPr>
          <w:sz w:val="20"/>
          <w:szCs w:val="20"/>
          <w:color w:val="auto"/>
        </w:rPr>
      </w:pPr>
    </w:p>
    <w:p>
      <w:pPr>
        <w:spacing w:after="0" w:line="282" w:lineRule="exact"/>
        <w:rPr>
          <w:sz w:val="20"/>
          <w:szCs w:val="20"/>
          <w:color w:val="auto"/>
        </w:rPr>
      </w:pPr>
    </w:p>
    <w:tbl>
      <w:tblPr>
        <w:tblLayout w:type="fixed"/>
        <w:tblInd w:w="5100" w:type="dxa"/>
        <w:tblCellMar>
          <w:top w:w="0" w:type="dxa"/>
          <w:left w:w="0" w:type="dxa"/>
          <w:bottom w:w="0" w:type="dxa"/>
          <w:right w:w="0" w:type="dxa"/>
        </w:tblCellMar>
      </w:tblPr>
      <w:tr>
        <w:trPr>
          <w:trHeight w:val="265"/>
        </w:trPr>
        <w:tc>
          <w:tcPr>
            <w:tcW w:w="920" w:type="dxa"/>
            <w:vAlign w:val="bottom"/>
            <w:tcBorders>
              <w:bottom w:val="single" w:sz="8" w:color="auto"/>
            </w:tcBorders>
          </w:tcPr>
          <w:p>
            <w:pPr>
              <w:spacing w:after="0"/>
              <w:rPr>
                <w:sz w:val="23"/>
                <w:szCs w:val="23"/>
                <w:color w:val="auto"/>
              </w:rPr>
            </w:pPr>
          </w:p>
        </w:tc>
        <w:tc>
          <w:tcPr>
            <w:tcW w:w="4540" w:type="dxa"/>
            <w:vAlign w:val="bottom"/>
            <w:tcBorders>
              <w:bottom w:val="single" w:sz="8" w:color="auto"/>
            </w:tcBorders>
          </w:tcPr>
          <w:p>
            <w:pPr>
              <w:ind w:left="140"/>
              <w:spacing w:after="0"/>
              <w:rPr>
                <w:sz w:val="20"/>
                <w:szCs w:val="20"/>
                <w:color w:val="auto"/>
              </w:rPr>
            </w:pPr>
            <w:r>
              <w:rPr>
                <w:rFonts w:ascii="Arial" w:cs="Arial" w:eastAsia="Arial" w:hAnsi="Arial"/>
                <w:sz w:val="22"/>
                <w:szCs w:val="22"/>
                <w:color w:val="auto"/>
              </w:rPr>
              <w:t>/s/ George D. Dufala</w:t>
            </w:r>
          </w:p>
        </w:tc>
      </w:tr>
      <w:tr>
        <w:trPr>
          <w:trHeight w:val="215"/>
        </w:trPr>
        <w:tc>
          <w:tcPr>
            <w:tcW w:w="92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540" w:type="dxa"/>
            <w:vAlign w:val="bottom"/>
          </w:tcPr>
          <w:p>
            <w:pPr>
              <w:ind w:left="680"/>
              <w:spacing w:after="0" w:line="216" w:lineRule="exact"/>
              <w:rPr>
                <w:sz w:val="20"/>
                <w:szCs w:val="20"/>
                <w:color w:val="auto"/>
              </w:rPr>
            </w:pPr>
            <w:r>
              <w:rPr>
                <w:rFonts w:ascii="Arial" w:cs="Arial" w:eastAsia="Arial" w:hAnsi="Arial"/>
                <w:sz w:val="22"/>
                <w:szCs w:val="22"/>
                <w:color w:val="auto"/>
              </w:rPr>
              <w:t>George D. Dufala</w:t>
            </w: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rPr>
              <w:t>Address:</w:t>
            </w:r>
          </w:p>
        </w:tc>
        <w:tc>
          <w:tcPr>
            <w:tcW w:w="4540" w:type="dxa"/>
            <w:vAlign w:val="bottom"/>
          </w:tcPr>
          <w:p>
            <w:pPr>
              <w:ind w:left="680"/>
              <w:spacing w:after="0" w:line="243" w:lineRule="exact"/>
              <w:rPr>
                <w:sz w:val="20"/>
                <w:szCs w:val="20"/>
                <w:color w:val="auto"/>
              </w:rPr>
            </w:pPr>
            <w:r>
              <w:rPr>
                <w:rFonts w:ascii="Arial" w:cs="Arial" w:eastAsia="Arial" w:hAnsi="Arial"/>
                <w:sz w:val="22"/>
                <w:szCs w:val="22"/>
                <w:color w:val="auto"/>
              </w:rPr>
              <w:t>4896 Thoroughbred Loop</w:t>
            </w:r>
          </w:p>
        </w:tc>
      </w:tr>
      <w:tr>
        <w:trPr>
          <w:trHeight w:val="275"/>
        </w:trPr>
        <w:tc>
          <w:tcPr>
            <w:tcW w:w="920" w:type="dxa"/>
            <w:vAlign w:val="bottom"/>
          </w:tcPr>
          <w:p>
            <w:pPr>
              <w:spacing w:after="0"/>
              <w:rPr>
                <w:sz w:val="23"/>
                <w:szCs w:val="23"/>
                <w:color w:val="auto"/>
              </w:rPr>
            </w:pPr>
          </w:p>
        </w:tc>
        <w:tc>
          <w:tcPr>
            <w:tcW w:w="4540" w:type="dxa"/>
            <w:vAlign w:val="bottom"/>
          </w:tcPr>
          <w:p>
            <w:pPr>
              <w:ind w:left="680"/>
              <w:spacing w:after="0"/>
              <w:rPr>
                <w:sz w:val="20"/>
                <w:szCs w:val="20"/>
                <w:color w:val="auto"/>
              </w:rPr>
            </w:pPr>
            <w:r>
              <w:rPr>
                <w:rFonts w:ascii="Arial" w:cs="Arial" w:eastAsia="Arial" w:hAnsi="Arial"/>
                <w:sz w:val="22"/>
                <w:szCs w:val="22"/>
                <w:color w:val="auto"/>
              </w:rPr>
              <w:t>Erie, PA 16506</w:t>
            </w:r>
          </w:p>
        </w:tc>
      </w:tr>
    </w:tbl>
    <w:p>
      <w:pPr>
        <w:sectPr>
          <w:pgSz w:w="11900" w:h="16921" w:orient="portrait"/>
          <w:cols w:equalWidth="0" w:num="1">
            <w:col w:w="11420"/>
          </w:cols>
          <w:pgMar w:left="240" w:top="112" w:right="239" w:bottom="0" w:gutter="0" w:footer="0" w:header="0"/>
        </w:sectPr>
      </w:pPr>
    </w:p>
    <w:bookmarkStart w:id="48" w:name="page49"/>
    <w:bookmarkEnd w:id="48"/>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110490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22"/>
          <w:szCs w:val="22"/>
          <w:b w:val="1"/>
          <w:bCs w:val="1"/>
          <w:color w:val="auto"/>
        </w:rPr>
        <w:t>EXHIBIT 10.5</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INDEMNIFICATION AGREEMENT</w:t>
      </w:r>
    </w:p>
    <w:p>
      <w:pPr>
        <w:spacing w:after="0" w:line="200" w:lineRule="exact"/>
        <w:rPr>
          <w:sz w:val="20"/>
          <w:szCs w:val="20"/>
          <w:color w:val="auto"/>
        </w:rPr>
      </w:pPr>
    </w:p>
    <w:p>
      <w:pPr>
        <w:spacing w:after="0" w:line="276" w:lineRule="exact"/>
        <w:rPr>
          <w:sz w:val="20"/>
          <w:szCs w:val="20"/>
          <w:color w:val="auto"/>
        </w:rPr>
      </w:pPr>
    </w:p>
    <w:p>
      <w:pPr>
        <w:ind w:right="600" w:firstLine="1297"/>
        <w:spacing w:after="0" w:line="335" w:lineRule="auto"/>
        <w:rPr>
          <w:sz w:val="20"/>
          <w:szCs w:val="20"/>
          <w:color w:val="auto"/>
        </w:rPr>
      </w:pPr>
      <w:r>
        <w:rPr>
          <w:rFonts w:ascii="Arial" w:cs="Arial" w:eastAsia="Arial" w:hAnsi="Arial"/>
          <w:sz w:val="19"/>
          <w:szCs w:val="19"/>
          <w:color w:val="auto"/>
        </w:rPr>
        <w:t xml:space="preserve">This INDEMNIFICATION AGREEMENT is made as of April 1, 2011, by and between </w:t>
      </w:r>
      <w:r>
        <w:rPr>
          <w:rFonts w:ascii="Arial" w:cs="Arial" w:eastAsia="Arial" w:hAnsi="Arial"/>
          <w:sz w:val="19"/>
          <w:szCs w:val="19"/>
          <w:b w:val="1"/>
          <w:bCs w:val="1"/>
          <w:color w:val="auto"/>
        </w:rPr>
        <w:t>ERIE INDEMNITY</w:t>
      </w:r>
      <w:r>
        <w:rPr>
          <w:rFonts w:ascii="Arial" w:cs="Arial" w:eastAsia="Arial" w:hAnsi="Arial"/>
          <w:sz w:val="19"/>
          <w:szCs w:val="19"/>
          <w:color w:val="auto"/>
        </w:rPr>
        <w:t xml:space="preserve"> </w:t>
      </w:r>
      <w:r>
        <w:rPr>
          <w:rFonts w:ascii="Arial" w:cs="Arial" w:eastAsia="Arial" w:hAnsi="Arial"/>
          <w:sz w:val="19"/>
          <w:szCs w:val="19"/>
          <w:b w:val="1"/>
          <w:bCs w:val="1"/>
          <w:color w:val="auto"/>
        </w:rPr>
        <w:t>COMPANY</w:t>
      </w:r>
      <w:r>
        <w:rPr>
          <w:rFonts w:ascii="Arial" w:cs="Arial" w:eastAsia="Arial" w:hAnsi="Arial"/>
          <w:sz w:val="19"/>
          <w:szCs w:val="19"/>
          <w:color w:val="auto"/>
        </w:rPr>
        <w:t>, a Pennsylvania business corporation (the “Company”), and</w:t>
      </w:r>
      <w:r>
        <w:rPr>
          <w:rFonts w:ascii="Arial" w:cs="Arial" w:eastAsia="Arial" w:hAnsi="Arial"/>
          <w:sz w:val="19"/>
          <w:szCs w:val="19"/>
          <w:b w:val="1"/>
          <w:bCs w:val="1"/>
          <w:color w:val="auto"/>
        </w:rPr>
        <w:t xml:space="preserve"> JOHN F. KEARNS </w:t>
      </w:r>
      <w:r>
        <w:rPr>
          <w:rFonts w:ascii="Arial" w:cs="Arial" w:eastAsia="Arial" w:hAnsi="Arial"/>
          <w:sz w:val="19"/>
          <w:szCs w:val="19"/>
          <w:color w:val="auto"/>
        </w:rPr>
        <w:t>(the “Indemnified Person”).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INTRODUCTION</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It is essential to the Company to attract and retain as officers the most capable persons available.</w:t>
      </w:r>
    </w:p>
    <w:p>
      <w:pPr>
        <w:spacing w:after="0" w:line="233" w:lineRule="exact"/>
        <w:rPr>
          <w:sz w:val="20"/>
          <w:szCs w:val="20"/>
          <w:color w:val="auto"/>
        </w:rPr>
      </w:pPr>
    </w:p>
    <w:p>
      <w:pPr>
        <w:ind w:right="60" w:firstLine="1297"/>
        <w:spacing w:after="0" w:line="274" w:lineRule="auto"/>
        <w:rPr>
          <w:sz w:val="20"/>
          <w:szCs w:val="20"/>
          <w:color w:val="auto"/>
        </w:rPr>
      </w:pPr>
      <w:r>
        <w:rPr>
          <w:rFonts w:ascii="Arial" w:cs="Arial" w:eastAsia="Arial" w:hAnsi="Arial"/>
          <w:sz w:val="21"/>
          <w:szCs w:val="21"/>
          <w:color w:val="auto"/>
        </w:rPr>
        <w:t>The Company wishes the Indemnified Person to continue to serve as an officer of the Company and the Indemnified Person is willing to continue in such position with the indemnification and other rights provided hereby.</w:t>
      </w:r>
    </w:p>
    <w:p>
      <w:pPr>
        <w:spacing w:after="0" w:line="178" w:lineRule="exact"/>
        <w:rPr>
          <w:sz w:val="20"/>
          <w:szCs w:val="20"/>
          <w:color w:val="auto"/>
        </w:rPr>
      </w:pPr>
    </w:p>
    <w:p>
      <w:pPr>
        <w:ind w:right="180" w:firstLine="1297"/>
        <w:spacing w:after="0"/>
        <w:rPr>
          <w:sz w:val="20"/>
          <w:szCs w:val="20"/>
          <w:color w:val="auto"/>
        </w:rPr>
      </w:pPr>
      <w:r>
        <w:rPr>
          <w:rFonts w:ascii="Arial" w:cs="Arial" w:eastAsia="Arial" w:hAnsi="Arial"/>
          <w:sz w:val="22"/>
          <w:szCs w:val="22"/>
          <w:color w:val="auto"/>
        </w:rPr>
        <w:t>In recent years, litigation seeking to impose liability on directors and officers of publicly-held corporations has become more frequent. Such litigation is extremely expensive to defend. The possibility of liability for extremely large sums is a deterrent to persons accepting positions of responsibility with a public corporation.</w:t>
      </w:r>
    </w:p>
    <w:p>
      <w:pPr>
        <w:spacing w:after="0" w:line="213" w:lineRule="exact"/>
        <w:rPr>
          <w:sz w:val="20"/>
          <w:szCs w:val="20"/>
          <w:color w:val="auto"/>
        </w:rPr>
      </w:pPr>
    </w:p>
    <w:p>
      <w:pPr>
        <w:jc w:val="both"/>
        <w:ind w:right="100" w:firstLine="1297"/>
        <w:spacing w:after="0"/>
        <w:rPr>
          <w:sz w:val="20"/>
          <w:szCs w:val="20"/>
          <w:color w:val="auto"/>
        </w:rPr>
      </w:pPr>
      <w:r>
        <w:rPr>
          <w:rFonts w:ascii="Arial" w:cs="Arial" w:eastAsia="Arial" w:hAnsi="Arial"/>
          <w:sz w:val="22"/>
          <w:szCs w:val="22"/>
          <w:color w:val="auto"/>
        </w:rPr>
        <w:t>The Indemnified Person is deeply concerned regarding this situation, as well as the adequacy of the indemnification available under the Company’s bylaws. It is therefore of critical importance to the Indemnified Person that adequate provisions be made for advancing costs and expenses of legal defense.</w:t>
      </w:r>
    </w:p>
    <w:p>
      <w:pPr>
        <w:spacing w:after="0" w:line="213" w:lineRule="exact"/>
        <w:rPr>
          <w:sz w:val="20"/>
          <w:szCs w:val="20"/>
          <w:color w:val="auto"/>
        </w:rPr>
      </w:pPr>
    </w:p>
    <w:p>
      <w:pPr>
        <w:ind w:right="260" w:firstLine="1297"/>
        <w:spacing w:after="0" w:line="252" w:lineRule="auto"/>
        <w:rPr>
          <w:sz w:val="20"/>
          <w:szCs w:val="20"/>
          <w:color w:val="auto"/>
        </w:rPr>
      </w:pPr>
      <w:r>
        <w:rPr>
          <w:rFonts w:ascii="Arial" w:cs="Arial" w:eastAsia="Arial" w:hAnsi="Arial"/>
          <w:sz w:val="21"/>
          <w:szCs w:val="21"/>
          <w:color w:val="auto"/>
        </w:rPr>
        <w:t>In recognition of the foregoing, the Company wishes to provide in this Agreement for the indemnification of, and the advancement of expenses to, the Indemnified Person to the fullest extent (whether partial or complete) permitted by Pennsylvania law and as set forth in this Agreement, and, to the extent insurance is maintained, for the continued coverage of the Indemnified Person under the Company’s directors’ and officers’ liability insurance policies.</w:t>
      </w:r>
    </w:p>
    <w:p>
      <w:pPr>
        <w:spacing w:after="0" w:line="201" w:lineRule="exact"/>
        <w:rPr>
          <w:sz w:val="20"/>
          <w:szCs w:val="20"/>
          <w:color w:val="auto"/>
        </w:rPr>
      </w:pPr>
    </w:p>
    <w:p>
      <w:pPr>
        <w:ind w:right="40" w:firstLine="1297"/>
        <w:spacing w:after="0"/>
        <w:rPr>
          <w:sz w:val="20"/>
          <w:szCs w:val="20"/>
          <w:color w:val="auto"/>
        </w:rPr>
      </w:pPr>
      <w:r>
        <w:rPr>
          <w:rFonts w:ascii="Arial" w:cs="Arial" w:eastAsia="Arial" w:hAnsi="Arial"/>
          <w:sz w:val="22"/>
          <w:szCs w:val="22"/>
          <w:color w:val="auto"/>
        </w:rPr>
        <w:t>NOW, THEREFORE, in consideration of the premises and of the Indemnified Person continuing to serve the Company, and for other good and valuable consideration, the receipt and sufficiency of which are hereby acknowledged, the parties hereto agree as follows: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ONE</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INTERPRETIVE RULES; DEFINITIONS</w:t>
      </w:r>
    </w:p>
    <w:p>
      <w:pPr>
        <w:spacing w:after="0" w:line="20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19"/>
          <w:szCs w:val="19"/>
          <w:b w:val="1"/>
          <w:bCs w:val="1"/>
          <w:color w:val="auto"/>
        </w:rPr>
        <w:t>General Interpretive Rules.</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For purposes of this Agreement, except as otherwise expressly provided or unless the context otherwise requires,</w:t>
      </w:r>
    </w:p>
    <w:p>
      <w:pPr>
        <w:spacing w:after="0" w:line="43"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terms defined in this Article have the meanings assigned to them in this Article and include the plural as well as the singular;</w:t>
      </w:r>
    </w:p>
    <w:p>
      <w:pPr>
        <w:spacing w:after="0" w:line="24" w:lineRule="exact"/>
        <w:rPr>
          <w:rFonts w:ascii="Arial" w:cs="Arial" w:eastAsia="Arial" w:hAnsi="Arial"/>
          <w:sz w:val="19"/>
          <w:szCs w:val="19"/>
          <w:color w:val="auto"/>
        </w:rPr>
      </w:pPr>
    </w:p>
    <w:p>
      <w:pPr>
        <w:ind w:right="140" w:firstLine="8"/>
        <w:spacing w:after="0" w:line="237" w:lineRule="auto"/>
        <w:tabs>
          <w:tab w:leader="none" w:pos="318" w:val="left"/>
        </w:tabs>
        <w:numPr>
          <w:ilvl w:val="0"/>
          <w:numId w:val="37"/>
        </w:numPr>
        <w:rPr>
          <w:rFonts w:ascii="Arial" w:cs="Arial" w:eastAsia="Arial" w:hAnsi="Arial"/>
          <w:sz w:val="22"/>
          <w:szCs w:val="22"/>
          <w:color w:val="auto"/>
        </w:rPr>
      </w:pPr>
      <w:r>
        <w:rPr>
          <w:rFonts w:ascii="Arial" w:cs="Arial" w:eastAsia="Arial" w:hAnsi="Arial"/>
          <w:sz w:val="22"/>
          <w:szCs w:val="22"/>
          <w:color w:val="auto"/>
        </w:rPr>
        <w:t>references herein to “Sections” without reference to a document are to designated Sections of this Agreement; (iii) “including” means “including but not limited to;” and (iv) “herein,” “hereof,” “hereunder”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color w:val="auto"/>
        </w:rPr>
        <w:t>other words of similar import refer to this Agreement as a whole and not to any particular provision.</w:t>
      </w:r>
    </w:p>
    <w:p>
      <w:pPr>
        <w:spacing w:after="0" w:line="22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1.2.</w:t>
      </w:r>
      <w:r>
        <w:rPr>
          <w:sz w:val="20"/>
          <w:szCs w:val="20"/>
          <w:color w:val="auto"/>
        </w:rPr>
        <w:tab/>
      </w:r>
      <w:r>
        <w:rPr>
          <w:rFonts w:ascii="Arial" w:cs="Arial" w:eastAsia="Arial" w:hAnsi="Arial"/>
          <w:sz w:val="19"/>
          <w:szCs w:val="19"/>
          <w:b w:val="1"/>
          <w:bCs w:val="1"/>
          <w:color w:val="auto"/>
        </w:rPr>
        <w:t>Definitions.</w:t>
      </w:r>
    </w:p>
    <w:p>
      <w:pPr>
        <w:spacing w:after="0" w:line="233" w:lineRule="exact"/>
        <w:rPr>
          <w:sz w:val="20"/>
          <w:szCs w:val="20"/>
          <w:color w:val="auto"/>
        </w:rPr>
      </w:pPr>
    </w:p>
    <w:p>
      <w:pPr>
        <w:ind w:right="540" w:firstLine="1297"/>
        <w:spacing w:after="0" w:line="256" w:lineRule="auto"/>
        <w:rPr>
          <w:sz w:val="20"/>
          <w:szCs w:val="20"/>
          <w:color w:val="auto"/>
        </w:rPr>
      </w:pPr>
      <w:r>
        <w:rPr>
          <w:rFonts w:ascii="Arial" w:cs="Arial" w:eastAsia="Arial" w:hAnsi="Arial"/>
          <w:sz w:val="22"/>
          <w:szCs w:val="22"/>
          <w:b w:val="1"/>
          <w:bCs w:val="1"/>
          <w:color w:val="auto"/>
        </w:rPr>
        <w:t xml:space="preserve">Agreement </w:t>
      </w:r>
      <w:r>
        <w:rPr>
          <w:rFonts w:ascii="Arial" w:cs="Arial" w:eastAsia="Arial" w:hAnsi="Arial"/>
          <w:sz w:val="22"/>
          <w:szCs w:val="22"/>
          <w:color w:val="auto"/>
        </w:rPr>
        <w:t>means this Indemnification Agreement as executed by the parties hereto as of the date first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above or, if amended, as amended.</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Board </w:t>
      </w:r>
      <w:r>
        <w:rPr>
          <w:rFonts w:ascii="Arial" w:cs="Arial" w:eastAsia="Arial" w:hAnsi="Arial"/>
          <w:sz w:val="22"/>
          <w:szCs w:val="22"/>
          <w:color w:val="auto"/>
        </w:rPr>
        <w:t>means the Board of Directors of the Company.</w:t>
      </w:r>
    </w:p>
    <w:p>
      <w:pPr>
        <w:spacing w:after="0" w:line="233" w:lineRule="exact"/>
        <w:rPr>
          <w:sz w:val="20"/>
          <w:szCs w:val="20"/>
          <w:color w:val="auto"/>
        </w:rPr>
      </w:pPr>
    </w:p>
    <w:p>
      <w:pPr>
        <w:ind w:right="220" w:firstLine="1297"/>
        <w:spacing w:after="0" w:line="256" w:lineRule="auto"/>
        <w:rPr>
          <w:sz w:val="20"/>
          <w:szCs w:val="20"/>
          <w:color w:val="auto"/>
        </w:rPr>
      </w:pPr>
      <w:r>
        <w:rPr>
          <w:rFonts w:ascii="Arial" w:cs="Arial" w:eastAsia="Arial" w:hAnsi="Arial"/>
          <w:sz w:val="22"/>
          <w:szCs w:val="22"/>
          <w:b w:val="1"/>
          <w:bCs w:val="1"/>
          <w:color w:val="auto"/>
        </w:rPr>
        <w:t xml:space="preserve">Derivative Proceeding </w:t>
      </w:r>
      <w:r>
        <w:rPr>
          <w:rFonts w:ascii="Arial" w:cs="Arial" w:eastAsia="Arial" w:hAnsi="Arial"/>
          <w:sz w:val="22"/>
          <w:szCs w:val="22"/>
          <w:color w:val="auto"/>
        </w:rPr>
        <w:t>means a Proceeding brought by or in the right of the Company or one of its subsidiaries to</w:t>
      </w:r>
      <w:r>
        <w:rPr>
          <w:rFonts w:ascii="Arial" w:cs="Arial" w:eastAsia="Arial" w:hAnsi="Arial"/>
          <w:sz w:val="22"/>
          <w:szCs w:val="22"/>
          <w:b w:val="1"/>
          <w:bCs w:val="1"/>
          <w:color w:val="auto"/>
        </w:rPr>
        <w:t xml:space="preserve"> </w:t>
      </w:r>
      <w:r>
        <w:rPr>
          <w:rFonts w:ascii="Arial" w:cs="Arial" w:eastAsia="Arial" w:hAnsi="Arial"/>
          <w:sz w:val="22"/>
          <w:szCs w:val="22"/>
          <w:color w:val="auto"/>
        </w:rPr>
        <w:t>procure a judgment in its favor.</w:t>
      </w:r>
    </w:p>
    <w:p>
      <w:pPr>
        <w:spacing w:after="0" w:line="190" w:lineRule="exact"/>
        <w:rPr>
          <w:sz w:val="20"/>
          <w:szCs w:val="20"/>
          <w:color w:val="auto"/>
        </w:rPr>
      </w:pPr>
    </w:p>
    <w:p>
      <w:pPr>
        <w:ind w:right="300" w:firstLine="1297"/>
        <w:spacing w:after="0" w:line="280" w:lineRule="auto"/>
        <w:rPr>
          <w:sz w:val="20"/>
          <w:szCs w:val="20"/>
          <w:color w:val="auto"/>
        </w:rPr>
      </w:pPr>
      <w:r>
        <w:rPr>
          <w:rFonts w:ascii="Arial" w:cs="Arial" w:eastAsia="Arial" w:hAnsi="Arial"/>
          <w:sz w:val="21"/>
          <w:szCs w:val="21"/>
          <w:b w:val="1"/>
          <w:bCs w:val="1"/>
          <w:color w:val="auto"/>
        </w:rPr>
        <w:t xml:space="preserve">Entity </w:t>
      </w:r>
      <w:r>
        <w:rPr>
          <w:rFonts w:ascii="Arial" w:cs="Arial" w:eastAsia="Arial" w:hAnsi="Arial"/>
          <w:sz w:val="21"/>
          <w:szCs w:val="21"/>
          <w:color w:val="auto"/>
        </w:rPr>
        <w:t>means a corporation, business, general or limited partnership, limited liability partnership, limited liability</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reciprocal insurance exchange, joint venture, trust, employee benefit plan or trust, or other enterprise.</w:t>
      </w:r>
    </w:p>
    <w:p>
      <w:pPr>
        <w:spacing w:after="0" w:line="166" w:lineRule="exact"/>
        <w:rPr>
          <w:sz w:val="20"/>
          <w:szCs w:val="20"/>
          <w:color w:val="auto"/>
        </w:rPr>
      </w:pPr>
    </w:p>
    <w:p>
      <w:pPr>
        <w:ind w:right="280" w:firstLine="1297"/>
        <w:spacing w:after="0" w:line="256" w:lineRule="auto"/>
        <w:rPr>
          <w:sz w:val="20"/>
          <w:szCs w:val="20"/>
          <w:color w:val="auto"/>
        </w:rPr>
      </w:pPr>
      <w:r>
        <w:rPr>
          <w:rFonts w:ascii="Arial" w:cs="Arial" w:eastAsia="Arial" w:hAnsi="Arial"/>
          <w:sz w:val="22"/>
          <w:szCs w:val="22"/>
          <w:b w:val="1"/>
          <w:bCs w:val="1"/>
          <w:color w:val="auto"/>
        </w:rPr>
        <w:t xml:space="preserve">Fine </w:t>
      </w:r>
      <w:r>
        <w:rPr>
          <w:rFonts w:ascii="Arial" w:cs="Arial" w:eastAsia="Arial" w:hAnsi="Arial"/>
          <w:sz w:val="22"/>
          <w:szCs w:val="22"/>
          <w:color w:val="auto"/>
        </w:rPr>
        <w:t>means any fine, penalty or, with respect to an employee benefit plan, any excise tax or penalty assessed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thereto.</w:t>
      </w:r>
    </w:p>
    <w:p>
      <w:pPr>
        <w:spacing w:after="0" w:line="190"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2"/>
          <w:szCs w:val="22"/>
          <w:b w:val="1"/>
          <w:bCs w:val="1"/>
          <w:color w:val="auto"/>
        </w:rPr>
        <w:t xml:space="preserve">Litigation Costs </w:t>
      </w:r>
      <w:r>
        <w:rPr>
          <w:rFonts w:ascii="Arial" w:cs="Arial" w:eastAsia="Arial" w:hAnsi="Arial"/>
          <w:sz w:val="22"/>
          <w:szCs w:val="22"/>
          <w:color w:val="auto"/>
        </w:rPr>
        <w:t>means reasonable costs, charges and expenses, including attorneys’ fees, reasonably incurred in the</w:t>
      </w:r>
      <w:r>
        <w:rPr>
          <w:rFonts w:ascii="Arial" w:cs="Arial" w:eastAsia="Arial" w:hAnsi="Arial"/>
          <w:sz w:val="22"/>
          <w:szCs w:val="22"/>
          <w:b w:val="1"/>
          <w:bCs w:val="1"/>
          <w:color w:val="auto"/>
        </w:rPr>
        <w:t xml:space="preserve"> </w:t>
      </w:r>
      <w:r>
        <w:rPr>
          <w:rFonts w:ascii="Arial" w:cs="Arial" w:eastAsia="Arial" w:hAnsi="Arial"/>
          <w:sz w:val="22"/>
          <w:szCs w:val="22"/>
          <w:color w:val="auto"/>
        </w:rPr>
        <w:t>investigation, defense or prosecution of or other involvement in any Proceeding and any appeal therefrom, and the reasonable costs of appeal, attachment and similar bonds.</w:t>
      </w:r>
    </w:p>
    <w:p>
      <w:pPr>
        <w:sectPr>
          <w:pgSz w:w="11900" w:h="16838" w:orient="portrait"/>
          <w:cols w:equalWidth="0" w:num="1">
            <w:col w:w="11420"/>
          </w:cols>
          <w:pgMar w:left="240" w:top="355" w:right="239" w:bottom="0" w:gutter="0" w:footer="0" w:header="0"/>
        </w:sectPr>
      </w:pPr>
    </w:p>
    <w:bookmarkStart w:id="50" w:name="page51"/>
    <w:bookmarkEnd w:id="50"/>
    <w:p>
      <w:pPr>
        <w:spacing w:after="0" w:line="119" w:lineRule="exact"/>
        <w:rPr>
          <w:sz w:val="20"/>
          <w:szCs w:val="20"/>
          <w:color w:val="auto"/>
        </w:rPr>
      </w:pPr>
    </w:p>
    <w:p>
      <w:pPr>
        <w:ind w:right="220" w:firstLine="1297"/>
        <w:spacing w:after="0" w:line="257" w:lineRule="auto"/>
        <w:rPr>
          <w:sz w:val="20"/>
          <w:szCs w:val="20"/>
          <w:color w:val="auto"/>
        </w:rPr>
      </w:pPr>
      <w:r>
        <w:rPr>
          <w:rFonts w:ascii="Arial" w:cs="Arial" w:eastAsia="Arial" w:hAnsi="Arial"/>
          <w:sz w:val="22"/>
          <w:szCs w:val="22"/>
          <w:b w:val="1"/>
          <w:bCs w:val="1"/>
          <w:color w:val="auto"/>
        </w:rPr>
        <w:t xml:space="preserve">Losses </w:t>
      </w:r>
      <w:r>
        <w:rPr>
          <w:rFonts w:ascii="Arial" w:cs="Arial" w:eastAsia="Arial" w:hAnsi="Arial"/>
          <w:sz w:val="22"/>
          <w:szCs w:val="22"/>
          <w:color w:val="auto"/>
        </w:rPr>
        <w:t>means the total amount which the Indemnified Person becomes legally obligated to pay in connection with</w:t>
      </w:r>
      <w:r>
        <w:rPr>
          <w:rFonts w:ascii="Arial" w:cs="Arial" w:eastAsia="Arial" w:hAnsi="Arial"/>
          <w:sz w:val="22"/>
          <w:szCs w:val="22"/>
          <w:b w:val="1"/>
          <w:bCs w:val="1"/>
          <w:color w:val="auto"/>
        </w:rPr>
        <w:t xml:space="preserve"> </w:t>
      </w:r>
      <w:r>
        <w:rPr>
          <w:rFonts w:ascii="Arial" w:cs="Arial" w:eastAsia="Arial" w:hAnsi="Arial"/>
          <w:sz w:val="22"/>
          <w:szCs w:val="22"/>
          <w:color w:val="auto"/>
        </w:rPr>
        <w:t>any Proceeding, including judgments, Fines, amounts paid in settlement and Litigation Costs.</w:t>
      </w:r>
    </w:p>
    <w:p>
      <w:pPr>
        <w:spacing w:after="0" w:line="188" w:lineRule="exact"/>
        <w:rPr>
          <w:sz w:val="20"/>
          <w:szCs w:val="20"/>
          <w:color w:val="auto"/>
        </w:rPr>
      </w:pPr>
    </w:p>
    <w:p>
      <w:pPr>
        <w:ind w:firstLine="1297"/>
        <w:spacing w:after="0" w:line="254" w:lineRule="auto"/>
        <w:rPr>
          <w:sz w:val="20"/>
          <w:szCs w:val="20"/>
          <w:color w:val="auto"/>
        </w:rPr>
      </w:pPr>
      <w:r>
        <w:rPr>
          <w:rFonts w:ascii="Arial" w:cs="Arial" w:eastAsia="Arial" w:hAnsi="Arial"/>
          <w:sz w:val="21"/>
          <w:szCs w:val="21"/>
          <w:b w:val="1"/>
          <w:bCs w:val="1"/>
          <w:color w:val="auto"/>
        </w:rPr>
        <w:t xml:space="preserve">Proceeding </w:t>
      </w:r>
      <w:r>
        <w:rPr>
          <w:rFonts w:ascii="Arial" w:cs="Arial" w:eastAsia="Arial" w:hAnsi="Arial"/>
          <w:sz w:val="21"/>
          <w:szCs w:val="21"/>
          <w:color w:val="auto"/>
        </w:rPr>
        <w:t>means any threatened, pending or completed action, suit, proceeding or investigation, whether of a civil,</w:t>
      </w:r>
      <w:r>
        <w:rPr>
          <w:rFonts w:ascii="Arial" w:cs="Arial" w:eastAsia="Arial" w:hAnsi="Arial"/>
          <w:sz w:val="21"/>
          <w:szCs w:val="21"/>
          <w:b w:val="1"/>
          <w:bCs w:val="1"/>
          <w:color w:val="auto"/>
        </w:rPr>
        <w:t xml:space="preserve"> </w:t>
      </w:r>
      <w:r>
        <w:rPr>
          <w:rFonts w:ascii="Arial" w:cs="Arial" w:eastAsia="Arial" w:hAnsi="Arial"/>
          <w:sz w:val="21"/>
          <w:szCs w:val="21"/>
          <w:color w:val="auto"/>
        </w:rPr>
        <w:t>criminal, administrative or investigative (whether external or internal to the Company) nature, and whether formal or informal, in which the Indemnified Person is or was a director, officer or employee of the Company, or is or was serving at the request of the Company as a director, officer, partner, member, employee, agent or trustee of another Entity.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TWO</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INDEMNIFICATION</w:t>
      </w:r>
    </w:p>
    <w:p>
      <w:pPr>
        <w:spacing w:after="0" w:line="20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2.1.</w:t>
      </w:r>
      <w:r>
        <w:rPr>
          <w:sz w:val="20"/>
          <w:szCs w:val="20"/>
          <w:color w:val="auto"/>
        </w:rPr>
        <w:tab/>
      </w:r>
      <w:r>
        <w:rPr>
          <w:rFonts w:ascii="Arial" w:cs="Arial" w:eastAsia="Arial" w:hAnsi="Arial"/>
          <w:sz w:val="19"/>
          <w:szCs w:val="19"/>
          <w:b w:val="1"/>
          <w:bCs w:val="1"/>
          <w:color w:val="auto"/>
        </w:rPr>
        <w:t>Proceedings by Third Parties.</w:t>
      </w:r>
    </w:p>
    <w:p>
      <w:pPr>
        <w:spacing w:after="0" w:line="239" w:lineRule="exact"/>
        <w:rPr>
          <w:sz w:val="20"/>
          <w:szCs w:val="20"/>
          <w:color w:val="auto"/>
        </w:rPr>
      </w:pPr>
    </w:p>
    <w:p>
      <w:pPr>
        <w:ind w:right="60" w:firstLine="1297"/>
        <w:spacing w:after="0"/>
        <w:rPr>
          <w:sz w:val="20"/>
          <w:szCs w:val="20"/>
          <w:color w:val="auto"/>
        </w:rPr>
      </w:pPr>
      <w:r>
        <w:rPr>
          <w:rFonts w:ascii="Arial" w:cs="Arial" w:eastAsia="Arial" w:hAnsi="Arial"/>
          <w:sz w:val="22"/>
          <w:szCs w:val="22"/>
          <w:color w:val="auto"/>
        </w:rPr>
        <w:t>The Company shall indemnify the Indemnified Person if he was or is a party or is threatened to be made a party to a Proceeding (other than a Derivative Proceeding) against Losses incurred in connection with such Proceeding to the fullest extent permitted by Pennsylvania law.</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2.2.</w:t>
      </w:r>
      <w:r>
        <w:rPr>
          <w:sz w:val="20"/>
          <w:szCs w:val="20"/>
          <w:color w:val="auto"/>
        </w:rPr>
        <w:tab/>
      </w:r>
      <w:r>
        <w:rPr>
          <w:rFonts w:ascii="Arial" w:cs="Arial" w:eastAsia="Arial" w:hAnsi="Arial"/>
          <w:sz w:val="19"/>
          <w:szCs w:val="19"/>
          <w:b w:val="1"/>
          <w:bCs w:val="1"/>
          <w:color w:val="auto"/>
        </w:rPr>
        <w:t>Derivative Proceedings.</w:t>
      </w:r>
    </w:p>
    <w:p>
      <w:pPr>
        <w:spacing w:after="0" w:line="239" w:lineRule="exact"/>
        <w:rPr>
          <w:sz w:val="20"/>
          <w:szCs w:val="20"/>
          <w:color w:val="auto"/>
        </w:rPr>
      </w:pPr>
    </w:p>
    <w:p>
      <w:pPr>
        <w:ind w:right="100" w:firstLine="1305"/>
        <w:spacing w:after="0" w:line="238" w:lineRule="auto"/>
        <w:tabs>
          <w:tab w:leader="none" w:pos="1969" w:val="left"/>
        </w:tabs>
        <w:numPr>
          <w:ilvl w:val="0"/>
          <w:numId w:val="38"/>
        </w:numPr>
        <w:rPr>
          <w:rFonts w:ascii="Arial" w:cs="Arial" w:eastAsia="Arial" w:hAnsi="Arial"/>
          <w:sz w:val="22"/>
          <w:szCs w:val="22"/>
          <w:color w:val="auto"/>
        </w:rPr>
      </w:pPr>
      <w:r>
        <w:rPr>
          <w:rFonts w:ascii="Arial" w:cs="Arial" w:eastAsia="Arial" w:hAnsi="Arial"/>
          <w:sz w:val="22"/>
          <w:szCs w:val="22"/>
          <w:color w:val="auto"/>
        </w:rPr>
        <w:t>Except as provided in Section 2.2(b), the Company shall indemnify the Indemnified Person if he was or is a party to, or is threatened to be made a party to, or otherwise involved in, a Derivative Proceeding against amounts paid in settlement and Litigation Costs incurred in connection with the defense or settlement of such Derivative Proceeding to the fullest extent permitted by Pennsylvania law.</w:t>
      </w:r>
    </w:p>
    <w:p>
      <w:pPr>
        <w:spacing w:after="0" w:line="212" w:lineRule="exact"/>
        <w:rPr>
          <w:rFonts w:ascii="Arial" w:cs="Arial" w:eastAsia="Arial" w:hAnsi="Arial"/>
          <w:sz w:val="22"/>
          <w:szCs w:val="22"/>
          <w:color w:val="auto"/>
        </w:rPr>
      </w:pPr>
    </w:p>
    <w:p>
      <w:pPr>
        <w:ind w:right="40" w:firstLine="1305"/>
        <w:spacing w:after="0" w:line="282" w:lineRule="auto"/>
        <w:tabs>
          <w:tab w:leader="none" w:pos="1981" w:val="left"/>
        </w:tabs>
        <w:numPr>
          <w:ilvl w:val="0"/>
          <w:numId w:val="38"/>
        </w:numPr>
        <w:rPr>
          <w:rFonts w:ascii="Arial" w:cs="Arial" w:eastAsia="Arial" w:hAnsi="Arial"/>
          <w:sz w:val="19"/>
          <w:szCs w:val="19"/>
          <w:color w:val="auto"/>
        </w:rPr>
      </w:pPr>
      <w:r>
        <w:rPr>
          <w:rFonts w:ascii="Arial" w:cs="Arial" w:eastAsia="Arial" w:hAnsi="Arial"/>
          <w:sz w:val="19"/>
          <w:szCs w:val="19"/>
          <w:color w:val="auto"/>
        </w:rPr>
        <w:t>No indemnification under Section 2.2(a) shall be made in respect of any claim, issue or matter in a Derivative Proceeding as to which the Indemnified Person shall have been adjudged to be liable to the Company unless and only to the extent that a court of competent jurisdiction or the court in which such Proceeding was brought determines upon application that, despite the adjudication of liability but in view of all the circumstances of the case, the Indemnified Person is fairly and reasonably entitled to indemnity for the expenses that a court of competent jurisdiction or other court deems proper.</w:t>
      </w:r>
    </w:p>
    <w:p>
      <w:pPr>
        <w:spacing w:after="0" w:line="16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2.3.</w:t>
      </w:r>
      <w:r>
        <w:rPr>
          <w:sz w:val="20"/>
          <w:szCs w:val="20"/>
          <w:color w:val="auto"/>
        </w:rPr>
        <w:tab/>
      </w:r>
      <w:r>
        <w:rPr>
          <w:rFonts w:ascii="Arial" w:cs="Arial" w:eastAsia="Arial" w:hAnsi="Arial"/>
          <w:sz w:val="19"/>
          <w:szCs w:val="19"/>
          <w:b w:val="1"/>
          <w:bCs w:val="1"/>
          <w:color w:val="auto"/>
        </w:rPr>
        <w:t>No Presumptions Based on Manner Proceeding is Terminated.</w:t>
      </w:r>
    </w:p>
    <w:p>
      <w:pPr>
        <w:spacing w:after="0" w:line="239" w:lineRule="exact"/>
        <w:rPr>
          <w:sz w:val="20"/>
          <w:szCs w:val="20"/>
          <w:color w:val="auto"/>
        </w:rPr>
      </w:pPr>
    </w:p>
    <w:p>
      <w:pPr>
        <w:ind w:right="120" w:firstLine="1297"/>
        <w:spacing w:after="0"/>
        <w:rPr>
          <w:sz w:val="20"/>
          <w:szCs w:val="20"/>
          <w:color w:val="auto"/>
        </w:rPr>
      </w:pPr>
      <w:r>
        <w:rPr>
          <w:rFonts w:ascii="Arial" w:cs="Arial" w:eastAsia="Arial" w:hAnsi="Arial"/>
          <w:sz w:val="22"/>
          <w:szCs w:val="22"/>
          <w:color w:val="auto"/>
        </w:rPr>
        <w:t>The termination of any Proceeding by judgment, order, settlement, conviction, or upon a plea of nolo contendere or its equivalent, shall not, of itself, create a presumption that the Indemnified Person is not entitled to indemnification or the advancement of Litigation Costs to the fullest extent permitted by Pennsylvania law.</w:t>
      </w:r>
    </w:p>
    <w:p>
      <w:pPr>
        <w:spacing w:after="0" w:line="20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2.4.</w:t>
      </w:r>
      <w:r>
        <w:rPr>
          <w:sz w:val="20"/>
          <w:szCs w:val="20"/>
          <w:color w:val="auto"/>
        </w:rPr>
        <w:tab/>
      </w:r>
      <w:r>
        <w:rPr>
          <w:rFonts w:ascii="Arial" w:cs="Arial" w:eastAsia="Arial" w:hAnsi="Arial"/>
          <w:sz w:val="19"/>
          <w:szCs w:val="19"/>
          <w:b w:val="1"/>
          <w:bCs w:val="1"/>
          <w:color w:val="auto"/>
        </w:rPr>
        <w:t>Indemnification for Expenses of Successful Party.</w:t>
      </w:r>
    </w:p>
    <w:p>
      <w:pPr>
        <w:spacing w:after="0" w:line="239" w:lineRule="exact"/>
        <w:rPr>
          <w:sz w:val="20"/>
          <w:szCs w:val="20"/>
          <w:color w:val="auto"/>
        </w:rPr>
      </w:pPr>
    </w:p>
    <w:p>
      <w:pPr>
        <w:ind w:right="20" w:firstLine="1297"/>
        <w:spacing w:after="0" w:line="258" w:lineRule="auto"/>
        <w:rPr>
          <w:sz w:val="20"/>
          <w:szCs w:val="20"/>
          <w:color w:val="auto"/>
        </w:rPr>
      </w:pPr>
      <w:r>
        <w:rPr>
          <w:rFonts w:ascii="Arial" w:cs="Arial" w:eastAsia="Arial" w:hAnsi="Arial"/>
          <w:sz w:val="21"/>
          <w:szCs w:val="21"/>
          <w:color w:val="auto"/>
        </w:rPr>
        <w:t>Notwithstanding any other provision hereof, to the extent that the Indemnified Person has been successful on the merits or otherwise in defense of any Proceeding or in defense of any claim, issue or matter therein, he shall be indemnified against Litigation Costs actually and reasonably incurred by the Indemnified Person in connection therewith.</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2.5.</w:t>
      </w:r>
      <w:r>
        <w:rPr>
          <w:sz w:val="20"/>
          <w:szCs w:val="20"/>
          <w:color w:val="auto"/>
        </w:rPr>
        <w:tab/>
      </w:r>
      <w:r>
        <w:rPr>
          <w:rFonts w:ascii="Arial" w:cs="Arial" w:eastAsia="Arial" w:hAnsi="Arial"/>
          <w:sz w:val="19"/>
          <w:szCs w:val="19"/>
          <w:b w:val="1"/>
          <w:bCs w:val="1"/>
          <w:color w:val="auto"/>
        </w:rPr>
        <w:t>Advances of Litigation Costs.</w:t>
      </w:r>
    </w:p>
    <w:p>
      <w:pPr>
        <w:spacing w:after="0" w:line="239" w:lineRule="exact"/>
        <w:rPr>
          <w:sz w:val="20"/>
          <w:szCs w:val="20"/>
          <w:color w:val="auto"/>
        </w:rPr>
      </w:pPr>
    </w:p>
    <w:p>
      <w:pPr>
        <w:ind w:right="40" w:firstLine="1297"/>
        <w:spacing w:after="0" w:line="287" w:lineRule="auto"/>
        <w:rPr>
          <w:sz w:val="20"/>
          <w:szCs w:val="20"/>
          <w:color w:val="auto"/>
        </w:rPr>
      </w:pPr>
      <w:r>
        <w:rPr>
          <w:rFonts w:ascii="Arial" w:cs="Arial" w:eastAsia="Arial" w:hAnsi="Arial"/>
          <w:sz w:val="19"/>
          <w:szCs w:val="19"/>
          <w:color w:val="auto"/>
        </w:rPr>
        <w:t>At the request of the Indemnified Person, Litigation Costs incurred by the Indemnified Person in any Proceeding shall be paid by the Company in advance of the final disposition of such Proceeding to the fullest extent permitted by Pennsylvania law with the undertaking of the Indemnified Person, which undertaking is hereby given, to repay the amount if it is ultimately determined that he is not entitled to be indemnified by the Company as authorized by Pennsylvania law.</w:t>
      </w:r>
    </w:p>
    <w:p>
      <w:pPr>
        <w:spacing w:after="0" w:line="164" w:lineRule="exact"/>
        <w:rPr>
          <w:sz w:val="20"/>
          <w:szCs w:val="20"/>
          <w:color w:val="auto"/>
        </w:rPr>
      </w:pPr>
    </w:p>
    <w:p>
      <w:pPr>
        <w:ind w:left="1960" w:right="300" w:hanging="1296"/>
        <w:spacing w:after="0" w:line="256" w:lineRule="auto"/>
        <w:tabs>
          <w:tab w:leader="none" w:pos="1940" w:val="left"/>
        </w:tabs>
        <w:rPr>
          <w:sz w:val="20"/>
          <w:szCs w:val="20"/>
          <w:color w:val="auto"/>
        </w:rPr>
      </w:pPr>
      <w:r>
        <w:rPr>
          <w:rFonts w:ascii="Arial" w:cs="Arial" w:eastAsia="Arial" w:hAnsi="Arial"/>
          <w:sz w:val="22"/>
          <w:szCs w:val="22"/>
          <w:b w:val="1"/>
          <w:bCs w:val="1"/>
          <w:color w:val="auto"/>
        </w:rPr>
        <w:t>Section 2.6.</w:t>
        <w:tab/>
        <w:t>Determination of Right to Indemnification or Advancing of Expenses Upon Application; Procedure Upon Application.</w:t>
      </w:r>
    </w:p>
    <w:p>
      <w:pPr>
        <w:spacing w:after="0" w:line="196" w:lineRule="exact"/>
        <w:rPr>
          <w:sz w:val="20"/>
          <w:szCs w:val="20"/>
          <w:color w:val="auto"/>
        </w:rPr>
      </w:pPr>
    </w:p>
    <w:p>
      <w:pPr>
        <w:ind w:right="220" w:firstLine="1305"/>
        <w:spacing w:after="0" w:line="238" w:lineRule="auto"/>
        <w:tabs>
          <w:tab w:leader="none" w:pos="1969" w:val="left"/>
        </w:tabs>
        <w:numPr>
          <w:ilvl w:val="0"/>
          <w:numId w:val="39"/>
        </w:numPr>
        <w:rPr>
          <w:rFonts w:ascii="Arial" w:cs="Arial" w:eastAsia="Arial" w:hAnsi="Arial"/>
          <w:sz w:val="22"/>
          <w:szCs w:val="22"/>
          <w:color w:val="auto"/>
        </w:rPr>
      </w:pPr>
      <w:r>
        <w:rPr>
          <w:rFonts w:ascii="Arial" w:cs="Arial" w:eastAsia="Arial" w:hAnsi="Arial"/>
          <w:sz w:val="22"/>
          <w:szCs w:val="22"/>
          <w:color w:val="auto"/>
        </w:rPr>
        <w:t>Indemnification under Sections 2.1 and 2.2 shall be made promptly, and in any event within 90 days of the Indemnified Person’s written request therefore, unless a determination is made reasonably and within such 90-day period by the Company, in the manner provided in Section 2.6(b), that the Indemnified Person is not entitled to indemnification under Pennsylvania law.</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1305"/>
        <w:spacing w:after="0" w:line="297" w:lineRule="auto"/>
        <w:tabs>
          <w:tab w:leader="none" w:pos="1981"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determination to be made by the Company under Section 2.6(a) shall be based on the facts known at the time and shall be made (i) by the Board of Directors by a majority vote of a quorum consisting of directors who were not parties to the Proceeding (“disinterested directors”); (ii) if such a quorum is not obtainable, by independent legal counsel in a written opinion;</w:t>
      </w:r>
    </w:p>
    <w:p>
      <w:pPr>
        <w:sectPr>
          <w:pgSz w:w="11900" w:h="16958" w:orient="portrait"/>
          <w:cols w:equalWidth="0" w:num="1">
            <w:col w:w="11400"/>
          </w:cols>
          <w:pgMar w:left="240" w:top="112" w:right="259" w:bottom="0" w:gutter="0" w:footer="0" w:header="0"/>
        </w:sectPr>
      </w:pPr>
    </w:p>
    <w:bookmarkStart w:id="51" w:name="page52"/>
    <w:bookmarkEnd w:id="51"/>
    <w:p>
      <w:pPr>
        <w:ind w:right="380"/>
        <w:spacing w:after="0" w:line="251" w:lineRule="auto"/>
        <w:rPr>
          <w:sz w:val="20"/>
          <w:szCs w:val="20"/>
          <w:color w:val="auto"/>
        </w:rPr>
      </w:pPr>
      <w:r>
        <w:rPr>
          <w:rFonts w:ascii="Arial" w:cs="Arial" w:eastAsia="Arial" w:hAnsi="Arial"/>
          <w:sz w:val="22"/>
          <w:szCs w:val="22"/>
          <w:color w:val="auto"/>
        </w:rPr>
        <w:t>or (iii) if such a quorum is obtainable and a majority vote of a quorum of disinterested directors so directs, by independent legal counsel in a written opinion; or (iv) by the shareholders of the Company.</w:t>
      </w:r>
    </w:p>
    <w:p>
      <w:pPr>
        <w:spacing w:after="0" w:line="201" w:lineRule="exact"/>
        <w:rPr>
          <w:sz w:val="20"/>
          <w:szCs w:val="20"/>
          <w:color w:val="auto"/>
        </w:rPr>
      </w:pPr>
    </w:p>
    <w:p>
      <w:pPr>
        <w:ind w:right="180" w:firstLine="1305"/>
        <w:spacing w:after="0"/>
        <w:tabs>
          <w:tab w:leader="none" w:pos="1969"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The right to indemnification hereunder shall be enforceable by the Indemnified Person in any court of competent jurisdiction if the Indemnified Person’s claim therefore is denied, in whole or in part, in the manner provided herein, or if no disposition of such claim is made within the aforesaid 90-day period.</w:t>
      </w:r>
    </w:p>
    <w:p>
      <w:pPr>
        <w:spacing w:after="0" w:line="213" w:lineRule="exact"/>
        <w:rPr>
          <w:rFonts w:ascii="Arial" w:cs="Arial" w:eastAsia="Arial" w:hAnsi="Arial"/>
          <w:sz w:val="22"/>
          <w:szCs w:val="22"/>
          <w:color w:val="auto"/>
        </w:rPr>
      </w:pPr>
    </w:p>
    <w:p>
      <w:pPr>
        <w:ind w:right="60" w:firstLine="1305"/>
        <w:spacing w:after="0" w:line="274" w:lineRule="auto"/>
        <w:tabs>
          <w:tab w:leader="none" w:pos="1981" w:val="left"/>
        </w:tabs>
        <w:numPr>
          <w:ilvl w:val="1"/>
          <w:numId w:val="41"/>
        </w:numPr>
        <w:rPr>
          <w:rFonts w:ascii="Arial" w:cs="Arial" w:eastAsia="Arial" w:hAnsi="Arial"/>
          <w:sz w:val="19"/>
          <w:szCs w:val="19"/>
          <w:color w:val="auto"/>
        </w:rPr>
      </w:pPr>
      <w:r>
        <w:rPr>
          <w:rFonts w:ascii="Arial" w:cs="Arial" w:eastAsia="Arial" w:hAnsi="Arial"/>
          <w:sz w:val="19"/>
          <w:szCs w:val="19"/>
          <w:color w:val="auto"/>
        </w:rPr>
        <w:t>It shall be a defense to an action under Section 2.6(c) that the Indemnified Person has not met the standards of conduct under Pennsylvania law which make it permissible hereunder for the Company to indemnify the Indemnified Person for the amount claimed, but the burden of proving such defense shall be on the Company. Neither the failure of the Company (including the Board, independent legal counsel, or its shareholders, as the case may be) to have made a determination prior to the commencement of such action that indemnification of the Indemnified Person is proper in the circumstances because the Indemnified Person has met the applicable standards of conduct under Pennsylvania law, nor an actual determination by the Company (including the Board, independent legal counsel, or its shareholders, as the case may be) that the Indemnified Person had not met such applicable standards of conduct, shall be a defense to the Indemnified Person’s action or create a presumption that the Indemnified Person had not met the applicable standards of conduct.</w:t>
      </w:r>
    </w:p>
    <w:p>
      <w:pPr>
        <w:spacing w:after="0" w:line="185" w:lineRule="exact"/>
        <w:rPr>
          <w:rFonts w:ascii="Arial" w:cs="Arial" w:eastAsia="Arial" w:hAnsi="Arial"/>
          <w:sz w:val="19"/>
          <w:szCs w:val="19"/>
          <w:color w:val="auto"/>
        </w:rPr>
      </w:pPr>
    </w:p>
    <w:p>
      <w:pPr>
        <w:ind w:right="140" w:firstLine="1305"/>
        <w:spacing w:after="0" w:line="251" w:lineRule="auto"/>
        <w:tabs>
          <w:tab w:leader="none" w:pos="1969"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The Indemnified Person’s Litigation Costs incurred in connection with successfully establishing his right to indemnification or advances, in whole or in part, shall also be indemnified by the Company.</w:t>
      </w:r>
    </w:p>
    <w:p>
      <w:pPr>
        <w:spacing w:after="0" w:line="200" w:lineRule="exact"/>
        <w:rPr>
          <w:rFonts w:ascii="Arial" w:cs="Arial" w:eastAsia="Arial" w:hAnsi="Arial"/>
          <w:sz w:val="22"/>
          <w:szCs w:val="22"/>
          <w:color w:val="auto"/>
        </w:rPr>
      </w:pPr>
    </w:p>
    <w:p>
      <w:pPr>
        <w:ind w:right="20" w:firstLine="1305"/>
        <w:spacing w:after="0" w:line="268" w:lineRule="auto"/>
        <w:tabs>
          <w:tab w:leader="none" w:pos="1999" w:val="left"/>
        </w:tabs>
        <w:numPr>
          <w:ilvl w:val="1"/>
          <w:numId w:val="41"/>
        </w:numPr>
        <w:rPr>
          <w:rFonts w:ascii="Arial" w:cs="Arial" w:eastAsia="Arial" w:hAnsi="Arial"/>
          <w:sz w:val="19"/>
          <w:szCs w:val="19"/>
          <w:color w:val="auto"/>
        </w:rPr>
      </w:pPr>
      <w:r>
        <w:rPr>
          <w:rFonts w:ascii="Arial" w:cs="Arial" w:eastAsia="Arial" w:hAnsi="Arial"/>
          <w:sz w:val="19"/>
          <w:szCs w:val="19"/>
          <w:color w:val="auto"/>
        </w:rPr>
        <w:t>With respect to any Proceeding (other than a Derivative Proceeding) for which indemnification is requested, the Company will be entitled to participate therein at its own expense and, except as otherwise provided below, the Company may assume the defense thereof, with counsel satisfactory to the Indemnified Person. After notice from the Company to the Indemnified Person of its election to assume the defense of a Proceeding, the Company will not be liable to the Indemnified Person under this Agreement for any Litigation Costs subsequently incurred by the Indemnified Person in connection with the defense thereof, other than as provided below. The Company shall not settle any Proceeding in any manner which would impose any penalty or limitation on the Indemnified Person without his written consent. The Indemnified Person shall have the right to employ counsel in any Proceeding but the fees and expenses of such counsel incurred after notice from the Company of its assumption of the defense of the Proceeding shall be at the expense of the Indemnified Person, unless (i) the employment of counsel by the Indemnified Person has been authorized by the Company; (ii) the Indemnified Person shall have reasonably concluded that there may be a conflict of interest between the Company and the Indemnified Person in the conduct of the defense of a Proceeding; or</w:t>
      </w:r>
    </w:p>
    <w:p>
      <w:pPr>
        <w:spacing w:after="0" w:line="8" w:lineRule="exact"/>
        <w:rPr>
          <w:rFonts w:ascii="Arial" w:cs="Arial" w:eastAsia="Arial" w:hAnsi="Arial"/>
          <w:sz w:val="19"/>
          <w:szCs w:val="19"/>
          <w:color w:val="auto"/>
        </w:rPr>
      </w:pPr>
    </w:p>
    <w:p>
      <w:pPr>
        <w:ind w:left="380" w:hanging="372"/>
        <w:spacing w:after="0"/>
        <w:tabs>
          <w:tab w:leader="none" w:pos="38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Company shall not in fact have employed counsel to assume the defense of a</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9"/>
          <w:szCs w:val="19"/>
          <w:color w:val="auto"/>
        </w:rPr>
        <w:t>Proceeding, in each of which cases the fees and expenses of the Indemnified Person’s counsel shall be advanced by the Company.</w:t>
      </w:r>
    </w:p>
    <w:p>
      <w:pPr>
        <w:spacing w:after="0" w:line="26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2.7.</w:t>
      </w:r>
      <w:r>
        <w:rPr>
          <w:sz w:val="20"/>
          <w:szCs w:val="20"/>
          <w:color w:val="auto"/>
        </w:rPr>
        <w:tab/>
      </w:r>
      <w:r>
        <w:rPr>
          <w:rFonts w:ascii="Arial" w:cs="Arial" w:eastAsia="Arial" w:hAnsi="Arial"/>
          <w:sz w:val="18"/>
          <w:szCs w:val="18"/>
          <w:b w:val="1"/>
          <w:bCs w:val="1"/>
          <w:color w:val="auto"/>
        </w:rPr>
        <w:t>Exclusions.</w:t>
      </w:r>
    </w:p>
    <w:p>
      <w:pPr>
        <w:spacing w:after="0" w:line="239" w:lineRule="exact"/>
        <w:rPr>
          <w:sz w:val="20"/>
          <w:szCs w:val="20"/>
          <w:color w:val="auto"/>
        </w:rPr>
      </w:pPr>
    </w:p>
    <w:p>
      <w:pPr>
        <w:ind w:firstLine="1305"/>
        <w:spacing w:after="0" w:line="275" w:lineRule="auto"/>
        <w:tabs>
          <w:tab w:leader="none" w:pos="1969"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Company shall not be liable to make any payment hereunder (whether in the nature of indemnification or contribution) to the extent payment is actually made to the Indemnified Person under a valid, enforceable and collectible insurance policy (the “Insurance Policy”). If the Indemnified Person is required to pay any amount that the Company is obligated to pay hereunder except for the exclusion in this subsection, before payment is reasonably expected to be made under the Insurance Policy, the Company shall promptly advance the amount the Indemnified Person is required to pay for which the Company is liable hereunder. Any advance by the Company shall be made with the undertaking of the Indemnified Person, which hereby is given, that the Indemnified Person shall immediately pay over to the Company, from the funds the Indemnified Person later receives under the Insurance Policy, an amount equal to the amount which the Company advanced pursuant to this subsection.</w:t>
      </w:r>
    </w:p>
    <w:p>
      <w:pPr>
        <w:spacing w:after="0" w:line="185" w:lineRule="exact"/>
        <w:rPr>
          <w:rFonts w:ascii="Arial" w:cs="Arial" w:eastAsia="Arial" w:hAnsi="Arial"/>
          <w:sz w:val="19"/>
          <w:szCs w:val="19"/>
          <w:color w:val="auto"/>
        </w:rPr>
      </w:pPr>
    </w:p>
    <w:p>
      <w:pPr>
        <w:ind w:right="140" w:firstLine="1305"/>
        <w:spacing w:after="0" w:line="275" w:lineRule="auto"/>
        <w:tabs>
          <w:tab w:leader="none" w:pos="1981"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Company shall not be liable hereunder for amounts paid in settlement of a Proceeding effected without its written consent, which consent may not be unreasonably withheld. Without intending to limit the circumstances in which it would be unreasonable for the Company to withhold its consent to a settlement, the parties agree that it would be unreasonable for the Company to withhold its consent (i) to a settlement in an amount that did not exceed, in the judgment of the Board, the estimated amount of Litigation Costs of the Indemnified Person to litigate the Proceeding to conclusion or (ii) with respect to a Proceeding other than a Derivative Proceeding, to any settlement proposed by the Indemnified Person unless a determination is made reasonably and within 90 days of being proposed by the Company, in the manner provided in Section 2.6(b), that the Indemnified Person is not entitled to indemnification under Pennsylvania law.</w:t>
      </w:r>
    </w:p>
    <w:p>
      <w:pPr>
        <w:spacing w:after="0" w:line="185" w:lineRule="exact"/>
        <w:rPr>
          <w:rFonts w:ascii="Arial" w:cs="Arial" w:eastAsia="Arial" w:hAnsi="Arial"/>
          <w:sz w:val="19"/>
          <w:szCs w:val="19"/>
          <w:color w:val="auto"/>
        </w:rPr>
      </w:pPr>
    </w:p>
    <w:p>
      <w:pPr>
        <w:ind w:right="240" w:firstLine="1305"/>
        <w:spacing w:after="0" w:line="251" w:lineRule="auto"/>
        <w:tabs>
          <w:tab w:leader="none" w:pos="1969"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Company shall not be liable hereunder for any Fine imposed by law which the Company is prohibited by applicable law from paying as indemnity or otherwise.</w:t>
      </w:r>
    </w:p>
    <w:p>
      <w:pPr>
        <w:spacing w:after="0" w:line="200" w:lineRule="exact"/>
        <w:rPr>
          <w:rFonts w:ascii="Arial" w:cs="Arial" w:eastAsia="Arial" w:hAnsi="Arial"/>
          <w:sz w:val="22"/>
          <w:szCs w:val="22"/>
          <w:color w:val="auto"/>
        </w:rPr>
      </w:pPr>
    </w:p>
    <w:p>
      <w:pPr>
        <w:ind w:right="280" w:firstLine="1305"/>
        <w:spacing w:after="0"/>
        <w:tabs>
          <w:tab w:leader="none" w:pos="1981" w:val="left"/>
        </w:tabs>
        <w:numPr>
          <w:ilvl w:val="0"/>
          <w:numId w:val="43"/>
        </w:numPr>
        <w:rPr>
          <w:rFonts w:ascii="Arial" w:cs="Arial" w:eastAsia="Arial" w:hAnsi="Arial"/>
          <w:sz w:val="22"/>
          <w:szCs w:val="22"/>
          <w:color w:val="auto"/>
        </w:rPr>
      </w:pPr>
      <w:r>
        <w:rPr>
          <w:rFonts w:ascii="Arial" w:cs="Arial" w:eastAsia="Arial" w:hAnsi="Arial"/>
          <w:sz w:val="22"/>
          <w:szCs w:val="22"/>
          <w:color w:val="auto"/>
        </w:rPr>
        <w:t>Indemnification pursuant to this Agreement shall not be made by the Company in any case where the Indemnified Person’s act or failure to act giving rise to the claim for indemnification is determined by a court to have constituted willful misconduct or recklessness.</w:t>
      </w:r>
    </w:p>
    <w:p>
      <w:pPr>
        <w:spacing w:after="0" w:line="20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2.8.</w:t>
      </w:r>
      <w:r>
        <w:rPr>
          <w:sz w:val="20"/>
          <w:szCs w:val="20"/>
          <w:color w:val="auto"/>
        </w:rPr>
        <w:tab/>
      </w:r>
      <w:r>
        <w:rPr>
          <w:rFonts w:ascii="Arial" w:cs="Arial" w:eastAsia="Arial" w:hAnsi="Arial"/>
          <w:sz w:val="19"/>
          <w:szCs w:val="19"/>
          <w:b w:val="1"/>
          <w:bCs w:val="1"/>
          <w:color w:val="auto"/>
        </w:rPr>
        <w:t>Contribution.</w:t>
      </w:r>
    </w:p>
    <w:p>
      <w:pPr>
        <w:sectPr>
          <w:pgSz w:w="11900" w:h="16838" w:orient="portrait"/>
          <w:cols w:equalWidth="0" w:num="1">
            <w:col w:w="11420"/>
          </w:cols>
          <w:pgMar w:left="240" w:top="118" w:right="239" w:bottom="0" w:gutter="0" w:footer="0" w:header="0"/>
        </w:sectPr>
      </w:pPr>
    </w:p>
    <w:bookmarkStart w:id="52" w:name="page53"/>
    <w:bookmarkEnd w:id="52"/>
    <w:p>
      <w:pPr>
        <w:ind w:right="60" w:firstLine="1297"/>
        <w:spacing w:after="0" w:line="279" w:lineRule="auto"/>
        <w:rPr>
          <w:sz w:val="20"/>
          <w:szCs w:val="20"/>
          <w:color w:val="auto"/>
        </w:rPr>
      </w:pPr>
      <w:r>
        <w:rPr>
          <w:rFonts w:ascii="Arial" w:cs="Arial" w:eastAsia="Arial" w:hAnsi="Arial"/>
          <w:sz w:val="19"/>
          <w:szCs w:val="19"/>
          <w:color w:val="auto"/>
        </w:rPr>
        <w:t>In order to provide for just and equitable contribution in circumstances in which the indemnification provided for herein is held by a court of competent jurisdiction to be unavailable to the Indemnified Person in whole or part, the parties agree that, in such event, the Company shall contribute to the payment of the Indemnified Person’s Losses in an amount that is just and equitable in the circumstances, taking into account, among other things, contributions by other directors and officers of the Company pursuant to indemnification agreements to which they are parties with the Company or otherwise. The Company and the Indemnified Person agree that, in the absence of personal enrichment of the Indemnified Person, or acts of intentional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40"/>
        <w:spacing w:after="0" w:line="270" w:lineRule="auto"/>
        <w:rPr>
          <w:sz w:val="20"/>
          <w:szCs w:val="20"/>
          <w:color w:val="auto"/>
        </w:rPr>
      </w:pPr>
      <w:r>
        <w:rPr>
          <w:rFonts w:ascii="Arial" w:cs="Arial" w:eastAsia="Arial" w:hAnsi="Arial"/>
          <w:sz w:val="19"/>
          <w:szCs w:val="19"/>
          <w:color w:val="auto"/>
        </w:rPr>
        <w:t>fraud or dishonesty or criminal conduct on the part of the Indemnified Person, it would not be just and equitable for the Indemnified Person to contribute to the payment of Losses arising out of a Proceeding (including a Derivative Proceeding) in an amount greater than: (i) in a case where the Indemnified Person is a director of the Company or any of its subsidiaries but not an officer of either, the amount of all annual Board and committee retainers and meeting fees paid to the Indemnified Person for serving as a director during the 12 months preceding the commencement of such Proceeding; or (ii) in a case where the Indemnified Person is a director of the Company or any of its subsidiaries and is an officer of either, the amount set forth in clause</w:t>
      </w:r>
    </w:p>
    <w:p>
      <w:pPr>
        <w:spacing w:after="0" w:line="2" w:lineRule="exact"/>
        <w:rPr>
          <w:sz w:val="20"/>
          <w:szCs w:val="20"/>
          <w:color w:val="auto"/>
        </w:rPr>
      </w:pPr>
    </w:p>
    <w:p>
      <w:pPr>
        <w:ind w:right="100" w:firstLine="8"/>
        <w:spacing w:after="0" w:line="277" w:lineRule="auto"/>
        <w:tabs>
          <w:tab w:leader="none" w:pos="258" w:val="left"/>
        </w:tabs>
        <w:numPr>
          <w:ilvl w:val="0"/>
          <w:numId w:val="44"/>
        </w:numPr>
        <w:rPr>
          <w:rFonts w:ascii="Arial" w:cs="Arial" w:eastAsia="Arial" w:hAnsi="Arial"/>
          <w:sz w:val="19"/>
          <w:szCs w:val="19"/>
          <w:color w:val="auto"/>
        </w:rPr>
      </w:pPr>
      <w:r>
        <w:rPr>
          <w:rFonts w:ascii="Arial" w:cs="Arial" w:eastAsia="Arial" w:hAnsi="Arial"/>
          <w:sz w:val="19"/>
          <w:szCs w:val="19"/>
          <w:color w:val="auto"/>
        </w:rPr>
        <w:t>plus 5% of the annual base salary paid to the Indemnified Person for serving as such officer(s) during the 12 months preceding the commencement of such Proceeding; or (iii) in a case where the Indemnified Person is only an officer of the Company or any of its subsidiaries, 5% of the annual base salary paid to the Indemnified Person for serving as such officer(s) during the 12 months preceding the commencement of such Proceeding. The Company shall contribute to the payment of Losses covered hereby to the extent not payable by the Indemnified Person pursuant to the contribution provisions set forth in the preceding sentence.</w:t>
      </w:r>
    </w:p>
    <w:p>
      <w:pPr>
        <w:spacing w:after="0" w:line="17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2.9.</w:t>
      </w:r>
      <w:r>
        <w:rPr>
          <w:sz w:val="20"/>
          <w:szCs w:val="20"/>
          <w:color w:val="auto"/>
        </w:rPr>
        <w:tab/>
      </w:r>
      <w:r>
        <w:rPr>
          <w:rFonts w:ascii="Arial" w:cs="Arial" w:eastAsia="Arial" w:hAnsi="Arial"/>
          <w:sz w:val="19"/>
          <w:szCs w:val="19"/>
          <w:b w:val="1"/>
          <w:bCs w:val="1"/>
          <w:color w:val="auto"/>
        </w:rPr>
        <w:t>Notice to the Company; Cooperation.</w:t>
      </w:r>
    </w:p>
    <w:p>
      <w:pPr>
        <w:spacing w:after="0" w:line="239" w:lineRule="exact"/>
        <w:rPr>
          <w:sz w:val="20"/>
          <w:szCs w:val="20"/>
          <w:color w:val="auto"/>
        </w:rPr>
      </w:pPr>
    </w:p>
    <w:p>
      <w:pPr>
        <w:ind w:right="300" w:firstLine="1305"/>
        <w:spacing w:after="0" w:line="251" w:lineRule="auto"/>
        <w:tabs>
          <w:tab w:leader="none" w:pos="1969"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Indemnified Person shall give the Company notice, as soon as practicable, of any claim made against the Indemnified Person for which indemnification will be or could be sought hereunder.</w:t>
      </w:r>
    </w:p>
    <w:p>
      <w:pPr>
        <w:spacing w:after="0" w:line="200" w:lineRule="exact"/>
        <w:rPr>
          <w:rFonts w:ascii="Arial" w:cs="Arial" w:eastAsia="Arial" w:hAnsi="Arial"/>
          <w:sz w:val="22"/>
          <w:szCs w:val="22"/>
          <w:color w:val="auto"/>
        </w:rPr>
      </w:pPr>
    </w:p>
    <w:p>
      <w:pPr>
        <w:ind w:right="460" w:firstLine="1305"/>
        <w:spacing w:after="0" w:line="251" w:lineRule="auto"/>
        <w:tabs>
          <w:tab w:leader="none" w:pos="1981"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Indemnified Person shall give the Company such cooperation and information as it may reasonably require in connection with any claim by the Indemnified Person hereunder.</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2.10.  Other Rights and Remedies.</w:t>
      </w:r>
    </w:p>
    <w:p>
      <w:pPr>
        <w:spacing w:after="0" w:line="239" w:lineRule="exact"/>
        <w:rPr>
          <w:sz w:val="20"/>
          <w:szCs w:val="20"/>
          <w:color w:val="auto"/>
        </w:rPr>
      </w:pPr>
    </w:p>
    <w:p>
      <w:pPr>
        <w:ind w:firstLine="1297"/>
        <w:spacing w:after="0" w:line="236" w:lineRule="auto"/>
        <w:rPr>
          <w:sz w:val="20"/>
          <w:szCs w:val="20"/>
          <w:color w:val="auto"/>
        </w:rPr>
      </w:pPr>
      <w:r>
        <w:rPr>
          <w:rFonts w:ascii="Arial" w:cs="Arial" w:eastAsia="Arial" w:hAnsi="Arial"/>
          <w:sz w:val="22"/>
          <w:szCs w:val="22"/>
          <w:color w:val="auto"/>
        </w:rPr>
        <w:t>The rights provided hereby shall not be deemed exclusive of any other right to which the Indemnified Person may be entitled under any statute, applicable charter or bylaw provision, agreement, vote of shareholders or of disinterested directors or otherwise, both as to action in the Indemnified Person’s official capacity and as to action in another capacity while holding such office, and shall continue after the Indemnified Person ceases to serve the Company in the position identified in the Introduction hereof.</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2.11.  Serving at the Company’s Request.</w:t>
      </w:r>
    </w:p>
    <w:p>
      <w:pPr>
        <w:spacing w:after="0" w:line="239" w:lineRule="exact"/>
        <w:rPr>
          <w:sz w:val="20"/>
          <w:szCs w:val="20"/>
          <w:color w:val="auto"/>
        </w:rPr>
      </w:pPr>
    </w:p>
    <w:p>
      <w:pPr>
        <w:ind w:right="140" w:firstLine="1297"/>
        <w:spacing w:after="0" w:line="251" w:lineRule="auto"/>
        <w:rPr>
          <w:sz w:val="20"/>
          <w:szCs w:val="20"/>
          <w:color w:val="auto"/>
        </w:rPr>
      </w:pPr>
      <w:r>
        <w:rPr>
          <w:rFonts w:ascii="Arial" w:cs="Arial" w:eastAsia="Arial" w:hAnsi="Arial"/>
          <w:sz w:val="22"/>
          <w:szCs w:val="22"/>
          <w:color w:val="auto"/>
        </w:rPr>
        <w:t>References in Article Two to “serving at the request of the Company” include service with respect to any employee benefit plan or trust, its participants or beneficiaries.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2.12.  Proceedings Initiated by the Indemnified Person.</w:t>
      </w:r>
    </w:p>
    <w:p>
      <w:pPr>
        <w:spacing w:after="0" w:line="239" w:lineRule="exact"/>
        <w:rPr>
          <w:sz w:val="20"/>
          <w:szCs w:val="20"/>
          <w:color w:val="auto"/>
        </w:rPr>
      </w:pPr>
    </w:p>
    <w:p>
      <w:pPr>
        <w:ind w:right="20" w:firstLine="1297"/>
        <w:spacing w:after="0" w:line="236" w:lineRule="auto"/>
        <w:rPr>
          <w:sz w:val="20"/>
          <w:szCs w:val="20"/>
          <w:color w:val="auto"/>
        </w:rPr>
      </w:pPr>
      <w:r>
        <w:rPr>
          <w:rFonts w:ascii="Arial" w:cs="Arial" w:eastAsia="Arial" w:hAnsi="Arial"/>
          <w:sz w:val="22"/>
          <w:szCs w:val="22"/>
          <w:color w:val="auto"/>
        </w:rPr>
        <w:t>No payment pursuant to this Agreement shall be made by the Company to indemnify or advance funds to the Indemnified Person for Litigation Costs with respect to Proceedings initiated, brought, participated in or joined in voluntarily by the Indemnified Person and not by way of affirmative defense or counterclaim, except with respect to Proceedings brought to establish or enforce a right to indemnification or advancement of Litigation Costs under this Agreement or as otherwise required by Pennsylvania law, but such indemnification or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380"/>
        <w:spacing w:after="0" w:line="251" w:lineRule="auto"/>
        <w:rPr>
          <w:sz w:val="20"/>
          <w:szCs w:val="20"/>
          <w:color w:val="auto"/>
        </w:rPr>
      </w:pPr>
      <w:r>
        <w:rPr>
          <w:rFonts w:ascii="Arial" w:cs="Arial" w:eastAsia="Arial" w:hAnsi="Arial"/>
          <w:sz w:val="22"/>
          <w:szCs w:val="22"/>
          <w:color w:val="auto"/>
        </w:rPr>
        <w:t>advancement of Litigation Costs may be provided by the Company in specific cases if, by majority vote, the Board of Directors finds it to be appropriate.</w:t>
      </w:r>
    </w:p>
    <w:p>
      <w:pPr>
        <w:spacing w:after="0" w:line="194"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ARTICLE THREE</w:t>
      </w:r>
    </w:p>
    <w:p>
      <w:pPr>
        <w:spacing w:after="0" w:line="14"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MISCELLANEOUS</w:t>
      </w:r>
    </w:p>
    <w:p>
      <w:pPr>
        <w:spacing w:after="0" w:line="20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3.1.</w:t>
      </w:r>
      <w:r>
        <w:rPr>
          <w:sz w:val="20"/>
          <w:szCs w:val="20"/>
          <w:color w:val="auto"/>
        </w:rPr>
        <w:tab/>
      </w:r>
      <w:r>
        <w:rPr>
          <w:rFonts w:ascii="Arial" w:cs="Arial" w:eastAsia="Arial" w:hAnsi="Arial"/>
          <w:sz w:val="19"/>
          <w:szCs w:val="19"/>
          <w:b w:val="1"/>
          <w:bCs w:val="1"/>
          <w:color w:val="auto"/>
        </w:rPr>
        <w:t>Binding Effect.</w:t>
      </w:r>
    </w:p>
    <w:p>
      <w:pPr>
        <w:spacing w:after="0" w:line="239" w:lineRule="exact"/>
        <w:rPr>
          <w:sz w:val="20"/>
          <w:szCs w:val="20"/>
          <w:color w:val="auto"/>
        </w:rPr>
      </w:pPr>
    </w:p>
    <w:p>
      <w:pPr>
        <w:ind w:right="120" w:firstLine="1297"/>
        <w:spacing w:after="0"/>
        <w:rPr>
          <w:sz w:val="20"/>
          <w:szCs w:val="20"/>
          <w:color w:val="auto"/>
        </w:rPr>
      </w:pPr>
      <w:r>
        <w:rPr>
          <w:rFonts w:ascii="Arial" w:cs="Arial" w:eastAsia="Arial" w:hAnsi="Arial"/>
          <w:sz w:val="22"/>
          <w:szCs w:val="22"/>
          <w:color w:val="auto"/>
        </w:rPr>
        <w:t>This Agreement shall be binding upon all successors and assigns of the Company (including any transferee of all or substantially all of its assets and any successor by merger or operation of law) and shall inure to the benefit of the heirs, personal representatives and estate of the Indemnified Person.</w:t>
      </w:r>
    </w:p>
    <w:p>
      <w:pPr>
        <w:sectPr>
          <w:pgSz w:w="11900" w:h="16838" w:orient="portrait"/>
          <w:cols w:equalWidth="0" w:num="1">
            <w:col w:w="11420"/>
          </w:cols>
          <w:pgMar w:left="240" w:top="118" w:right="239" w:bottom="0" w:gutter="0" w:footer="0" w:header="0"/>
        </w:sectPr>
      </w:pPr>
    </w:p>
    <w:bookmarkStart w:id="53" w:name="page54"/>
    <w:bookmarkEnd w:id="53"/>
    <w:p>
      <w:pPr>
        <w:spacing w:after="0" w:line="8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3.2.</w:t>
      </w:r>
      <w:r>
        <w:rPr>
          <w:sz w:val="20"/>
          <w:szCs w:val="20"/>
          <w:color w:val="auto"/>
        </w:rPr>
        <w:tab/>
      </w:r>
      <w:r>
        <w:rPr>
          <w:rFonts w:ascii="Arial" w:cs="Arial" w:eastAsia="Arial" w:hAnsi="Arial"/>
          <w:sz w:val="18"/>
          <w:szCs w:val="18"/>
          <w:b w:val="1"/>
          <w:bCs w:val="1"/>
          <w:color w:val="auto"/>
        </w:rPr>
        <w:t>Savings Clause.</w:t>
      </w:r>
    </w:p>
    <w:p>
      <w:pPr>
        <w:spacing w:after="0" w:line="240" w:lineRule="exact"/>
        <w:rPr>
          <w:sz w:val="20"/>
          <w:szCs w:val="20"/>
          <w:color w:val="auto"/>
        </w:rPr>
      </w:pPr>
    </w:p>
    <w:p>
      <w:pPr>
        <w:ind w:right="140" w:firstLine="1297"/>
        <w:spacing w:after="0" w:line="258" w:lineRule="auto"/>
        <w:rPr>
          <w:sz w:val="20"/>
          <w:szCs w:val="20"/>
          <w:color w:val="auto"/>
        </w:rPr>
      </w:pPr>
      <w:r>
        <w:rPr>
          <w:rFonts w:ascii="Arial" w:cs="Arial" w:eastAsia="Arial" w:hAnsi="Arial"/>
          <w:sz w:val="21"/>
          <w:szCs w:val="21"/>
          <w:color w:val="auto"/>
        </w:rPr>
        <w:t>If all or any portion of any section hereof is held invalid or unenforceable on any ground by any court of competent jurisdiction, the Company nevertheless shall indemnify the Indemnified Person for his Losses to the full extent permitted by any applicable portion hereof that has not been held invalid or unenforceable or by any other applicable law.</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3.3.</w:t>
      </w:r>
      <w:r>
        <w:rPr>
          <w:sz w:val="20"/>
          <w:szCs w:val="20"/>
          <w:color w:val="auto"/>
        </w:rPr>
        <w:tab/>
      </w:r>
      <w:r>
        <w:rPr>
          <w:rFonts w:ascii="Arial" w:cs="Arial" w:eastAsia="Arial" w:hAnsi="Arial"/>
          <w:sz w:val="19"/>
          <w:szCs w:val="19"/>
          <w:b w:val="1"/>
          <w:bCs w:val="1"/>
          <w:color w:val="auto"/>
        </w:rPr>
        <w:t>Governing Law.</w:t>
      </w:r>
    </w:p>
    <w:p>
      <w:pPr>
        <w:spacing w:after="0" w:line="239" w:lineRule="exact"/>
        <w:rPr>
          <w:sz w:val="20"/>
          <w:szCs w:val="20"/>
          <w:color w:val="auto"/>
        </w:rPr>
      </w:pPr>
    </w:p>
    <w:p>
      <w:pPr>
        <w:ind w:right="80" w:firstLine="1297"/>
        <w:spacing w:after="0" w:line="279" w:lineRule="auto"/>
        <w:rPr>
          <w:sz w:val="20"/>
          <w:szCs w:val="20"/>
          <w:color w:val="auto"/>
        </w:rPr>
      </w:pPr>
      <w:r>
        <w:rPr>
          <w:rFonts w:ascii="Arial" w:cs="Arial" w:eastAsia="Arial" w:hAnsi="Arial"/>
          <w:sz w:val="19"/>
          <w:szCs w:val="19"/>
          <w:color w:val="auto"/>
        </w:rPr>
        <w:t>The validity, construction, enforcement and interpretation of this Agreement shall be governed by the internal law (and not the law of conflicts) of Pennsylvania. This Agreement, in accordance with the Company’s bylaws, is intended to indemnify and advance Litigation Costs to an Indemnified Person to the fullest extent permitted by Pennsylvania law. As used herein, “to the fullest extent permitted by Pennsylvania law” means to the fullest extent permitted by Pennsylvania law as the same exists or hereafter may be amended, but in the case of any such amendment, only to the extent that such amendment permits the Company to provide broader indemnification rights than such law permitted the Company to provide prior to such amendment.</w:t>
      </w:r>
    </w:p>
    <w:p>
      <w:pPr>
        <w:spacing w:after="0" w:line="17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3.4.</w:t>
      </w:r>
      <w:r>
        <w:rPr>
          <w:sz w:val="20"/>
          <w:szCs w:val="20"/>
          <w:color w:val="auto"/>
        </w:rPr>
        <w:tab/>
      </w:r>
      <w:r>
        <w:rPr>
          <w:rFonts w:ascii="Arial" w:cs="Arial" w:eastAsia="Arial" w:hAnsi="Arial"/>
          <w:sz w:val="19"/>
          <w:szCs w:val="19"/>
          <w:b w:val="1"/>
          <w:bCs w:val="1"/>
          <w:color w:val="auto"/>
        </w:rPr>
        <w:t>Effect of Headings.</w:t>
      </w:r>
    </w:p>
    <w:p>
      <w:pPr>
        <w:spacing w:after="0" w:line="239" w:lineRule="exact"/>
        <w:rPr>
          <w:sz w:val="20"/>
          <w:szCs w:val="20"/>
          <w:color w:val="auto"/>
        </w:rPr>
      </w:pPr>
    </w:p>
    <w:p>
      <w:pPr>
        <w:ind w:right="940" w:firstLine="1297"/>
        <w:spacing w:after="0" w:line="251" w:lineRule="auto"/>
        <w:rPr>
          <w:sz w:val="20"/>
          <w:szCs w:val="20"/>
          <w:color w:val="auto"/>
        </w:rPr>
      </w:pPr>
      <w:r>
        <w:rPr>
          <w:rFonts w:ascii="Arial" w:cs="Arial" w:eastAsia="Arial" w:hAnsi="Arial"/>
          <w:sz w:val="22"/>
          <w:szCs w:val="22"/>
          <w:color w:val="auto"/>
        </w:rPr>
        <w:t>The Introduction and Article and Section headings herein are for convenience only and shall not affect the construction hereof.</w:t>
      </w:r>
    </w:p>
    <w:p>
      <w:pPr>
        <w:spacing w:after="0" w:line="19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3.5.</w:t>
      </w:r>
      <w:r>
        <w:rPr>
          <w:sz w:val="20"/>
          <w:szCs w:val="20"/>
          <w:color w:val="auto"/>
        </w:rPr>
        <w:tab/>
      </w:r>
      <w:r>
        <w:rPr>
          <w:rFonts w:ascii="Arial" w:cs="Arial" w:eastAsia="Arial" w:hAnsi="Arial"/>
          <w:sz w:val="18"/>
          <w:szCs w:val="18"/>
          <w:b w:val="1"/>
          <w:bCs w:val="1"/>
          <w:color w:val="auto"/>
        </w:rPr>
        <w:t>Notices.</w:t>
      </w:r>
    </w:p>
    <w:p>
      <w:pPr>
        <w:spacing w:after="0" w:line="239" w:lineRule="exact"/>
        <w:rPr>
          <w:sz w:val="20"/>
          <w:szCs w:val="20"/>
          <w:color w:val="auto"/>
        </w:rPr>
      </w:pPr>
    </w:p>
    <w:p>
      <w:pPr>
        <w:ind w:firstLine="1305"/>
        <w:spacing w:after="0" w:line="287" w:lineRule="auto"/>
        <w:tabs>
          <w:tab w:leader="none" w:pos="1969" w:val="left"/>
        </w:tabs>
        <w:numPr>
          <w:ilvl w:val="0"/>
          <w:numId w:val="46"/>
        </w:numPr>
        <w:rPr>
          <w:rFonts w:ascii="Arial" w:cs="Arial" w:eastAsia="Arial" w:hAnsi="Arial"/>
          <w:sz w:val="19"/>
          <w:szCs w:val="19"/>
          <w:color w:val="auto"/>
        </w:rPr>
      </w:pPr>
      <w:r>
        <w:rPr>
          <w:rFonts w:ascii="Arial" w:cs="Arial" w:eastAsia="Arial" w:hAnsi="Arial"/>
          <w:sz w:val="19"/>
          <w:szCs w:val="19"/>
          <w:color w:val="auto"/>
        </w:rPr>
        <w:t>Any notice, request or other communication hereunder to or on the Company or the Indemnified Person shall be in writing and delivered or sent by postage prepaid first-class mail, as follows: (i) if to the Company, addressed to Erie Indemnity Company, 100 Erie Insurance Place, Erie, Pennsylvania 16530, “Attention: Corporate Secretary;” and (ii) if to the Indemnified Person, addressed to the Indemnified Person at the address shown on the signature page hereof.</w:t>
      </w:r>
    </w:p>
    <w:p>
      <w:pPr>
        <w:spacing w:after="0" w:line="170" w:lineRule="exact"/>
        <w:rPr>
          <w:rFonts w:ascii="Arial" w:cs="Arial" w:eastAsia="Arial" w:hAnsi="Arial"/>
          <w:sz w:val="19"/>
          <w:szCs w:val="19"/>
          <w:color w:val="auto"/>
        </w:rPr>
      </w:pPr>
    </w:p>
    <w:p>
      <w:pPr>
        <w:ind w:right="400" w:firstLine="1305"/>
        <w:spacing w:after="0" w:line="251" w:lineRule="auto"/>
        <w:tabs>
          <w:tab w:leader="none" w:pos="1981" w:val="left"/>
        </w:tabs>
        <w:numPr>
          <w:ilvl w:val="0"/>
          <w:numId w:val="46"/>
        </w:numPr>
        <w:rPr>
          <w:rFonts w:ascii="Arial" w:cs="Arial" w:eastAsia="Arial" w:hAnsi="Arial"/>
          <w:sz w:val="22"/>
          <w:szCs w:val="22"/>
          <w:color w:val="auto"/>
        </w:rPr>
      </w:pPr>
      <w:r>
        <w:rPr>
          <w:rFonts w:ascii="Arial" w:cs="Arial" w:eastAsia="Arial" w:hAnsi="Arial"/>
          <w:sz w:val="22"/>
          <w:szCs w:val="22"/>
          <w:color w:val="auto"/>
        </w:rPr>
        <w:t>Either address referred to in the preceding subsection may be changed from time to time and shall be the most recent such address furnished in writing by the party</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auto"/>
        </w:rPr>
        <w:t>whose address has changed to the other party in the manner specified in the preceding subsection.</w:t>
      </w:r>
    </w:p>
    <w:p>
      <w:pPr>
        <w:spacing w:after="0" w:line="22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3.6.</w:t>
      </w:r>
      <w:r>
        <w:rPr>
          <w:sz w:val="20"/>
          <w:szCs w:val="20"/>
          <w:color w:val="auto"/>
        </w:rPr>
        <w:tab/>
      </w:r>
      <w:r>
        <w:rPr>
          <w:rFonts w:ascii="Arial" w:cs="Arial" w:eastAsia="Arial" w:hAnsi="Arial"/>
          <w:sz w:val="19"/>
          <w:szCs w:val="19"/>
          <w:b w:val="1"/>
          <w:bCs w:val="1"/>
          <w:color w:val="auto"/>
        </w:rPr>
        <w:t>Counterparts.</w:t>
      </w:r>
    </w:p>
    <w:p>
      <w:pPr>
        <w:spacing w:after="0" w:line="239" w:lineRule="exact"/>
        <w:rPr>
          <w:sz w:val="20"/>
          <w:szCs w:val="20"/>
          <w:color w:val="auto"/>
        </w:rPr>
      </w:pPr>
    </w:p>
    <w:p>
      <w:pPr>
        <w:ind w:right="40" w:firstLine="1297"/>
        <w:spacing w:after="0" w:line="258" w:lineRule="auto"/>
        <w:rPr>
          <w:sz w:val="20"/>
          <w:szCs w:val="20"/>
          <w:color w:val="auto"/>
        </w:rPr>
      </w:pPr>
      <w:r>
        <w:rPr>
          <w:rFonts w:ascii="Arial" w:cs="Arial" w:eastAsia="Arial" w:hAnsi="Arial"/>
          <w:sz w:val="21"/>
          <w:szCs w:val="21"/>
          <w:color w:val="auto"/>
        </w:rPr>
        <w:t>This Agreement may be executed in any number of counterparts. Each counterpart of an agreement so executed shall be deemed an original, but all such counterparts shall together constitute but one and the same instrument. In making proof of this Agreement, it shall not be necessary to produce or account for more than one counterpart.</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3.7.</w:t>
      </w:r>
      <w:r>
        <w:rPr>
          <w:sz w:val="20"/>
          <w:szCs w:val="20"/>
          <w:color w:val="auto"/>
        </w:rPr>
        <w:tab/>
      </w:r>
      <w:r>
        <w:rPr>
          <w:rFonts w:ascii="Arial" w:cs="Arial" w:eastAsia="Arial" w:hAnsi="Arial"/>
          <w:sz w:val="19"/>
          <w:szCs w:val="19"/>
          <w:b w:val="1"/>
          <w:bCs w:val="1"/>
          <w:color w:val="auto"/>
        </w:rPr>
        <w:t>Subrogation.</w:t>
      </w:r>
    </w:p>
    <w:p>
      <w:pPr>
        <w:spacing w:after="0" w:line="239" w:lineRule="exact"/>
        <w:rPr>
          <w:sz w:val="20"/>
          <w:szCs w:val="20"/>
          <w:color w:val="auto"/>
        </w:rPr>
      </w:pPr>
    </w:p>
    <w:p>
      <w:pPr>
        <w:ind w:right="60" w:firstLine="1297"/>
        <w:spacing w:after="0" w:line="238" w:lineRule="auto"/>
        <w:rPr>
          <w:sz w:val="20"/>
          <w:szCs w:val="20"/>
          <w:color w:val="auto"/>
        </w:rPr>
      </w:pPr>
      <w:r>
        <w:rPr>
          <w:rFonts w:ascii="Arial" w:cs="Arial" w:eastAsia="Arial" w:hAnsi="Arial"/>
          <w:sz w:val="22"/>
          <w:szCs w:val="22"/>
          <w:color w:val="auto"/>
        </w:rPr>
        <w:t>In the event of payment under this Agreement, the Company shall be subrogated to the extent of such payment to all of the rights of recovery of the Indemnified Person, who shall execute all papers required and shall do everything that may be necessary to secure such rights, including the execution of those documents necessary to enable the Company effectively to bring suit to enforce such rights.</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parties have caused this Agreement to be duly executed as of the date first written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200" w:lineRule="exact"/>
        <w:rPr>
          <w:sz w:val="20"/>
          <w:szCs w:val="20"/>
          <w:color w:val="auto"/>
        </w:rPr>
      </w:pPr>
    </w:p>
    <w:p>
      <w:pPr>
        <w:spacing w:after="0" w:line="252"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ERIE INDEMNITY COMPANY</w:t>
      </w:r>
    </w:p>
    <w:p>
      <w:pPr>
        <w:spacing w:after="0" w:line="200" w:lineRule="exact"/>
        <w:rPr>
          <w:sz w:val="20"/>
          <w:szCs w:val="20"/>
          <w:color w:val="auto"/>
        </w:rPr>
      </w:pPr>
    </w:p>
    <w:p>
      <w:pPr>
        <w:spacing w:after="0" w:line="272" w:lineRule="exact"/>
        <w:rPr>
          <w:sz w:val="20"/>
          <w:szCs w:val="20"/>
          <w:color w:val="auto"/>
        </w:rPr>
      </w:pPr>
    </w:p>
    <w:tbl>
      <w:tblPr>
        <w:tblLayout w:type="fixed"/>
        <w:tblInd w:w="5100" w:type="dxa"/>
        <w:tblCellMar>
          <w:top w:w="0" w:type="dxa"/>
          <w:left w:w="0" w:type="dxa"/>
          <w:bottom w:w="0" w:type="dxa"/>
          <w:right w:w="0" w:type="dxa"/>
        </w:tblCellMar>
      </w:tblPr>
      <w:tr>
        <w:trPr>
          <w:trHeight w:val="253"/>
        </w:trPr>
        <w:tc>
          <w:tcPr>
            <w:tcW w:w="820" w:type="dxa"/>
            <w:vAlign w:val="bottom"/>
            <w:gridSpan w:val="2"/>
          </w:tcPr>
          <w:p>
            <w:pPr>
              <w:spacing w:after="0"/>
              <w:rPr>
                <w:sz w:val="20"/>
                <w:szCs w:val="20"/>
                <w:color w:val="auto"/>
              </w:rPr>
            </w:pPr>
            <w:r>
              <w:rPr>
                <w:rFonts w:ascii="Arial" w:cs="Arial" w:eastAsia="Arial" w:hAnsi="Arial"/>
                <w:sz w:val="22"/>
                <w:szCs w:val="22"/>
                <w:color w:val="auto"/>
              </w:rPr>
              <w:t>By:</w:t>
            </w:r>
          </w:p>
        </w:tc>
        <w:tc>
          <w:tcPr>
            <w:tcW w:w="4640" w:type="dxa"/>
            <w:vAlign w:val="bottom"/>
          </w:tcPr>
          <w:p>
            <w:pPr>
              <w:ind w:left="240"/>
              <w:spacing w:after="0"/>
              <w:rPr>
                <w:sz w:val="20"/>
                <w:szCs w:val="20"/>
                <w:color w:val="auto"/>
              </w:rPr>
            </w:pPr>
            <w:r>
              <w:rPr>
                <w:rFonts w:ascii="Arial" w:cs="Arial" w:eastAsia="Arial" w:hAnsi="Arial"/>
                <w:sz w:val="22"/>
                <w:szCs w:val="22"/>
                <w:color w:val="auto"/>
              </w:rPr>
              <w:t>/s/ Terrence W. Cavanaugh</w:t>
            </w:r>
          </w:p>
        </w:tc>
        <w:tc>
          <w:tcPr>
            <w:tcW w:w="0" w:type="dxa"/>
            <w:vAlign w:val="bottom"/>
          </w:tcPr>
          <w:p>
            <w:pPr>
              <w:spacing w:after="0"/>
              <w:rPr>
                <w:sz w:val="1"/>
                <w:szCs w:val="1"/>
                <w:color w:val="auto"/>
              </w:rPr>
            </w:pPr>
          </w:p>
        </w:tc>
      </w:tr>
      <w:tr>
        <w:trPr>
          <w:trHeight w:val="21"/>
        </w:trPr>
        <w:tc>
          <w:tcPr>
            <w:tcW w:w="560" w:type="dxa"/>
            <w:vAlign w:val="bottom"/>
            <w:vMerge w:val="restart"/>
          </w:tcPr>
          <w:p>
            <w:pPr>
              <w:spacing w:after="0"/>
              <w:rPr>
                <w:sz w:val="20"/>
                <w:szCs w:val="20"/>
                <w:color w:val="auto"/>
              </w:rPr>
            </w:pPr>
            <w:r>
              <w:rPr>
                <w:rFonts w:ascii="Arial" w:cs="Arial" w:eastAsia="Arial" w:hAnsi="Arial"/>
                <w:sz w:val="22"/>
                <w:szCs w:val="22"/>
                <w:color w:val="auto"/>
                <w:w w:val="83"/>
              </w:rPr>
              <w:t>Name:</w:t>
            </w:r>
          </w:p>
        </w:tc>
        <w:tc>
          <w:tcPr>
            <w:tcW w:w="26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5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4640" w:type="dxa"/>
            <w:vAlign w:val="bottom"/>
          </w:tcPr>
          <w:p>
            <w:pPr>
              <w:ind w:left="780"/>
              <w:spacing w:after="0" w:line="216" w:lineRule="exact"/>
              <w:rPr>
                <w:sz w:val="20"/>
                <w:szCs w:val="20"/>
                <w:color w:val="auto"/>
              </w:rPr>
            </w:pPr>
            <w:r>
              <w:rPr>
                <w:rFonts w:ascii="Arial" w:cs="Arial" w:eastAsia="Arial" w:hAnsi="Arial"/>
                <w:sz w:val="22"/>
                <w:szCs w:val="22"/>
                <w:color w:val="auto"/>
              </w:rPr>
              <w:t>Terrence W. Cavanaugh</w:t>
            </w:r>
          </w:p>
        </w:tc>
        <w:tc>
          <w:tcPr>
            <w:tcW w:w="0" w:type="dxa"/>
            <w:vAlign w:val="bottom"/>
          </w:tcPr>
          <w:p>
            <w:pPr>
              <w:spacing w:after="0"/>
              <w:rPr>
                <w:sz w:val="1"/>
                <w:szCs w:val="1"/>
                <w:color w:val="auto"/>
              </w:rPr>
            </w:pPr>
          </w:p>
        </w:tc>
      </w:tr>
      <w:tr>
        <w:trPr>
          <w:trHeight w:val="275"/>
        </w:trPr>
        <w:tc>
          <w:tcPr>
            <w:tcW w:w="820" w:type="dxa"/>
            <w:vAlign w:val="bottom"/>
            <w:gridSpan w:val="2"/>
          </w:tcPr>
          <w:p>
            <w:pPr>
              <w:spacing w:after="0"/>
              <w:rPr>
                <w:sz w:val="20"/>
                <w:szCs w:val="20"/>
                <w:color w:val="auto"/>
              </w:rPr>
            </w:pPr>
            <w:r>
              <w:rPr>
                <w:rFonts w:ascii="Arial" w:cs="Arial" w:eastAsia="Arial" w:hAnsi="Arial"/>
                <w:sz w:val="22"/>
                <w:szCs w:val="22"/>
                <w:color w:val="auto"/>
              </w:rPr>
              <w:t>Title:</w:t>
            </w:r>
          </w:p>
        </w:tc>
        <w:tc>
          <w:tcPr>
            <w:tcW w:w="4640" w:type="dxa"/>
            <w:vAlign w:val="bottom"/>
          </w:tcPr>
          <w:p>
            <w:pPr>
              <w:ind w:left="780"/>
              <w:spacing w:after="0"/>
              <w:rPr>
                <w:sz w:val="20"/>
                <w:szCs w:val="20"/>
                <w:color w:val="auto"/>
              </w:rPr>
            </w:pPr>
            <w:r>
              <w:rPr>
                <w:rFonts w:ascii="Arial" w:cs="Arial" w:eastAsia="Arial" w:hAnsi="Arial"/>
                <w:sz w:val="22"/>
                <w:szCs w:val="22"/>
                <w:color w:val="auto"/>
              </w:rPr>
              <w:t>President and CEO</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INDEMNIFIED PERSON</w:t>
      </w:r>
    </w:p>
    <w:p>
      <w:pPr>
        <w:spacing w:after="0" w:line="200" w:lineRule="exact"/>
        <w:rPr>
          <w:sz w:val="20"/>
          <w:szCs w:val="20"/>
          <w:color w:val="auto"/>
        </w:rPr>
      </w:pPr>
    </w:p>
    <w:p>
      <w:pPr>
        <w:spacing w:after="0" w:line="282" w:lineRule="exact"/>
        <w:rPr>
          <w:sz w:val="20"/>
          <w:szCs w:val="20"/>
          <w:color w:val="auto"/>
        </w:rPr>
      </w:pPr>
    </w:p>
    <w:tbl>
      <w:tblPr>
        <w:tblLayout w:type="fixed"/>
        <w:tblInd w:w="5100" w:type="dxa"/>
        <w:tblCellMar>
          <w:top w:w="0" w:type="dxa"/>
          <w:left w:w="0" w:type="dxa"/>
          <w:bottom w:w="0" w:type="dxa"/>
          <w:right w:w="0" w:type="dxa"/>
        </w:tblCellMar>
      </w:tblPr>
      <w:tr>
        <w:trPr>
          <w:trHeight w:val="265"/>
        </w:trPr>
        <w:tc>
          <w:tcPr>
            <w:tcW w:w="920" w:type="dxa"/>
            <w:vAlign w:val="bottom"/>
            <w:tcBorders>
              <w:bottom w:val="single" w:sz="8" w:color="auto"/>
            </w:tcBorders>
          </w:tcPr>
          <w:p>
            <w:pPr>
              <w:spacing w:after="0"/>
              <w:rPr>
                <w:sz w:val="23"/>
                <w:szCs w:val="23"/>
                <w:color w:val="auto"/>
              </w:rPr>
            </w:pPr>
          </w:p>
        </w:tc>
        <w:tc>
          <w:tcPr>
            <w:tcW w:w="4540" w:type="dxa"/>
            <w:vAlign w:val="bottom"/>
            <w:tcBorders>
              <w:bottom w:val="single" w:sz="8" w:color="auto"/>
            </w:tcBorders>
          </w:tcPr>
          <w:p>
            <w:pPr>
              <w:ind w:left="140"/>
              <w:spacing w:after="0"/>
              <w:rPr>
                <w:sz w:val="20"/>
                <w:szCs w:val="20"/>
                <w:color w:val="auto"/>
              </w:rPr>
            </w:pPr>
            <w:r>
              <w:rPr>
                <w:rFonts w:ascii="Arial" w:cs="Arial" w:eastAsia="Arial" w:hAnsi="Arial"/>
                <w:sz w:val="22"/>
                <w:szCs w:val="22"/>
                <w:color w:val="auto"/>
              </w:rPr>
              <w:t>/s/ John F. Kearns</w:t>
            </w:r>
          </w:p>
        </w:tc>
      </w:tr>
      <w:tr>
        <w:trPr>
          <w:trHeight w:val="215"/>
        </w:trPr>
        <w:tc>
          <w:tcPr>
            <w:tcW w:w="92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540" w:type="dxa"/>
            <w:vAlign w:val="bottom"/>
          </w:tcPr>
          <w:p>
            <w:pPr>
              <w:ind w:left="680"/>
              <w:spacing w:after="0" w:line="216" w:lineRule="exact"/>
              <w:rPr>
                <w:sz w:val="20"/>
                <w:szCs w:val="20"/>
                <w:color w:val="auto"/>
              </w:rPr>
            </w:pPr>
            <w:r>
              <w:rPr>
                <w:rFonts w:ascii="Arial" w:cs="Arial" w:eastAsia="Arial" w:hAnsi="Arial"/>
                <w:sz w:val="22"/>
                <w:szCs w:val="22"/>
                <w:color w:val="auto"/>
              </w:rPr>
              <w:t>John F. Kearns</w:t>
            </w: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rPr>
              <w:t>Address:</w:t>
            </w:r>
          </w:p>
        </w:tc>
        <w:tc>
          <w:tcPr>
            <w:tcW w:w="4540" w:type="dxa"/>
            <w:vAlign w:val="bottom"/>
          </w:tcPr>
          <w:p>
            <w:pPr>
              <w:ind w:left="680"/>
              <w:spacing w:after="0" w:line="243" w:lineRule="exact"/>
              <w:rPr>
                <w:sz w:val="20"/>
                <w:szCs w:val="20"/>
                <w:color w:val="auto"/>
              </w:rPr>
            </w:pPr>
            <w:r>
              <w:rPr>
                <w:rFonts w:ascii="Arial" w:cs="Arial" w:eastAsia="Arial" w:hAnsi="Arial"/>
                <w:sz w:val="22"/>
                <w:szCs w:val="22"/>
                <w:color w:val="auto"/>
              </w:rPr>
              <w:t>5804 Wind Chime Lane</w:t>
            </w:r>
          </w:p>
        </w:tc>
      </w:tr>
      <w:tr>
        <w:trPr>
          <w:trHeight w:val="275"/>
        </w:trPr>
        <w:tc>
          <w:tcPr>
            <w:tcW w:w="920" w:type="dxa"/>
            <w:vAlign w:val="bottom"/>
          </w:tcPr>
          <w:p>
            <w:pPr>
              <w:spacing w:after="0"/>
              <w:rPr>
                <w:sz w:val="23"/>
                <w:szCs w:val="23"/>
                <w:color w:val="auto"/>
              </w:rPr>
            </w:pPr>
          </w:p>
        </w:tc>
        <w:tc>
          <w:tcPr>
            <w:tcW w:w="4540" w:type="dxa"/>
            <w:vAlign w:val="bottom"/>
          </w:tcPr>
          <w:p>
            <w:pPr>
              <w:ind w:left="680"/>
              <w:spacing w:after="0"/>
              <w:rPr>
                <w:sz w:val="20"/>
                <w:szCs w:val="20"/>
                <w:color w:val="auto"/>
              </w:rPr>
            </w:pPr>
            <w:r>
              <w:rPr>
                <w:rFonts w:ascii="Arial" w:cs="Arial" w:eastAsia="Arial" w:hAnsi="Arial"/>
                <w:sz w:val="22"/>
                <w:szCs w:val="22"/>
                <w:color w:val="auto"/>
              </w:rPr>
              <w:t>Fairview, PA  16415</w:t>
            </w:r>
          </w:p>
        </w:tc>
      </w:tr>
    </w:tbl>
    <w:p>
      <w:pPr>
        <w:sectPr>
          <w:pgSz w:w="11900" w:h="16921" w:orient="portrait"/>
          <w:cols w:equalWidth="0" w:num="1">
            <w:col w:w="11420"/>
          </w:cols>
          <w:pgMar w:left="240" w:top="112" w:right="239" w:bottom="0" w:gutter="0" w:footer="0" w:header="0"/>
        </w:sectPr>
      </w:pPr>
    </w:p>
    <w:bookmarkStart w:id="54" w:name="page55"/>
    <w:bookmarkEnd w:id="54"/>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110490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55" w:name="page56"/>
    <w:bookmarkEnd w:id="55"/>
    <w:p>
      <w:pPr>
        <w:jc w:val="center"/>
        <w:ind w:right="-99"/>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PURSUANT TO SECTION 302</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Terrence W. Cavanaugh, Chief Executive Officer of Erie Indemnity Company, certify that:</w:t>
      </w:r>
    </w:p>
    <w:p>
      <w:pPr>
        <w:spacing w:after="0" w:line="225"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Erie Indemnity Company;</w:t>
      </w:r>
    </w:p>
    <w:p>
      <w:pPr>
        <w:spacing w:after="0" w:line="225" w:lineRule="exact"/>
        <w:rPr>
          <w:rFonts w:ascii="Arial" w:cs="Arial" w:eastAsia="Arial" w:hAnsi="Arial"/>
          <w:sz w:val="18"/>
          <w:szCs w:val="18"/>
          <w:color w:val="auto"/>
        </w:rPr>
      </w:pPr>
    </w:p>
    <w:p>
      <w:pPr>
        <w:jc w:val="both"/>
        <w:ind w:left="660" w:right="200" w:hanging="328"/>
        <w:spacing w:after="0" w:line="264" w:lineRule="auto"/>
        <w:tabs>
          <w:tab w:leader="none" w:pos="673"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160" w:hanging="328"/>
        <w:spacing w:after="0" w:line="308" w:lineRule="auto"/>
        <w:tabs>
          <w:tab w:leader="none" w:pos="673"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00" w:hanging="328"/>
        <w:spacing w:after="0" w:line="264" w:lineRule="auto"/>
        <w:tabs>
          <w:tab w:leader="none" w:pos="67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hanging="320"/>
        <w:spacing w:after="0" w:line="264" w:lineRule="auto"/>
        <w:tabs>
          <w:tab w:leader="none" w:pos="1303"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140" w:hanging="320"/>
        <w:spacing w:after="0" w:line="264"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00" w:hanging="320"/>
        <w:spacing w:after="0" w:line="342" w:lineRule="auto"/>
        <w:tabs>
          <w:tab w:leader="none" w:pos="1303"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80" w:hanging="320"/>
        <w:spacing w:after="0" w:line="264"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80" w:hanging="328"/>
        <w:spacing w:after="0" w:line="277" w:lineRule="auto"/>
        <w:tabs>
          <w:tab w:leader="none" w:pos="67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170" w:lineRule="exact"/>
        <w:rPr>
          <w:rFonts w:ascii="Arial" w:cs="Arial" w:eastAsia="Arial" w:hAnsi="Arial"/>
          <w:sz w:val="18"/>
          <w:szCs w:val="18"/>
          <w:color w:val="auto"/>
        </w:rPr>
      </w:pPr>
    </w:p>
    <w:p>
      <w:pPr>
        <w:ind w:left="1300" w:right="540" w:hanging="320"/>
        <w:spacing w:after="0" w:line="342" w:lineRule="auto"/>
        <w:tabs>
          <w:tab w:leader="none" w:pos="1303"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240" w:hanging="320"/>
        <w:spacing w:after="0" w:line="277"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5, 2011</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Terrence W. Cavanaugh</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Terrence W. Cavanaugh,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56" w:name="page57"/>
    <w:bookmarkEnd w:id="56"/>
    <w:p>
      <w:pPr>
        <w:jc w:val="center"/>
        <w:ind w:right="-99"/>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PURSUANT TO SECTION 302</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Marcia A. Dall, Chief Financial Officer of Erie Indemnity Company, certify that:</w:t>
      </w:r>
    </w:p>
    <w:p>
      <w:pPr>
        <w:spacing w:after="0" w:line="225"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Erie Indemnity Company;</w:t>
      </w:r>
    </w:p>
    <w:p>
      <w:pPr>
        <w:spacing w:after="0" w:line="225" w:lineRule="exact"/>
        <w:rPr>
          <w:rFonts w:ascii="Arial" w:cs="Arial" w:eastAsia="Arial" w:hAnsi="Arial"/>
          <w:sz w:val="18"/>
          <w:szCs w:val="18"/>
          <w:color w:val="auto"/>
        </w:rPr>
      </w:pPr>
    </w:p>
    <w:p>
      <w:pPr>
        <w:jc w:val="both"/>
        <w:ind w:left="660" w:right="200" w:hanging="328"/>
        <w:spacing w:after="0" w:line="264" w:lineRule="auto"/>
        <w:tabs>
          <w:tab w:leader="none" w:pos="673"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160" w:hanging="328"/>
        <w:spacing w:after="0" w:line="308" w:lineRule="auto"/>
        <w:tabs>
          <w:tab w:leader="none" w:pos="673"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00" w:hanging="328"/>
        <w:spacing w:after="0" w:line="264" w:lineRule="auto"/>
        <w:tabs>
          <w:tab w:leader="none" w:pos="67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hanging="320"/>
        <w:spacing w:after="0" w:line="264" w:lineRule="auto"/>
        <w:tabs>
          <w:tab w:leader="none" w:pos="1303"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140" w:hanging="320"/>
        <w:spacing w:after="0" w:line="264"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00" w:hanging="320"/>
        <w:spacing w:after="0" w:line="342" w:lineRule="auto"/>
        <w:tabs>
          <w:tab w:leader="none" w:pos="1303"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80" w:hanging="320"/>
        <w:spacing w:after="0" w:line="264"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80" w:hanging="328"/>
        <w:spacing w:after="0" w:line="277" w:lineRule="auto"/>
        <w:tabs>
          <w:tab w:leader="none" w:pos="67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170" w:lineRule="exact"/>
        <w:rPr>
          <w:rFonts w:ascii="Arial" w:cs="Arial" w:eastAsia="Arial" w:hAnsi="Arial"/>
          <w:sz w:val="18"/>
          <w:szCs w:val="18"/>
          <w:color w:val="auto"/>
        </w:rPr>
      </w:pPr>
    </w:p>
    <w:p>
      <w:pPr>
        <w:ind w:left="1300" w:right="540" w:hanging="320"/>
        <w:spacing w:after="0" w:line="342" w:lineRule="auto"/>
        <w:tabs>
          <w:tab w:leader="none" w:pos="1303"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240" w:hanging="320"/>
        <w:spacing w:after="0" w:line="277"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5, 2011</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Marcia A. Dall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Marcia A. Dall, Executive Vice President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2130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8213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Terrence W. Cavanaugh, Chief Executive Officer of the Company, and Marcia A. Dall, Chief Financial Officer of the Company, certify, pursuant to § 906 of the Sarbanes-Oxley Act of 2002, 18 U.S.C. § 1350, that:</w:t>
      </w:r>
    </w:p>
    <w:p>
      <w:pPr>
        <w:spacing w:after="0" w:line="170" w:lineRule="exact"/>
        <w:rPr>
          <w:sz w:val="20"/>
          <w:szCs w:val="20"/>
          <w:color w:val="auto"/>
        </w:rPr>
      </w:pPr>
    </w:p>
    <w:p>
      <w:pPr>
        <w:ind w:left="820" w:right="60" w:hanging="488"/>
        <w:spacing w:after="0" w:line="277" w:lineRule="auto"/>
        <w:tabs>
          <w:tab w:leader="none" w:pos="84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March 31, 2011 (the “Report”) fully complies with the requirements of section 13(a) or 15(d) of the Securities Exchange Act of 1934 (15 U.S.C. 78m); and</w:t>
      </w:r>
    </w:p>
    <w:p>
      <w:pPr>
        <w:spacing w:after="0" w:line="170" w:lineRule="exact"/>
        <w:rPr>
          <w:rFonts w:ascii="Arial" w:cs="Arial" w:eastAsia="Arial" w:hAnsi="Arial"/>
          <w:sz w:val="18"/>
          <w:szCs w:val="18"/>
          <w:color w:val="auto"/>
        </w:rPr>
      </w:pPr>
    </w:p>
    <w:p>
      <w:pPr>
        <w:ind w:left="840" w:hanging="508"/>
        <w:spacing w:after="0"/>
        <w:tabs>
          <w:tab w:leader="none" w:pos="8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Terrence W. Cavanaugh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Terrence W. Cavanaugh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02374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Marcia A. Dall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Marcia A. 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02374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&amp; CFO</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May 5, 2011</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Erie Indemnity Company and will be retained by Erie Indemnity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33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
    </w:lvl>
  </w:abstractNum>
  <w:abstractNum w:abstractNumId="1">
    <w:nsid w:val="4353D0CD"/>
    <w:multiLevelType w:val="hybridMultilevel"/>
    <w:lvl w:ilvl="0">
      <w:lvlJc w:val="left"/>
      <w:lvlText w:val="(%1)"/>
      <w:numFmt w:val="decimal"/>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1)"/>
      <w:numFmt w:val="decimal"/>
    </w:lvl>
    <w:lvl w:ilvl="1">
      <w:lvlJc w:val="left"/>
      <w:lvlText w:val="·"/>
      <w:numFmt w:val="bullet"/>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2"/>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1)"/>
      <w:numFmt w:val="decimal"/>
      <w:start w:val="254"/>
    </w:lvl>
  </w:abstractNum>
  <w:abstractNum w:abstractNumId="21">
    <w:nsid w:val="440BADFC"/>
    <w:multiLevelType w:val="hybridMultilevel"/>
    <w:lvl w:ilvl="0">
      <w:lvlJc w:val="left"/>
      <w:lvlText w:val="(%1)"/>
      <w:numFmt w:val="decimal"/>
      <w:start w:val="57"/>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1."/>
      <w:numFmt w:val="decimal"/>
      <w:start w:val="2"/>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2"/>
    </w:lvl>
  </w:abstractNum>
  <w:abstractNum w:abstractNumId="26">
    <w:nsid w:val="5C482A97"/>
    <w:multiLevelType w:val="hybridMultilevel"/>
    <w:lvl w:ilvl="0">
      <w:lvlJc w:val="left"/>
      <w:lvlText w:val="(%1)"/>
      <w:numFmt w:val="lowerRoman"/>
      <w:start w:val="1"/>
    </w:lvl>
  </w:abstractNum>
  <w:abstractNum w:abstractNumId="27">
    <w:nsid w:val="2463B9EA"/>
    <w:multiLevelType w:val="hybridMultilevel"/>
    <w:lvl w:ilvl="0">
      <w:lvlJc w:val="left"/>
      <w:lvlText w:val="(%1)"/>
      <w:numFmt w:val="lowerLetter"/>
      <w:start w:val="1"/>
    </w:lvl>
  </w:abstractNum>
  <w:abstractNum w:abstractNumId="28">
    <w:nsid w:val="5E884ADC"/>
    <w:multiLevelType w:val="hybridMultilevel"/>
    <w:lvl w:ilvl="0">
      <w:lvlJc w:val="left"/>
      <w:lvlText w:val="(%1)"/>
      <w:numFmt w:val="lowerLetter"/>
      <w:start w:val="1"/>
    </w:lvl>
  </w:abstractNum>
  <w:abstractNum w:abstractNumId="29">
    <w:nsid w:val="51EAD36B"/>
    <w:multiLevelType w:val="hybridMultilevel"/>
    <w:lvl w:ilvl="0">
      <w:lvlJc w:val="left"/>
      <w:lvlText w:val="(%1)"/>
      <w:numFmt w:val="lowerLetter"/>
      <w:start w:val="2"/>
    </w:lvl>
  </w:abstractNum>
  <w:abstractNum w:abstractNumId="30">
    <w:nsid w:val="2D517796"/>
    <w:multiLevelType w:val="hybridMultilevel"/>
    <w:lvl w:ilvl="0">
      <w:lvlJc w:val="left"/>
      <w:lvlText w:val="%1"/>
      <w:numFmt w:val="lowerLetter"/>
      <w:start w:val="1"/>
    </w:lvl>
    <w:lvl w:ilvl="1">
      <w:lvlJc w:val="left"/>
      <w:lvlText w:val="(%2)"/>
      <w:numFmt w:val="lowerLetter"/>
      <w:start w:val="3"/>
    </w:lvl>
  </w:abstractNum>
  <w:abstractNum w:abstractNumId="31">
    <w:nsid w:val="580BD78F"/>
    <w:multiLevelType w:val="hybridMultilevel"/>
    <w:lvl w:ilvl="0">
      <w:lvlJc w:val="left"/>
      <w:lvlText w:val="(%1)"/>
      <w:numFmt w:val="lowerLetter"/>
      <w:start w:val="61"/>
    </w:lvl>
    <w:lvl w:ilvl="1">
      <w:lvlJc w:val="left"/>
      <w:lvlText w:val="%2"/>
      <w:numFmt w:val="lowerLetter"/>
      <w:start w:val="1"/>
    </w:lvl>
  </w:abstractNum>
  <w:abstractNum w:abstractNumId="32">
    <w:nsid w:val="153EA438"/>
    <w:multiLevelType w:val="hybridMultilevel"/>
    <w:lvl w:ilvl="0">
      <w:lvlJc w:val="left"/>
      <w:lvlText w:val="(%1)"/>
      <w:numFmt w:val="lowerLetter"/>
      <w:start w:val="1"/>
    </w:lvl>
  </w:abstractNum>
  <w:abstractNum w:abstractNumId="33">
    <w:nsid w:val="3855585C"/>
    <w:multiLevelType w:val="hybridMultilevel"/>
    <w:lvl w:ilvl="0">
      <w:lvlJc w:val="left"/>
      <w:lvlText w:val="(%1)"/>
      <w:numFmt w:val="lowerRoman"/>
      <w:start w:val="1"/>
    </w:lvl>
  </w:abstractNum>
  <w:abstractNum w:abstractNumId="34">
    <w:nsid w:val="70A64E2A"/>
    <w:multiLevelType w:val="hybridMultilevel"/>
    <w:lvl w:ilvl="0">
      <w:lvlJc w:val="left"/>
      <w:lvlText w:val="(%1)"/>
      <w:numFmt w:val="lowerLetter"/>
      <w:start w:val="1"/>
    </w:lvl>
  </w:abstractNum>
  <w:abstractNum w:abstractNumId="35">
    <w:nsid w:val="6A2342EC"/>
    <w:multiLevelType w:val="hybridMultilevel"/>
    <w:lvl w:ilvl="0">
      <w:lvlJc w:val="left"/>
      <w:lvlText w:val="(%1)"/>
      <w:numFmt w:val="lowerLetter"/>
      <w:start w:val="1"/>
    </w:lvl>
  </w:abstractNum>
  <w:abstractNum w:abstractNumId="36">
    <w:nsid w:val="2A487CB0"/>
    <w:multiLevelType w:val="hybridMultilevel"/>
    <w:lvl w:ilvl="0">
      <w:lvlJc w:val="left"/>
      <w:lvlText w:val="(%1)"/>
      <w:numFmt w:val="lowerRoman"/>
      <w:start w:val="1"/>
    </w:lvl>
  </w:abstractNum>
  <w:abstractNum w:abstractNumId="37">
    <w:nsid w:val="1D4ED43B"/>
    <w:multiLevelType w:val="hybridMultilevel"/>
    <w:lvl w:ilvl="0">
      <w:lvlJc w:val="left"/>
      <w:lvlText w:val="(%1)"/>
      <w:numFmt w:val="lowerLetter"/>
      <w:start w:val="1"/>
    </w:lvl>
  </w:abstractNum>
  <w:abstractNum w:abstractNumId="38">
    <w:nsid w:val="725A06FB"/>
    <w:multiLevelType w:val="hybridMultilevel"/>
    <w:lvl w:ilvl="0">
      <w:lvlJc w:val="left"/>
      <w:lvlText w:val="(%1)"/>
      <w:numFmt w:val="lowerLetter"/>
      <w:start w:val="1"/>
    </w:lvl>
  </w:abstractNum>
  <w:abstractNum w:abstractNumId="39">
    <w:nsid w:val="2CD89A32"/>
    <w:multiLevelType w:val="hybridMultilevel"/>
    <w:lvl w:ilvl="0">
      <w:lvlJc w:val="left"/>
      <w:lvlText w:val="(%1)"/>
      <w:numFmt w:val="lowerLetter"/>
      <w:start w:val="2"/>
    </w:lvl>
  </w:abstractNum>
  <w:abstractNum w:abstractNumId="40">
    <w:nsid w:val="57E4CCAF"/>
    <w:multiLevelType w:val="hybridMultilevel"/>
    <w:lvl w:ilvl="0">
      <w:lvlJc w:val="left"/>
      <w:lvlText w:val="%1"/>
      <w:numFmt w:val="lowerLetter"/>
      <w:start w:val="1"/>
    </w:lvl>
    <w:lvl w:ilvl="1">
      <w:lvlJc w:val="left"/>
      <w:lvlText w:val="(%2)"/>
      <w:numFmt w:val="lowerLetter"/>
      <w:start w:val="3"/>
    </w:lvl>
  </w:abstractNum>
  <w:abstractNum w:abstractNumId="41">
    <w:nsid w:val="7A6D8D3C"/>
    <w:multiLevelType w:val="hybridMultilevel"/>
    <w:lvl w:ilvl="0">
      <w:lvlJc w:val="left"/>
      <w:lvlText w:val="(%1)"/>
      <w:numFmt w:val="lowerLetter"/>
      <w:start w:val="61"/>
    </w:lvl>
    <w:lvl w:ilvl="1">
      <w:lvlJc w:val="left"/>
      <w:lvlText w:val="%2"/>
      <w:numFmt w:val="lowerLetter"/>
      <w:start w:val="1"/>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lowerRoman"/>
      <w:start w:val="1"/>
    </w:lvl>
  </w:abstractNum>
  <w:abstractNum w:abstractNumId="44">
    <w:nsid w:val="6DE91B18"/>
    <w:multiLevelType w:val="hybridMultilevel"/>
    <w:lvl w:ilvl="0">
      <w:lvlJc w:val="left"/>
      <w:lvlText w:val="(%1)"/>
      <w:numFmt w:val="lowerLetter"/>
      <w:start w:val="1"/>
    </w:lvl>
  </w:abstractNum>
  <w:abstractNum w:abstractNumId="45">
    <w:nsid w:val="38437FDB"/>
    <w:multiLevelType w:val="hybridMultilevel"/>
    <w:lvl w:ilvl="0">
      <w:lvlJc w:val="left"/>
      <w:lvlText w:val="(%1)"/>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2019-12-10T13:36:16Z</dcterms:created>
  <dcterms:modified xsi:type="dcterms:W3CDTF">2019-12-10T13:36:16Z</dcterms:modified>
</cp:coreProperties>
</file>