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7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-617220</wp:posOffset>
            </wp:positionV>
            <wp:extent cx="57785" cy="630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05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-617220</wp:posOffset>
            </wp:positionV>
            <wp:extent cx="57785" cy="630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055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731520</wp:posOffset>
            </wp:positionV>
            <wp:extent cx="6995795" cy="4752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752975"/>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Shine Sarah</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ERIE INSURANCE PLACE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ERIE INDEMNITY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ERIE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04/21/2026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6" w:right="680" w:firstLine="6"/>
        <w:spacing w:after="0" w:line="252"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14"/>
        <w:spacing w:after="0"/>
        <w:tabs>
          <w:tab w:leader="none" w:pos="207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4"/>
        <w:spacing w:after="0"/>
        <w:tabs>
          <w:tab w:leader="none" w:pos="207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54"/>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303"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40" w:type="dxa"/>
            <w:vAlign w:val="bottom"/>
            <w:vMerge w:val="restart"/>
          </w:tcPr>
          <w:p>
            <w:pPr>
              <w:spacing w:after="0"/>
              <w:rPr>
                <w:sz w:val="3"/>
                <w:szCs w:val="3"/>
                <w:color w:val="auto"/>
              </w:rPr>
            </w:pPr>
          </w:p>
        </w:tc>
        <w:tc>
          <w:tcPr>
            <w:tcW w:w="3720" w:type="dxa"/>
            <w:vAlign w:val="bottom"/>
            <w:gridSpan w:val="8"/>
            <w:vMerge w:val="restart"/>
          </w:tcPr>
          <w:p>
            <w:pPr>
              <w:ind w:left="12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3720" w:type="dxa"/>
            <w:vAlign w:val="bottom"/>
            <w:gridSpan w:val="8"/>
            <w:vMerge w:val="continue"/>
          </w:tcPr>
          <w:p>
            <w:pPr>
              <w:spacing w:after="0"/>
              <w:rPr>
                <w:sz w:val="7"/>
                <w:szCs w:val="7"/>
                <w:color w:val="auto"/>
              </w:rPr>
            </w:pPr>
          </w:p>
        </w:tc>
        <w:tc>
          <w:tcPr>
            <w:tcW w:w="35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ERIE</w:t>
            </w:r>
          </w:p>
        </w:tc>
        <w:tc>
          <w:tcPr>
            <w:tcW w:w="8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PA</w:t>
            </w:r>
          </w:p>
        </w:tc>
        <w:tc>
          <w:tcPr>
            <w:tcW w:w="820" w:type="dxa"/>
            <w:vAlign w:val="bottom"/>
          </w:tcPr>
          <w:p>
            <w:pPr>
              <w:spacing w:after="0"/>
              <w:rPr>
                <w:sz w:val="19"/>
                <w:szCs w:val="19"/>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16530</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460"/>
              <w:spacing w:after="0"/>
              <w:rPr>
                <w:sz w:val="20"/>
                <w:szCs w:val="20"/>
                <w:color w:val="auto"/>
              </w:rPr>
            </w:pPr>
            <w:r>
              <w:rPr>
                <w:rFonts w:ascii="Arial" w:cs="Arial" w:eastAsia="Arial" w:hAnsi="Arial"/>
                <w:sz w:val="13"/>
                <w:szCs w:val="13"/>
                <w:color w:val="auto"/>
              </w:rPr>
              <w:t>(State)</w:t>
            </w:r>
          </w:p>
        </w:tc>
        <w:tc>
          <w:tcPr>
            <w:tcW w:w="12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04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80" w:type="dxa"/>
            <w:vAlign w:val="bottom"/>
            <w:gridSpan w:val="3"/>
          </w:tcPr>
          <w:p>
            <w:pPr>
              <w:ind w:left="60"/>
              <w:spacing w:after="0"/>
              <w:rPr>
                <w:sz w:val="20"/>
                <w:szCs w:val="20"/>
                <w:color w:val="auto"/>
              </w:rPr>
            </w:pPr>
            <w:r>
              <w:rPr>
                <w:rFonts w:ascii="Arial" w:cs="Arial" w:eastAsia="Arial" w:hAnsi="Arial"/>
                <w:sz w:val="13"/>
                <w:szCs w:val="13"/>
                <w:b w:val="1"/>
                <w:bCs w:val="1"/>
                <w:color w:val="auto"/>
                <w:w w:val="95"/>
              </w:rPr>
              <w:t>1. Title of Security (Instr. 3)</w:t>
            </w:r>
          </w:p>
        </w:tc>
        <w:tc>
          <w:tcPr>
            <w:tcW w:w="820" w:type="dxa"/>
            <w:vAlign w:val="bottom"/>
          </w:tcPr>
          <w:p>
            <w:pPr>
              <w:spacing w:after="0"/>
              <w:rPr>
                <w:sz w:val="14"/>
                <w:szCs w:val="14"/>
                <w:color w:val="auto"/>
              </w:rPr>
            </w:pP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w w:val="97"/>
              </w:rPr>
              <w:t>Class A Common Stock</w:t>
            </w:r>
          </w:p>
        </w:tc>
        <w:tc>
          <w:tcPr>
            <w:tcW w:w="8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538.342</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166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5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220" w:type="dxa"/>
            <w:vAlign w:val="bottom"/>
          </w:tcPr>
          <w:p>
            <w:pPr>
              <w:ind w:left="260"/>
              <w:spacing w:after="0"/>
              <w:rPr>
                <w:sz w:val="20"/>
                <w:szCs w:val="20"/>
                <w:color w:val="auto"/>
              </w:rPr>
            </w:pPr>
            <w:r>
              <w:rPr>
                <w:rFonts w:ascii="Arial" w:cs="Arial" w:eastAsia="Arial" w:hAnsi="Arial"/>
                <w:sz w:val="11"/>
                <w:szCs w:val="11"/>
                <w:b w:val="1"/>
                <w:bCs w:val="1"/>
                <w:color w:val="auto"/>
              </w:rPr>
              <w:t>3A. Deemed</w:t>
            </w:r>
          </w:p>
        </w:tc>
        <w:tc>
          <w:tcPr>
            <w:tcW w:w="64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8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220" w:type="dxa"/>
            <w:vAlign w:val="bottom"/>
          </w:tcPr>
          <w:p>
            <w:pPr>
              <w:ind w:left="2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2040" w:type="dxa"/>
            <w:vAlign w:val="bottom"/>
            <w:gridSpan w:val="2"/>
          </w:tcPr>
          <w:p>
            <w:pPr>
              <w:spacing w:after="0"/>
              <w:rPr>
                <w:sz w:val="20"/>
                <w:szCs w:val="20"/>
                <w:color w:val="auto"/>
              </w:rPr>
            </w:pPr>
            <w:r>
              <w:rPr>
                <w:rFonts w:ascii="Arial" w:cs="Arial" w:eastAsia="Arial" w:hAnsi="Arial"/>
                <w:sz w:val="11"/>
                <w:szCs w:val="11"/>
                <w:b w:val="1"/>
                <w:bCs w:val="1"/>
                <w:color w:val="auto"/>
              </w:rPr>
              <w:t>(Month/Day/Year)  if any</w:t>
            </w:r>
          </w:p>
        </w:tc>
        <w:tc>
          <w:tcPr>
            <w:tcW w:w="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820" w:type="dxa"/>
            <w:vAlign w:val="bottom"/>
          </w:tcPr>
          <w:p>
            <w:pPr>
              <w:spacing w:after="0"/>
              <w:rPr>
                <w:sz w:val="11"/>
                <w:szCs w:val="11"/>
                <w:color w:val="auto"/>
              </w:rPr>
            </w:pPr>
          </w:p>
        </w:tc>
        <w:tc>
          <w:tcPr>
            <w:tcW w:w="1220" w:type="dxa"/>
            <w:vAlign w:val="bottom"/>
          </w:tcPr>
          <w:p>
            <w:pPr>
              <w:ind w:left="2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Incentive</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Compensation</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restart"/>
          </w:tcPr>
          <w:p>
            <w:pPr>
              <w:ind w:left="120"/>
              <w:spacing w:after="0" w:line="203" w:lineRule="exact"/>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(2)</w:t>
            </w: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15.431</w:t>
            </w: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20" w:type="dxa"/>
            <w:vAlign w:val="bottom"/>
            <w:vMerge w:val="restart"/>
          </w:tcPr>
          <w:p>
            <w:pPr>
              <w:ind w:left="180"/>
              <w:spacing w:after="0" w:line="140" w:lineRule="exact"/>
              <w:rPr>
                <w:sz w:val="20"/>
                <w:szCs w:val="20"/>
                <w:color w:val="auto"/>
              </w:rPr>
            </w:pPr>
            <w:r>
              <w:rPr>
                <w:rFonts w:ascii="Times New Roman" w:cs="Times New Roman" w:eastAsia="Times New Roman" w:hAnsi="Times New Roman"/>
                <w:sz w:val="13"/>
                <w:szCs w:val="13"/>
                <w:color w:val="0000FF"/>
              </w:rPr>
              <w:t>04/21/2026</w:t>
            </w: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15.431</w:t>
            </w:r>
          </w:p>
        </w:tc>
        <w:tc>
          <w:tcPr>
            <w:tcW w:w="3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253.85</w:t>
            </w:r>
          </w:p>
        </w:tc>
        <w:tc>
          <w:tcPr>
            <w:tcW w:w="880" w:type="dxa"/>
            <w:vAlign w:val="bottom"/>
            <w:gridSpan w:val="2"/>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2,693.796</w:t>
            </w: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Deferral Plan</w:t>
            </w:r>
          </w:p>
        </w:tc>
        <w:tc>
          <w:tcPr>
            <w:tcW w:w="8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Credits</w:t>
            </w: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-2069465</wp:posOffset>
            </wp:positionV>
            <wp:extent cx="28575" cy="2074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7454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price is not applicable to shares granted under the Erie Indemnity Company Incentive Compensation Deferral Plan.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Acquired under dividend reinvestment for the Erie Indemnity Company Incentive Compensation Deferral Plan.</w:t>
      </w:r>
    </w:p>
    <w:p>
      <w:pPr>
        <w:spacing w:after="0" w:line="41" w:lineRule="exact"/>
        <w:rPr>
          <w:rFonts w:ascii="Times New Roman" w:cs="Times New Roman" w:eastAsia="Times New Roman" w:hAnsi="Times New Roman"/>
          <w:sz w:val="13"/>
          <w:szCs w:val="13"/>
          <w:color w:val="008000"/>
        </w:rPr>
      </w:pPr>
    </w:p>
    <w:p>
      <w:pPr>
        <w:jc w:val="both"/>
        <w:ind w:left="40" w:right="200"/>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Rebecca A. Buona, Power of</w:t>
            </w:r>
          </w:p>
        </w:tc>
        <w:tc>
          <w:tcPr>
            <w:tcW w:w="28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04/22/2026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9845" TargetMode="External"/><Relationship Id="rId14" Type="http://schemas.openxmlformats.org/officeDocument/2006/relationships/hyperlink" Target="http://www.sec.gov/cgi-bin/browse-edgar?action=getcompany&amp;CIK=0000922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2026-04-22T14:55:20Z</dcterms:created>
  <dcterms:modified xsi:type="dcterms:W3CDTF">2026-04-22T14:55:20Z</dcterms:modified>
</cp:coreProperties>
</file>