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48615.xml.htm"/>
      <w:bookmarkStart w:id="1" w:name="kswkform4_17847486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Hagen Thomas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 WEST 6TH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16507-1319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7"/>
        <w:gridCol w:w="938"/>
        <w:gridCol w:w="806"/>
        <w:gridCol w:w="622"/>
        <w:gridCol w:w="345"/>
        <w:gridCol w:w="769"/>
        <w:gridCol w:w="423"/>
        <w:gridCol w:w="593"/>
        <w:gridCol w:w="1369"/>
        <w:gridCol w:w="977"/>
        <w:gridCol w:w="13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78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6,658,800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Susan H. Hagen Non-Exempt Marital Irrev Trust</w:t>
            </w:r>
            <w:r>
              <w:rPr>
                <w:rFonts w:ascii="Times;serif" w:hAnsi="Times;serif"/>
                <w:color w:val="008000"/>
                <w:position w:val="7"/>
                <w:sz w:val="16"/>
                <w:sz w:val="20"/>
                <w:shd w:fill="FFFFFF" w:val="clear"/>
              </w:rPr>
              <w:t>(1)</w:t>
            </w:r>
          </w:p>
        </w:tc>
      </w:tr>
      <w:tr>
        <w:trPr/>
        <w:tc>
          <w:tcPr>
            <w:tcW w:w="19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10,086,059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Family L.P.</w:t>
            </w:r>
            <w:r>
              <w:rPr>
                <w:rFonts w:ascii="Times;serif" w:hAnsi="Times;serif"/>
                <w:color w:val="008000"/>
                <w:position w:val="7"/>
                <w:sz w:val="16"/>
                <w:sz w:val="20"/>
                <w:shd w:fill="FFFFFF" w:val="clear"/>
              </w:rPr>
              <w:t>(2)</w:t>
            </w:r>
          </w:p>
        </w:tc>
      </w:tr>
      <w:tr>
        <w:trPr/>
        <w:tc>
          <w:tcPr>
            <w:tcW w:w="19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12,230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Estate of Susan H. Hagen</w:t>
            </w:r>
            <w:r>
              <w:rPr>
                <w:rFonts w:ascii="Times;serif" w:hAnsi="Times;serif"/>
                <w:color w:val="008000"/>
                <w:position w:val="7"/>
                <w:sz w:val="16"/>
                <w:sz w:val="20"/>
                <w:shd w:fill="FFFFFF" w:val="clear"/>
              </w:rPr>
              <w:t>(1)</w:t>
            </w:r>
          </w:p>
        </w:tc>
      </w:tr>
    </w:tbl>
    <w:tbl>
      <w:tblPr>
        <w:tblW w:w="13154"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711"/>
        <w:gridCol w:w="276"/>
        <w:gridCol w:w="906"/>
        <w:gridCol w:w="801"/>
        <w:gridCol w:w="891"/>
        <w:gridCol w:w="921"/>
        <w:gridCol w:w="801"/>
        <w:gridCol w:w="1071"/>
        <w:gridCol w:w="831"/>
        <w:gridCol w:w="1191"/>
      </w:tblGrid>
      <w:tr>
        <w:trPr>
          <w:tblHeader w:val="true"/>
        </w:trPr>
        <w:tc>
          <w:tcPr>
            <w:tcW w:w="131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(4)</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99.757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99.757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215.82</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14,560.851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Susan Hagen Non-Exempt Marital Irrev</w:t>
            </w:r>
            <w:r>
              <w:rPr>
                <w:rFonts w:ascii="Times;serif" w:hAnsi="Times;serif"/>
                <w:color w:val="008000"/>
                <w:position w:val="7"/>
                <w:sz w:val="16"/>
                <w:sz w:val="20"/>
                <w:shd w:fill="FFFFFF" w:val="clear"/>
              </w:rPr>
              <w:t>(1)</w:t>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415,200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Family L.P.</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owned by Erie Indemnity Company director and reporting person, Susan Hirt Hagen who died 6/15/15. By operation of law, her 6,658,800 Class A shares and 12 Class B shares held in a revocable trust passed to an irrevocable trust of which this reporting person became co-trustee, sharing voting and investment powers. The 12,230 Class A shares from Mrs. Hagen's Directors' Deferred Compensation Plan account were subsequently transferred by the Company to her estate for which this reporting person is co-executor, sharing voting and investment powers.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Hagen FLP of which the reporting person is a Limited Partner and the General Partner with the sole powers of investment and voting.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Acquired under dividend reinvestment for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Pursuant to the Articles of Incorporation of the Company, as amended, shares of Class B Common Stock (voting) of Erie Indemnity Company are convertible at any time to shares of Class A Common Stock (non-voting) at a conversion rate of 2,400 shares of Class A Stock for each share of Class B Stock. There are no exercise or expiration dates associated with this conversion feature and no specific exercise price when a Class B share is converted into Class A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6809"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1063</Words>
  <Characters>5606</Characters>
  <CharactersWithSpaces>6552</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