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UNITED STATES</w:t>
      </w:r>
    </w:p>
    <w:p>
      <w:pPr>
        <w:spacing w:after="0" w:line="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4" w:lineRule="exact"/>
        <w:rPr>
          <w:sz w:val="24"/>
          <w:szCs w:val="24"/>
          <w:color w:val="auto"/>
        </w:rPr>
      </w:pPr>
    </w:p>
    <w:p>
      <w:pPr>
        <w:jc w:val="center"/>
        <w:ind w:left="3900" w:right="900" w:hanging="2908"/>
        <w:spacing w:after="0" w:line="251" w:lineRule="auto"/>
        <w:tabs>
          <w:tab w:leader="none" w:pos="11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jc w:val="center"/>
        <w:ind w:left="4100" w:right="900" w:hanging="3115"/>
        <w:spacing w:after="0" w:line="261" w:lineRule="auto"/>
        <w:tabs>
          <w:tab w:leader="none" w:pos="119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w:t>
      </w:r>
      <w:r>
        <w:rPr>
          <w:rFonts w:ascii="Arial" w:cs="Arial" w:eastAsia="Arial" w:hAnsi="Arial"/>
          <w:sz w:val="18"/>
          <w:szCs w:val="18"/>
          <w:color w:val="auto"/>
        </w:rPr>
        <w:t>___</w:t>
      </w:r>
      <w:r>
        <w:rPr>
          <w:rFonts w:ascii="Times New Roman" w:cs="Times New Roman" w:eastAsia="Times New Roman" w:hAnsi="Times New Roman"/>
          <w:sz w:val="18"/>
          <w:szCs w:val="18"/>
          <w:b w:val="1"/>
          <w:bCs w:val="1"/>
          <w:color w:val="auto"/>
        </w:rPr>
        <w:t>to</w:t>
      </w:r>
      <w:r>
        <w:rPr>
          <w:rFonts w:ascii="Arial" w:cs="Arial" w:eastAsia="Arial" w:hAnsi="Arial"/>
          <w:sz w:val="18"/>
          <w:szCs w:val="18"/>
          <w:color w:val="auto"/>
        </w:rPr>
        <w:t>___</w:t>
      </w: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0-24000</w:t>
      </w: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ERIE INDEMNITY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1796415</wp:posOffset>
            </wp:positionH>
            <wp:positionV relativeFrom="paragraph">
              <wp:posOffset>27940</wp:posOffset>
            </wp:positionV>
            <wp:extent cx="3549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81" w:lineRule="exact"/>
        <w:rPr>
          <w:sz w:val="24"/>
          <w:szCs w:val="24"/>
          <w:color w:val="auto"/>
        </w:rPr>
      </w:pPr>
    </w:p>
    <w:tbl>
      <w:tblPr>
        <w:tblLayout w:type="fixed"/>
        <w:tblInd w:w="520" w:type="dxa"/>
        <w:tblCellMar>
          <w:top w:w="0" w:type="dxa"/>
          <w:left w:w="0" w:type="dxa"/>
          <w:bottom w:w="0" w:type="dxa"/>
          <w:right w:w="0" w:type="dxa"/>
        </w:tblCellMar>
      </w:tblPr>
      <w:tr>
        <w:trPr>
          <w:trHeight w:val="259"/>
        </w:trPr>
        <w:tc>
          <w:tcPr>
            <w:tcW w:w="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960" w:type="dxa"/>
            <w:vAlign w:val="bottom"/>
            <w:gridSpan w:val="6"/>
          </w:tcPr>
          <w:p>
            <w:pPr>
              <w:jc w:val="center"/>
              <w:ind w:right="3420"/>
              <w:spacing w:after="0"/>
              <w:rPr>
                <w:sz w:val="20"/>
                <w:szCs w:val="20"/>
                <w:color w:val="auto"/>
              </w:rPr>
            </w:pPr>
            <w:r>
              <w:rPr>
                <w:rFonts w:ascii="Times New Roman" w:cs="Times New Roman" w:eastAsia="Times New Roman" w:hAnsi="Times New Roman"/>
                <w:sz w:val="18"/>
                <w:szCs w:val="18"/>
                <w:color w:val="auto"/>
                <w:w w:val="97"/>
              </w:rPr>
              <w:t>Pennsylvania</w:t>
            </w:r>
          </w:p>
        </w:tc>
        <w:tc>
          <w:tcPr>
            <w:tcW w:w="29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25-0466020</w:t>
            </w:r>
          </w:p>
        </w:tc>
        <w:tc>
          <w:tcPr>
            <w:tcW w:w="300" w:type="dxa"/>
            <w:vAlign w:val="bottom"/>
          </w:tcPr>
          <w:p>
            <w:pPr>
              <w:spacing w:after="0"/>
              <w:rPr>
                <w:sz w:val="22"/>
                <w:szCs w:val="22"/>
                <w:color w:val="auto"/>
              </w:rPr>
            </w:pPr>
          </w:p>
        </w:tc>
      </w:tr>
      <w:tr>
        <w:trPr>
          <w:trHeight w:val="216"/>
        </w:trPr>
        <w:tc>
          <w:tcPr>
            <w:tcW w:w="900" w:type="dxa"/>
            <w:vAlign w:val="bottom"/>
          </w:tcPr>
          <w:p>
            <w:pPr>
              <w:spacing w:after="0"/>
              <w:rPr>
                <w:sz w:val="18"/>
                <w:szCs w:val="18"/>
                <w:color w:val="auto"/>
              </w:rPr>
            </w:pPr>
          </w:p>
        </w:tc>
        <w:tc>
          <w:tcPr>
            <w:tcW w:w="436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3"/>
        </w:trPr>
        <w:tc>
          <w:tcPr>
            <w:tcW w:w="900" w:type="dxa"/>
            <w:vAlign w:val="bottom"/>
          </w:tcPr>
          <w:p>
            <w:pPr>
              <w:spacing w:after="0"/>
              <w:rPr>
                <w:sz w:val="20"/>
                <w:szCs w:val="20"/>
                <w:color w:val="auto"/>
              </w:rPr>
            </w:pPr>
          </w:p>
        </w:tc>
        <w:tc>
          <w:tcPr>
            <w:tcW w:w="6360" w:type="dxa"/>
            <w:vAlign w:val="bottom"/>
            <w:gridSpan w:val="7"/>
          </w:tcPr>
          <w:p>
            <w:pPr>
              <w:jc w:val="center"/>
              <w:ind w:right="2020"/>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24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588"/>
        </w:trPr>
        <w:tc>
          <w:tcPr>
            <w:tcW w:w="2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100 Erie Insurance Place,</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Erie,</w:t>
            </w:r>
          </w:p>
        </w:tc>
        <w:tc>
          <w:tcPr>
            <w:tcW w:w="420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Pennsylvania</w:t>
            </w:r>
          </w:p>
        </w:tc>
        <w:tc>
          <w:tcPr>
            <w:tcW w:w="2940" w:type="dxa"/>
            <w:vAlign w:val="bottom"/>
            <w:gridSpan w:val="2"/>
          </w:tcPr>
          <w:p>
            <w:pPr>
              <w:jc w:val="right"/>
              <w:ind w:right="2040"/>
              <w:spacing w:after="0"/>
              <w:rPr>
                <w:sz w:val="20"/>
                <w:szCs w:val="20"/>
                <w:color w:val="auto"/>
              </w:rPr>
            </w:pPr>
            <w:r>
              <w:rPr>
                <w:rFonts w:ascii="Times New Roman" w:cs="Times New Roman" w:eastAsia="Times New Roman" w:hAnsi="Times New Roman"/>
                <w:sz w:val="18"/>
                <w:szCs w:val="18"/>
                <w:color w:val="auto"/>
              </w:rPr>
              <w:t>16530</w:t>
            </w:r>
          </w:p>
        </w:tc>
        <w:tc>
          <w:tcPr>
            <w:tcW w:w="300" w:type="dxa"/>
            <w:vAlign w:val="bottom"/>
          </w:tcPr>
          <w:p>
            <w:pPr>
              <w:spacing w:after="0"/>
              <w:rPr>
                <w:sz w:val="24"/>
                <w:szCs w:val="24"/>
                <w:color w:val="auto"/>
              </w:rPr>
            </w:pPr>
          </w:p>
        </w:tc>
      </w:tr>
      <w:tr>
        <w:trPr>
          <w:trHeight w:val="226"/>
        </w:trPr>
        <w:tc>
          <w:tcPr>
            <w:tcW w:w="90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60" w:type="dxa"/>
            <w:vAlign w:val="bottom"/>
            <w:gridSpan w:val="2"/>
          </w:tcPr>
          <w:p>
            <w:pPr>
              <w:spacing w:after="0"/>
              <w:rPr>
                <w:sz w:val="19"/>
                <w:szCs w:val="19"/>
                <w:color w:val="auto"/>
              </w:rPr>
            </w:pPr>
          </w:p>
        </w:tc>
        <w:tc>
          <w:tcPr>
            <w:tcW w:w="1560" w:type="dxa"/>
            <w:vAlign w:val="bottom"/>
            <w:tcBorders>
              <w:top w:val="single" w:sz="8" w:color="auto"/>
            </w:tcBorders>
            <w:gridSpan w:val="2"/>
          </w:tcPr>
          <w:p>
            <w:pPr>
              <w:spacing w:after="0"/>
              <w:rPr>
                <w:sz w:val="19"/>
                <w:szCs w:val="19"/>
                <w:color w:val="auto"/>
              </w:rPr>
            </w:pPr>
          </w:p>
        </w:tc>
        <w:tc>
          <w:tcPr>
            <w:tcW w:w="2940" w:type="dxa"/>
            <w:vAlign w:val="bottom"/>
            <w:tcBorders>
              <w:top w:val="single" w:sz="8" w:color="auto"/>
            </w:tcBorders>
            <w:gridSpan w:val="2"/>
          </w:tcPr>
          <w:p>
            <w:pPr>
              <w:jc w:val="center"/>
              <w:ind w:right="1560"/>
              <w:spacing w:after="0"/>
              <w:rPr>
                <w:sz w:val="20"/>
                <w:szCs w:val="20"/>
                <w:color w:val="auto"/>
              </w:rPr>
            </w:pPr>
            <w:r>
              <w:rPr>
                <w:rFonts w:ascii="Times New Roman" w:cs="Times New Roman" w:eastAsia="Times New Roman" w:hAnsi="Times New Roman"/>
                <w:sz w:val="18"/>
                <w:szCs w:val="18"/>
                <w:color w:val="auto"/>
                <w:w w:val="98"/>
              </w:rPr>
              <w:t>(Zip Code)</w:t>
            </w:r>
          </w:p>
        </w:tc>
        <w:tc>
          <w:tcPr>
            <w:tcW w:w="300" w:type="dxa"/>
            <w:vAlign w:val="bottom"/>
          </w:tcPr>
          <w:p>
            <w:pPr>
              <w:spacing w:after="0"/>
              <w:rPr>
                <w:sz w:val="19"/>
                <w:szCs w:val="19"/>
                <w:color w:val="auto"/>
              </w:rPr>
            </w:pPr>
          </w:p>
        </w:tc>
      </w:tr>
      <w:tr>
        <w:trPr>
          <w:trHeight w:val="570"/>
        </w:trPr>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814 870-2000</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6"/>
        </w:trPr>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c>
          <w:tcPr>
            <w:tcW w:w="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3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1210310</wp:posOffset>
            </wp:positionH>
            <wp:positionV relativeFrom="paragraph">
              <wp:posOffset>15875</wp:posOffset>
            </wp:positionV>
            <wp:extent cx="4712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2970" cy="8255"/>
                    </a:xfrm>
                    <a:prstGeom prst="rect">
                      <a:avLst/>
                    </a:prstGeom>
                    <a:noFill/>
                  </pic:spPr>
                </pic:pic>
              </a:graphicData>
            </a:graphic>
          </wp:anchor>
        </w:drawing>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4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A common stock, stated value $0.0292 per share</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ERIE</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26"/>
        </w:trPr>
        <w:tc>
          <w:tcPr>
            <w:tcW w:w="432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(Title of each class)</w:t>
            </w:r>
          </w:p>
        </w:tc>
        <w:tc>
          <w:tcPr>
            <w:tcW w:w="20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(Trading Symbol)</w:t>
            </w:r>
          </w:p>
        </w:tc>
        <w:tc>
          <w:tcPr>
            <w:tcW w:w="20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bl>
    <w:p>
      <w:pPr>
        <w:spacing w:after="0" w:line="70" w:lineRule="exact"/>
        <w:rPr>
          <w:sz w:val="24"/>
          <w:szCs w:val="24"/>
          <w:color w:val="auto"/>
        </w:rPr>
      </w:pPr>
    </w:p>
    <w:p>
      <w:pPr>
        <w:ind w:right="32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4"/>
          <w:szCs w:val="24"/>
          <w:color w:val="auto"/>
        </w:rPr>
      </w:pPr>
    </w:p>
    <w:p>
      <w:pPr>
        <w:ind w:right="380"/>
        <w:spacing w:after="0" w:line="23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4"/>
          <w:szCs w:val="24"/>
          <w:color w:val="auto"/>
        </w:rPr>
      </w:pPr>
    </w:p>
    <w:p>
      <w:pPr>
        <w:ind w:right="460"/>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60"/>
          </w:cols>
          <w:pgMar w:left="320" w:top="224" w:right="419" w:bottom="1440" w:gutter="0" w:footer="0" w:header="0"/>
        </w:sectPr>
      </w:pPr>
    </w:p>
    <w:p>
      <w:pPr>
        <w:spacing w:after="0" w:line="9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420"/>
        <w:spacing w:after="0" w:line="161" w:lineRule="exact"/>
        <w:rPr>
          <w:sz w:val="20"/>
          <w:szCs w:val="20"/>
          <w:color w:val="auto"/>
        </w:rPr>
      </w:pPr>
      <w:r>
        <w:rPr>
          <w:rFonts w:ascii="MS PGothic" w:cs="MS PGothic" w:eastAsia="MS PGothic" w:hAnsi="MS PGothic"/>
          <w:sz w:val="16"/>
          <w:szCs w:val="16"/>
          <w:color w:val="auto"/>
        </w:rPr>
        <w:t>☐</w:t>
      </w:r>
    </w:p>
    <w:p>
      <w:pPr>
        <w:spacing w:after="0" w:line="161" w:lineRule="exact"/>
        <w:rPr>
          <w:sz w:val="24"/>
          <w:szCs w:val="24"/>
          <w:color w:val="auto"/>
        </w:rPr>
      </w:pPr>
    </w:p>
    <w:p>
      <w:pPr>
        <w:sectPr>
          <w:pgSz w:w="11900" w:h="16838" w:orient="portrait"/>
          <w:cols w:equalWidth="0" w:num="6">
            <w:col w:w="1740" w:space="720"/>
            <w:col w:w="1140" w:space="720"/>
            <w:col w:w="1740" w:space="720"/>
            <w:col w:w="1160" w:space="720"/>
            <w:col w:w="1500" w:space="420"/>
            <w:col w:w="580"/>
          </w:cols>
          <w:pgMar w:left="320" w:top="224" w:right="419" w:bottom="1440" w:gutter="0" w:footer="0" w:header="0"/>
          <w:type w:val="continuous"/>
        </w:sectPr>
      </w:pPr>
    </w:p>
    <w:p>
      <w:pPr>
        <w:spacing w:after="0" w:line="4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6" w:lineRule="exact"/>
        <w:rPr>
          <w:sz w:val="24"/>
          <w:szCs w:val="24"/>
          <w:color w:val="auto"/>
        </w:rPr>
      </w:pPr>
    </w:p>
    <w:p>
      <w:pPr>
        <w:sectPr>
          <w:pgSz w:w="11900" w:h="16838" w:orient="portrait"/>
          <w:cols w:equalWidth="0" w:num="4">
            <w:col w:w="1980" w:space="480"/>
            <w:col w:w="1140" w:space="720"/>
            <w:col w:w="1940" w:space="520"/>
            <w:col w:w="4380"/>
          </w:cols>
          <w:pgMar w:left="320" w:top="224" w:right="419" w:bottom="1440" w:gutter="0" w:footer="0" w:header="0"/>
          <w:type w:val="continuous"/>
        </w:sectPr>
      </w:pPr>
    </w:p>
    <w:p>
      <w:pPr>
        <w:spacing w:after="0" w:line="139"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Class A Common Stock as of the latest practicable date was 46,189,068 at August 1, 2025.</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Class B Common Stock as of the latest practicable date was 2,542 at August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555625</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224"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360" w:type="dxa"/>
            <w:vAlign w:val="bottom"/>
            <w:gridSpan w:val="2"/>
          </w:tcPr>
          <w:p>
            <w:pPr>
              <w:spacing w:after="0"/>
              <w:rPr>
                <w:sz w:val="17"/>
                <w:szCs w:val="17"/>
                <w:color w:val="auto"/>
              </w:rPr>
            </w:pPr>
          </w:p>
        </w:tc>
        <w:tc>
          <w:tcPr>
            <w:tcW w:w="10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60" w:type="dxa"/>
            <w:vAlign w:val="bottom"/>
            <w:gridSpan w:val="2"/>
          </w:tcPr>
          <w:p>
            <w:pPr>
              <w:spacing w:after="0"/>
              <w:rPr>
                <w:sz w:val="24"/>
                <w:szCs w:val="24"/>
                <w:color w:val="auto"/>
              </w:rPr>
            </w:pPr>
          </w:p>
        </w:tc>
        <w:tc>
          <w:tcPr>
            <w:tcW w:w="10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Consolidated Statements of Operations – Three and six months ended June 30, 2025 and 2024</w:t>
            </w:r>
          </w:p>
        </w:tc>
        <w:tc>
          <w:tcPr>
            <w:tcW w:w="3560" w:type="dxa"/>
            <w:vAlign w:val="bottom"/>
            <w:gridSpan w:val="4"/>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Income – Three and six months ended June 30, 2025 and 2024</w:t>
            </w:r>
          </w:p>
        </w:tc>
        <w:tc>
          <w:tcPr>
            <w:tcW w:w="2640" w:type="dxa"/>
            <w:vAlign w:val="bottom"/>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Consolidated Statements of Financial Position – June 30, 2025 and December 31, 2024</w:t>
            </w:r>
          </w:p>
        </w:tc>
        <w:tc>
          <w:tcPr>
            <w:tcW w:w="4060" w:type="dxa"/>
            <w:vAlign w:val="bottom"/>
            <w:gridSpan w:val="6"/>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Consolidated Statements of Shareholders' Equity – Three and six months ended June 30. 2025 and 2024</w:t>
            </w:r>
          </w:p>
        </w:tc>
        <w:tc>
          <w:tcPr>
            <w:tcW w:w="2860" w:type="dxa"/>
            <w:vAlign w:val="bottom"/>
            <w:gridSpan w:val="2"/>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 Three and six months ended June 30, 2025 and 2024</w:t>
            </w:r>
          </w:p>
        </w:tc>
        <w:tc>
          <w:tcPr>
            <w:tcW w:w="3500" w:type="dxa"/>
            <w:vAlign w:val="bottom"/>
            <w:gridSpan w:val="3"/>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 – June 30, 2025</w:t>
            </w:r>
          </w:p>
        </w:tc>
        <w:tc>
          <w:tcPr>
            <w:tcW w:w="5980" w:type="dxa"/>
            <w:vAlign w:val="bottom"/>
            <w:gridSpan w:val="7"/>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10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10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5980" w:type="dxa"/>
            <w:vAlign w:val="bottom"/>
            <w:tcBorders>
              <w:left w:val="single" w:sz="8" w:color="0000FF"/>
            </w:tcBorders>
            <w:gridSpan w:val="7"/>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10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2"/>
              </w:rPr>
              <w:t>PART II.</w:t>
            </w:r>
          </w:p>
        </w:tc>
        <w:tc>
          <w:tcPr>
            <w:tcW w:w="300" w:type="dxa"/>
            <w:vAlign w:val="bottom"/>
          </w:tcPr>
          <w:p>
            <w:pPr>
              <w:spacing w:after="0"/>
              <w:rPr>
                <w:sz w:val="24"/>
                <w:szCs w:val="24"/>
                <w:color w:val="auto"/>
              </w:rPr>
            </w:pPr>
          </w:p>
        </w:tc>
        <w:tc>
          <w:tcPr>
            <w:tcW w:w="10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421"/>
        </w:trPr>
        <w:tc>
          <w:tcPr>
            <w:tcW w:w="20" w:type="dxa"/>
            <w:vAlign w:val="bottom"/>
          </w:tcPr>
          <w:p>
            <w:pPr>
              <w:spacing w:after="0"/>
              <w:rPr>
                <w:sz w:val="24"/>
                <w:szCs w:val="24"/>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300" w:type="dxa"/>
            <w:vAlign w:val="bottom"/>
          </w:tcPr>
          <w:p>
            <w:pPr>
              <w:spacing w:after="0"/>
              <w:rPr>
                <w:sz w:val="24"/>
                <w:szCs w:val="24"/>
                <w:color w:val="auto"/>
              </w:rPr>
            </w:pPr>
          </w:p>
        </w:tc>
        <w:tc>
          <w:tcPr>
            <w:tcW w:w="18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420" w:type="dxa"/>
            <w:vAlign w:val="bottom"/>
            <w:gridSpan w:val="10"/>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300" w:type="dxa"/>
            <w:vAlign w:val="bottom"/>
          </w:tcPr>
          <w:p>
            <w:pPr>
              <w:spacing w:after="0"/>
              <w:rPr>
                <w:sz w:val="24"/>
                <w:szCs w:val="24"/>
                <w:color w:val="auto"/>
              </w:rPr>
            </w:pPr>
          </w:p>
        </w:tc>
        <w:tc>
          <w:tcPr>
            <w:tcW w:w="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9380" w:type="dxa"/>
            <w:vAlign w:val="bottom"/>
            <w:gridSpan w:val="14"/>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10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0" w:type="dxa"/>
            <w:vAlign w:val="bottom"/>
            <w:gridSpan w:val="6"/>
            <w:shd w:val="clear" w:color="auto" w:fill="0000FF"/>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10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9180" w:type="dxa"/>
            <w:vAlign w:val="bottom"/>
            <w:gridSpan w:val="13"/>
          </w:tcPr>
          <w:p>
            <w:pPr>
              <w:spacing w:after="0"/>
              <w:rPr>
                <w:sz w:val="24"/>
                <w:szCs w:val="24"/>
                <w:color w:val="auto"/>
              </w:rPr>
            </w:pPr>
          </w:p>
        </w:tc>
      </w:tr>
      <w:tr>
        <w:trPr>
          <w:trHeight w:val="87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gridSpan w:val="10"/>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bl>
      <w:tblPr>
        <w:tblLayout w:type="fixed"/>
        <w:tblInd w:w="4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7"/>
                <w:szCs w:val="17"/>
                <w:color w:val="auto"/>
              </w:rPr>
            </w:pPr>
          </w:p>
        </w:tc>
        <w:tc>
          <w:tcPr>
            <w:tcW w:w="2280" w:type="dxa"/>
            <w:vAlign w:val="bottom"/>
            <w:gridSpan w:val="3"/>
          </w:tcPr>
          <w:p>
            <w:pPr>
              <w:jc w:val="right"/>
              <w:ind w:right="531"/>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3"/>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2"/>
        </w:trPr>
        <w:tc>
          <w:tcPr>
            <w:tcW w:w="6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 revenue - policy issuance and renewal services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823,853</w:t>
            </w:r>
          </w:p>
        </w:tc>
        <w:tc>
          <w:tcPr>
            <w:tcW w:w="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760,886</w:t>
            </w:r>
          </w:p>
        </w:tc>
        <w:tc>
          <w:tcPr>
            <w:tcW w:w="12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1,578,902</w:t>
            </w:r>
          </w:p>
        </w:tc>
        <w:tc>
          <w:tcPr>
            <w:tcW w:w="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1,426,572</w:t>
            </w:r>
          </w:p>
        </w:tc>
        <w:tc>
          <w:tcPr>
            <w:tcW w:w="0" w:type="dxa"/>
            <w:vAlign w:val="bottom"/>
          </w:tcPr>
          <w:p>
            <w:pPr>
              <w:spacing w:after="0"/>
              <w:rPr>
                <w:sz w:val="1"/>
                <w:szCs w:val="1"/>
                <w:color w:val="auto"/>
              </w:rPr>
            </w:pPr>
          </w:p>
        </w:tc>
      </w:tr>
      <w:tr>
        <w:trPr>
          <w:trHeight w:val="235"/>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2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18,296</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35,941</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33,985</w:t>
            </w:r>
          </w:p>
        </w:tc>
        <w:tc>
          <w:tcPr>
            <w:tcW w:w="0" w:type="dxa"/>
            <w:vAlign w:val="bottom"/>
          </w:tcPr>
          <w:p>
            <w:pPr>
              <w:spacing w:after="0"/>
              <w:rPr>
                <w:sz w:val="1"/>
                <w:szCs w:val="1"/>
                <w:color w:val="auto"/>
              </w:rPr>
            </w:pPr>
          </w:p>
        </w:tc>
      </w:tr>
      <w:tr>
        <w:trPr>
          <w:trHeight w:val="227"/>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212,644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422,917</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397,595</w:t>
            </w:r>
          </w:p>
        </w:tc>
        <w:tc>
          <w:tcPr>
            <w:tcW w:w="0" w:type="dxa"/>
            <w:vAlign w:val="bottom"/>
          </w:tcPr>
          <w:p>
            <w:pPr>
              <w:spacing w:after="0"/>
              <w:rPr>
                <w:sz w:val="1"/>
                <w:szCs w:val="1"/>
                <w:color w:val="auto"/>
              </w:rPr>
            </w:pPr>
          </w:p>
        </w:tc>
      </w:tr>
      <w:tr>
        <w:trPr>
          <w:trHeight w:val="232"/>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agreement revenue</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5,304</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11,736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0" w:type="dxa"/>
            <w:vAlign w:val="bottom"/>
          </w:tcPr>
          <w:p>
            <w:pPr>
              <w:spacing w:after="0"/>
              <w:rPr>
                <w:sz w:val="1"/>
                <w:szCs w:val="1"/>
                <w:color w:val="auto"/>
              </w:rPr>
            </w:pPr>
          </w:p>
        </w:tc>
      </w:tr>
      <w:tr>
        <w:trPr>
          <w:trHeight w:val="221"/>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revenue</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1,060,097</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990,438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2,049,496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1,871,139</w:t>
            </w:r>
          </w:p>
        </w:tc>
        <w:tc>
          <w:tcPr>
            <w:tcW w:w="0" w:type="dxa"/>
            <w:vAlign w:val="bottom"/>
          </w:tcPr>
          <w:p>
            <w:pPr>
              <w:spacing w:after="0"/>
              <w:rPr>
                <w:sz w:val="1"/>
                <w:szCs w:val="1"/>
                <w:color w:val="auto"/>
              </w:rPr>
            </w:pPr>
          </w:p>
        </w:tc>
      </w:tr>
      <w:tr>
        <w:trPr>
          <w:trHeight w:val="4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operations - policy issuance and renewal services</w:t>
            </w: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648,280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1,276,030</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1,144,524</w:t>
            </w:r>
          </w:p>
        </w:tc>
        <w:tc>
          <w:tcPr>
            <w:tcW w:w="0" w:type="dxa"/>
            <w:vAlign w:val="bottom"/>
          </w:tcPr>
          <w:p>
            <w:pPr>
              <w:spacing w:after="0"/>
              <w:rPr>
                <w:sz w:val="1"/>
                <w:szCs w:val="1"/>
                <w:color w:val="auto"/>
              </w:rPr>
            </w:pPr>
          </w:p>
        </w:tc>
      </w:tr>
      <w:tr>
        <w:trPr>
          <w:trHeight w:val="232"/>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operations - administrative services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212,644</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206,028</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422,917</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397,595</w:t>
            </w:r>
          </w:p>
        </w:tc>
        <w:tc>
          <w:tcPr>
            <w:tcW w:w="0" w:type="dxa"/>
            <w:vAlign w:val="bottom"/>
          </w:tcPr>
          <w:p>
            <w:pPr>
              <w:spacing w:after="0"/>
              <w:rPr>
                <w:sz w:val="1"/>
                <w:szCs w:val="1"/>
                <w:color w:val="auto"/>
              </w:rPr>
            </w:pPr>
          </w:p>
        </w:tc>
      </w:tr>
      <w:tr>
        <w:trPr>
          <w:trHeight w:val="221"/>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860,924</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800,230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1,698,947</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1,542,119</w:t>
            </w:r>
          </w:p>
        </w:tc>
        <w:tc>
          <w:tcPr>
            <w:tcW w:w="0" w:type="dxa"/>
            <w:vAlign w:val="bottom"/>
          </w:tcPr>
          <w:p>
            <w:pPr>
              <w:spacing w:after="0"/>
              <w:rPr>
                <w:sz w:val="1"/>
                <w:szCs w:val="1"/>
                <w:color w:val="auto"/>
              </w:rPr>
            </w:pPr>
          </w:p>
        </w:tc>
      </w:tr>
      <w:tr>
        <w:trPr>
          <w:trHeight w:val="226"/>
        </w:trPr>
        <w:tc>
          <w:tcPr>
            <w:tcW w:w="60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199,173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350,549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329,020</w:t>
            </w:r>
          </w:p>
        </w:tc>
        <w:tc>
          <w:tcPr>
            <w:tcW w:w="0" w:type="dxa"/>
            <w:vAlign w:val="bottom"/>
          </w:tcPr>
          <w:p>
            <w:pPr>
              <w:spacing w:after="0"/>
              <w:rPr>
                <w:sz w:val="1"/>
                <w:szCs w:val="1"/>
                <w:color w:val="auto"/>
              </w:rPr>
            </w:pPr>
          </w:p>
        </w:tc>
      </w:tr>
      <w:tr>
        <w:trPr>
          <w:trHeight w:val="431"/>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20,030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39,978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31,913</w:t>
            </w:r>
          </w:p>
        </w:tc>
        <w:tc>
          <w:tcPr>
            <w:tcW w:w="0" w:type="dxa"/>
            <w:vAlign w:val="bottom"/>
          </w:tcPr>
          <w:p>
            <w:pPr>
              <w:spacing w:after="0"/>
              <w:rPr>
                <w:sz w:val="1"/>
                <w:szCs w:val="1"/>
                <w:color w:val="auto"/>
              </w:rPr>
            </w:pPr>
          </w:p>
        </w:tc>
      </w:tr>
      <w:tr>
        <w:trPr>
          <w:trHeight w:val="227"/>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479</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981</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2"/>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impairment losses recognized in earnings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21"/>
        </w:trPr>
        <w:tc>
          <w:tcPr>
            <w:tcW w:w="60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19,600</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39,136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28,906</w:t>
            </w:r>
          </w:p>
        </w:tc>
        <w:tc>
          <w:tcPr>
            <w:tcW w:w="0" w:type="dxa"/>
            <w:vAlign w:val="bottom"/>
          </w:tcPr>
          <w:p>
            <w:pPr>
              <w:spacing w:after="0"/>
              <w:rPr>
                <w:sz w:val="1"/>
                <w:szCs w:val="1"/>
                <w:color w:val="auto"/>
              </w:rPr>
            </w:pPr>
          </w:p>
        </w:tc>
      </w:tr>
      <w:tr>
        <w:trPr>
          <w:trHeight w:val="421"/>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1,974</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5,808</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220,747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395,493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364,629</w:t>
            </w:r>
          </w:p>
        </w:tc>
        <w:tc>
          <w:tcPr>
            <w:tcW w:w="0" w:type="dxa"/>
            <w:vAlign w:val="bottom"/>
          </w:tcPr>
          <w:p>
            <w:pPr>
              <w:spacing w:after="0"/>
              <w:rPr>
                <w:sz w:val="1"/>
                <w:szCs w:val="1"/>
                <w:color w:val="auto"/>
              </w:rPr>
            </w:pPr>
          </w:p>
        </w:tc>
      </w:tr>
      <w:tr>
        <w:trPr>
          <w:trHeight w:val="23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46,062</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82,391</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76,174</w:t>
            </w:r>
          </w:p>
        </w:tc>
        <w:tc>
          <w:tcPr>
            <w:tcW w:w="0" w:type="dxa"/>
            <w:vAlign w:val="bottom"/>
          </w:tcPr>
          <w:p>
            <w:pPr>
              <w:spacing w:after="0"/>
              <w:rPr>
                <w:sz w:val="1"/>
                <w:szCs w:val="1"/>
                <w:color w:val="auto"/>
              </w:rPr>
            </w:pPr>
          </w:p>
        </w:tc>
      </w:tr>
      <w:tr>
        <w:trPr>
          <w:trHeight w:val="221"/>
        </w:trPr>
        <w:tc>
          <w:tcPr>
            <w:tcW w:w="60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174,685</w:t>
            </w:r>
          </w:p>
        </w:tc>
        <w:tc>
          <w:tcPr>
            <w:tcW w:w="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163,903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313,102</w:t>
            </w:r>
          </w:p>
        </w:tc>
        <w:tc>
          <w:tcPr>
            <w:tcW w:w="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288,455</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6060" w:type="dxa"/>
            <w:vAlign w:val="bottom"/>
            <w:vMerge w:val="continue"/>
          </w:tcPr>
          <w:p>
            <w:pPr>
              <w:spacing w:after="0"/>
              <w:rPr>
                <w:sz w:val="24"/>
                <w:szCs w:val="24"/>
                <w:color w:val="auto"/>
              </w:rPr>
            </w:pPr>
          </w:p>
        </w:tc>
        <w:tc>
          <w:tcPr>
            <w:tcW w:w="2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3.75</w:t>
            </w:r>
          </w:p>
        </w:tc>
        <w:tc>
          <w:tcPr>
            <w:tcW w:w="34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4"/>
                <w:szCs w:val="24"/>
                <w:color w:val="auto"/>
              </w:rPr>
            </w:pPr>
          </w:p>
        </w:tc>
        <w:tc>
          <w:tcPr>
            <w:tcW w:w="2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6.72</w:t>
            </w:r>
          </w:p>
        </w:tc>
        <w:tc>
          <w:tcPr>
            <w:tcW w:w="36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2"/>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common stock – basic</w:t>
            </w:r>
          </w:p>
        </w:tc>
        <w:tc>
          <w:tcPr>
            <w:tcW w:w="2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Class A common stock – diluted</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3.34</w:t>
            </w:r>
          </w:p>
        </w:tc>
        <w:tc>
          <w:tcPr>
            <w:tcW w:w="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5.99</w:t>
            </w:r>
          </w:p>
        </w:tc>
        <w:tc>
          <w:tcPr>
            <w:tcW w:w="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06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rPr>
              <w:t>563</w:t>
            </w:r>
          </w:p>
        </w:tc>
        <w:tc>
          <w:tcPr>
            <w:tcW w:w="340" w:type="dxa"/>
            <w:vAlign w:val="bottom"/>
            <w:tcBorders>
              <w:bottom w:val="single" w:sz="8" w:color="auto"/>
            </w:tcBorders>
          </w:tcPr>
          <w:p>
            <w:pPr>
              <w:jc w:val="right"/>
              <w:ind w:right="91"/>
              <w:spacing w:after="0" w:line="19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rPr>
              <w:t>1,008</w:t>
            </w:r>
          </w:p>
        </w:tc>
        <w:tc>
          <w:tcPr>
            <w:tcW w:w="360" w:type="dxa"/>
            <w:vAlign w:val="bottom"/>
            <w:tcBorders>
              <w:bottom w:val="single" w:sz="8" w:color="auto"/>
            </w:tcBorders>
          </w:tcPr>
          <w:p>
            <w:pPr>
              <w:jc w:val="right"/>
              <w:ind w:right="91"/>
              <w:spacing w:after="0" w:line="19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6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46,189,063</w:t>
            </w:r>
          </w:p>
        </w:tc>
        <w:tc>
          <w:tcPr>
            <w:tcW w:w="34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46,189,042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46,188,984</w:t>
            </w:r>
          </w:p>
        </w:tc>
        <w:tc>
          <w:tcPr>
            <w:tcW w:w="3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46,189,028</w:t>
            </w:r>
          </w:p>
        </w:tc>
        <w:tc>
          <w:tcPr>
            <w:tcW w:w="0" w:type="dxa"/>
            <w:vAlign w:val="bottom"/>
          </w:tcPr>
          <w:p>
            <w:pPr>
              <w:spacing w:after="0"/>
              <w:rPr>
                <w:sz w:val="1"/>
                <w:szCs w:val="1"/>
                <w:color w:val="auto"/>
              </w:rPr>
            </w:pPr>
          </w:p>
        </w:tc>
      </w:tr>
      <w:tr>
        <w:trPr>
          <w:trHeight w:val="227"/>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6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52,304,407</w:t>
            </w:r>
          </w:p>
        </w:tc>
        <w:tc>
          <w:tcPr>
            <w:tcW w:w="34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52,305,299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52,304,397</w:t>
            </w:r>
          </w:p>
        </w:tc>
        <w:tc>
          <w:tcPr>
            <w:tcW w:w="3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52,303,551</w:t>
            </w:r>
          </w:p>
        </w:tc>
        <w:tc>
          <w:tcPr>
            <w:tcW w:w="0" w:type="dxa"/>
            <w:vAlign w:val="bottom"/>
          </w:tcPr>
          <w:p>
            <w:pPr>
              <w:spacing w:after="0"/>
              <w:rPr>
                <w:sz w:val="1"/>
                <w:szCs w:val="1"/>
                <w:color w:val="auto"/>
              </w:rPr>
            </w:pPr>
          </w:p>
        </w:tc>
      </w:tr>
      <w:tr>
        <w:trPr>
          <w:trHeight w:val="227"/>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6060" w:type="dxa"/>
            <w:vAlign w:val="bottom"/>
            <w:vMerge w:val="continue"/>
          </w:tcPr>
          <w:p>
            <w:pPr>
              <w:spacing w:after="0"/>
              <w:rPr>
                <w:sz w:val="24"/>
                <w:szCs w:val="24"/>
                <w:color w:val="auto"/>
              </w:rPr>
            </w:pPr>
          </w:p>
        </w:tc>
        <w:tc>
          <w:tcPr>
            <w:tcW w:w="2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1.365</w:t>
            </w:r>
          </w:p>
        </w:tc>
        <w:tc>
          <w:tcPr>
            <w:tcW w:w="34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Pr>
          <w:p>
            <w:pPr>
              <w:spacing w:after="0"/>
              <w:rPr>
                <w:sz w:val="24"/>
                <w:szCs w:val="24"/>
                <w:color w:val="auto"/>
              </w:rPr>
            </w:pPr>
          </w:p>
        </w:tc>
        <w:tc>
          <w:tcPr>
            <w:tcW w:w="2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2.73</w:t>
            </w:r>
          </w:p>
        </w:tc>
        <w:tc>
          <w:tcPr>
            <w:tcW w:w="36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2"/>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204.75</w:t>
            </w:r>
          </w:p>
        </w:tc>
        <w:tc>
          <w:tcPr>
            <w:tcW w:w="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409.50</w:t>
            </w:r>
          </w:p>
        </w:tc>
        <w:tc>
          <w:tcPr>
            <w:tcW w:w="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See accompanying notes to Consolidated Financial Statements. See Note 12, "Accumulated Other Comprehensive Income (Loss)", for amounts reclassified out of accumulated other comprehensive income (loss) into the Consolidated Statements of Operations.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bl>
      <w:tblPr>
        <w:tblLayout w:type="fixed"/>
        <w:tblInd w:w="2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17"/>
                <w:szCs w:val="17"/>
                <w:color w:val="auto"/>
              </w:rPr>
            </w:pPr>
          </w:p>
        </w:tc>
        <w:tc>
          <w:tcPr>
            <w:tcW w:w="2240" w:type="dxa"/>
            <w:vAlign w:val="bottom"/>
            <w:gridSpan w:val="3"/>
          </w:tcPr>
          <w:p>
            <w:pPr>
              <w:jc w:val="right"/>
              <w:ind w:right="531"/>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3"/>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Pr>
          <w:p>
            <w:pPr>
              <w:spacing w:after="0"/>
              <w:rPr>
                <w:sz w:val="20"/>
                <w:szCs w:val="20"/>
                <w:color w:val="auto"/>
              </w:rPr>
            </w:pPr>
          </w:p>
        </w:tc>
      </w:tr>
      <w:tr>
        <w:trPr>
          <w:trHeight w:val="235"/>
        </w:trPr>
        <w:tc>
          <w:tcPr>
            <w:tcW w:w="6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2024</w:t>
            </w:r>
          </w:p>
        </w:tc>
      </w:tr>
      <w:tr>
        <w:trPr>
          <w:trHeight w:val="22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174,685</w:t>
            </w:r>
          </w:p>
        </w:tc>
        <w:tc>
          <w:tcPr>
            <w:tcW w:w="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163,903</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313,102</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288,455</w:t>
            </w:r>
          </w:p>
        </w:tc>
      </w:tr>
      <w:tr>
        <w:trPr>
          <w:trHeight w:val="431"/>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7"/>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unrealized holding gains on available-for-sale securities</w:t>
            </w:r>
          </w:p>
        </w:tc>
        <w:tc>
          <w:tcPr>
            <w:tcW w:w="2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6,261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12,039</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32"/>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and other postretirement plans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w:t>
            </w:r>
          </w:p>
        </w:tc>
      </w:tr>
      <w:tr>
        <w:trPr>
          <w:trHeight w:val="221"/>
        </w:trPr>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net of tax</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6,078</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11,295</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w:t>
            </w:r>
          </w:p>
        </w:tc>
      </w:tr>
      <w:tr>
        <w:trPr>
          <w:trHeight w:val="221"/>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180,763</w:t>
            </w:r>
          </w:p>
        </w:tc>
        <w:tc>
          <w:tcPr>
            <w:tcW w:w="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324,397</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284,732</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See accompanying notes to Consolidated Financial Statements. See Note 12, "Accumulated Other Comprehensive Income (Loss)", for amounts reclassified out of accumulated other comprehensive income (loss) into the Consolidated Statements of Operations.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June 30,</w:t>
            </w:r>
          </w:p>
        </w:tc>
        <w:tc>
          <w:tcPr>
            <w:tcW w:w="22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2"/>
        </w:trPr>
        <w:tc>
          <w:tcPr>
            <w:tcW w:w="8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2"/>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(includes restricted cash of $25,923 and $23,559, respectively)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358,027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298,397</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59,162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44,604</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from Erie Insurance Exchange and affiliates, net</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769,148</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707,060</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71,133</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83,902</w:t>
            </w:r>
          </w:p>
        </w:tc>
        <w:tc>
          <w:tcPr>
            <w:tcW w:w="0" w:type="dxa"/>
            <w:vAlign w:val="bottom"/>
          </w:tcPr>
          <w:p>
            <w:pPr>
              <w:spacing w:after="0"/>
              <w:rPr>
                <w:sz w:val="1"/>
                <w:szCs w:val="1"/>
                <w:color w:val="auto"/>
              </w:rPr>
            </w:pPr>
          </w:p>
        </w:tc>
      </w:tr>
      <w:tr>
        <w:trPr>
          <w:trHeight w:val="232"/>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11,998</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0" w:type="dxa"/>
            <w:vAlign w:val="bottom"/>
          </w:tcPr>
          <w:p>
            <w:pPr>
              <w:spacing w:after="0"/>
              <w:rPr>
                <w:sz w:val="1"/>
                <w:szCs w:val="1"/>
                <w:color w:val="auto"/>
              </w:rPr>
            </w:pPr>
          </w:p>
        </w:tc>
      </w:tr>
      <w:tr>
        <w:trPr>
          <w:trHeight w:val="226"/>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1,269,468</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1,145,032</w:t>
            </w:r>
          </w:p>
        </w:tc>
        <w:tc>
          <w:tcPr>
            <w:tcW w:w="0" w:type="dxa"/>
            <w:vAlign w:val="bottom"/>
          </w:tcPr>
          <w:p>
            <w:pPr>
              <w:spacing w:after="0"/>
              <w:rPr>
                <w:sz w:val="1"/>
                <w:szCs w:val="1"/>
                <w:color w:val="auto"/>
              </w:rPr>
            </w:pPr>
          </w:p>
        </w:tc>
      </w:tr>
      <w:tr>
        <w:trPr>
          <w:trHeight w:val="32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200" w:type="dxa"/>
            <w:vAlign w:val="bottom"/>
          </w:tcPr>
          <w:p>
            <w:pPr>
              <w:spacing w:after="0"/>
              <w:rPr>
                <w:sz w:val="24"/>
                <w:szCs w:val="24"/>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1,048,584</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991,726</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68,095</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85,891</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and equity securities lent</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35,535</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519,834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513,494</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Agent loans, net</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85,027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80,597</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54,650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21,311</w:t>
            </w:r>
          </w:p>
        </w:tc>
        <w:tc>
          <w:tcPr>
            <w:tcW w:w="0" w:type="dxa"/>
            <w:vAlign w:val="bottom"/>
          </w:tcPr>
          <w:p>
            <w:pPr>
              <w:spacing w:after="0"/>
              <w:rPr>
                <w:sz w:val="1"/>
                <w:szCs w:val="1"/>
                <w:color w:val="auto"/>
              </w:rPr>
            </w:pP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47,021</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43,278</w:t>
            </w:r>
          </w:p>
        </w:tc>
        <w:tc>
          <w:tcPr>
            <w:tcW w:w="0" w:type="dxa"/>
            <w:vAlign w:val="bottom"/>
          </w:tcPr>
          <w:p>
            <w:pPr>
              <w:spacing w:after="0"/>
              <w:rPr>
                <w:sz w:val="1"/>
                <w:szCs w:val="1"/>
                <w:color w:val="auto"/>
              </w:rPr>
            </w:pPr>
          </w:p>
        </w:tc>
      </w:tr>
      <w:tr>
        <w:trPr>
          <w:trHeight w:val="221"/>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3,128,214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2,888,614</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8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446,424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408,309</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Agent incentive compensation</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70,101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75,458</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193,032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190,028</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63,569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63,569</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liability</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46,213</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42,761</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executive compensation</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7,181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w:t>
            </w:r>
          </w:p>
        </w:tc>
        <w:tc>
          <w:tcPr>
            <w:tcW w:w="0" w:type="dxa"/>
            <w:vAlign w:val="bottom"/>
          </w:tcPr>
          <w:p>
            <w:pPr>
              <w:spacing w:after="0"/>
              <w:rPr>
                <w:sz w:val="1"/>
                <w:szCs w:val="1"/>
                <w:color w:val="auto"/>
              </w:rPr>
            </w:pPr>
          </w:p>
        </w:tc>
      </w:tr>
      <w:tr>
        <w:trPr>
          <w:trHeight w:val="232"/>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lending payable</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35,159</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0" w:type="dxa"/>
            <w:vAlign w:val="bottom"/>
          </w:tcPr>
          <w:p>
            <w:pPr>
              <w:spacing w:after="0"/>
              <w:rPr>
                <w:sz w:val="1"/>
                <w:szCs w:val="1"/>
                <w:color w:val="auto"/>
              </w:rPr>
            </w:pPr>
          </w:p>
        </w:tc>
      </w:tr>
      <w:tr>
        <w:trPr>
          <w:trHeight w:val="226"/>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861,679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802,512</w:t>
            </w:r>
          </w:p>
        </w:tc>
        <w:tc>
          <w:tcPr>
            <w:tcW w:w="0" w:type="dxa"/>
            <w:vAlign w:val="bottom"/>
          </w:tcPr>
          <w:p>
            <w:pPr>
              <w:spacing w:after="0"/>
              <w:rPr>
                <w:sz w:val="1"/>
                <w:szCs w:val="1"/>
                <w:color w:val="auto"/>
              </w:rPr>
            </w:pPr>
          </w:p>
        </w:tc>
      </w:tr>
      <w:tr>
        <w:trPr>
          <w:trHeight w:val="32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200" w:type="dxa"/>
            <w:vAlign w:val="bottom"/>
          </w:tcPr>
          <w:p>
            <w:pPr>
              <w:spacing w:after="0"/>
              <w:rPr>
                <w:sz w:val="24"/>
                <w:szCs w:val="24"/>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26,820</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28,070</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22,594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Deferred executive compensation</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18,471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0" w:type="dxa"/>
            <w:vAlign w:val="bottom"/>
          </w:tcPr>
          <w:p>
            <w:pPr>
              <w:spacing w:after="0"/>
              <w:rPr>
                <w:sz w:val="1"/>
                <w:szCs w:val="1"/>
                <w:color w:val="auto"/>
              </w:rPr>
            </w:pP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13,629</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23,465</w:t>
            </w:r>
          </w:p>
        </w:tc>
        <w:tc>
          <w:tcPr>
            <w:tcW w:w="0" w:type="dxa"/>
            <w:vAlign w:val="bottom"/>
          </w:tcPr>
          <w:p>
            <w:pPr>
              <w:spacing w:after="0"/>
              <w:rPr>
                <w:sz w:val="1"/>
                <w:szCs w:val="1"/>
                <w:color w:val="auto"/>
              </w:rPr>
            </w:pPr>
          </w:p>
        </w:tc>
      </w:tr>
      <w:tr>
        <w:trPr>
          <w:trHeight w:val="221"/>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943,669</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901,356</w:t>
            </w:r>
          </w:p>
        </w:tc>
        <w:tc>
          <w:tcPr>
            <w:tcW w:w="0" w:type="dxa"/>
            <w:vAlign w:val="bottom"/>
          </w:tcPr>
          <w:p>
            <w:pPr>
              <w:spacing w:after="0"/>
              <w:rPr>
                <w:sz w:val="1"/>
                <w:szCs w:val="1"/>
                <w:color w:val="auto"/>
              </w:rPr>
            </w:pPr>
          </w:p>
        </w:tc>
      </w:tr>
      <w:tr>
        <w:trPr>
          <w:trHeight w:val="309"/>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8220" w:type="dxa"/>
            <w:vAlign w:val="bottom"/>
          </w:tcPr>
          <w:p>
            <w:pPr>
              <w:ind w:left="160"/>
              <w:spacing w:after="0" w:line="179" w:lineRule="exact"/>
              <w:rPr>
                <w:sz w:val="20"/>
                <w:szCs w:val="20"/>
                <w:color w:val="auto"/>
              </w:rPr>
            </w:pPr>
            <w:r>
              <w:rPr>
                <w:rFonts w:ascii="Times New Roman" w:cs="Times New Roman" w:eastAsia="Times New Roman" w:hAnsi="Times New Roman"/>
                <w:sz w:val="18"/>
                <w:szCs w:val="18"/>
                <w:color w:val="auto"/>
                <w:w w:val="99"/>
              </w:rPr>
              <w:t>Class A common stock, stated value $0.0292 per share; 74,996,930 shares authorized; 68,299,200 shares issued;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46,189,068 shares outstanding</w:t>
            </w:r>
          </w:p>
        </w:tc>
        <w:tc>
          <w:tcPr>
            <w:tcW w:w="2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1,992</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179"/>
        </w:trPr>
        <w:tc>
          <w:tcPr>
            <w:tcW w:w="8220" w:type="dxa"/>
            <w:vAlign w:val="bottom"/>
          </w:tcPr>
          <w:p>
            <w:pPr>
              <w:ind w:left="160"/>
              <w:spacing w:after="0" w:line="179" w:lineRule="exact"/>
              <w:rPr>
                <w:sz w:val="20"/>
                <w:szCs w:val="20"/>
                <w:color w:val="auto"/>
              </w:rPr>
            </w:pPr>
            <w:r>
              <w:rPr>
                <w:rFonts w:ascii="Times New Roman" w:cs="Times New Roman" w:eastAsia="Times New Roman" w:hAnsi="Times New Roman"/>
                <w:sz w:val="18"/>
                <w:szCs w:val="18"/>
                <w:color w:val="auto"/>
              </w:rPr>
              <w:t>Class B common stock, convertible at a rate of 2,400 Class A shares for one Class B share, stated value $70 per</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 3,070 shares authorized; 2,542 shares issued and outstanding</w:t>
            </w:r>
          </w:p>
        </w:tc>
        <w:tc>
          <w:tcPr>
            <w:tcW w:w="2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7"/>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16,494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0" w:type="dxa"/>
            <w:vAlign w:val="bottom"/>
          </w:tcPr>
          <w:p>
            <w:pPr>
              <w:spacing w:after="0"/>
              <w:rPr>
                <w:sz w:val="1"/>
                <w:szCs w:val="1"/>
                <w:color w:val="auto"/>
              </w:rPr>
            </w:pPr>
          </w:p>
        </w:tc>
      </w:tr>
      <w:tr>
        <w:trPr>
          <w:trHeight w:val="227"/>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(36,296)</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(47,591)</w:t>
            </w:r>
          </w:p>
        </w:tc>
        <w:tc>
          <w:tcPr>
            <w:tcW w:w="0" w:type="dxa"/>
            <w:vAlign w:val="bottom"/>
          </w:tcPr>
          <w:p>
            <w:pPr>
              <w:spacing w:after="0"/>
              <w:rPr>
                <w:sz w:val="1"/>
                <w:szCs w:val="1"/>
                <w:color w:val="auto"/>
              </w:rPr>
            </w:pPr>
          </w:p>
        </w:tc>
      </w:tr>
      <w:tr>
        <w:trPr>
          <w:trHeight w:val="232"/>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3,348,267</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3,162,303</w:t>
            </w:r>
          </w:p>
        </w:tc>
        <w:tc>
          <w:tcPr>
            <w:tcW w:w="0" w:type="dxa"/>
            <w:vAlign w:val="bottom"/>
          </w:tcPr>
          <w:p>
            <w:pPr>
              <w:spacing w:after="0"/>
              <w:rPr>
                <w:sz w:val="1"/>
                <w:szCs w:val="1"/>
                <w:color w:val="auto"/>
              </w:rPr>
            </w:pPr>
          </w:p>
        </w:tc>
      </w:tr>
      <w:tr>
        <w:trPr>
          <w:trHeight w:val="216"/>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contributed capital and retained earnings</w:t>
            </w:r>
          </w:p>
        </w:tc>
        <w:tc>
          <w:tcPr>
            <w:tcW w:w="20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3,330,635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3,133,348</w:t>
            </w:r>
          </w:p>
        </w:tc>
        <w:tc>
          <w:tcPr>
            <w:tcW w:w="0" w:type="dxa"/>
            <w:vAlign w:val="bottom"/>
          </w:tcPr>
          <w:p>
            <w:pPr>
              <w:spacing w:after="0"/>
              <w:rPr>
                <w:sz w:val="1"/>
                <w:szCs w:val="1"/>
                <w:color w:val="auto"/>
              </w:rPr>
            </w:pPr>
          </w:p>
        </w:tc>
      </w:tr>
      <w:tr>
        <w:trPr>
          <w:trHeight w:val="227"/>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22,110,132 shares held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(1,170,332)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(1,169,074)</w:t>
            </w:r>
          </w:p>
        </w:tc>
        <w:tc>
          <w:tcPr>
            <w:tcW w:w="0" w:type="dxa"/>
            <w:vAlign w:val="bottom"/>
          </w:tcPr>
          <w:p>
            <w:pPr>
              <w:spacing w:after="0"/>
              <w:rPr>
                <w:sz w:val="1"/>
                <w:szCs w:val="1"/>
                <w:color w:val="auto"/>
              </w:rPr>
            </w:pPr>
          </w:p>
        </w:tc>
      </w:tr>
      <w:tr>
        <w:trPr>
          <w:trHeight w:val="232"/>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24,242</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0" w:type="dxa"/>
            <w:vAlign w:val="bottom"/>
          </w:tcPr>
          <w:p>
            <w:pPr>
              <w:spacing w:after="0"/>
              <w:rPr>
                <w:sz w:val="1"/>
                <w:szCs w:val="1"/>
                <w:color w:val="auto"/>
              </w:rPr>
            </w:pPr>
          </w:p>
        </w:tc>
      </w:tr>
      <w:tr>
        <w:trPr>
          <w:trHeight w:val="221"/>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2,184,545</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1,987,258</w:t>
            </w:r>
          </w:p>
        </w:tc>
        <w:tc>
          <w:tcPr>
            <w:tcW w:w="0" w:type="dxa"/>
            <w:vAlign w:val="bottom"/>
          </w:tcPr>
          <w:p>
            <w:pPr>
              <w:spacing w:after="0"/>
              <w:rPr>
                <w:sz w:val="1"/>
                <w:szCs w:val="1"/>
                <w:color w:val="auto"/>
              </w:rPr>
            </w:pPr>
          </w:p>
        </w:tc>
      </w:tr>
      <w:tr>
        <w:trPr>
          <w:trHeight w:val="221"/>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3,128,214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2,888,614</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 and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color w:val="auto"/>
              </w:rPr>
              <w:t>Class A</w:t>
            </w:r>
          </w:p>
        </w:tc>
        <w:tc>
          <w:tcPr>
            <w:tcW w:w="180" w:type="dxa"/>
            <w:vAlign w:val="bottom"/>
          </w:tcPr>
          <w:p>
            <w:pPr>
              <w:spacing w:after="0"/>
              <w:rPr>
                <w:sz w:val="13"/>
                <w:szCs w:val="13"/>
                <w:color w:val="auto"/>
              </w:rPr>
            </w:pPr>
          </w:p>
        </w:tc>
        <w:tc>
          <w:tcPr>
            <w:tcW w:w="74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color w:val="auto"/>
              </w:rPr>
              <w:t>Class B</w:t>
            </w:r>
          </w:p>
        </w:tc>
        <w:tc>
          <w:tcPr>
            <w:tcW w:w="140" w:type="dxa"/>
            <w:vAlign w:val="bottom"/>
          </w:tcPr>
          <w:p>
            <w:pPr>
              <w:spacing w:after="0"/>
              <w:rPr>
                <w:sz w:val="13"/>
                <w:szCs w:val="13"/>
                <w:color w:val="auto"/>
              </w:rPr>
            </w:pPr>
          </w:p>
        </w:tc>
        <w:tc>
          <w:tcPr>
            <w:tcW w:w="78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rPr>
              <w:t>Additional</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color w:val="auto"/>
              </w:rPr>
              <w:t>Deferred</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Total shareholders'</w:t>
            </w:r>
          </w:p>
        </w:tc>
        <w:tc>
          <w:tcPr>
            <w:tcW w:w="0" w:type="dxa"/>
            <w:vAlign w:val="bottom"/>
          </w:tcPr>
          <w:p>
            <w:pPr>
              <w:spacing w:after="0"/>
              <w:rPr>
                <w:sz w:val="1"/>
                <w:szCs w:val="1"/>
                <w:color w:val="auto"/>
              </w:rPr>
            </w:pPr>
          </w:p>
        </w:tc>
      </w:tr>
      <w:tr>
        <w:trPr>
          <w:trHeight w:val="143"/>
        </w:trPr>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9"/>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118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Pr>
          <w:p>
            <w:pPr>
              <w:spacing w:after="0"/>
              <w:rPr>
                <w:sz w:val="12"/>
                <w:szCs w:val="12"/>
                <w:color w:val="auto"/>
              </w:rPr>
            </w:pPr>
          </w:p>
        </w:tc>
        <w:tc>
          <w:tcPr>
            <w:tcW w:w="10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Treasury stock</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left="209"/>
              <w:spacing w:after="0"/>
              <w:rPr>
                <w:sz w:val="20"/>
                <w:szCs w:val="20"/>
                <w:color w:val="auto"/>
              </w:rPr>
            </w:pPr>
            <w:r>
              <w:rPr>
                <w:rFonts w:ascii="Times New Roman" w:cs="Times New Roman" w:eastAsia="Times New Roman" w:hAnsi="Times New Roman"/>
                <w:sz w:val="14"/>
                <w:szCs w:val="14"/>
                <w:color w:val="auto"/>
                <w:w w:val="99"/>
              </w:rPr>
              <w:t>common stock</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common stock</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paid-in-capital</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(loss) income</w:t>
            </w:r>
          </w:p>
        </w:tc>
        <w:tc>
          <w:tcPr>
            <w:tcW w:w="11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compensation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3"/>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(47,591)</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3,162,303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(1,169,074)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22,984</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1,987,258</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138,417</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138,417</w:t>
            </w:r>
          </w:p>
        </w:tc>
        <w:tc>
          <w:tcPr>
            <w:tcW w:w="0" w:type="dxa"/>
            <w:vAlign w:val="bottom"/>
          </w:tcPr>
          <w:p>
            <w:pPr>
              <w:spacing w:after="0"/>
              <w:rPr>
                <w:sz w:val="1"/>
                <w:szCs w:val="1"/>
                <w:color w:val="auto"/>
              </w:rPr>
            </w:pPr>
          </w:p>
        </w:tc>
      </w:tr>
      <w:tr>
        <w:trPr>
          <w:trHeight w:val="19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0" w:type="dxa"/>
            <w:vAlign w:val="bottom"/>
          </w:tcPr>
          <w:p>
            <w:pPr>
              <w:spacing w:after="0"/>
              <w:rPr>
                <w:sz w:val="1"/>
                <w:szCs w:val="1"/>
                <w:color w:val="auto"/>
              </w:rPr>
            </w:pPr>
          </w:p>
        </w:tc>
      </w:tr>
      <w:tr>
        <w:trPr>
          <w:trHeight w:val="20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$1.365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(63,048)</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(63,048)</w:t>
            </w:r>
          </w:p>
        </w:tc>
        <w:tc>
          <w:tcPr>
            <w:tcW w:w="0" w:type="dxa"/>
            <w:vAlign w:val="bottom"/>
          </w:tcPr>
          <w:p>
            <w:pPr>
              <w:spacing w:after="0"/>
              <w:rPr>
                <w:sz w:val="1"/>
                <w:szCs w:val="1"/>
                <w:color w:val="auto"/>
              </w:rPr>
            </w:pPr>
          </w:p>
        </w:tc>
      </w:tr>
      <w:tr>
        <w:trPr>
          <w:trHeight w:val="20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B $204.75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7"/>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(42,374)</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3,237,151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(1,169,536)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23,446</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2,067,351</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174,685</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174,685</w:t>
            </w:r>
          </w:p>
        </w:tc>
        <w:tc>
          <w:tcPr>
            <w:tcW w:w="0" w:type="dxa"/>
            <w:vAlign w:val="bottom"/>
          </w:tcPr>
          <w:p>
            <w:pPr>
              <w:spacing w:after="0"/>
              <w:rPr>
                <w:sz w:val="1"/>
                <w:szCs w:val="1"/>
                <w:color w:val="auto"/>
              </w:rPr>
            </w:pPr>
          </w:p>
        </w:tc>
      </w:tr>
      <w:tr>
        <w:trPr>
          <w:trHeight w:val="19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0" w:type="dxa"/>
            <w:vAlign w:val="bottom"/>
          </w:tcPr>
          <w:p>
            <w:pPr>
              <w:spacing w:after="0"/>
              <w:rPr>
                <w:sz w:val="1"/>
                <w:szCs w:val="1"/>
                <w:color w:val="auto"/>
              </w:rPr>
            </w:pPr>
          </w:p>
        </w:tc>
      </w:tr>
      <w:tr>
        <w:trPr>
          <w:trHeight w:val="20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$1.365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(63,048)</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(63,048)</w:t>
            </w:r>
          </w:p>
        </w:tc>
        <w:tc>
          <w:tcPr>
            <w:tcW w:w="0" w:type="dxa"/>
            <w:vAlign w:val="bottom"/>
          </w:tcPr>
          <w:p>
            <w:pPr>
              <w:spacing w:after="0"/>
              <w:rPr>
                <w:sz w:val="1"/>
                <w:szCs w:val="1"/>
                <w:color w:val="auto"/>
              </w:rPr>
            </w:pPr>
          </w:p>
        </w:tc>
      </w:tr>
      <w:tr>
        <w:trPr>
          <w:trHeight w:val="20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B $204.75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7"/>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(36,296)</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3,348,267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(1,170,332)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24,242</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2,184,545</w:t>
            </w:r>
          </w:p>
        </w:tc>
        <w:tc>
          <w:tcPr>
            <w:tcW w:w="0" w:type="dxa"/>
            <w:vAlign w:val="bottom"/>
          </w:tcPr>
          <w:p>
            <w:pPr>
              <w:spacing w:after="0"/>
              <w:rPr>
                <w:sz w:val="1"/>
                <w:szCs w:val="1"/>
                <w:color w:val="auto"/>
              </w:rPr>
            </w:pPr>
          </w:p>
        </w:tc>
      </w:tr>
      <w:tr>
        <w:trPr>
          <w:trHeight w:val="481"/>
        </w:trPr>
        <w:tc>
          <w:tcPr>
            <w:tcW w:w="2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Class A</w:t>
            </w:r>
          </w:p>
        </w:tc>
        <w:tc>
          <w:tcPr>
            <w:tcW w:w="180" w:type="dxa"/>
            <w:vAlign w:val="bottom"/>
          </w:tcPr>
          <w:p>
            <w:pPr>
              <w:spacing w:after="0"/>
              <w:rPr>
                <w:sz w:val="24"/>
                <w:szCs w:val="24"/>
                <w:color w:val="auto"/>
              </w:rPr>
            </w:pPr>
          </w:p>
        </w:tc>
        <w:tc>
          <w:tcPr>
            <w:tcW w:w="74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Class B</w:t>
            </w:r>
          </w:p>
        </w:tc>
        <w:tc>
          <w:tcPr>
            <w:tcW w:w="140" w:type="dxa"/>
            <w:vAlign w:val="bottom"/>
          </w:tcPr>
          <w:p>
            <w:pPr>
              <w:spacing w:after="0"/>
              <w:rPr>
                <w:sz w:val="24"/>
                <w:szCs w:val="24"/>
                <w:color w:val="auto"/>
              </w:rPr>
            </w:pPr>
          </w:p>
        </w:tc>
        <w:tc>
          <w:tcPr>
            <w:tcW w:w="7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Additional</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118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Pr>
          <w:p>
            <w:pPr>
              <w:spacing w:after="0"/>
              <w:rPr>
                <w:sz w:val="24"/>
                <w:szCs w:val="24"/>
                <w:color w:val="auto"/>
              </w:rPr>
            </w:pPr>
          </w:p>
        </w:tc>
        <w:tc>
          <w:tcPr>
            <w:tcW w:w="10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Treasury stock</w:t>
            </w:r>
          </w:p>
        </w:tc>
        <w:tc>
          <w:tcPr>
            <w:tcW w:w="140" w:type="dxa"/>
            <w:vAlign w:val="bottom"/>
          </w:tcPr>
          <w:p>
            <w:pPr>
              <w:spacing w:after="0"/>
              <w:rPr>
                <w:sz w:val="24"/>
                <w:szCs w:val="24"/>
                <w:color w:val="auto"/>
              </w:rPr>
            </w:pPr>
          </w:p>
        </w:tc>
        <w:tc>
          <w:tcPr>
            <w:tcW w:w="104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Deferred</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Total shareholders'</w:t>
            </w:r>
          </w:p>
        </w:tc>
        <w:tc>
          <w:tcPr>
            <w:tcW w:w="0" w:type="dxa"/>
            <w:vAlign w:val="bottom"/>
          </w:tcPr>
          <w:p>
            <w:pPr>
              <w:spacing w:after="0"/>
              <w:rPr>
                <w:sz w:val="1"/>
                <w:szCs w:val="1"/>
                <w:color w:val="auto"/>
              </w:rPr>
            </w:pPr>
          </w:p>
        </w:tc>
      </w:tr>
      <w:tr>
        <w:trPr>
          <w:trHeight w:val="194"/>
        </w:trPr>
        <w:tc>
          <w:tcPr>
            <w:tcW w:w="2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common stock</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paid-in-capital</w:t>
            </w: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comprehensive loss</w:t>
            </w:r>
          </w:p>
        </w:tc>
        <w:tc>
          <w:tcPr>
            <w:tcW w:w="11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compensation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4"/>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(13,400)</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2,803,689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(1,169,165)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23,075</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1,662,835</w:t>
            </w:r>
          </w:p>
        </w:tc>
        <w:tc>
          <w:tcPr>
            <w:tcW w:w="0" w:type="dxa"/>
            <w:vAlign w:val="bottom"/>
          </w:tcPr>
          <w:p>
            <w:pPr>
              <w:spacing w:after="0"/>
              <w:rPr>
                <w:sz w:val="1"/>
                <w:szCs w:val="1"/>
                <w:color w:val="auto"/>
              </w:rPr>
            </w:pPr>
          </w:p>
        </w:tc>
      </w:tr>
      <w:tr>
        <w:trPr>
          <w:trHeight w:val="18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124,552</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124,552</w:t>
            </w:r>
          </w:p>
        </w:tc>
        <w:tc>
          <w:tcPr>
            <w:tcW w:w="0" w:type="dxa"/>
            <w:vAlign w:val="bottom"/>
          </w:tcPr>
          <w:p>
            <w:pPr>
              <w:spacing w:after="0"/>
              <w:rPr>
                <w:sz w:val="1"/>
                <w:szCs w:val="1"/>
                <w:color w:val="auto"/>
              </w:rPr>
            </w:pPr>
          </w:p>
        </w:tc>
      </w:tr>
      <w:tr>
        <w:trPr>
          <w:trHeight w:val="19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0" w:type="dxa"/>
            <w:vAlign w:val="bottom"/>
          </w:tcPr>
          <w:p>
            <w:pPr>
              <w:spacing w:after="0"/>
              <w:rPr>
                <w:sz w:val="1"/>
                <w:szCs w:val="1"/>
                <w:color w:val="auto"/>
              </w:rPr>
            </w:pPr>
          </w:p>
        </w:tc>
      </w:tr>
      <w:tr>
        <w:trPr>
          <w:trHeight w:val="20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 $1.275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(58,891)</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(58,891)</w:t>
            </w:r>
          </w:p>
        </w:tc>
        <w:tc>
          <w:tcPr>
            <w:tcW w:w="0" w:type="dxa"/>
            <w:vAlign w:val="bottom"/>
          </w:tcPr>
          <w:p>
            <w:pPr>
              <w:spacing w:after="0"/>
              <w:rPr>
                <w:sz w:val="1"/>
                <w:szCs w:val="1"/>
                <w:color w:val="auto"/>
              </w:rPr>
            </w:pPr>
          </w:p>
        </w:tc>
      </w:tr>
      <w:tr>
        <w:trPr>
          <w:trHeight w:val="201"/>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B $191.25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7"/>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(15,230)</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2,868,864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(1,169,317)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23,227</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1,726,180</w:t>
            </w:r>
          </w:p>
        </w:tc>
        <w:tc>
          <w:tcPr>
            <w:tcW w:w="0" w:type="dxa"/>
            <w:vAlign w:val="bottom"/>
          </w:tcPr>
          <w:p>
            <w:pPr>
              <w:spacing w:after="0"/>
              <w:rPr>
                <w:sz w:val="1"/>
                <w:szCs w:val="1"/>
                <w:color w:val="auto"/>
              </w:rPr>
            </w:pPr>
          </w:p>
        </w:tc>
      </w:tr>
      <w:tr>
        <w:trPr>
          <w:trHeight w:val="18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163,903</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163,903</w:t>
            </w:r>
          </w:p>
        </w:tc>
        <w:tc>
          <w:tcPr>
            <w:tcW w:w="0" w:type="dxa"/>
            <w:vAlign w:val="bottom"/>
          </w:tcPr>
          <w:p>
            <w:pPr>
              <w:spacing w:after="0"/>
              <w:rPr>
                <w:sz w:val="1"/>
                <w:szCs w:val="1"/>
                <w:color w:val="auto"/>
              </w:rPr>
            </w:pPr>
          </w:p>
        </w:tc>
      </w:tr>
      <w:tr>
        <w:trPr>
          <w:trHeight w:val="19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0" w:type="dxa"/>
            <w:vAlign w:val="bottom"/>
          </w:tcPr>
          <w:p>
            <w:pPr>
              <w:spacing w:after="0"/>
              <w:rPr>
                <w:sz w:val="1"/>
                <w:szCs w:val="1"/>
                <w:color w:val="auto"/>
              </w:rPr>
            </w:pPr>
          </w:p>
        </w:tc>
      </w:tr>
      <w:tr>
        <w:trPr>
          <w:trHeight w:val="20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 $1.275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(58,891)</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(58,891)</w:t>
            </w:r>
          </w:p>
        </w:tc>
        <w:tc>
          <w:tcPr>
            <w:tcW w:w="0" w:type="dxa"/>
            <w:vAlign w:val="bottom"/>
          </w:tcPr>
          <w:p>
            <w:pPr>
              <w:spacing w:after="0"/>
              <w:rPr>
                <w:sz w:val="1"/>
                <w:szCs w:val="1"/>
                <w:color w:val="auto"/>
              </w:rPr>
            </w:pPr>
          </w:p>
        </w:tc>
      </w:tr>
      <w:tr>
        <w:trPr>
          <w:trHeight w:val="201"/>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B $191.25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7"/>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(17,123)</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2,973,390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(1,168,297)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22,207</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1,828,813</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640" w:hanging="312"/>
        <w:spacing w:after="0"/>
        <w:tabs>
          <w:tab w:leader="none" w:pos="64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Net purchases of treasury stock in 2025 and 2024 include the repurchase of our Class A common stock in the open market that were subsequently distributed to satisfy stock-based compensation awards.</w:t>
      </w:r>
    </w:p>
    <w:p>
      <w:pPr>
        <w:spacing w:after="0" w:line="75" w:lineRule="exact"/>
        <w:rPr>
          <w:rFonts w:ascii="Times New Roman" w:cs="Times New Roman" w:eastAsia="Times New Roman" w:hAnsi="Times New Roman"/>
          <w:sz w:val="12"/>
          <w:szCs w:val="12"/>
          <w:i w:val="1"/>
          <w:iCs w:val="1"/>
          <w:color w:val="auto"/>
        </w:rPr>
      </w:pPr>
    </w:p>
    <w:p>
      <w:pPr>
        <w:ind w:left="640" w:hanging="312"/>
        <w:spacing w:after="0"/>
        <w:tabs>
          <w:tab w:leader="none" w:pos="64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Distributions of our Class A shares were made from the rabbi trust to three incentive compensation deferral plan participants in 2025 and and five in 2024.</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5"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color w:val="auto"/>
        </w:rPr>
        <w:t>Six months ended</w:t>
      </w:r>
    </w:p>
    <w:p>
      <w:pPr>
        <w:jc w:val="center"/>
        <w:ind w:left="7660"/>
        <w:spacing w:after="0"/>
        <w:rPr>
          <w:sz w:val="20"/>
          <w:szCs w:val="20"/>
          <w:color w:val="auto"/>
        </w:rPr>
      </w:pPr>
      <w:r>
        <w:rPr>
          <w:rFonts w:ascii="Times New Roman" w:cs="Times New Roman" w:eastAsia="Times New Roman" w:hAnsi="Times New Roman"/>
          <w:sz w:val="18"/>
          <w:szCs w:val="18"/>
          <w:color w:val="auto"/>
        </w:rPr>
        <w:t>June 30,</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2"/>
        </w:trPr>
        <w:tc>
          <w:tcPr>
            <w:tcW w:w="76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 received</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1,474,277</w:t>
            </w:r>
          </w:p>
        </w:tc>
        <w:tc>
          <w:tcPr>
            <w:tcW w:w="4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1,389,944</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services reimbursements received</w:t>
            </w:r>
          </w:p>
        </w:tc>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500,337</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373,908</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agreement revenue received</w:t>
            </w:r>
          </w:p>
        </w:tc>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11,735</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 received</w:t>
            </w:r>
          </w:p>
        </w:tc>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37,795</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31,590</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 paid to agents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(783,117)</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(681,345)</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compensation paid to agents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(85,401)</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(80,633)</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wages paid</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(139,121)</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(131,226)</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contribution and employee benefits paid</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(70,588)</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operating expenses paid</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(154,610)</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(161,102)</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services expenses paid</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(414,543)</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(385,036)</w:t>
            </w:r>
          </w:p>
        </w:tc>
        <w:tc>
          <w:tcPr>
            <w:tcW w:w="0" w:type="dxa"/>
            <w:vAlign w:val="bottom"/>
          </w:tcPr>
          <w:p>
            <w:pPr>
              <w:spacing w:after="0"/>
              <w:rPr>
                <w:sz w:val="1"/>
                <w:szCs w:val="1"/>
                <w:color w:val="auto"/>
              </w:rPr>
            </w:pPr>
          </w:p>
        </w:tc>
      </w:tr>
      <w:tr>
        <w:trPr>
          <w:trHeight w:val="232"/>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paid</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(73,431)</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(79,881)</w:t>
            </w:r>
          </w:p>
        </w:tc>
        <w:tc>
          <w:tcPr>
            <w:tcW w:w="0" w:type="dxa"/>
            <w:vAlign w:val="bottom"/>
          </w:tcPr>
          <w:p>
            <w:pPr>
              <w:spacing w:after="0"/>
              <w:rPr>
                <w:sz w:val="1"/>
                <w:szCs w:val="1"/>
                <w:color w:val="auto"/>
              </w:rPr>
            </w:pPr>
          </w:p>
        </w:tc>
      </w:tr>
      <w:tr>
        <w:trPr>
          <w:trHeight w:val="221"/>
        </w:trPr>
        <w:tc>
          <w:tcPr>
            <w:tcW w:w="76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295,694</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218,620</w:t>
            </w:r>
          </w:p>
        </w:tc>
        <w:tc>
          <w:tcPr>
            <w:tcW w:w="0" w:type="dxa"/>
            <w:vAlign w:val="bottom"/>
          </w:tcPr>
          <w:p>
            <w:pPr>
              <w:spacing w:after="0"/>
              <w:rPr>
                <w:sz w:val="1"/>
                <w:szCs w:val="1"/>
                <w:color w:val="auto"/>
              </w:rPr>
            </w:pPr>
          </w:p>
        </w:tc>
      </w:tr>
      <w:tr>
        <w:trPr>
          <w:trHeight w:val="4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investments: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(208,686)</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(236,000)</w:t>
            </w:r>
          </w:p>
        </w:tc>
        <w:tc>
          <w:tcPr>
            <w:tcW w:w="0" w:type="dxa"/>
            <w:vAlign w:val="bottom"/>
          </w:tcPr>
          <w:p>
            <w:pPr>
              <w:spacing w:after="0"/>
              <w:rPr>
                <w:sz w:val="1"/>
                <w:szCs w:val="1"/>
                <w:color w:val="auto"/>
              </w:rPr>
            </w:pPr>
          </w:p>
        </w:tc>
      </w:tr>
      <w:tr>
        <w:trPr>
          <w:trHeight w:val="227"/>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0" w:type="dxa"/>
            <w:vAlign w:val="bottom"/>
          </w:tcPr>
          <w:p>
            <w:pPr>
              <w:spacing w:after="0"/>
              <w:rPr>
                <w:sz w:val="1"/>
                <w:szCs w:val="1"/>
                <w:color w:val="auto"/>
              </w:rPr>
            </w:pPr>
          </w:p>
        </w:tc>
      </w:tr>
      <w:tr>
        <w:trPr>
          <w:trHeight w:val="227"/>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investments</w:t>
            </w:r>
          </w:p>
        </w:tc>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investments: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Available-for-sale securities sales</w:t>
            </w:r>
          </w:p>
        </w:tc>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63,703</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105,172</w:t>
            </w:r>
          </w:p>
        </w:tc>
        <w:tc>
          <w:tcPr>
            <w:tcW w:w="0" w:type="dxa"/>
            <w:vAlign w:val="bottom"/>
          </w:tcPr>
          <w:p>
            <w:pPr>
              <w:spacing w:after="0"/>
              <w:rPr>
                <w:sz w:val="1"/>
                <w:szCs w:val="1"/>
                <w:color w:val="auto"/>
              </w:rPr>
            </w:pPr>
          </w:p>
        </w:tc>
      </w:tr>
      <w:tr>
        <w:trPr>
          <w:trHeight w:val="227"/>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Available-for-sale securities maturities/calls</w:t>
            </w:r>
          </w:p>
        </w:tc>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67,415</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100,655</w:t>
            </w:r>
          </w:p>
        </w:tc>
        <w:tc>
          <w:tcPr>
            <w:tcW w:w="0" w:type="dxa"/>
            <w:vAlign w:val="bottom"/>
          </w:tcPr>
          <w:p>
            <w:pPr>
              <w:spacing w:after="0"/>
              <w:rPr>
                <w:sz w:val="1"/>
                <w:szCs w:val="1"/>
                <w:color w:val="auto"/>
              </w:rPr>
            </w:pPr>
          </w:p>
        </w:tc>
      </w:tr>
      <w:tr>
        <w:trPr>
          <w:trHeight w:val="227"/>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16,769</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19,929</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fixed assets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(49,931)</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to agents and others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32"/>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Collections on agent and other loans</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6,841</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0" w:type="dxa"/>
            <w:vAlign w:val="bottom"/>
          </w:tcPr>
          <w:p>
            <w:pPr>
              <w:spacing w:after="0"/>
              <w:rPr>
                <w:sz w:val="1"/>
                <w:szCs w:val="1"/>
                <w:color w:val="auto"/>
              </w:rPr>
            </w:pPr>
          </w:p>
        </w:tc>
      </w:tr>
      <w:tr>
        <w:trPr>
          <w:trHeight w:val="221"/>
        </w:trPr>
        <w:tc>
          <w:tcPr>
            <w:tcW w:w="76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(136,572)</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(79,632)</w:t>
            </w:r>
          </w:p>
        </w:tc>
        <w:tc>
          <w:tcPr>
            <w:tcW w:w="0" w:type="dxa"/>
            <w:vAlign w:val="bottom"/>
          </w:tcPr>
          <w:p>
            <w:pPr>
              <w:spacing w:after="0"/>
              <w:rPr>
                <w:sz w:val="1"/>
                <w:szCs w:val="1"/>
                <w:color w:val="auto"/>
              </w:rPr>
            </w:pPr>
          </w:p>
        </w:tc>
      </w:tr>
      <w:tr>
        <w:trPr>
          <w:trHeight w:val="4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(127,138)</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(118,754)</w:t>
            </w:r>
          </w:p>
        </w:tc>
        <w:tc>
          <w:tcPr>
            <w:tcW w:w="0" w:type="dxa"/>
            <w:vAlign w:val="bottom"/>
          </w:tcPr>
          <w:p>
            <w:pPr>
              <w:spacing w:after="0"/>
              <w:rPr>
                <w:sz w:val="1"/>
                <w:szCs w:val="1"/>
                <w:color w:val="auto"/>
              </w:rPr>
            </w:pPr>
          </w:p>
        </w:tc>
      </w:tr>
      <w:tr>
        <w:trPr>
          <w:trHeight w:val="232"/>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changes in cash collateral for securities lent</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27,646</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0" w:type="dxa"/>
            <w:vAlign w:val="bottom"/>
          </w:tcPr>
          <w:p>
            <w:pPr>
              <w:spacing w:after="0"/>
              <w:rPr>
                <w:sz w:val="1"/>
                <w:szCs w:val="1"/>
                <w:color w:val="auto"/>
              </w:rPr>
            </w:pPr>
          </w:p>
        </w:tc>
      </w:tr>
      <w:tr>
        <w:trPr>
          <w:trHeight w:val="221"/>
        </w:trPr>
        <w:tc>
          <w:tcPr>
            <w:tcW w:w="76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(99,492)</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(112,409)</w:t>
            </w:r>
          </w:p>
        </w:tc>
        <w:tc>
          <w:tcPr>
            <w:tcW w:w="0" w:type="dxa"/>
            <w:vAlign w:val="bottom"/>
          </w:tcPr>
          <w:p>
            <w:pPr>
              <w:spacing w:after="0"/>
              <w:rPr>
                <w:sz w:val="1"/>
                <w:szCs w:val="1"/>
                <w:color w:val="auto"/>
              </w:rPr>
            </w:pPr>
          </w:p>
        </w:tc>
      </w:tr>
      <w:tr>
        <w:trPr>
          <w:trHeight w:val="4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80" w:type="dxa"/>
            <w:vAlign w:val="bottom"/>
          </w:tcPr>
          <w:p>
            <w:pPr>
              <w:spacing w:after="0"/>
              <w:rPr>
                <w:sz w:val="24"/>
                <w:szCs w:val="24"/>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59,630</w:t>
            </w:r>
          </w:p>
        </w:tc>
        <w:tc>
          <w:tcPr>
            <w:tcW w:w="4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26,579</w:t>
            </w:r>
          </w:p>
        </w:tc>
        <w:tc>
          <w:tcPr>
            <w:tcW w:w="0" w:type="dxa"/>
            <w:vAlign w:val="bottom"/>
          </w:tcPr>
          <w:p>
            <w:pPr>
              <w:spacing w:after="0"/>
              <w:rPr>
                <w:sz w:val="1"/>
                <w:szCs w:val="1"/>
                <w:color w:val="auto"/>
              </w:rPr>
            </w:pPr>
          </w:p>
        </w:tc>
      </w:tr>
      <w:tr>
        <w:trPr>
          <w:trHeight w:val="23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298,397</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144,055</w:t>
            </w:r>
          </w:p>
        </w:tc>
        <w:tc>
          <w:tcPr>
            <w:tcW w:w="0" w:type="dxa"/>
            <w:vAlign w:val="bottom"/>
          </w:tcPr>
          <w:p>
            <w:pPr>
              <w:spacing w:after="0"/>
              <w:rPr>
                <w:sz w:val="1"/>
                <w:szCs w:val="1"/>
                <w:color w:val="auto"/>
              </w:rPr>
            </w:pPr>
          </w:p>
        </w:tc>
      </w:tr>
      <w:tr>
        <w:trPr>
          <w:trHeight w:val="221"/>
        </w:trPr>
        <w:tc>
          <w:tcPr>
            <w:tcW w:w="76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358,027</w:t>
            </w:r>
          </w:p>
        </w:tc>
        <w:tc>
          <w:tcPr>
            <w:tcW w:w="4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170,634</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7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Liability incurred to purchase fixed assets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844</w:t>
            </w:r>
          </w:p>
        </w:tc>
        <w:tc>
          <w:tcPr>
            <w:tcW w:w="4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2,523</w:t>
            </w:r>
          </w:p>
        </w:tc>
        <w:tc>
          <w:tcPr>
            <w:tcW w:w="4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0" w:type="dxa"/>
            <w:vAlign w:val="bottom"/>
          </w:tcPr>
          <w:p>
            <w:pPr>
              <w:spacing w:after="0"/>
              <w:rPr>
                <w:sz w:val="1"/>
                <w:szCs w:val="1"/>
                <w:color w:val="auto"/>
              </w:rPr>
            </w:pPr>
          </w:p>
        </w:tc>
      </w:tr>
      <w:tr>
        <w:trPr>
          <w:trHeight w:val="233"/>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Receipt of donated equipment</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1,967</w:t>
            </w:r>
          </w:p>
        </w:tc>
        <w:tc>
          <w:tcPr>
            <w:tcW w:w="4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225" w:lineRule="exact"/>
        <w:rPr>
          <w:sz w:val="20"/>
          <w:szCs w:val="20"/>
          <w:color w:val="auto"/>
        </w:rPr>
      </w:pPr>
    </w:p>
    <w:p>
      <w:pPr>
        <w:jc w:val="both"/>
        <w:ind w:right="440"/>
        <w:spacing w:after="0" w:line="263" w:lineRule="auto"/>
        <w:rPr>
          <w:sz w:val="20"/>
          <w:szCs w:val="20"/>
          <w:color w:val="auto"/>
        </w:rPr>
      </w:pPr>
      <w:r>
        <w:rPr>
          <w:rFonts w:ascii="Times New Roman" w:cs="Times New Roman" w:eastAsia="Times New Roman" w:hAnsi="Times New Roman"/>
          <w:sz w:val="18"/>
          <w:szCs w:val="18"/>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primary function as attorney-in-fact is to perform policy issuance and renewal services on behalf of the subscribers at the Exchange. We also act as attorney-in-fact on behalf of the subscribers at the Exchange with respect to all claims handling and investment management services, as well as the service provider for all claims handling, life insurance and investment management services for the Exchange's insurance subsidiaries, collectively referred to as "administrative services". Acting as attorney-in-fact in these two capacities is done in accordance with a subscriber's agreement (a limited power of attorney) executed individually by each subscriber (policyholder), which appoints Indemnity as each subscriber's attorney-in-fact to transact certain business on their behalf. In accordance with the subscriber's agreement for acting as attorney-in-fact in these two capacities, we retain a management fee calculated as a percentage of the direct and affiliated assumed premiums written by the Exchange.</w:t>
      </w:r>
    </w:p>
    <w:p>
      <w:pPr>
        <w:spacing w:after="0" w:line="21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policy issuance and renewal services we provide on behalf of the subscribers at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incentive compensation, which is earned by achieving targeted measures. The underwriting services we provide include underwriting and policy processing. The remaining services we provide include customer service and administrative support. We also provide information technology services that support all the functions listed above. Included in these expenses are allocations of costs for departments that support these policy issuance and renewal functions.</w:t>
      </w:r>
    </w:p>
    <w:p>
      <w:pPr>
        <w:spacing w:after="0" w:line="21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subscriber's agreement and service agreements provide for reimbursement of amounts incurred for these services to Indemnity. Reimbursements are settled at cost. State insurance regulations require that intercompany service agreements and any material amendments be approved in advance by the state insurance department.</w:t>
      </w:r>
    </w:p>
    <w:p>
      <w:pPr>
        <w:spacing w:after="0" w:line="21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results of operations are tied to the growth and financial condition of the Exchange. If any events occurred that impaired the Exchange’s ability to grow or sustain its financial condition, including but not limited to reduced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could have as a consequence a decline in the total premiums paid and a correspondingly adverse effect on the amount of the management fees we receive. We also have an exposure to a concentration of credit risk related to the unsecured receivables due from the Exchange for net management fee and other reimbursements. See Note 13, "Concentrations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for interim financial information and the instructions to Form 10-Q and Article 10 of Regulation S-X, and include the accounts of Indemnity and its wholly owned subsidiaries. All intercompany accounts and transactions have been eliminated. Accordingly, they do not include all the information and footnotes required by GAAP for complete financial statements. In the opinion of management, all adjustments (consisting of normal recurring accruals) considered necessary for a fair presentation have been included. Operating results for the six months ended June 30, 2025 are not necessarily indicative of the results that may be expected for the year ending December 31, 2025. For further information, refer to the consolidated financial statements and footnotes included in our Form 10-K for the year ended December 31, 2024 as filed with the Securities and Exchange Commission ("SEC") on February 27,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entities to disclose specific categories in an effective tax rate reconciliation, additional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reconciling items that meet a quantitative threshold, and certain information about income taxes paid. The amendments in this ASU are required to be adopted for fiscal years beginning after December 15, 2024. Early adoption is permitted. The amendments can be applied on either a prospective or retrospective basis. We plan to adopt the standard in our consolidated financial statements for the year ending December 31, 2025, and we expect the standard will impact certain of our income tax disclosures.</w:t>
      </w:r>
    </w:p>
    <w:p>
      <w:pPr>
        <w:spacing w:after="0" w:line="21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220-40): Disaggregation of Income Statement Expenses"</w:t>
      </w:r>
      <w:r>
        <w:rPr>
          <w:rFonts w:ascii="Times New Roman" w:cs="Times New Roman" w:eastAsia="Times New Roman" w:hAnsi="Times New Roman"/>
          <w:sz w:val="17"/>
          <w:szCs w:val="17"/>
          <w:color w:val="auto"/>
        </w:rPr>
        <w:t>, which requires entities to disclose disaggregated information about certain income statement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 line items. The amendments in this ASU are required to be adopted for fiscal years beginning after December 15, 2026, and interim periods within fiscal years beginning after December 15, 2027. Early adoption is permitted. The amendments can be applied on either a prospective or retrospective basis. This will have no impact on our consolidated financial statements, and we are currently evaluating the impact of adoption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majority of our revenue is derived from the subscriber’s agreement between us and the subscribers (policyholders) at the Exchange. In accordance with the subscriber’s agreement, we retain a management fee calculated as a percentage, not to exceed 25%, of all direct and affiliated assumed written premiums of the Exchange. We allocate a portion of our management fee revenue, currently 25% of the direct and affiliated assumed written premiums of the Exchange, between the two performance obligations we have under the subscriber’s agreement. The first performance obligation is to provide policy issuance and renewal services to the subscribers (policyholders) at the Exchange, and the second is to act as attorney-in-fact on behalf of the subscribers at the Exchange, as well as the service provider for the Exchange's insurance subsidiaries, with respect to all administrative services.</w:t>
      </w:r>
    </w:p>
    <w:p>
      <w:pPr>
        <w:spacing w:after="0" w:line="21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A constraining estimate of variable consideration exists related to the potential for management fees to be returned if a policy were to be cancelled mid-term. Management fees are returned to the Exchange when policyholders cancel their insurance coverage mid-term and premiums are refunded to them. The constraining estimate is determined using the expected value method, based on both historical and current information. The estimated transaction price, as reduced by the constraint, reflects consideration expected for performance of our services. We update the transaction price and the related allocation at least annually based upon the most recent information available or more frequently if there have been significant changes in any components considered in the transaction price.</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first performance obligation is to provide policy issuance and renewal services that result in executed insurance policies between the Exchange or one of its insurance subsidiaries and the subscriber (policyholder). The subscriber (policyholder) receives economic benefits when substantially all the policy issuance or renewal services are complete and an insurance policy is issued or renewed by the Exchange or one of its insurance subsidiaries. It is at the time of policy issuance or renewal that the allocated portion of revenue is recognized.</w:t>
      </w:r>
    </w:p>
    <w:p>
      <w:pPr>
        <w:spacing w:after="0" w:line="20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Collectively, these services represent a second performance obligation under the subscriber’s agreement and the service agreements. The revenue allocated to this performance obligation is recognized over a four-year period representing the time over which these services are provided. The portion of revenue not yet earned is recorded as a contract liability in the Consolidated Statements of Financial Position. During the three and six months ended June 30, 2025, we recognized revenue of $12.3 million and $27.7 million, respectively, that was included in the contract liability balance as of December 31, 2024. During the three and six months ended June 30, 2024, we recognized revenue of $11.9 million and $26.9 million, respectively, that was included in the contract liability balance as of December 31, 2023. The administrative services expenses we incur and the related reimbursements we receive are recorded gross in the Consolidated Statements of Operations.</w:t>
      </w:r>
    </w:p>
    <w:p>
      <w:pPr>
        <w:spacing w:after="0" w:line="20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Indemnity records a receivable from the Exchange for management fee revenue when the premium is written or assumed from affiliates by the Exchange. Indemnity collects the management fee from the Exchange when the Exchange collects the premiums from the subscribers (policyholders). As the Exchange issues policies almost exclusively with annual terms, cash collections generally occur within one year.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by our two performance obligations: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00" w:type="dxa"/>
            <w:vAlign w:val="bottom"/>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40" w:type="dxa"/>
            <w:vAlign w:val="bottom"/>
          </w:tcPr>
          <w:p>
            <w:pPr>
              <w:spacing w:after="0"/>
              <w:rPr>
                <w:sz w:val="19"/>
                <w:szCs w:val="19"/>
                <w:color w:val="auto"/>
              </w:rPr>
            </w:pPr>
          </w:p>
        </w:tc>
        <w:tc>
          <w:tcPr>
            <w:tcW w:w="25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32"/>
        </w:trPr>
        <w:tc>
          <w:tcPr>
            <w:tcW w:w="51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Management fee revenue - policy issuance and renewal services</w:t>
            </w:r>
          </w:p>
        </w:tc>
        <w:tc>
          <w:tcPr>
            <w:tcW w:w="480" w:type="dxa"/>
            <w:vAlign w:val="bottom"/>
          </w:tcPr>
          <w:p>
            <w:pPr>
              <w:spacing w:after="0"/>
              <w:rPr>
                <w:sz w:val="19"/>
                <w:szCs w:val="19"/>
                <w:color w:val="auto"/>
              </w:rPr>
            </w:pPr>
          </w:p>
        </w:tc>
        <w:tc>
          <w:tcPr>
            <w:tcW w:w="2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823,853</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760,886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1,578,902</w:t>
            </w:r>
          </w:p>
        </w:tc>
        <w:tc>
          <w:tcPr>
            <w:tcW w:w="3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35,941</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212,644</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206,028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422,917</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 from administrative services</w:t>
            </w:r>
          </w:p>
        </w:tc>
        <w:tc>
          <w:tcPr>
            <w:tcW w:w="480" w:type="dxa"/>
            <w:vAlign w:val="bottom"/>
          </w:tcPr>
          <w:p>
            <w:pPr>
              <w:spacing w:after="0"/>
              <w:rPr>
                <w:sz w:val="19"/>
                <w:szCs w:val="19"/>
                <w:color w:val="auto"/>
              </w:rPr>
            </w:pPr>
          </w:p>
        </w:tc>
        <w:tc>
          <w:tcPr>
            <w:tcW w:w="2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230,940</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223,079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458,858</w:t>
            </w:r>
          </w:p>
        </w:tc>
        <w:tc>
          <w:tcPr>
            <w:tcW w:w="3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3"/>
        </w:trPr>
        <w:tc>
          <w:tcPr>
            <w:tcW w:w="5100" w:type="dxa"/>
            <w:vAlign w:val="bottom"/>
          </w:tcPr>
          <w:p>
            <w:pPr>
              <w:spacing w:after="0"/>
              <w:rPr>
                <w:sz w:val="24"/>
                <w:szCs w:val="24"/>
                <w:color w:val="auto"/>
              </w:rPr>
            </w:pPr>
          </w:p>
        </w:tc>
        <w:tc>
          <w:tcPr>
            <w:tcW w:w="700" w:type="dxa"/>
            <w:vAlign w:val="bottom"/>
            <w:gridSpan w:val="2"/>
          </w:tcPr>
          <w:p>
            <w:pPr>
              <w:jc w:val="center"/>
              <w:ind w:left="271"/>
              <w:spacing w:after="0"/>
              <w:rPr>
                <w:sz w:val="20"/>
                <w:szCs w:val="20"/>
                <w:color w:val="auto"/>
              </w:rPr>
            </w:pPr>
            <w:r>
              <w:rPr>
                <w:rFonts w:ascii="Times New Roman" w:cs="Times New Roman" w:eastAsia="Times New Roman" w:hAnsi="Times New Roman"/>
                <w:sz w:val="18"/>
                <w:szCs w:val="18"/>
                <w:color w:val="auto"/>
                <w:w w:val="99"/>
              </w:rPr>
              <w:t>10</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Segment Information</w:t>
      </w:r>
    </w:p>
    <w:p>
      <w:pPr>
        <w:spacing w:after="0" w:line="25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one reportable segment: management operations. All segment revenue is derived in the United States, the majority of which is from the subscriber’s agreement between us and the subscribers (policyholders) at the Exchange, our sole customer, as further described in Note 3, "Revenue". Our chief operating decision maker ("CODM") is our Executive Council, which includes our Chief Executive Officer ("CEO"), Chief Financial Officer, executive vice presidents and certain senior vice presidents reporting directly to the CEO as applicable. The CODM assesses performance for the management operations segment and decides how to allocate resources based on net income, as reported in our Consolidated Statements of Operations. Net income is used to monitor budget versus actual results. Total assets as reported in our Consolidated Statements of Financial Position, all of which are located in the United States, are reviewed by the CODM for purposes of decision making. The accounting policies of our management operations segment are the same as those described in Note 2, "Significant Accounting Policies, of Notes to Consolidated Financial Statements" included in our Annual Report on Form 10-K for the year ended December 31, 2024 as filed with the SEC on February 27,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management operations segment revenue, significant segment expenses regularly provided to the CODM and net income:</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40" w:type="dxa"/>
            <w:vAlign w:val="bottom"/>
          </w:tcPr>
          <w:p>
            <w:pPr>
              <w:spacing w:after="0"/>
              <w:rPr>
                <w:sz w:val="19"/>
                <w:szCs w:val="19"/>
                <w:color w:val="auto"/>
              </w:rPr>
            </w:pPr>
          </w:p>
        </w:tc>
        <w:tc>
          <w:tcPr>
            <w:tcW w:w="2740" w:type="dxa"/>
            <w:vAlign w:val="bottom"/>
            <w:gridSpan w:val="3"/>
          </w:tcPr>
          <w:p>
            <w:pPr>
              <w:jc w:val="right"/>
              <w:ind w:right="49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4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842,149</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777,937</w:t>
            </w:r>
          </w:p>
        </w:tc>
        <w:tc>
          <w:tcPr>
            <w:tcW w:w="80" w:type="dxa"/>
            <w:vAlign w:val="bottom"/>
          </w:tcPr>
          <w:p>
            <w:pPr>
              <w:spacing w:after="0"/>
              <w:rPr>
                <w:sz w:val="18"/>
                <w:szCs w:val="18"/>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1,614,843</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1,460,557</w:t>
            </w:r>
          </w:p>
        </w:tc>
      </w:tr>
      <w:tr>
        <w:trPr>
          <w:trHeight w:val="22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212,644</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422,917</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397,595</w:t>
            </w:r>
          </w:p>
        </w:tc>
      </w:tr>
      <w:tr>
        <w:trPr>
          <w:trHeight w:val="2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Service agreement revenue</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12,987</w:t>
            </w:r>
          </w:p>
        </w:tc>
      </w:tr>
      <w:tr>
        <w:trPr>
          <w:trHeight w:val="221"/>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revenue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1,060,097</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990,438</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2,049,496</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1,871,139</w:t>
            </w:r>
          </w:p>
        </w:tc>
      </w:tr>
      <w:tr>
        <w:trPr>
          <w:trHeight w:val="4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463,442</w:t>
            </w:r>
          </w:p>
        </w:tc>
        <w:tc>
          <w:tcPr>
            <w:tcW w:w="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419,951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900,302</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795,711</w:t>
            </w:r>
          </w:p>
        </w:tc>
      </w:tr>
      <w:tr>
        <w:trPr>
          <w:trHeight w:val="22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and policy processing</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51,907</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103,167</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98,901</w:t>
            </w:r>
          </w:p>
        </w:tc>
      </w:tr>
      <w:tr>
        <w:trPr>
          <w:trHeight w:val="22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57,669</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122,454</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104,089</w:t>
            </w:r>
          </w:p>
        </w:tc>
      </w:tr>
      <w:tr>
        <w:trPr>
          <w:trHeight w:val="22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Sales and advertising</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37,156</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34,161</w:t>
            </w:r>
          </w:p>
        </w:tc>
      </w:tr>
      <w:tr>
        <w:trPr>
          <w:trHeight w:val="22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Customer service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23,077</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w:t>
            </w:r>
          </w:p>
        </w:tc>
      </w:tr>
      <w:tr>
        <w:trPr>
          <w:trHeight w:val="2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and other</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44,091</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45,619</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89,874</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91,236</w:t>
            </w: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operations - policy issuance and renewal services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648,280</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1,276,030</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1,144,524</w:t>
            </w:r>
          </w:p>
        </w:tc>
      </w:tr>
      <w:tr>
        <w:trPr>
          <w:trHeight w:val="232"/>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operations - administrative services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212,644</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206,028</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422,917</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397,595</w:t>
            </w:r>
          </w:p>
        </w:tc>
      </w:tr>
      <w:tr>
        <w:trPr>
          <w:trHeight w:val="221"/>
        </w:trPr>
        <w:tc>
          <w:tcPr>
            <w:tcW w:w="4700" w:type="dxa"/>
            <w:vAlign w:val="bottom"/>
          </w:tcPr>
          <w:p>
            <w:pPr>
              <w:ind w:left="220"/>
              <w:spacing w:after="0" w:line="221" w:lineRule="exact"/>
              <w:rPr>
                <w:sz w:val="20"/>
                <w:szCs w:val="20"/>
                <w:color w:val="auto"/>
              </w:rPr>
            </w:pPr>
            <w:r>
              <w:rPr>
                <w:rFonts w:ascii="Times New Roman" w:cs="Times New Roman" w:eastAsia="Times New Roman" w:hAnsi="Times New Roman"/>
                <w:sz w:val="18"/>
                <w:szCs w:val="18"/>
                <w:color w:val="auto"/>
              </w:rPr>
              <w:t xml:space="preserve">Total operating expenses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860,924</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800,230</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1,698,947</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1,542,119</w:t>
            </w:r>
          </w:p>
        </w:tc>
      </w:tr>
      <w:tr>
        <w:trPr>
          <w:trHeight w:val="22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199,173</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350,549</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329,020</w:t>
            </w:r>
          </w:p>
        </w:tc>
      </w:tr>
      <w:tr>
        <w:trPr>
          <w:trHeight w:val="431"/>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39,136</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28,906</w:t>
            </w:r>
          </w:p>
        </w:tc>
      </w:tr>
      <w:tr>
        <w:trPr>
          <w:trHeight w:val="22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w:t>
            </w:r>
          </w:p>
        </w:tc>
      </w:tr>
      <w:tr>
        <w:trPr>
          <w:trHeight w:val="2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46,062</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82,391</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76,174</w:t>
            </w:r>
          </w:p>
        </w:tc>
      </w:tr>
      <w:tr>
        <w:trPr>
          <w:trHeight w:val="221"/>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174,685</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313,102</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288,455</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980" w:right="100" w:hanging="331"/>
        <w:spacing w:after="0" w:line="235" w:lineRule="auto"/>
        <w:tabs>
          <w:tab w:leader="none" w:pos="968"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Management operations segment depreciation and amortization expense included in "Total operating expenses" as reported on our Consolidated Statements of Operations totaled $16.1 million and $13.8 million in the second quarter of 2025 and 2024, respectively, and $31.9 million and $27.1 million for the six months ended June 30, 2025 and 2024, respectively. The Exchange and its insurance subsidiaries reimbursed us for approximately 29% and 28% in the six months ended June 30, 2025 and 2024, respectively, for depreciation and amortization expense on assets supporting administrative services. See our Consolidated Statements of Cash Flows for segment expenditures on fixed asset additions.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Earnings Per Share</w:t>
      </w:r>
    </w:p>
    <w:p>
      <w:pPr>
        <w:spacing w:after="0" w:line="22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Class A and Class B basic earnings per share and Class B diluted earnings per share are calculated under the two-class method. The two-class method allocates earnings to each class of stock based upon its dividend rights. Class B shares are convertible into Class A shares at a conversion ratio of 2,400 to 1. See Note 11, "Capital Stock".</w:t>
      </w:r>
    </w:p>
    <w:p>
      <w:pPr>
        <w:spacing w:after="0" w:line="202"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18"/>
          <w:szCs w:val="18"/>
          <w:color w:val="auto"/>
        </w:rPr>
        <w:t>Class A diluted earnings per share is calculated under the if-converted method, which reflects the conversion of Class B shares to Class A shares. Diluted earnings per share calculations include the dilutive effect of assumed issuance of stock-based awards under compensation plans that have the option to be paid in stock using the treasury stock method.</w:t>
      </w:r>
    </w:p>
    <w:p>
      <w:pPr>
        <w:spacing w:after="0" w:line="20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A reconciliation of the numerators and denominators used in the basic and diluted per-share computations is presented as follows for each class of common stock:</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4"/>
          </w:tcPr>
          <w:p>
            <w:pPr>
              <w:jc w:val="right"/>
              <w:ind w:right="52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Allocated net income</w:t>
            </w: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Weighted shares</w:t>
            </w:r>
          </w:p>
        </w:tc>
        <w:tc>
          <w:tcPr>
            <w:tcW w:w="2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Per-share amount</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Allocated net income</w:t>
            </w: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Weighted shares</w:t>
            </w:r>
          </w:p>
        </w:tc>
        <w:tc>
          <w:tcPr>
            <w:tcW w:w="180" w:type="dxa"/>
            <w:vAlign w:val="bottom"/>
          </w:tcPr>
          <w:p>
            <w:pPr>
              <w:spacing w:after="0"/>
              <w:rPr>
                <w:sz w:val="11"/>
                <w:szCs w:val="11"/>
                <w:color w:val="auto"/>
              </w:rPr>
            </w:pPr>
          </w:p>
        </w:tc>
        <w:tc>
          <w:tcPr>
            <w:tcW w:w="11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Per-share amount</w:t>
            </w:r>
          </w:p>
        </w:tc>
        <w:tc>
          <w:tcPr>
            <w:tcW w:w="0" w:type="dxa"/>
            <w:vAlign w:val="bottom"/>
          </w:tcPr>
          <w:p>
            <w:pPr>
              <w:spacing w:after="0"/>
              <w:rPr>
                <w:sz w:val="1"/>
                <w:szCs w:val="1"/>
                <w:color w:val="auto"/>
              </w:rPr>
            </w:pPr>
          </w:p>
        </w:tc>
      </w:tr>
      <w:tr>
        <w:trPr>
          <w:trHeight w:val="190"/>
        </w:trPr>
        <w:tc>
          <w:tcPr>
            <w:tcW w:w="3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(numerator)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(denominator)</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(numerator)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A – Basic EPS:</w:t>
            </w: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A stockholders</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173,254</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46,189,063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162,561</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46,189,042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5"/>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Dilutive effect of stock-based awards</w:t>
            </w: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080" w:type="dxa"/>
            <w:vAlign w:val="bottom"/>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14,544</w:t>
            </w: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15,457</w:t>
            </w: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Assumed conversion of Class B shares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1,431</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6,100,800</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1,342</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6,100,800</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A – Diluted EPS: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A stockholders on</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174,685</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52,304,407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163,903</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52,305,299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75"/>
        </w:trPr>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A equivalent shares</w:t>
            </w:r>
          </w:p>
        </w:tc>
        <w:tc>
          <w:tcPr>
            <w:tcW w:w="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B – Basic EPS: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080" w:type="dxa"/>
            <w:vAlign w:val="bottom"/>
            <w:vMerge w:val="continue"/>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1,431</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2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1,342</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B stockholders</w:t>
            </w: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B – Diluted EPS: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080" w:type="dxa"/>
            <w:vAlign w:val="bottom"/>
            <w:vMerge w:val="continue"/>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1,430</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2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1,342</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B stockholders</w:t>
            </w: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6"/>
        </w:trPr>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color w:val="auto"/>
              </w:rPr>
              <w:t>Six months ended June 30,</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Allocated net income</w:t>
            </w: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Weighted shares</w:t>
            </w:r>
          </w:p>
        </w:tc>
        <w:tc>
          <w:tcPr>
            <w:tcW w:w="2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Per-share amount</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Allocated net income</w:t>
            </w: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Weighted shares</w:t>
            </w:r>
          </w:p>
        </w:tc>
        <w:tc>
          <w:tcPr>
            <w:tcW w:w="180" w:type="dxa"/>
            <w:vAlign w:val="bottom"/>
          </w:tcPr>
          <w:p>
            <w:pPr>
              <w:spacing w:after="0"/>
              <w:rPr>
                <w:sz w:val="11"/>
                <w:szCs w:val="11"/>
                <w:color w:val="auto"/>
              </w:rPr>
            </w:pPr>
          </w:p>
        </w:tc>
        <w:tc>
          <w:tcPr>
            <w:tcW w:w="11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Per-share amount</w:t>
            </w:r>
          </w:p>
        </w:tc>
        <w:tc>
          <w:tcPr>
            <w:tcW w:w="0" w:type="dxa"/>
            <w:vAlign w:val="bottom"/>
          </w:tcPr>
          <w:p>
            <w:pPr>
              <w:spacing w:after="0"/>
              <w:rPr>
                <w:sz w:val="1"/>
                <w:szCs w:val="1"/>
                <w:color w:val="auto"/>
              </w:rPr>
            </w:pPr>
          </w:p>
        </w:tc>
      </w:tr>
      <w:tr>
        <w:trPr>
          <w:trHeight w:val="190"/>
        </w:trPr>
        <w:tc>
          <w:tcPr>
            <w:tcW w:w="3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(numerator)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(denominator)</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(numerator)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A – Basic EPS:</w:t>
            </w: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A stockholders</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310,538</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46,188,984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286,093</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46,189,028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25"/>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Dilutive effect of stock-based awards</w:t>
            </w: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080" w:type="dxa"/>
            <w:vAlign w:val="bottom"/>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14,613</w:t>
            </w: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13,723</w:t>
            </w: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Assumed conversion of Class B shares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2,564</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6,100,800</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2,362</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6,100,800</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A – Diluted EPS: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A stockholders on</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313,102</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52,304,397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2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288,455</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52,303,551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75"/>
        </w:trPr>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A equivalent shares</w:t>
            </w:r>
          </w:p>
        </w:tc>
        <w:tc>
          <w:tcPr>
            <w:tcW w:w="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B – Basic EPS: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080" w:type="dxa"/>
            <w:vAlign w:val="bottom"/>
            <w:vMerge w:val="continue"/>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2,564</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12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2,362</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B stockholders</w:t>
            </w: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B – Diluted EPS: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080" w:type="dxa"/>
            <w:vAlign w:val="bottom"/>
            <w:vMerge w:val="continue"/>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2,563</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12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2,361</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B stockholders</w:t>
            </w: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 carried at fair value</w:t>
      </w:r>
    </w:p>
    <w:p>
      <w:pPr>
        <w:spacing w:after="0" w:line="26"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Our available-for-sale and equity securities are recorded at fair value, which is the price that would be received to sell the asset in an orderly transaction between willing market participants as of the measurement date.</w:t>
      </w:r>
    </w:p>
    <w:p>
      <w:pPr>
        <w:spacing w:after="0" w:line="18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Valuation techniques used to derive the fair value of our available-for-sale and equity securities are based upon observable and unobservable inputs. Observable inputs reflect market data obtained from independent sources. Unobservable inputs reflect our own assumptions regarding fair market value for these securities. Financial instruments are categorized based upon the following characteristics or inputs to the valuation techniques:</w:t>
      </w:r>
    </w:p>
    <w:p>
      <w:pPr>
        <w:spacing w:after="0" w:line="202" w:lineRule="exact"/>
        <w:rPr>
          <w:sz w:val="20"/>
          <w:szCs w:val="20"/>
          <w:color w:val="auto"/>
        </w:rPr>
      </w:pPr>
    </w:p>
    <w:p>
      <w:pPr>
        <w:ind w:left="640" w:hanging="312"/>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(unadjusted) in active markets for identical assets or liabilities that the reporting entity can access at the measurement date.</w:t>
      </w:r>
    </w:p>
    <w:p>
      <w:pPr>
        <w:spacing w:after="0" w:line="259" w:lineRule="exact"/>
        <w:rPr>
          <w:rFonts w:ascii="Times New Roman" w:cs="Times New Roman" w:eastAsia="Times New Roman" w:hAnsi="Times New Roman"/>
          <w:sz w:val="17"/>
          <w:szCs w:val="17"/>
          <w:color w:val="auto"/>
        </w:rPr>
      </w:pP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24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Estimates of fair values for our investment portfolio are obtained primarily from a nationally recognized pricing service. Our Level 1 securities are valued using an exchange traded price provided by the pricing service. Pricing service valuations for Level 2 securities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or in illiquid markets.</w:t>
      </w:r>
    </w:p>
    <w:p>
      <w:pPr>
        <w:spacing w:after="0" w:line="1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Although virtually all of our prices are obtained from third party sources, we also perform internal pricing reviews, including evaluating the methodology and inputs used to ensure that we determine the proper classification level of the financial instrument and reviewing securities with price changes that vary significantly from current market conditions or independent price sources. Price variances are investigated and corroborated by market data and transaction volumes. We have reviewed the pricing methodologies of our pricing service as well as other observable inputs and believe that the prices adequately consider market activity in determining fair value.</w:t>
      </w:r>
    </w:p>
    <w:p>
      <w:pPr>
        <w:spacing w:after="0" w:line="211"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t>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a price from the pricing service is not available, values are determined by obtaining broker/dealer quotes and/or market comparables. When available, we obtain multiple quotes for the same security. The ultimate value for these securities is determined based upon our best estimate of fair value using corroborating market information. As of June 30, 2025, nearly all of our available-for-sale and equity securities were priced using a third party pricing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fair value measurements on a recurring basis by asset class and level of input as of:</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3"/>
          </w:tcPr>
          <w:p>
            <w:pPr>
              <w:jc w:val="right"/>
              <w:ind w:right="751"/>
              <w:spacing w:after="0"/>
              <w:rPr>
                <w:sz w:val="20"/>
                <w:szCs w:val="20"/>
                <w:color w:val="auto"/>
              </w:rPr>
            </w:pPr>
            <w:r>
              <w:rPr>
                <w:rFonts w:ascii="Times New Roman" w:cs="Times New Roman" w:eastAsia="Times New Roman" w:hAnsi="Times New Roman"/>
                <w:sz w:val="18"/>
                <w:szCs w:val="18"/>
                <w:color w:val="auto"/>
              </w:rPr>
              <w:t>June 30, 2025</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0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02"/>
        </w:trPr>
        <w:tc>
          <w:tcPr>
            <w:tcW w:w="5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705,219</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699,043</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108,911</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108,911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124,192</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107,758</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144,621</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144,621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debt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35,927</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35,927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7,278</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7,278</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58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Total available-for-sale securities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1,126,148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1,103,538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22,610</w:t>
            </w:r>
          </w:p>
        </w:tc>
        <w:tc>
          <w:tcPr>
            <w:tcW w:w="0" w:type="dxa"/>
            <w:vAlign w:val="bottom"/>
          </w:tcPr>
          <w:p>
            <w:pPr>
              <w:spacing w:after="0"/>
              <w:rPr>
                <w:sz w:val="1"/>
                <w:szCs w:val="1"/>
                <w:color w:val="auto"/>
              </w:rPr>
            </w:pPr>
          </w:p>
        </w:tc>
      </w:tr>
      <w:tr>
        <w:trPr>
          <w:trHeight w:val="202"/>
        </w:trPr>
        <w:tc>
          <w:tcPr>
            <w:tcW w:w="5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services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71,184</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2,018</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63,661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Utilities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4,593</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4,593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Energy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2,039</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4,513</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1,974</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Communications sector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925</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925</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58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Total equity securities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85,228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2,018</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72,570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0" w:type="dxa"/>
            <w:vAlign w:val="bottom"/>
          </w:tcPr>
          <w:p>
            <w:pPr>
              <w:spacing w:after="0"/>
              <w:rPr>
                <w:sz w:val="1"/>
                <w:szCs w:val="1"/>
                <w:color w:val="auto"/>
              </w:rPr>
            </w:pPr>
          </w:p>
        </w:tc>
      </w:tr>
      <w:tr>
        <w:trPr>
          <w:trHeight w:val="22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1,211,376</w:t>
            </w:r>
          </w:p>
        </w:tc>
        <w:tc>
          <w:tcPr>
            <w:tcW w:w="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2,018</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1,176,108</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40" w:hanging="312"/>
        <w:spacing w:after="0"/>
        <w:tabs>
          <w:tab w:leader="none" w:pos="64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$18.4 million of securities lent under a securities lending agreement.</w:t>
      </w:r>
    </w:p>
    <w:p>
      <w:pPr>
        <w:spacing w:after="0" w:line="26"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$17.1 million of securities lent under a securities lending agreement.</w:t>
      </w: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3"/>
          </w:tcPr>
          <w:p>
            <w:pPr>
              <w:jc w:val="right"/>
              <w:ind w:right="551"/>
              <w:spacing w:after="0"/>
              <w:rPr>
                <w:sz w:val="20"/>
                <w:szCs w:val="20"/>
                <w:color w:val="auto"/>
              </w:rPr>
            </w:pPr>
            <w:r>
              <w:rPr>
                <w:rFonts w:ascii="Times New Roman" w:cs="Times New Roman" w:eastAsia="Times New Roman" w:hAnsi="Times New Roman"/>
                <w:sz w:val="18"/>
                <w:szCs w:val="18"/>
                <w:color w:val="auto"/>
              </w:rPr>
              <w:t>December 31, 2024</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0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02"/>
        </w:trPr>
        <w:tc>
          <w:tcPr>
            <w:tcW w:w="5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643,943</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637,675</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114,127</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114,127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124,982</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100,893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24,089</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133,812</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133,812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debt securities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26,751</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26,751</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58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Total available-for-sale securities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1,043,615</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1,013,258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30,357</w:t>
            </w:r>
          </w:p>
        </w:tc>
        <w:tc>
          <w:tcPr>
            <w:tcW w:w="0" w:type="dxa"/>
            <w:vAlign w:val="bottom"/>
          </w:tcPr>
          <w:p>
            <w:pPr>
              <w:spacing w:after="0"/>
              <w:rPr>
                <w:sz w:val="1"/>
                <w:szCs w:val="1"/>
                <w:color w:val="auto"/>
              </w:rPr>
            </w:pPr>
          </w:p>
        </w:tc>
      </w:tr>
      <w:tr>
        <w:trPr>
          <w:trHeight w:val="202"/>
        </w:trPr>
        <w:tc>
          <w:tcPr>
            <w:tcW w:w="5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services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69,930</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1,052</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65,378</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Utilities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5,629</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5,629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Energy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4,117</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3,341</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1,974</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Communications sector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900</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900</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85,891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1,106</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77,811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2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1,129,506</w:t>
            </w:r>
          </w:p>
        </w:tc>
        <w:tc>
          <w:tcPr>
            <w:tcW w:w="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1,106</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1,091,069</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37,331</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80" w:hanging="352"/>
        <w:spacing w:after="0"/>
        <w:tabs>
          <w:tab w:leader="none" w:pos="68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$7.3 million of securities lent under a securities lending agreement.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Transfers between hierarchy levels may occur due to changes in available market observable inputs.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Assets – 2025 Quarterly Change: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color w:val="auto"/>
              </w:rPr>
              <w:t>Beginning</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118"/>
              <w:spacing w:after="0"/>
              <w:rPr>
                <w:sz w:val="20"/>
                <w:szCs w:val="20"/>
                <w:color w:val="auto"/>
              </w:rPr>
            </w:pPr>
            <w:r>
              <w:rPr>
                <w:rFonts w:ascii="Times New Roman" w:cs="Times New Roman" w:eastAsia="Times New Roman" w:hAnsi="Times New Roman"/>
                <w:sz w:val="14"/>
                <w:szCs w:val="14"/>
                <w:color w:val="auto"/>
              </w:rPr>
              <w:t>Included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color w:val="auto"/>
              </w:rPr>
              <w:t>Included in</w:t>
            </w:r>
          </w:p>
        </w:tc>
        <w:tc>
          <w:tcPr>
            <w:tcW w:w="180" w:type="dxa"/>
            <w:vAlign w:val="bottom"/>
          </w:tcPr>
          <w:p>
            <w:pPr>
              <w:spacing w:after="0"/>
              <w:rPr>
                <w:sz w:val="12"/>
                <w:szCs w:val="12"/>
                <w:color w:val="auto"/>
              </w:rPr>
            </w:pPr>
          </w:p>
        </w:tc>
        <w:tc>
          <w:tcPr>
            <w:tcW w:w="1100" w:type="dxa"/>
            <w:vAlign w:val="bottom"/>
          </w:tcPr>
          <w:p>
            <w:pPr>
              <w:jc w:val="center"/>
              <w:ind w:right="98"/>
              <w:spacing w:after="0" w:line="147" w:lineRule="exact"/>
              <w:rPr>
                <w:sz w:val="20"/>
                <w:szCs w:val="20"/>
                <w:color w:val="auto"/>
              </w:rPr>
            </w:pPr>
            <w:r>
              <w:rPr>
                <w:rFonts w:ascii="Times New Roman" w:cs="Times New Roman" w:eastAsia="Times New Roman" w:hAnsi="Times New Roman"/>
                <w:sz w:val="14"/>
                <w:szCs w:val="14"/>
                <w:color w:val="auto"/>
              </w:rPr>
              <w:t>in 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Transfers into</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Transfers out</w:t>
            </w: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Ending balance</w:t>
            </w:r>
          </w:p>
        </w:tc>
        <w:tc>
          <w:tcPr>
            <w:tcW w:w="0" w:type="dxa"/>
            <w:vAlign w:val="bottom"/>
          </w:tcPr>
          <w:p>
            <w:pPr>
              <w:spacing w:after="0"/>
              <w:rPr>
                <w:sz w:val="1"/>
                <w:szCs w:val="1"/>
                <w:color w:val="auto"/>
              </w:rPr>
            </w:pPr>
          </w:p>
        </w:tc>
      </w:tr>
      <w:tr>
        <w:trPr>
          <w:trHeight w:val="147"/>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color w:val="auto"/>
              </w:rPr>
              <w:t>balance at March</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8"/>
              <w:spacing w:after="0" w:line="147"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2"/>
                <w:szCs w:val="12"/>
                <w:color w:val="auto"/>
              </w:rPr>
            </w:pP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w w:val="99"/>
              </w:rPr>
              <w:t>Purchases</w:t>
            </w:r>
          </w:p>
        </w:tc>
        <w:tc>
          <w:tcPr>
            <w:tcW w:w="260" w:type="dxa"/>
            <w:vAlign w:val="bottom"/>
          </w:tcPr>
          <w:p>
            <w:pPr>
              <w:spacing w:after="0"/>
              <w:rPr>
                <w:sz w:val="12"/>
                <w:szCs w:val="12"/>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Sales</w:t>
            </w:r>
          </w:p>
        </w:tc>
        <w:tc>
          <w:tcPr>
            <w:tcW w:w="9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31, 2025</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rPr>
              <w:t>earnings</w:t>
            </w:r>
            <w:r>
              <w:rPr>
                <w:rFonts w:ascii="Times New Roman" w:cs="Times New Roman" w:eastAsia="Times New Roman" w:hAnsi="Times New Roman"/>
                <w:sz w:val="9"/>
                <w:szCs w:val="9"/>
                <w:color w:val="auto"/>
              </w:rPr>
              <w:t>(1)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w w:val="98"/>
              </w:rPr>
              <w:t>Level 3</w:t>
            </w:r>
            <w:r>
              <w:rPr>
                <w:rFonts w:ascii="Times New Roman" w:cs="Times New Roman" w:eastAsia="Times New Roman" w:hAnsi="Times New Roman"/>
                <w:sz w:val="9"/>
                <w:szCs w:val="9"/>
                <w:color w:val="auto"/>
                <w:w w:val="98"/>
              </w:rPr>
              <w:t>(2)</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of Level 3</w:t>
            </w:r>
            <w:r>
              <w:rPr>
                <w:rFonts w:ascii="Times New Roman" w:cs="Times New Roman" w:eastAsia="Times New Roman" w:hAnsi="Times New Roman"/>
                <w:sz w:val="9"/>
                <w:szCs w:val="9"/>
                <w:color w:val="auto"/>
              </w:rPr>
              <w:t>(2)</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at June 30, 2025</w:t>
            </w:r>
          </w:p>
        </w:tc>
        <w:tc>
          <w:tcPr>
            <w:tcW w:w="0" w:type="dxa"/>
            <w:vAlign w:val="bottom"/>
          </w:tcPr>
          <w:p>
            <w:pPr>
              <w:spacing w:after="0"/>
              <w:rPr>
                <w:sz w:val="1"/>
                <w:szCs w:val="1"/>
                <w:color w:val="auto"/>
              </w:rPr>
            </w:pPr>
          </w:p>
        </w:tc>
      </w:tr>
      <w:tr>
        <w:trPr>
          <w:trHeight w:val="22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2,377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(3,015)</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0" w:type="dxa"/>
            <w:vAlign w:val="bottom"/>
          </w:tcPr>
          <w:p>
            <w:pPr>
              <w:spacing w:after="0"/>
              <w:rPr>
                <w:sz w:val="1"/>
                <w:szCs w:val="1"/>
                <w:color w:val="auto"/>
              </w:rPr>
            </w:pPr>
          </w:p>
        </w:tc>
      </w:tr>
      <w:tr>
        <w:trPr>
          <w:trHeight w:val="227"/>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12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695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9"/>
        </w:trPr>
        <w:tc>
          <w:tcPr>
            <w:tcW w:w="3020" w:type="dxa"/>
            <w:vAlign w:val="bottom"/>
          </w:tcPr>
          <w:p>
            <w:pPr>
              <w:ind w:left="140"/>
              <w:spacing w:after="0" w:line="179" w:lineRule="exact"/>
              <w:rPr>
                <w:sz w:val="20"/>
                <w:szCs w:val="20"/>
                <w:color w:val="auto"/>
              </w:rPr>
            </w:pPr>
            <w:r>
              <w:rPr>
                <w:rFonts w:ascii="Times New Roman" w:cs="Times New Roman" w:eastAsia="Times New Roman" w:hAnsi="Times New Roman"/>
                <w:sz w:val="18"/>
                <w:szCs w:val="18"/>
                <w:color w:val="auto"/>
              </w:rPr>
              <w:t>Commercial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9,129</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1,997</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0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9,719</w:t>
            </w:r>
          </w:p>
        </w:tc>
        <w:tc>
          <w:tcPr>
            <w:tcW w:w="26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(3,177)</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0" w:type="dxa"/>
            <w:vAlign w:val="bottom"/>
          </w:tcPr>
          <w:p>
            <w:pPr>
              <w:spacing w:after="0"/>
              <w:rPr>
                <w:sz w:val="1"/>
                <w:szCs w:val="1"/>
                <w:color w:val="auto"/>
              </w:rPr>
            </w:pPr>
          </w:p>
        </w:tc>
      </w:tr>
      <w:tr>
        <w:trPr>
          <w:trHeight w:val="179"/>
        </w:trPr>
        <w:tc>
          <w:tcPr>
            <w:tcW w:w="3020" w:type="dxa"/>
            <w:vAlign w:val="bottom"/>
          </w:tcPr>
          <w:p>
            <w:pPr>
              <w:ind w:left="140"/>
              <w:spacing w:after="0" w:line="179" w:lineRule="exact"/>
              <w:rPr>
                <w:sz w:val="20"/>
                <w:szCs w:val="20"/>
                <w:color w:val="auto"/>
              </w:rPr>
            </w:pPr>
            <w:r>
              <w:rPr>
                <w:rFonts w:ascii="Times New Roman" w:cs="Times New Roman" w:eastAsia="Times New Roman" w:hAnsi="Times New Roman"/>
                <w:sz w:val="18"/>
                <w:szCs w:val="18"/>
                <w:color w:val="auto"/>
              </w:rPr>
              <w:t>Residential mortgage- 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923</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(905)</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16,777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2,965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12,096</w:t>
            </w:r>
          </w:p>
        </w:tc>
        <w:tc>
          <w:tcPr>
            <w:tcW w:w="2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(7,097)</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22,610</w:t>
            </w:r>
          </w:p>
        </w:tc>
        <w:tc>
          <w:tcPr>
            <w:tcW w:w="0" w:type="dxa"/>
            <w:vAlign w:val="bottom"/>
          </w:tcPr>
          <w:p>
            <w:pPr>
              <w:spacing w:after="0"/>
              <w:rPr>
                <w:sz w:val="1"/>
                <w:szCs w:val="1"/>
                <w:color w:val="auto"/>
              </w:rPr>
            </w:pP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8,647</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2,500</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(498)</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0" w:type="dxa"/>
            <w:vAlign w:val="bottom"/>
          </w:tcPr>
          <w:p>
            <w:pPr>
              <w:spacing w:after="0"/>
              <w:rPr>
                <w:sz w:val="1"/>
                <w:szCs w:val="1"/>
                <w:color w:val="auto"/>
              </w:rPr>
            </w:pPr>
          </w:p>
        </w:tc>
      </w:tr>
      <w:tr>
        <w:trPr>
          <w:trHeight w:val="221"/>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Level 3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25,424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5,465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12,096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(7,595)</w:t>
            </w: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6"/>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Level 3 Assets – 2025 Year-to-Date Change:</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56"/>
              <w:spacing w:after="0"/>
              <w:rPr>
                <w:sz w:val="20"/>
                <w:szCs w:val="20"/>
                <w:color w:val="auto"/>
              </w:rPr>
            </w:pPr>
            <w:r>
              <w:rPr>
                <w:rFonts w:ascii="Times New Roman" w:cs="Times New Roman" w:eastAsia="Times New Roman" w:hAnsi="Times New Roman"/>
                <w:sz w:val="14"/>
                <w:szCs w:val="14"/>
                <w:color w:val="auto"/>
              </w:rPr>
              <w:t>Beginning</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center"/>
              <w:ind w:right="118"/>
              <w:spacing w:after="0"/>
              <w:rPr>
                <w:sz w:val="20"/>
                <w:szCs w:val="20"/>
                <w:color w:val="auto"/>
              </w:rPr>
            </w:pPr>
            <w:r>
              <w:rPr>
                <w:rFonts w:ascii="Times New Roman" w:cs="Times New Roman" w:eastAsia="Times New Roman" w:hAnsi="Times New Roman"/>
                <w:sz w:val="14"/>
                <w:szCs w:val="14"/>
                <w:color w:val="auto"/>
              </w:rPr>
              <w:t>Included</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6"/>
              <w:spacing w:after="0" w:line="147" w:lineRule="exact"/>
              <w:rPr>
                <w:sz w:val="20"/>
                <w:szCs w:val="20"/>
                <w:color w:val="auto"/>
              </w:rPr>
            </w:pPr>
            <w:r>
              <w:rPr>
                <w:rFonts w:ascii="Times New Roman" w:cs="Times New Roman" w:eastAsia="Times New Roman" w:hAnsi="Times New Roman"/>
                <w:sz w:val="14"/>
                <w:szCs w:val="14"/>
                <w:color w:val="auto"/>
                <w:w w:val="99"/>
              </w:rPr>
              <w:t>balance at</w:t>
            </w:r>
          </w:p>
        </w:tc>
        <w:tc>
          <w:tcPr>
            <w:tcW w:w="180" w:type="dxa"/>
            <w:vAlign w:val="bottom"/>
          </w:tcPr>
          <w:p>
            <w:pPr>
              <w:spacing w:after="0"/>
              <w:rPr>
                <w:sz w:val="12"/>
                <w:szCs w:val="12"/>
                <w:color w:val="auto"/>
              </w:rPr>
            </w:pPr>
          </w:p>
        </w:tc>
        <w:tc>
          <w:tcPr>
            <w:tcW w:w="8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color w:val="auto"/>
              </w:rPr>
              <w:t>Included in</w:t>
            </w:r>
          </w:p>
        </w:tc>
        <w:tc>
          <w:tcPr>
            <w:tcW w:w="180" w:type="dxa"/>
            <w:vAlign w:val="bottom"/>
          </w:tcPr>
          <w:p>
            <w:pPr>
              <w:spacing w:after="0"/>
              <w:rPr>
                <w:sz w:val="12"/>
                <w:szCs w:val="12"/>
                <w:color w:val="auto"/>
              </w:rPr>
            </w:pPr>
          </w:p>
        </w:tc>
        <w:tc>
          <w:tcPr>
            <w:tcW w:w="1100" w:type="dxa"/>
            <w:vAlign w:val="bottom"/>
          </w:tcPr>
          <w:p>
            <w:pPr>
              <w:jc w:val="center"/>
              <w:ind w:right="98"/>
              <w:spacing w:after="0" w:line="147" w:lineRule="exact"/>
              <w:rPr>
                <w:sz w:val="20"/>
                <w:szCs w:val="20"/>
                <w:color w:val="auto"/>
              </w:rPr>
            </w:pPr>
            <w:r>
              <w:rPr>
                <w:rFonts w:ascii="Times New Roman" w:cs="Times New Roman" w:eastAsia="Times New Roman" w:hAnsi="Times New Roman"/>
                <w:sz w:val="14"/>
                <w:szCs w:val="14"/>
                <w:color w:val="auto"/>
              </w:rPr>
              <w:t>in 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Transfers into</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Transfers out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Ending balance</w:t>
            </w:r>
          </w:p>
        </w:tc>
        <w:tc>
          <w:tcPr>
            <w:tcW w:w="0" w:type="dxa"/>
            <w:vAlign w:val="bottom"/>
          </w:tcPr>
          <w:p>
            <w:pPr>
              <w:spacing w:after="0"/>
              <w:rPr>
                <w:sz w:val="1"/>
                <w:szCs w:val="1"/>
                <w:color w:val="auto"/>
              </w:rPr>
            </w:pPr>
          </w:p>
        </w:tc>
      </w:tr>
      <w:tr>
        <w:trPr>
          <w:trHeight w:val="143"/>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980" w:type="dxa"/>
            <w:vAlign w:val="bottom"/>
          </w:tcPr>
          <w:p>
            <w:pPr>
              <w:jc w:val="center"/>
              <w:ind w:right="56"/>
              <w:spacing w:after="0" w:line="143"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8"/>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2"/>
                <w:szCs w:val="12"/>
                <w:color w:val="auto"/>
              </w:rPr>
            </w:pP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w w:val="99"/>
              </w:rPr>
              <w:t>Purchases</w:t>
            </w:r>
          </w:p>
        </w:tc>
        <w:tc>
          <w:tcPr>
            <w:tcW w:w="260" w:type="dxa"/>
            <w:vAlign w:val="bottom"/>
          </w:tcPr>
          <w:p>
            <w:pPr>
              <w:spacing w:after="0"/>
              <w:rPr>
                <w:sz w:val="12"/>
                <w:szCs w:val="12"/>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Sales</w:t>
            </w:r>
          </w:p>
        </w:tc>
        <w:tc>
          <w:tcPr>
            <w:tcW w:w="9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0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75"/>
              <w:spacing w:after="0" w:line="201" w:lineRule="exact"/>
              <w:rPr>
                <w:sz w:val="20"/>
                <w:szCs w:val="20"/>
                <w:color w:val="auto"/>
              </w:rPr>
            </w:pPr>
            <w:r>
              <w:rPr>
                <w:rFonts w:ascii="Times New Roman" w:cs="Times New Roman" w:eastAsia="Times New Roman" w:hAnsi="Times New Roman"/>
                <w:sz w:val="14"/>
                <w:szCs w:val="14"/>
                <w:color w:val="auto"/>
                <w:w w:val="97"/>
              </w:rPr>
              <w:t>earnings</w:t>
            </w:r>
            <w:r>
              <w:rPr>
                <w:rFonts w:ascii="Times New Roman" w:cs="Times New Roman" w:eastAsia="Times New Roman" w:hAnsi="Times New Roman"/>
                <w:sz w:val="18"/>
                <w:szCs w:val="18"/>
                <w:color w:val="auto"/>
                <w:w w:val="97"/>
                <w:vertAlign w:val="superscript"/>
              </w:rPr>
              <w:t>(1)</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93"/>
              <w:spacing w:after="0" w:line="201" w:lineRule="exact"/>
              <w:rPr>
                <w:sz w:val="20"/>
                <w:szCs w:val="20"/>
                <w:color w:val="auto"/>
              </w:rPr>
            </w:pPr>
            <w:r>
              <w:rPr>
                <w:rFonts w:ascii="Times New Roman" w:cs="Times New Roman" w:eastAsia="Times New Roman" w:hAnsi="Times New Roman"/>
                <w:sz w:val="14"/>
                <w:szCs w:val="14"/>
                <w:color w:val="auto"/>
                <w:w w:val="95"/>
              </w:rPr>
              <w:t>Level 3</w:t>
            </w:r>
            <w:r>
              <w:rPr>
                <w:rFonts w:ascii="Times New Roman" w:cs="Times New Roman" w:eastAsia="Times New Roman" w:hAnsi="Times New Roman"/>
                <w:sz w:val="18"/>
                <w:szCs w:val="18"/>
                <w:color w:val="auto"/>
                <w:w w:val="95"/>
                <w:vertAlign w:val="superscript"/>
              </w:rPr>
              <w:t>(2)</w:t>
            </w:r>
          </w:p>
        </w:tc>
        <w:tc>
          <w:tcPr>
            <w:tcW w:w="1000" w:type="dxa"/>
            <w:vAlign w:val="bottom"/>
            <w:tcBorders>
              <w:bottom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4"/>
                <w:szCs w:val="14"/>
                <w:color w:val="auto"/>
                <w:w w:val="97"/>
              </w:rPr>
              <w:t>of Level 3</w:t>
            </w:r>
            <w:r>
              <w:rPr>
                <w:rFonts w:ascii="Times New Roman" w:cs="Times New Roman" w:eastAsia="Times New Roman" w:hAnsi="Times New Roman"/>
                <w:sz w:val="18"/>
                <w:szCs w:val="18"/>
                <w:color w:val="auto"/>
                <w:w w:val="97"/>
                <w:vertAlign w:val="superscript"/>
              </w:rPr>
              <w:t>(2)</w:t>
            </w: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at June 30, 2025</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6,268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3,085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3,476</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0" w:type="dxa"/>
            <w:vAlign w:val="bottom"/>
          </w:tcPr>
          <w:p>
            <w:pPr>
              <w:spacing w:after="0"/>
              <w:rPr>
                <w:sz w:val="1"/>
                <w:szCs w:val="1"/>
                <w:color w:val="auto"/>
              </w:rPr>
            </w:pPr>
          </w:p>
        </w:tc>
      </w:tr>
      <w:tr>
        <w:trPr>
          <w:trHeight w:val="227"/>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12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3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Commercial mortgage-backed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24,089</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1,997</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0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11,072</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(18,119)</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0" w:type="dxa"/>
            <w:vAlign w:val="bottom"/>
          </w:tcPr>
          <w:p>
            <w:pPr>
              <w:spacing w:after="0"/>
              <w:rPr>
                <w:sz w:val="1"/>
                <w:szCs w:val="1"/>
                <w:color w:val="auto"/>
              </w:rPr>
            </w:pPr>
          </w:p>
        </w:tc>
      </w:tr>
      <w:tr>
        <w:trPr>
          <w:trHeight w:val="187"/>
        </w:trPr>
        <w:tc>
          <w:tcPr>
            <w:tcW w:w="3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Residential mortgage-backed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923</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30,357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5,782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2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15,471</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22,610</w:t>
            </w:r>
          </w:p>
        </w:tc>
        <w:tc>
          <w:tcPr>
            <w:tcW w:w="0" w:type="dxa"/>
            <w:vAlign w:val="bottom"/>
          </w:tcPr>
          <w:p>
            <w:pPr>
              <w:spacing w:after="0"/>
              <w:rPr>
                <w:sz w:val="1"/>
                <w:szCs w:val="1"/>
                <w:color w:val="auto"/>
              </w:rPr>
            </w:pP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6,974</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646</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3,500</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0" w:type="dxa"/>
            <w:vAlign w:val="bottom"/>
          </w:tcPr>
          <w:p>
            <w:pPr>
              <w:spacing w:after="0"/>
              <w:rPr>
                <w:sz w:val="1"/>
                <w:szCs w:val="1"/>
                <w:color w:val="auto"/>
              </w:rPr>
            </w:pPr>
          </w:p>
        </w:tc>
      </w:tr>
      <w:tr>
        <w:trPr>
          <w:trHeight w:val="221"/>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Level 3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37,331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9,282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15,489</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(25,380)</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33,250</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Level 3 Assets – 2024 Quarterly Change:</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6"/>
        </w:trPr>
        <w:tc>
          <w:tcPr>
            <w:tcW w:w="3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color w:val="auto"/>
              </w:rPr>
              <w:t>Beginning</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118"/>
              <w:spacing w:after="0"/>
              <w:rPr>
                <w:sz w:val="20"/>
                <w:szCs w:val="20"/>
                <w:color w:val="auto"/>
              </w:rPr>
            </w:pPr>
            <w:r>
              <w:rPr>
                <w:rFonts w:ascii="Times New Roman" w:cs="Times New Roman" w:eastAsia="Times New Roman" w:hAnsi="Times New Roman"/>
                <w:sz w:val="14"/>
                <w:szCs w:val="14"/>
                <w:color w:val="auto"/>
              </w:rPr>
              <w:t>Included</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color w:val="auto"/>
              </w:rPr>
              <w:t>Included in</w:t>
            </w:r>
          </w:p>
        </w:tc>
        <w:tc>
          <w:tcPr>
            <w:tcW w:w="180" w:type="dxa"/>
            <w:vAlign w:val="bottom"/>
          </w:tcPr>
          <w:p>
            <w:pPr>
              <w:spacing w:after="0"/>
              <w:rPr>
                <w:sz w:val="12"/>
                <w:szCs w:val="12"/>
                <w:color w:val="auto"/>
              </w:rPr>
            </w:pPr>
          </w:p>
        </w:tc>
        <w:tc>
          <w:tcPr>
            <w:tcW w:w="1100" w:type="dxa"/>
            <w:vAlign w:val="bottom"/>
          </w:tcPr>
          <w:p>
            <w:pPr>
              <w:jc w:val="center"/>
              <w:ind w:right="98"/>
              <w:spacing w:after="0" w:line="143" w:lineRule="exact"/>
              <w:rPr>
                <w:sz w:val="20"/>
                <w:szCs w:val="20"/>
                <w:color w:val="auto"/>
              </w:rPr>
            </w:pPr>
            <w:r>
              <w:rPr>
                <w:rFonts w:ascii="Times New Roman" w:cs="Times New Roman" w:eastAsia="Times New Roman" w:hAnsi="Times New Roman"/>
                <w:sz w:val="14"/>
                <w:szCs w:val="14"/>
                <w:color w:val="auto"/>
              </w:rPr>
              <w:t>in 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Transfers into</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Transfers out</w:t>
            </w: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Ending balance</w:t>
            </w:r>
          </w:p>
        </w:tc>
        <w:tc>
          <w:tcPr>
            <w:tcW w:w="0" w:type="dxa"/>
            <w:vAlign w:val="bottom"/>
          </w:tcPr>
          <w:p>
            <w:pPr>
              <w:spacing w:after="0"/>
              <w:rPr>
                <w:sz w:val="1"/>
                <w:szCs w:val="1"/>
                <w:color w:val="auto"/>
              </w:rPr>
            </w:pPr>
          </w:p>
        </w:tc>
      </w:tr>
      <w:tr>
        <w:trPr>
          <w:trHeight w:val="147"/>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color w:val="auto"/>
              </w:rPr>
              <w:t>balance at March</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8"/>
              <w:spacing w:after="0" w:line="147"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2"/>
                <w:szCs w:val="12"/>
                <w:color w:val="auto"/>
              </w:rPr>
            </w:pP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w w:val="99"/>
              </w:rPr>
              <w:t>Purchases</w:t>
            </w:r>
          </w:p>
        </w:tc>
        <w:tc>
          <w:tcPr>
            <w:tcW w:w="260" w:type="dxa"/>
            <w:vAlign w:val="bottom"/>
          </w:tcPr>
          <w:p>
            <w:pPr>
              <w:spacing w:after="0"/>
              <w:rPr>
                <w:sz w:val="12"/>
                <w:szCs w:val="12"/>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Sales</w:t>
            </w:r>
          </w:p>
        </w:tc>
        <w:tc>
          <w:tcPr>
            <w:tcW w:w="9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0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31, 2024</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75"/>
              <w:spacing w:after="0" w:line="201" w:lineRule="exact"/>
              <w:rPr>
                <w:sz w:val="20"/>
                <w:szCs w:val="20"/>
                <w:color w:val="auto"/>
              </w:rPr>
            </w:pPr>
            <w:r>
              <w:rPr>
                <w:rFonts w:ascii="Times New Roman" w:cs="Times New Roman" w:eastAsia="Times New Roman" w:hAnsi="Times New Roman"/>
                <w:sz w:val="14"/>
                <w:szCs w:val="14"/>
                <w:color w:val="auto"/>
                <w:w w:val="97"/>
              </w:rPr>
              <w:t>earnings</w:t>
            </w:r>
            <w:r>
              <w:rPr>
                <w:rFonts w:ascii="Times New Roman" w:cs="Times New Roman" w:eastAsia="Times New Roman" w:hAnsi="Times New Roman"/>
                <w:sz w:val="18"/>
                <w:szCs w:val="18"/>
                <w:color w:val="auto"/>
                <w:w w:val="97"/>
                <w:vertAlign w:val="superscript"/>
              </w:rPr>
              <w:t>(1)</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93"/>
              <w:spacing w:after="0" w:line="201" w:lineRule="exact"/>
              <w:rPr>
                <w:sz w:val="20"/>
                <w:szCs w:val="20"/>
                <w:color w:val="auto"/>
              </w:rPr>
            </w:pPr>
            <w:r>
              <w:rPr>
                <w:rFonts w:ascii="Times New Roman" w:cs="Times New Roman" w:eastAsia="Times New Roman" w:hAnsi="Times New Roman"/>
                <w:sz w:val="14"/>
                <w:szCs w:val="14"/>
                <w:color w:val="auto"/>
                <w:w w:val="95"/>
              </w:rPr>
              <w:t>Level 3</w:t>
            </w:r>
            <w:r>
              <w:rPr>
                <w:rFonts w:ascii="Times New Roman" w:cs="Times New Roman" w:eastAsia="Times New Roman" w:hAnsi="Times New Roman"/>
                <w:sz w:val="18"/>
                <w:szCs w:val="18"/>
                <w:color w:val="auto"/>
                <w:w w:val="95"/>
                <w:vertAlign w:val="superscript"/>
              </w:rPr>
              <w:t>(2)</w:t>
            </w:r>
          </w:p>
        </w:tc>
        <w:tc>
          <w:tcPr>
            <w:tcW w:w="1000" w:type="dxa"/>
            <w:vAlign w:val="bottom"/>
            <w:tcBorders>
              <w:bottom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4"/>
                <w:szCs w:val="14"/>
                <w:color w:val="auto"/>
                <w:w w:val="97"/>
              </w:rPr>
              <w:t>of Level 3</w:t>
            </w:r>
            <w:r>
              <w:rPr>
                <w:rFonts w:ascii="Times New Roman" w:cs="Times New Roman" w:eastAsia="Times New Roman" w:hAnsi="Times New Roman"/>
                <w:sz w:val="18"/>
                <w:szCs w:val="18"/>
                <w:color w:val="auto"/>
                <w:w w:val="97"/>
                <w:vertAlign w:val="superscript"/>
              </w:rPr>
              <w:t>(2)</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at June 30, 2024</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4,496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2,202</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(1,544)</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0" w:type="dxa"/>
            <w:vAlign w:val="bottom"/>
          </w:tcPr>
          <w:p>
            <w:pPr>
              <w:spacing w:after="0"/>
              <w:rPr>
                <w:sz w:val="1"/>
                <w:szCs w:val="1"/>
                <w:color w:val="auto"/>
              </w:rPr>
            </w:pPr>
          </w:p>
        </w:tc>
      </w:tr>
      <w:tr>
        <w:trPr>
          <w:trHeight w:val="179"/>
        </w:trPr>
        <w:tc>
          <w:tcPr>
            <w:tcW w:w="3020" w:type="dxa"/>
            <w:vAlign w:val="bottom"/>
          </w:tcPr>
          <w:p>
            <w:pPr>
              <w:ind w:left="140"/>
              <w:spacing w:after="0" w:line="179" w:lineRule="exact"/>
              <w:rPr>
                <w:sz w:val="20"/>
                <w:szCs w:val="20"/>
                <w:color w:val="auto"/>
              </w:rPr>
            </w:pPr>
            <w:r>
              <w:rPr>
                <w:rFonts w:ascii="Times New Roman" w:cs="Times New Roman" w:eastAsia="Times New Roman" w:hAnsi="Times New Roman"/>
                <w:sz w:val="18"/>
                <w:szCs w:val="18"/>
                <w:color w:val="auto"/>
              </w:rPr>
              <w:t>Commercial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14,577</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11,643</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(915)</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18,485</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4,706</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13,845</w:t>
            </w:r>
          </w:p>
        </w:tc>
        <w:tc>
          <w:tcPr>
            <w:tcW w:w="2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(2,459)</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33,763</w:t>
            </w:r>
          </w:p>
        </w:tc>
        <w:tc>
          <w:tcPr>
            <w:tcW w:w="0" w:type="dxa"/>
            <w:vAlign w:val="bottom"/>
          </w:tcPr>
          <w:p>
            <w:pPr>
              <w:spacing w:after="0"/>
              <w:rPr>
                <w:sz w:val="1"/>
                <w:szCs w:val="1"/>
                <w:color w:val="auto"/>
              </w:rPr>
            </w:pP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7,968</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520</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(986)</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0" w:type="dxa"/>
            <w:vAlign w:val="bottom"/>
          </w:tcPr>
          <w:p>
            <w:pPr>
              <w:spacing w:after="0"/>
              <w:rPr>
                <w:sz w:val="1"/>
                <w:szCs w:val="1"/>
                <w:color w:val="auto"/>
              </w:rPr>
            </w:pPr>
          </w:p>
        </w:tc>
      </w:tr>
      <w:tr>
        <w:trPr>
          <w:trHeight w:val="221"/>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Level 3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26,453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14,365</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(3,445)</w:t>
            </w: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793"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Assets – 2024 Year-to-Date Change: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Beginning</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118"/>
              <w:spacing w:after="0"/>
              <w:rPr>
                <w:sz w:val="20"/>
                <w:szCs w:val="20"/>
                <w:color w:val="auto"/>
              </w:rPr>
            </w:pPr>
            <w:r>
              <w:rPr>
                <w:rFonts w:ascii="Times New Roman" w:cs="Times New Roman" w:eastAsia="Times New Roman" w:hAnsi="Times New Roman"/>
                <w:sz w:val="14"/>
                <w:szCs w:val="14"/>
                <w:color w:val="auto"/>
              </w:rPr>
              <w:t>Included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4"/>
                <w:szCs w:val="14"/>
                <w:color w:val="auto"/>
                <w:w w:val="99"/>
              </w:rPr>
              <w:t>balance at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98"/>
              <w:spacing w:after="0" w:line="138" w:lineRule="exact"/>
              <w:rPr>
                <w:sz w:val="20"/>
                <w:szCs w:val="20"/>
                <w:color w:val="auto"/>
              </w:rPr>
            </w:pPr>
            <w:r>
              <w:rPr>
                <w:rFonts w:ascii="Times New Roman" w:cs="Times New Roman" w:eastAsia="Times New Roman" w:hAnsi="Times New Roman"/>
                <w:sz w:val="14"/>
                <w:szCs w:val="14"/>
                <w:color w:val="auto"/>
              </w:rPr>
              <w:t>in other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3"/>
                <w:szCs w:val="13"/>
                <w:color w:val="auto"/>
              </w:rPr>
            </w:pPr>
          </w:p>
        </w:tc>
        <w:tc>
          <w:tcPr>
            <w:tcW w:w="98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3"/>
                <w:szCs w:val="13"/>
                <w:color w:val="auto"/>
              </w:rPr>
            </w:pPr>
          </w:p>
        </w:tc>
        <w:tc>
          <w:tcPr>
            <w:tcW w:w="800" w:type="dxa"/>
            <w:vAlign w:val="bottom"/>
          </w:tcPr>
          <w:p>
            <w:pPr>
              <w:jc w:val="right"/>
              <w:ind w:right="75"/>
              <w:spacing w:after="0" w:line="157" w:lineRule="exact"/>
              <w:rPr>
                <w:sz w:val="20"/>
                <w:szCs w:val="20"/>
                <w:color w:val="auto"/>
              </w:rPr>
            </w:pPr>
            <w:r>
              <w:rPr>
                <w:rFonts w:ascii="Times New Roman" w:cs="Times New Roman" w:eastAsia="Times New Roman" w:hAnsi="Times New Roman"/>
                <w:sz w:val="14"/>
                <w:szCs w:val="14"/>
                <w:color w:val="auto"/>
                <w:w w:val="97"/>
              </w:rPr>
              <w:t>Included in</w:t>
            </w:r>
          </w:p>
        </w:tc>
        <w:tc>
          <w:tcPr>
            <w:tcW w:w="180" w:type="dxa"/>
            <w:vAlign w:val="bottom"/>
          </w:tcPr>
          <w:p>
            <w:pPr>
              <w:spacing w:after="0"/>
              <w:rPr>
                <w:sz w:val="13"/>
                <w:szCs w:val="13"/>
                <w:color w:val="auto"/>
              </w:rPr>
            </w:pPr>
          </w:p>
        </w:tc>
        <w:tc>
          <w:tcPr>
            <w:tcW w:w="1100" w:type="dxa"/>
            <w:vAlign w:val="bottom"/>
          </w:tcPr>
          <w:p>
            <w:pPr>
              <w:jc w:val="center"/>
              <w:ind w:right="118"/>
              <w:spacing w:after="0" w:line="157"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3"/>
                <w:szCs w:val="13"/>
                <w:color w:val="auto"/>
              </w:rPr>
            </w:pP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w w:val="99"/>
              </w:rPr>
              <w:t>Purchases</w:t>
            </w:r>
          </w:p>
        </w:tc>
        <w:tc>
          <w:tcPr>
            <w:tcW w:w="260" w:type="dxa"/>
            <w:vAlign w:val="bottom"/>
          </w:tcPr>
          <w:p>
            <w:pPr>
              <w:spacing w:after="0"/>
              <w:rPr>
                <w:sz w:val="13"/>
                <w:szCs w:val="13"/>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Sales</w:t>
            </w:r>
          </w:p>
        </w:tc>
        <w:tc>
          <w:tcPr>
            <w:tcW w:w="9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Transfers into</w:t>
            </w:r>
          </w:p>
        </w:tc>
        <w:tc>
          <w:tcPr>
            <w:tcW w:w="1020" w:type="dxa"/>
            <w:vAlign w:val="bottom"/>
            <w:gridSpan w:val="2"/>
          </w:tcPr>
          <w:p>
            <w:pPr>
              <w:jc w:val="right"/>
              <w:ind w:right="33"/>
              <w:spacing w:after="0" w:line="157" w:lineRule="exact"/>
              <w:rPr>
                <w:sz w:val="20"/>
                <w:szCs w:val="20"/>
                <w:color w:val="auto"/>
              </w:rPr>
            </w:pPr>
            <w:r>
              <w:rPr>
                <w:rFonts w:ascii="Times New Roman" w:cs="Times New Roman" w:eastAsia="Times New Roman" w:hAnsi="Times New Roman"/>
                <w:sz w:val="14"/>
                <w:szCs w:val="14"/>
                <w:color w:val="auto"/>
              </w:rPr>
              <w:t>Transfers out</w:t>
            </w:r>
          </w:p>
        </w:tc>
        <w:tc>
          <w:tcPr>
            <w:tcW w:w="10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Ending balance</w:t>
            </w:r>
          </w:p>
        </w:tc>
        <w:tc>
          <w:tcPr>
            <w:tcW w:w="0" w:type="dxa"/>
            <w:vAlign w:val="bottom"/>
          </w:tcPr>
          <w:p>
            <w:pPr>
              <w:spacing w:after="0"/>
              <w:rPr>
                <w:sz w:val="1"/>
                <w:szCs w:val="1"/>
                <w:color w:val="auto"/>
              </w:rPr>
            </w:pPr>
          </w:p>
        </w:tc>
      </w:tr>
      <w:tr>
        <w:trPr>
          <w:trHeight w:val="194"/>
        </w:trPr>
        <w:tc>
          <w:tcPr>
            <w:tcW w:w="30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color w:val="auto"/>
                <w:w w:val="99"/>
              </w:rPr>
              <w:t>2023</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color w:val="auto"/>
              </w:rPr>
              <w:t>earnings</w:t>
            </w:r>
            <w:r>
              <w:rPr>
                <w:rFonts w:ascii="Times New Roman" w:cs="Times New Roman" w:eastAsia="Times New Roman" w:hAnsi="Times New Roman"/>
                <w:sz w:val="9"/>
                <w:szCs w:val="9"/>
                <w:color w:val="auto"/>
              </w:rPr>
              <w:t>(1)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Level 3</w:t>
            </w:r>
            <w:r>
              <w:rPr>
                <w:rFonts w:ascii="Times New Roman" w:cs="Times New Roman" w:eastAsia="Times New Roman" w:hAnsi="Times New Roman"/>
                <w:sz w:val="9"/>
                <w:szCs w:val="9"/>
                <w:color w:val="auto"/>
              </w:rPr>
              <w:t>(2)</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w w:val="99"/>
              </w:rPr>
              <w:t>of Level 3</w:t>
            </w:r>
            <w:r>
              <w:rPr>
                <w:rFonts w:ascii="Times New Roman" w:cs="Times New Roman" w:eastAsia="Times New Roman" w:hAnsi="Times New Roman"/>
                <w:sz w:val="9"/>
                <w:szCs w:val="9"/>
                <w:color w:val="auto"/>
                <w:w w:val="99"/>
              </w:rPr>
              <w:t>(2)</w:t>
            </w: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at June 30, 2024</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4,506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4,839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0" w:type="dxa"/>
            <w:vAlign w:val="bottom"/>
          </w:tcPr>
          <w:p>
            <w:pPr>
              <w:spacing w:after="0"/>
              <w:rPr>
                <w:sz w:val="1"/>
                <w:szCs w:val="1"/>
                <w:color w:val="auto"/>
              </w:rPr>
            </w:pPr>
          </w:p>
        </w:tc>
      </w:tr>
      <w:tr>
        <w:trPr>
          <w:trHeight w:val="179"/>
        </w:trPr>
        <w:tc>
          <w:tcPr>
            <w:tcW w:w="300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Commercial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10,994</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8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1,805</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17,648</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0" w:type="dxa"/>
            <w:vAlign w:val="bottom"/>
          </w:tcPr>
          <w:p>
            <w:pPr>
              <w:spacing w:after="0"/>
              <w:rPr>
                <w:sz w:val="1"/>
                <w:szCs w:val="1"/>
                <w:color w:val="auto"/>
              </w:rPr>
            </w:pPr>
          </w:p>
        </w:tc>
      </w:tr>
      <w:tr>
        <w:trPr>
          <w:trHeight w:val="179"/>
        </w:trPr>
        <w:tc>
          <w:tcPr>
            <w:tcW w:w="300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Residential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1,534</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spacing w:after="0"/>
              <w:rPr>
                <w:sz w:val="18"/>
                <w:szCs w:val="18"/>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17,034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8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6,644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21,472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33,763</w:t>
            </w:r>
          </w:p>
        </w:tc>
        <w:tc>
          <w:tcPr>
            <w:tcW w:w="0" w:type="dxa"/>
            <w:vAlign w:val="bottom"/>
          </w:tcPr>
          <w:p>
            <w:pPr>
              <w:spacing w:after="0"/>
              <w:rPr>
                <w:sz w:val="1"/>
                <w:szCs w:val="1"/>
                <w:color w:val="auto"/>
              </w:rPr>
            </w:pPr>
          </w:p>
        </w:tc>
      </w:tr>
      <w:tr>
        <w:trPr>
          <w:trHeight w:val="2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7,334</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0" w:type="dxa"/>
            <w:vAlign w:val="bottom"/>
          </w:tcPr>
          <w:p>
            <w:pPr>
              <w:spacing w:after="0"/>
              <w:rPr>
                <w:sz w:val="1"/>
                <w:szCs w:val="1"/>
                <w:color w:val="auto"/>
              </w:rPr>
            </w:pPr>
          </w:p>
        </w:tc>
      </w:tr>
      <w:tr>
        <w:trPr>
          <w:trHeight w:val="22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 Level 3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24,368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8,663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22,016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640" w:hanging="312"/>
        <w:spacing w:after="0"/>
        <w:tabs>
          <w:tab w:leader="none" w:pos="6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These amounts are reported as net investment income and net realized and unrealized investment gains (losses) for each of the periods presented above.</w:t>
      </w:r>
    </w:p>
    <w:p>
      <w:pPr>
        <w:spacing w:after="0" w:line="66"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Transfers into and/or (out) of Level 3 are primarily attributable to the availability of market observable information and the re-evaluation of the observability of pricing inputs.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 not carried at fair value</w:t>
      </w:r>
    </w:p>
    <w:p>
      <w:pPr>
        <w:spacing w:after="0" w:line="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carrying values and fair values of financial instruments categorized as Level 3 in the fair value hierarchy that are recorded at carrying value as of:</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19"/>
                <w:szCs w:val="19"/>
                <w:color w:val="auto"/>
              </w:rPr>
            </w:pPr>
          </w:p>
        </w:tc>
        <w:tc>
          <w:tcPr>
            <w:tcW w:w="2840" w:type="dxa"/>
            <w:vAlign w:val="bottom"/>
            <w:gridSpan w:val="3"/>
          </w:tcPr>
          <w:p>
            <w:pPr>
              <w:jc w:val="right"/>
              <w:ind w:right="691"/>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32"/>
        </w:trPr>
        <w:tc>
          <w:tcPr>
            <w:tcW w:w="5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Carrying value</w:t>
            </w:r>
          </w:p>
        </w:tc>
        <w:tc>
          <w:tcPr>
            <w:tcW w:w="32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Carrying value</w:t>
            </w:r>
          </w:p>
        </w:tc>
        <w:tc>
          <w:tcPr>
            <w:tcW w:w="320" w:type="dxa"/>
            <w:vAlign w:val="bottom"/>
          </w:tcPr>
          <w:p>
            <w:pPr>
              <w:spacing w:after="0"/>
              <w:rPr>
                <w:sz w:val="20"/>
                <w:szCs w:val="20"/>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Fair value</w:t>
            </w:r>
          </w:p>
        </w:tc>
      </w:tr>
      <w:tr>
        <w:trPr>
          <w:trHeight w:val="213"/>
        </w:trPr>
        <w:tc>
          <w:tcPr>
            <w:tcW w:w="508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 xml:space="preserve">Agent loans, net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99,572</w:t>
            </w:r>
          </w:p>
        </w:tc>
        <w:tc>
          <w:tcPr>
            <w:tcW w:w="3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100,247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92,731</w:t>
            </w:r>
          </w:p>
        </w:tc>
        <w:tc>
          <w:tcPr>
            <w:tcW w:w="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90,713</w:t>
            </w:r>
          </w:p>
        </w:tc>
      </w:tr>
      <w:tr>
        <w:trPr>
          <w:trHeight w:val="227"/>
        </w:trPr>
        <w:tc>
          <w:tcPr>
            <w:tcW w:w="508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Other loans receivable, net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15,605</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11,555</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w:t>
            </w:r>
          </w:p>
        </w:tc>
      </w:tr>
      <w:tr>
        <w:trPr>
          <w:trHeight w:val="30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Held-to-maturity securities, net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24"/>
                <w:szCs w:val="24"/>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4,833</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4,833</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w:t>
            </w:r>
          </w:p>
        </w:tc>
      </w:tr>
    </w:tbl>
    <w:p>
      <w:pPr>
        <w:spacing w:after="0" w:line="201" w:lineRule="exact"/>
        <w:rPr>
          <w:sz w:val="20"/>
          <w:szCs w:val="20"/>
          <w:color w:val="auto"/>
        </w:rPr>
      </w:pPr>
    </w:p>
    <w:p>
      <w:pPr>
        <w:ind w:left="640" w:hanging="312"/>
        <w:spacing w:after="0"/>
        <w:tabs>
          <w:tab w:leader="none" w:pos="6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portion of agent loans is included in the line item "Prepaid expenses and other current assets, net" in the Consolidated Statements of Financial Position.</w:t>
      </w:r>
    </w:p>
    <w:p>
      <w:pPr>
        <w:spacing w:after="0" w:line="66" w:lineRule="exact"/>
        <w:rPr>
          <w:rFonts w:ascii="Times New Roman" w:cs="Times New Roman" w:eastAsia="Times New Roman" w:hAnsi="Times New Roman"/>
          <w:sz w:val="14"/>
          <w:szCs w:val="14"/>
          <w:i w:val="1"/>
          <w:iCs w:val="1"/>
          <w:color w:val="auto"/>
        </w:rPr>
      </w:pPr>
    </w:p>
    <w:p>
      <w:pPr>
        <w:ind w:left="640" w:right="140" w:hanging="312"/>
        <w:spacing w:after="0" w:line="298" w:lineRule="auto"/>
        <w:tabs>
          <w:tab w:leader="none" w:pos="628"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and long-term portions of other loans receivable are included in the line items "Prepaid expenses and other current assets, net" and "Other assets, net", respectively, in the Consolidated Statements of Financial Position.</w:t>
      </w:r>
    </w:p>
    <w:p>
      <w:pPr>
        <w:spacing w:after="0" w:line="1"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Held-to-maturity securities are included in the line item "Other assets, net" in the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maturity securities</w:t>
      </w:r>
    </w:p>
    <w:p>
      <w:pPr>
        <w:spacing w:after="0" w:line="2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See Note 6, "Fair Value" for additional fair value disclosures. The following tables summarize the amortized cost and estimated fair value, net of credit loss allowance, of our fixed maturity securities as of:</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June 30, 2025</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48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Amortized cost</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8"/>
              </w:rPr>
              <w:t>Gross unrealized gains</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Gross unrealized losses</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Estimated fair value</w:t>
            </w:r>
          </w:p>
        </w:tc>
      </w:tr>
      <w:tr>
        <w:trPr>
          <w:trHeight w:val="194"/>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4"/>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700,045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9,919</w:t>
            </w:r>
          </w:p>
        </w:tc>
        <w:tc>
          <w:tcPr>
            <w:tcW w:w="82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4,745</w:t>
            </w:r>
          </w:p>
        </w:tc>
        <w:tc>
          <w:tcPr>
            <w:tcW w:w="5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705,219</w:t>
            </w:r>
          </w:p>
        </w:tc>
      </w:tr>
      <w:tr>
        <w:trPr>
          <w:trHeight w:val="214"/>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108,904</w:t>
            </w:r>
          </w:p>
        </w:tc>
        <w:tc>
          <w:tcPr>
            <w:tcW w:w="200" w:type="dxa"/>
            <w:vAlign w:val="bottom"/>
          </w:tcPr>
          <w:p>
            <w:pPr>
              <w:spacing w:after="0"/>
              <w:rPr>
                <w:sz w:val="18"/>
                <w:szCs w:val="18"/>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275</w:t>
            </w:r>
          </w:p>
        </w:tc>
        <w:tc>
          <w:tcPr>
            <w:tcW w:w="8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268</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108,911</w:t>
            </w:r>
          </w:p>
        </w:tc>
      </w:tr>
      <w:tr>
        <w:trPr>
          <w:trHeight w:val="214"/>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123,616</w:t>
            </w:r>
          </w:p>
        </w:tc>
        <w:tc>
          <w:tcPr>
            <w:tcW w:w="200" w:type="dxa"/>
            <w:vAlign w:val="bottom"/>
          </w:tcPr>
          <w:p>
            <w:pPr>
              <w:spacing w:after="0"/>
              <w:rPr>
                <w:sz w:val="18"/>
                <w:szCs w:val="18"/>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2,483</w:t>
            </w:r>
          </w:p>
        </w:tc>
        <w:tc>
          <w:tcPr>
            <w:tcW w:w="8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1,907</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124,192</w:t>
            </w:r>
          </w:p>
        </w:tc>
      </w:tr>
      <w:tr>
        <w:trPr>
          <w:trHeight w:val="214"/>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157,688</w:t>
            </w:r>
          </w:p>
        </w:tc>
        <w:tc>
          <w:tcPr>
            <w:tcW w:w="200" w:type="dxa"/>
            <w:vAlign w:val="bottom"/>
          </w:tcPr>
          <w:p>
            <w:pPr>
              <w:spacing w:after="0"/>
              <w:rPr>
                <w:sz w:val="18"/>
                <w:szCs w:val="18"/>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362</w:t>
            </w:r>
          </w:p>
        </w:tc>
        <w:tc>
          <w:tcPr>
            <w:tcW w:w="8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13,429</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144,621</w:t>
            </w:r>
          </w:p>
        </w:tc>
      </w:tr>
      <w:tr>
        <w:trPr>
          <w:trHeight w:val="214"/>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debt securities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35,756</w:t>
            </w:r>
          </w:p>
        </w:tc>
        <w:tc>
          <w:tcPr>
            <w:tcW w:w="200" w:type="dxa"/>
            <w:vAlign w:val="bottom"/>
          </w:tcPr>
          <w:p>
            <w:pPr>
              <w:spacing w:after="0"/>
              <w:rPr>
                <w:sz w:val="18"/>
                <w:szCs w:val="18"/>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498</w:t>
            </w:r>
          </w:p>
        </w:tc>
        <w:tc>
          <w:tcPr>
            <w:tcW w:w="8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327</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35,927</w:t>
            </w:r>
          </w:p>
        </w:tc>
      </w:tr>
      <w:tr>
        <w:trPr>
          <w:trHeight w:val="214"/>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U.S. Treasury</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7,249</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7,278</w:t>
            </w:r>
          </w:p>
        </w:tc>
      </w:tr>
      <w:tr>
        <w:trPr>
          <w:trHeight w:val="212"/>
        </w:trPr>
        <w:tc>
          <w:tcPr>
            <w:tcW w:w="4840" w:type="dxa"/>
            <w:vAlign w:val="bottom"/>
          </w:tcPr>
          <w:p>
            <w:pPr>
              <w:spacing w:after="0" w:line="212" w:lineRule="exact"/>
              <w:rPr>
                <w:sz w:val="20"/>
                <w:szCs w:val="20"/>
                <w:color w:val="auto"/>
              </w:rPr>
            </w:pPr>
            <w:r>
              <w:rPr>
                <w:rFonts w:ascii="Times New Roman" w:cs="Times New Roman" w:eastAsia="Times New Roman" w:hAnsi="Times New Roman"/>
                <w:sz w:val="16"/>
                <w:szCs w:val="16"/>
                <w:color w:val="auto"/>
              </w:rPr>
              <w:t xml:space="preserve">Total available-for-sale securities, net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1,133,258</w:t>
            </w:r>
          </w:p>
        </w:tc>
        <w:tc>
          <w:tcPr>
            <w:tcW w:w="200" w:type="dxa"/>
            <w:vAlign w:val="bottom"/>
          </w:tcPr>
          <w:p>
            <w:pPr>
              <w:spacing w:after="0"/>
              <w:rPr>
                <w:sz w:val="18"/>
                <w:szCs w:val="18"/>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13,592</w:t>
            </w:r>
          </w:p>
        </w:tc>
        <w:tc>
          <w:tcPr>
            <w:tcW w:w="8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20,702</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1,126,148</w:t>
            </w:r>
          </w:p>
        </w:tc>
      </w:tr>
      <w:tr>
        <w:trPr>
          <w:trHeight w:val="212"/>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Held-to-maturity securities - states &amp; political subdivisions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w:t>
            </w: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Total fixed maturity securities,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1,138,091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13,592</w:t>
            </w:r>
          </w:p>
        </w:tc>
        <w:tc>
          <w:tcPr>
            <w:tcW w:w="8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20,705</w:t>
            </w:r>
          </w:p>
        </w:tc>
        <w:tc>
          <w:tcPr>
            <w:tcW w:w="5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1,130,978</w:t>
            </w:r>
          </w:p>
        </w:tc>
      </w:tr>
      <w:tr>
        <w:trPr>
          <w:trHeight w:val="20"/>
        </w:trPr>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640" w:hanging="312"/>
        <w:spacing w:after="0"/>
        <w:tabs>
          <w:tab w:leader="none" w:pos="64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an estimated fair value of $18.4 million of securities lent under a securities lending agreement.</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8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December 31, 2024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4"/>
        </w:trPr>
        <w:tc>
          <w:tcPr>
            <w:tcW w:w="48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Amortized cost</w:t>
            </w: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Gross unrealized gains</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Gross unrealized losses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Estimated fair value</w:t>
            </w:r>
          </w:p>
        </w:tc>
      </w:tr>
      <w:tr>
        <w:trPr>
          <w:trHeight w:val="194"/>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4"/>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647,861</w:t>
            </w:r>
          </w:p>
        </w:tc>
        <w:tc>
          <w:tcPr>
            <w:tcW w:w="68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4,767</w:t>
            </w:r>
          </w:p>
        </w:tc>
        <w:tc>
          <w:tcPr>
            <w:tcW w:w="960" w:type="dxa"/>
            <w:vAlign w:val="bottom"/>
          </w:tcPr>
          <w:p>
            <w:pPr>
              <w:jc w:val="center"/>
              <w:ind w:right="6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8,685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643,943</w:t>
            </w:r>
          </w:p>
        </w:tc>
      </w:tr>
      <w:tr>
        <w:trPr>
          <w:trHeight w:val="214"/>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12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114,142</w:t>
            </w:r>
          </w:p>
        </w:tc>
        <w:tc>
          <w:tcPr>
            <w:tcW w:w="68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372</w:t>
            </w:r>
          </w:p>
        </w:tc>
        <w:tc>
          <w:tcPr>
            <w:tcW w:w="9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387</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114,127</w:t>
            </w:r>
          </w:p>
        </w:tc>
      </w:tr>
      <w:tr>
        <w:trPr>
          <w:trHeight w:val="214"/>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2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126,509</w:t>
            </w:r>
          </w:p>
        </w:tc>
        <w:tc>
          <w:tcPr>
            <w:tcW w:w="68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1,458</w:t>
            </w:r>
          </w:p>
        </w:tc>
        <w:tc>
          <w:tcPr>
            <w:tcW w:w="9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2,985</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124,982</w:t>
            </w:r>
          </w:p>
        </w:tc>
      </w:tr>
      <w:tr>
        <w:trPr>
          <w:trHeight w:val="214"/>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2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150,212</w:t>
            </w:r>
          </w:p>
        </w:tc>
        <w:tc>
          <w:tcPr>
            <w:tcW w:w="68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w:t>
            </w:r>
          </w:p>
        </w:tc>
        <w:tc>
          <w:tcPr>
            <w:tcW w:w="9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16,462</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133,812</w:t>
            </w:r>
          </w:p>
        </w:tc>
      </w:tr>
      <w:tr>
        <w:trPr>
          <w:trHeight w:val="214"/>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debt securities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27,232</w:t>
            </w: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147</w:t>
            </w:r>
          </w:p>
        </w:tc>
        <w:tc>
          <w:tcPr>
            <w:tcW w:w="9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628</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26,751</w:t>
            </w:r>
          </w:p>
        </w:tc>
      </w:tr>
      <w:tr>
        <w:trPr>
          <w:trHeight w:val="212"/>
        </w:trPr>
        <w:tc>
          <w:tcPr>
            <w:tcW w:w="4860" w:type="dxa"/>
            <w:vAlign w:val="bottom"/>
          </w:tcPr>
          <w:p>
            <w:pPr>
              <w:spacing w:after="0" w:line="212" w:lineRule="exact"/>
              <w:rPr>
                <w:sz w:val="20"/>
                <w:szCs w:val="20"/>
                <w:color w:val="auto"/>
              </w:rPr>
            </w:pPr>
            <w:r>
              <w:rPr>
                <w:rFonts w:ascii="Times New Roman" w:cs="Times New Roman" w:eastAsia="Times New Roman" w:hAnsi="Times New Roman"/>
                <w:sz w:val="16"/>
                <w:szCs w:val="16"/>
                <w:color w:val="auto"/>
              </w:rPr>
              <w:t xml:space="preserve">Total available-for-sale securities, net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1,065,956</w:t>
            </w:r>
          </w:p>
        </w:tc>
        <w:tc>
          <w:tcPr>
            <w:tcW w:w="68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6,806</w:t>
            </w:r>
          </w:p>
        </w:tc>
        <w:tc>
          <w:tcPr>
            <w:tcW w:w="9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29,147</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1,043,615</w:t>
            </w:r>
          </w:p>
        </w:tc>
      </w:tr>
      <w:tr>
        <w:trPr>
          <w:trHeight w:val="212"/>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Held-to-maturity securities - states &amp; political subdivisions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4,833</w:t>
            </w: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101</w:t>
            </w:r>
          </w:p>
        </w:tc>
        <w:tc>
          <w:tcPr>
            <w:tcW w:w="9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4,934</w:t>
            </w: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fixed maturity securities,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1,070,789</w:t>
            </w:r>
          </w:p>
        </w:tc>
        <w:tc>
          <w:tcPr>
            <w:tcW w:w="6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6,907</w:t>
            </w:r>
          </w:p>
        </w:tc>
        <w:tc>
          <w:tcPr>
            <w:tcW w:w="960" w:type="dxa"/>
            <w:vAlign w:val="bottom"/>
            <w:tcBorders>
              <w:bottom w:val="single" w:sz="8" w:color="auto"/>
            </w:tcBorders>
          </w:tcPr>
          <w:p>
            <w:pPr>
              <w:jc w:val="center"/>
              <w:ind w:right="6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29,147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1,048,549</w:t>
            </w: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640" w:hanging="312"/>
        <w:spacing w:after="0"/>
        <w:tabs>
          <w:tab w:leader="none" w:pos="6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an estimated fair value of $7.3 million of securities lent under a securities lending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The amortized cost and estimated fair value of available-for-sale and held-to-maturity securities at June 30, 2025 are shown below by remaining contractual term to maturity. Expected maturities may differ from contractual maturities because borrowers may have the right to call or prepay obligations with or without call or prepayment penalties.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June 30, 2025</w:t>
            </w:r>
          </w:p>
        </w:tc>
        <w:tc>
          <w:tcPr>
            <w:tcW w:w="1140" w:type="dxa"/>
            <w:vAlign w:val="bottom"/>
          </w:tcPr>
          <w:p>
            <w:pPr>
              <w:spacing w:after="0"/>
              <w:rPr>
                <w:sz w:val="18"/>
                <w:szCs w:val="18"/>
                <w:color w:val="auto"/>
              </w:rPr>
            </w:pPr>
          </w:p>
        </w:tc>
      </w:tr>
      <w:tr>
        <w:trPr>
          <w:trHeight w:val="214"/>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Amortized</w:t>
            </w:r>
          </w:p>
        </w:tc>
        <w:tc>
          <w:tcPr>
            <w:tcW w:w="500" w:type="dxa"/>
            <w:vAlign w:val="bottom"/>
          </w:tcPr>
          <w:p>
            <w:pPr>
              <w:spacing w:after="0"/>
              <w:rPr>
                <w:sz w:val="18"/>
                <w:szCs w:val="18"/>
                <w:color w:val="auto"/>
              </w:rPr>
            </w:pP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Estimated</w:t>
            </w:r>
          </w:p>
        </w:tc>
      </w:tr>
      <w:tr>
        <w:trPr>
          <w:trHeight w:val="214"/>
        </w:trPr>
        <w:tc>
          <w:tcPr>
            <w:tcW w:w="7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color w:val="auto"/>
              </w:rPr>
              <w:t>cost</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rPr>
              <w:t>fair value</w:t>
            </w:r>
          </w:p>
        </w:tc>
      </w:tr>
      <w:tr>
        <w:trPr>
          <w:trHeight w:val="194"/>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4"/>
        </w:trPr>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in one year or less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57,341</w:t>
            </w:r>
          </w:p>
        </w:tc>
        <w:tc>
          <w:tcPr>
            <w:tcW w:w="5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56,820</w:t>
            </w:r>
          </w:p>
        </w:tc>
      </w:tr>
      <w:tr>
        <w:trPr>
          <w:trHeight w:val="214"/>
        </w:trPr>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8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478,964</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482,703</w:t>
            </w:r>
          </w:p>
        </w:tc>
      </w:tr>
      <w:tr>
        <w:trPr>
          <w:trHeight w:val="214"/>
        </w:trPr>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8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177,290</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178,639</w:t>
            </w:r>
          </w:p>
        </w:tc>
      </w:tr>
      <w:tr>
        <w:trPr>
          <w:trHeight w:val="214"/>
        </w:trPr>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after ten years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419,663</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407,986</w:t>
            </w:r>
          </w:p>
        </w:tc>
      </w:tr>
      <w:tr>
        <w:trPr>
          <w:trHeight w:val="213"/>
        </w:trPr>
        <w:tc>
          <w:tcPr>
            <w:tcW w:w="7980" w:type="dxa"/>
            <w:vAlign w:val="bottom"/>
          </w:tcPr>
          <w:p>
            <w:pPr>
              <w:spacing w:after="0" w:line="213" w:lineRule="exact"/>
              <w:rPr>
                <w:sz w:val="20"/>
                <w:szCs w:val="20"/>
                <w:color w:val="auto"/>
              </w:rPr>
            </w:pPr>
            <w:r>
              <w:rPr>
                <w:rFonts w:ascii="Times New Roman" w:cs="Times New Roman" w:eastAsia="Times New Roman" w:hAnsi="Times New Roman"/>
                <w:sz w:val="16"/>
                <w:szCs w:val="16"/>
                <w:color w:val="auto"/>
              </w:rPr>
              <w:t xml:space="preserve">Total available-for-sale securities, net </w:t>
            </w:r>
            <w:r>
              <w:rPr>
                <w:rFonts w:ascii="Times New Roman" w:cs="Times New Roman" w:eastAsia="Times New Roman" w:hAnsi="Times New Roman"/>
                <w:sz w:val="20"/>
                <w:szCs w:val="20"/>
                <w:color w:val="auto"/>
                <w:vertAlign w:val="superscript"/>
              </w:rPr>
              <w:t>(1) (2)</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1,133,258</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1,126,148</w:t>
            </w:r>
          </w:p>
        </w:tc>
      </w:tr>
      <w:tr>
        <w:trPr>
          <w:trHeight w:val="202"/>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Held-to-maturity securities - due after ten years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4,833</w:t>
            </w: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w:t>
            </w: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Total fixed maturity securities, net</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1,138,091</w:t>
            </w:r>
          </w:p>
        </w:tc>
        <w:tc>
          <w:tcPr>
            <w:tcW w:w="5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1,130,978</w:t>
            </w:r>
          </w:p>
        </w:tc>
      </w:tr>
      <w:tr>
        <w:trPr>
          <w:trHeight w:val="23"/>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640" w:right="240" w:hanging="312"/>
        <w:spacing w:after="0" w:line="298" w:lineRule="auto"/>
        <w:tabs>
          <w:tab w:leader="none" w:pos="632"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contractual maturities of our available-for-sale securities are included in the table. However, given our intent to sell certain impaired securities, these securities are classified as current assets in our Consolidated Statement of Financial Position at June 30, 2025.</w:t>
      </w:r>
    </w:p>
    <w:p>
      <w:pPr>
        <w:spacing w:after="0" w:line="1"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an estimated fair value of $18.4 million of securities lent under a securities lending agreement.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securities have been evaluated for credit impairment using criteria described within Note 2, "Significant Accounting Policies, of Notes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included in our Annual Report on Form 10-K for the year ended December 31, 2024 as filed with the SEC 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 The gross unrealized losses are primarily attributable to changes in interest rates and are not deemed to be credit-related. We do not have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intent to sell these securities and it is more likely than not that we would not be required to sell these securities before the anticipated recovery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cost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available-for-sale securities based on length of time in a gross unrealized loss position as of:</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June 30, 2025</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Less than 12 months</w:t>
            </w:r>
          </w:p>
        </w:tc>
        <w:tc>
          <w:tcPr>
            <w:tcW w:w="220" w:type="dxa"/>
            <w:vAlign w:val="bottom"/>
          </w:tcPr>
          <w:p>
            <w:pPr>
              <w:spacing w:after="0"/>
              <w:rPr>
                <w:sz w:val="20"/>
                <w:szCs w:val="20"/>
                <w:color w:val="auto"/>
              </w:rPr>
            </w:pPr>
          </w:p>
        </w:tc>
        <w:tc>
          <w:tcPr>
            <w:tcW w:w="20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12 months or longer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34"/>
              <w:spacing w:after="0" w:line="127" w:lineRule="exact"/>
              <w:rPr>
                <w:sz w:val="20"/>
                <w:szCs w:val="20"/>
                <w:color w:val="auto"/>
              </w:rPr>
            </w:pPr>
            <w:r>
              <w:rPr>
                <w:rFonts w:ascii="Times New Roman" w:cs="Times New Roman" w:eastAsia="Times New Roman" w:hAnsi="Times New Roman"/>
                <w:sz w:val="14"/>
                <w:szCs w:val="14"/>
                <w:color w:val="auto"/>
                <w:w w:val="97"/>
              </w:rPr>
              <w:t>Fair</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4"/>
              <w:spacing w:after="0" w:line="127"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14"/>
              <w:spacing w:after="0" w:line="127" w:lineRule="exact"/>
              <w:rPr>
                <w:sz w:val="20"/>
                <w:szCs w:val="20"/>
                <w:color w:val="auto"/>
              </w:rPr>
            </w:pPr>
            <w:r>
              <w:rPr>
                <w:rFonts w:ascii="Times New Roman" w:cs="Times New Roman" w:eastAsia="Times New Roman" w:hAnsi="Times New Roman"/>
                <w:sz w:val="14"/>
                <w:szCs w:val="14"/>
                <w:color w:val="auto"/>
              </w:rPr>
              <w:t>Fair</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4"/>
              <w:spacing w:after="0" w:line="127"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40"/>
              <w:spacing w:after="0" w:line="127"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214"/>
              <w:spacing w:after="0" w:line="127" w:lineRule="exact"/>
              <w:rPr>
                <w:sz w:val="20"/>
                <w:szCs w:val="20"/>
                <w:color w:val="auto"/>
              </w:rPr>
            </w:pPr>
            <w:r>
              <w:rPr>
                <w:rFonts w:ascii="Times New Roman" w:cs="Times New Roman" w:eastAsia="Times New Roman" w:hAnsi="Times New Roman"/>
                <w:sz w:val="14"/>
                <w:szCs w:val="14"/>
                <w:color w:val="auto"/>
              </w:rPr>
              <w:t>Unrealized</w:t>
            </w:r>
          </w:p>
        </w:tc>
        <w:tc>
          <w:tcPr>
            <w:tcW w:w="86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rPr>
              <w:t>No. of</w:t>
            </w:r>
          </w:p>
        </w:tc>
        <w:tc>
          <w:tcPr>
            <w:tcW w:w="0" w:type="dxa"/>
            <w:vAlign w:val="bottom"/>
          </w:tcPr>
          <w:p>
            <w:pPr>
              <w:spacing w:after="0"/>
              <w:rPr>
                <w:sz w:val="1"/>
                <w:szCs w:val="1"/>
                <w:color w:val="auto"/>
              </w:rPr>
            </w:pPr>
          </w:p>
        </w:tc>
      </w:tr>
      <w:tr>
        <w:trPr>
          <w:trHeight w:val="194"/>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34"/>
              <w:spacing w:after="0"/>
              <w:rPr>
                <w:sz w:val="20"/>
                <w:szCs w:val="20"/>
                <w:color w:val="auto"/>
              </w:rPr>
            </w:pPr>
            <w:r>
              <w:rPr>
                <w:rFonts w:ascii="Times New Roman" w:cs="Times New Roman" w:eastAsia="Times New Roman" w:hAnsi="Times New Roman"/>
                <w:sz w:val="14"/>
                <w:szCs w:val="14"/>
                <w:color w:val="auto"/>
                <w:w w:val="98"/>
              </w:rPr>
              <w:t>value</w:t>
            </w:r>
          </w:p>
        </w:tc>
        <w:tc>
          <w:tcPr>
            <w:tcW w:w="22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Pr>
          <w:p>
            <w:pPr>
              <w:spacing w:after="0"/>
              <w:rPr>
                <w:sz w:val="16"/>
                <w:szCs w:val="16"/>
                <w:color w:val="auto"/>
              </w:rPr>
            </w:pPr>
          </w:p>
        </w:tc>
        <w:tc>
          <w:tcPr>
            <w:tcW w:w="760" w:type="dxa"/>
            <w:vAlign w:val="bottom"/>
          </w:tcPr>
          <w:p>
            <w:pPr>
              <w:jc w:val="center"/>
              <w:ind w:right="114"/>
              <w:spacing w:after="0"/>
              <w:rPr>
                <w:sz w:val="20"/>
                <w:szCs w:val="20"/>
                <w:color w:val="auto"/>
              </w:rPr>
            </w:pPr>
            <w:r>
              <w:rPr>
                <w:rFonts w:ascii="Times New Roman" w:cs="Times New Roman" w:eastAsia="Times New Roman" w:hAnsi="Times New Roman"/>
                <w:sz w:val="14"/>
                <w:szCs w:val="14"/>
                <w:color w:val="auto"/>
              </w:rPr>
              <w:t>value</w:t>
            </w:r>
          </w:p>
        </w:tc>
        <w:tc>
          <w:tcPr>
            <w:tcW w:w="260" w:type="dxa"/>
            <w:vAlign w:val="bottom"/>
          </w:tcPr>
          <w:p>
            <w:pPr>
              <w:spacing w:after="0"/>
              <w:rPr>
                <w:sz w:val="16"/>
                <w:szCs w:val="16"/>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6"/>
                <w:szCs w:val="16"/>
                <w:color w:val="auto"/>
              </w:rPr>
            </w:pPr>
          </w:p>
        </w:tc>
        <w:tc>
          <w:tcPr>
            <w:tcW w:w="96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losses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holdings</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75,033</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125,187</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200,220</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4,745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40,941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48,331</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268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12,656</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32,656</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1,907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36,998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84,737</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121,735</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13,429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3,169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7,177</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327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170,822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241,322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18,207</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412,144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20,702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line="181" w:lineRule="exact"/>
              <w:rPr>
                <w:sz w:val="20"/>
                <w:szCs w:val="20"/>
                <w:color w:val="auto"/>
              </w:rPr>
            </w:pPr>
            <w:r>
              <w:rPr>
                <w:rFonts w:ascii="Times New Roman" w:cs="Times New Roman" w:eastAsia="Times New Roman" w:hAnsi="Times New Roman"/>
                <w:sz w:val="18"/>
                <w:szCs w:val="18"/>
                <w:color w:val="auto"/>
              </w:rPr>
              <w:t>Quality breakdown of available-for-sale</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3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grade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140,575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219,609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2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360,184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18,255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Non-investment grade</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30,247</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21,713</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51,960</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2,447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1"/>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170,822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241,322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18,207</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412,144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20,702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jc w:val="center"/>
              <w:ind w:left="494"/>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Less than 12 months</w:t>
            </w:r>
          </w:p>
        </w:tc>
        <w:tc>
          <w:tcPr>
            <w:tcW w:w="220" w:type="dxa"/>
            <w:vAlign w:val="bottom"/>
          </w:tcPr>
          <w:p>
            <w:pPr>
              <w:spacing w:after="0"/>
              <w:rPr>
                <w:sz w:val="20"/>
                <w:szCs w:val="20"/>
                <w:color w:val="auto"/>
              </w:rPr>
            </w:pPr>
          </w:p>
        </w:tc>
        <w:tc>
          <w:tcPr>
            <w:tcW w:w="20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12 months or longer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34"/>
              <w:spacing w:after="0" w:line="131" w:lineRule="exact"/>
              <w:rPr>
                <w:sz w:val="20"/>
                <w:szCs w:val="20"/>
                <w:color w:val="auto"/>
              </w:rPr>
            </w:pPr>
            <w:r>
              <w:rPr>
                <w:rFonts w:ascii="Times New Roman" w:cs="Times New Roman" w:eastAsia="Times New Roman" w:hAnsi="Times New Roman"/>
                <w:sz w:val="14"/>
                <w:szCs w:val="14"/>
                <w:color w:val="auto"/>
                <w:w w:val="97"/>
              </w:rPr>
              <w:t>Fair</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4"/>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14"/>
              <w:spacing w:after="0" w:line="131" w:lineRule="exact"/>
              <w:rPr>
                <w:sz w:val="20"/>
                <w:szCs w:val="20"/>
                <w:color w:val="auto"/>
              </w:rPr>
            </w:pPr>
            <w:r>
              <w:rPr>
                <w:rFonts w:ascii="Times New Roman" w:cs="Times New Roman" w:eastAsia="Times New Roman" w:hAnsi="Times New Roman"/>
                <w:sz w:val="14"/>
                <w:szCs w:val="14"/>
                <w:color w:val="auto"/>
              </w:rPr>
              <w:t>Fair</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4"/>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40"/>
              <w:spacing w:after="0" w:line="131"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214"/>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8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color w:val="auto"/>
              </w:rPr>
              <w:t>No. of</w:t>
            </w:r>
          </w:p>
        </w:tc>
        <w:tc>
          <w:tcPr>
            <w:tcW w:w="0" w:type="dxa"/>
            <w:vAlign w:val="bottom"/>
          </w:tcPr>
          <w:p>
            <w:pPr>
              <w:spacing w:after="0"/>
              <w:rPr>
                <w:sz w:val="1"/>
                <w:szCs w:val="1"/>
                <w:color w:val="auto"/>
              </w:rPr>
            </w:pPr>
          </w:p>
        </w:tc>
      </w:tr>
      <w:tr>
        <w:trPr>
          <w:trHeight w:val="190"/>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34"/>
              <w:spacing w:after="0"/>
              <w:rPr>
                <w:sz w:val="20"/>
                <w:szCs w:val="20"/>
                <w:color w:val="auto"/>
              </w:rPr>
            </w:pPr>
            <w:r>
              <w:rPr>
                <w:rFonts w:ascii="Times New Roman" w:cs="Times New Roman" w:eastAsia="Times New Roman" w:hAnsi="Times New Roman"/>
                <w:sz w:val="14"/>
                <w:szCs w:val="14"/>
                <w:color w:val="auto"/>
                <w:w w:val="98"/>
              </w:rPr>
              <w:t>value</w:t>
            </w:r>
          </w:p>
        </w:tc>
        <w:tc>
          <w:tcPr>
            <w:tcW w:w="22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Pr>
          <w:p>
            <w:pPr>
              <w:spacing w:after="0"/>
              <w:rPr>
                <w:sz w:val="16"/>
                <w:szCs w:val="16"/>
                <w:color w:val="auto"/>
              </w:rPr>
            </w:pPr>
          </w:p>
        </w:tc>
        <w:tc>
          <w:tcPr>
            <w:tcW w:w="760" w:type="dxa"/>
            <w:vAlign w:val="bottom"/>
          </w:tcPr>
          <w:p>
            <w:pPr>
              <w:jc w:val="center"/>
              <w:ind w:right="114"/>
              <w:spacing w:after="0"/>
              <w:rPr>
                <w:sz w:val="20"/>
                <w:szCs w:val="20"/>
                <w:color w:val="auto"/>
              </w:rPr>
            </w:pPr>
            <w:r>
              <w:rPr>
                <w:rFonts w:ascii="Times New Roman" w:cs="Times New Roman" w:eastAsia="Times New Roman" w:hAnsi="Times New Roman"/>
                <w:sz w:val="14"/>
                <w:szCs w:val="14"/>
                <w:color w:val="auto"/>
              </w:rPr>
              <w:t>value</w:t>
            </w:r>
          </w:p>
        </w:tc>
        <w:tc>
          <w:tcPr>
            <w:tcW w:w="260" w:type="dxa"/>
            <w:vAlign w:val="bottom"/>
          </w:tcPr>
          <w:p>
            <w:pPr>
              <w:spacing w:after="0"/>
              <w:rPr>
                <w:sz w:val="16"/>
                <w:szCs w:val="16"/>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6"/>
                <w:szCs w:val="16"/>
                <w:color w:val="auto"/>
              </w:rPr>
            </w:pPr>
          </w:p>
        </w:tc>
        <w:tc>
          <w:tcPr>
            <w:tcW w:w="96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losses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holdings</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197,619</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156,059</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353,678</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8,685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33,686</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45,448</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387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28,333</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53,299</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2,985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38,003</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90,209</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128,212</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16,462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11,663</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16,708</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628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1"/>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309,304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288,041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24,744</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597,345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29,147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Quality breakdown of available-for-sale</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grade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280,332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2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260,480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2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540,812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26,365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Non-investment grade</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28,972</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27,561</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56,533</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2,782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1"/>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309,304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288,041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24,744</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597,345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29,147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loss allowances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roll-forward of the allowances for credit losses on investments: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8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w w:val="99"/>
              </w:rPr>
              <w:t>Three months ended June 30, 2025</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center"/>
              <w:ind w:right="131"/>
              <w:spacing w:after="0" w:line="179" w:lineRule="exact"/>
              <w:rPr>
                <w:sz w:val="20"/>
                <w:szCs w:val="20"/>
                <w:color w:val="auto"/>
              </w:rPr>
            </w:pPr>
            <w:r>
              <w:rPr>
                <w:rFonts w:ascii="Times New Roman" w:cs="Times New Roman" w:eastAsia="Times New Roman" w:hAnsi="Times New Roman"/>
                <w:sz w:val="18"/>
                <w:szCs w:val="18"/>
                <w:color w:val="auto"/>
                <w:w w:val="97"/>
              </w:rPr>
              <w:t>Available-for-sale</w:t>
            </w:r>
          </w:p>
        </w:tc>
        <w:tc>
          <w:tcPr>
            <w:tcW w:w="320" w:type="dxa"/>
            <w:vAlign w:val="bottom"/>
          </w:tcPr>
          <w:p>
            <w:pPr>
              <w:spacing w:after="0"/>
              <w:rPr>
                <w:sz w:val="15"/>
                <w:szCs w:val="15"/>
                <w:color w:val="auto"/>
              </w:rPr>
            </w:pPr>
          </w:p>
        </w:tc>
        <w:tc>
          <w:tcPr>
            <w:tcW w:w="1660" w:type="dxa"/>
            <w:vAlign w:val="bottom"/>
            <w:gridSpan w:val="2"/>
          </w:tcPr>
          <w:p>
            <w:pPr>
              <w:jc w:val="center"/>
              <w:ind w:right="380"/>
              <w:spacing w:after="0" w:line="179" w:lineRule="exact"/>
              <w:rPr>
                <w:sz w:val="20"/>
                <w:szCs w:val="20"/>
                <w:color w:val="auto"/>
              </w:rPr>
            </w:pPr>
            <w:r>
              <w:rPr>
                <w:rFonts w:ascii="Times New Roman" w:cs="Times New Roman" w:eastAsia="Times New Roman" w:hAnsi="Times New Roman"/>
                <w:sz w:val="18"/>
                <w:szCs w:val="18"/>
                <w:color w:val="auto"/>
                <w:w w:val="98"/>
              </w:rPr>
              <w:t>Held-to-maturity</w:t>
            </w: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9"/>
              </w:rPr>
              <w:t>securities</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securities</w:t>
            </w: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Other loans receivable</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7"/>
              </w:rPr>
              <w:t>Agent loans</w:t>
            </w:r>
          </w:p>
        </w:tc>
        <w:tc>
          <w:tcPr>
            <w:tcW w:w="0" w:type="dxa"/>
            <w:vAlign w:val="bottom"/>
          </w:tcPr>
          <w:p>
            <w:pPr>
              <w:spacing w:after="0"/>
              <w:rPr>
                <w:sz w:val="1"/>
                <w:szCs w:val="1"/>
                <w:color w:val="auto"/>
              </w:rPr>
            </w:pPr>
          </w:p>
        </w:tc>
      </w:tr>
      <w:tr>
        <w:trPr>
          <w:trHeight w:val="21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826</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8"/>
                <w:szCs w:val="18"/>
                <w:color w:val="auto"/>
              </w:rPr>
            </w:pPr>
          </w:p>
        </w:tc>
        <w:tc>
          <w:tcPr>
            <w:tcW w:w="122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12,592</w:t>
            </w:r>
          </w:p>
        </w:tc>
        <w:tc>
          <w:tcPr>
            <w:tcW w:w="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27"/>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and recoveries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Sales/collections and write-offs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881</w:t>
            </w:r>
          </w:p>
        </w:tc>
        <w:tc>
          <w:tcPr>
            <w:tcW w:w="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3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3"/>
        </w:trPr>
        <w:tc>
          <w:tcPr>
            <w:tcW w:w="16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9"/>
              </w:rPr>
              <w:t>Six months ended June 30, 2025</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6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center"/>
              <w:ind w:right="131"/>
              <w:spacing w:after="0" w:line="188" w:lineRule="exact"/>
              <w:rPr>
                <w:sz w:val="20"/>
                <w:szCs w:val="20"/>
                <w:color w:val="auto"/>
              </w:rPr>
            </w:pPr>
            <w:r>
              <w:rPr>
                <w:rFonts w:ascii="Times New Roman" w:cs="Times New Roman" w:eastAsia="Times New Roman" w:hAnsi="Times New Roman"/>
                <w:sz w:val="18"/>
                <w:szCs w:val="18"/>
                <w:color w:val="auto"/>
                <w:w w:val="97"/>
              </w:rPr>
              <w:t>Available-for-sale</w:t>
            </w:r>
          </w:p>
        </w:tc>
        <w:tc>
          <w:tcPr>
            <w:tcW w:w="320" w:type="dxa"/>
            <w:vAlign w:val="bottom"/>
          </w:tcPr>
          <w:p>
            <w:pPr>
              <w:spacing w:after="0"/>
              <w:rPr>
                <w:sz w:val="16"/>
                <w:szCs w:val="16"/>
                <w:color w:val="auto"/>
              </w:rPr>
            </w:pPr>
          </w:p>
        </w:tc>
        <w:tc>
          <w:tcPr>
            <w:tcW w:w="166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color w:val="auto"/>
                <w:w w:val="98"/>
              </w:rPr>
              <w:t>Held-to-maturity</w:t>
            </w: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9"/>
              </w:rPr>
              <w:t>securities</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securities</w:t>
            </w: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Other loans receivable</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7"/>
              </w:rPr>
              <w:t>Agent loans</w:t>
            </w:r>
          </w:p>
        </w:tc>
        <w:tc>
          <w:tcPr>
            <w:tcW w:w="0" w:type="dxa"/>
            <w:vAlign w:val="bottom"/>
          </w:tcPr>
          <w:p>
            <w:pPr>
              <w:spacing w:after="0"/>
              <w:rPr>
                <w:sz w:val="1"/>
                <w:szCs w:val="1"/>
                <w:color w:val="auto"/>
              </w:rPr>
            </w:pPr>
          </w:p>
        </w:tc>
      </w:tr>
      <w:tr>
        <w:trPr>
          <w:trHeight w:val="21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513</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8"/>
                <w:szCs w:val="18"/>
                <w:color w:val="auto"/>
              </w:rPr>
            </w:pPr>
          </w:p>
        </w:tc>
        <w:tc>
          <w:tcPr>
            <w:tcW w:w="122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27"/>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Provision and recoveries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669</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2"/>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Sales/collections and write-offs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881</w:t>
            </w:r>
          </w:p>
        </w:tc>
        <w:tc>
          <w:tcPr>
            <w:tcW w:w="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3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0"/>
        </w:trPr>
        <w:tc>
          <w:tcPr>
            <w:tcW w:w="16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w w:val="99"/>
              </w:rPr>
              <w:t>Three months ended June 30, 2024</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center"/>
              <w:ind w:right="131"/>
              <w:spacing w:after="0" w:line="179" w:lineRule="exact"/>
              <w:rPr>
                <w:sz w:val="20"/>
                <w:szCs w:val="20"/>
                <w:color w:val="auto"/>
              </w:rPr>
            </w:pPr>
            <w:r>
              <w:rPr>
                <w:rFonts w:ascii="Times New Roman" w:cs="Times New Roman" w:eastAsia="Times New Roman" w:hAnsi="Times New Roman"/>
                <w:sz w:val="18"/>
                <w:szCs w:val="18"/>
                <w:color w:val="auto"/>
                <w:w w:val="97"/>
              </w:rPr>
              <w:t>Available-for-sale</w:t>
            </w:r>
          </w:p>
        </w:tc>
        <w:tc>
          <w:tcPr>
            <w:tcW w:w="320" w:type="dxa"/>
            <w:vAlign w:val="bottom"/>
          </w:tcPr>
          <w:p>
            <w:pPr>
              <w:spacing w:after="0"/>
              <w:rPr>
                <w:sz w:val="15"/>
                <w:szCs w:val="15"/>
                <w:color w:val="auto"/>
              </w:rPr>
            </w:pPr>
          </w:p>
        </w:tc>
        <w:tc>
          <w:tcPr>
            <w:tcW w:w="1660" w:type="dxa"/>
            <w:vAlign w:val="bottom"/>
            <w:gridSpan w:val="2"/>
          </w:tcPr>
          <w:p>
            <w:pPr>
              <w:jc w:val="center"/>
              <w:ind w:right="380"/>
              <w:spacing w:after="0" w:line="179" w:lineRule="exact"/>
              <w:rPr>
                <w:sz w:val="20"/>
                <w:szCs w:val="20"/>
                <w:color w:val="auto"/>
              </w:rPr>
            </w:pPr>
            <w:r>
              <w:rPr>
                <w:rFonts w:ascii="Times New Roman" w:cs="Times New Roman" w:eastAsia="Times New Roman" w:hAnsi="Times New Roman"/>
                <w:sz w:val="18"/>
                <w:szCs w:val="18"/>
                <w:color w:val="auto"/>
                <w:w w:val="98"/>
              </w:rPr>
              <w:t>Held-to-maturity</w:t>
            </w: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9"/>
              </w:rPr>
              <w:t>securities</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securities</w:t>
            </w: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Other loans receivable</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7"/>
              </w:rPr>
              <w:t>Agent loans</w:t>
            </w:r>
          </w:p>
        </w:tc>
        <w:tc>
          <w:tcPr>
            <w:tcW w:w="0" w:type="dxa"/>
            <w:vAlign w:val="bottom"/>
          </w:tcPr>
          <w:p>
            <w:pPr>
              <w:spacing w:after="0"/>
              <w:rPr>
                <w:sz w:val="1"/>
                <w:szCs w:val="1"/>
                <w:color w:val="auto"/>
              </w:rPr>
            </w:pPr>
          </w:p>
        </w:tc>
      </w:tr>
      <w:tr>
        <w:trPr>
          <w:trHeight w:val="21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575</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8"/>
                <w:szCs w:val="18"/>
                <w:color w:val="auto"/>
              </w:rPr>
            </w:pPr>
          </w:p>
        </w:tc>
        <w:tc>
          <w:tcPr>
            <w:tcW w:w="122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27"/>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and recoveries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Sales/collections and write-offs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3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0"/>
        </w:trPr>
        <w:tc>
          <w:tcPr>
            <w:tcW w:w="16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9"/>
              </w:rPr>
              <w:t>Six months ended June 30, 2024</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center"/>
              <w:ind w:right="131"/>
              <w:spacing w:after="0" w:line="179" w:lineRule="exact"/>
              <w:rPr>
                <w:sz w:val="20"/>
                <w:szCs w:val="20"/>
                <w:color w:val="auto"/>
              </w:rPr>
            </w:pPr>
            <w:r>
              <w:rPr>
                <w:rFonts w:ascii="Times New Roman" w:cs="Times New Roman" w:eastAsia="Times New Roman" w:hAnsi="Times New Roman"/>
                <w:sz w:val="18"/>
                <w:szCs w:val="18"/>
                <w:color w:val="auto"/>
                <w:w w:val="97"/>
              </w:rPr>
              <w:t>Available-for-sale</w:t>
            </w:r>
          </w:p>
        </w:tc>
        <w:tc>
          <w:tcPr>
            <w:tcW w:w="320" w:type="dxa"/>
            <w:vAlign w:val="bottom"/>
          </w:tcPr>
          <w:p>
            <w:pPr>
              <w:spacing w:after="0"/>
              <w:rPr>
                <w:sz w:val="15"/>
                <w:szCs w:val="15"/>
                <w:color w:val="auto"/>
              </w:rPr>
            </w:pPr>
          </w:p>
        </w:tc>
        <w:tc>
          <w:tcPr>
            <w:tcW w:w="1660" w:type="dxa"/>
            <w:vAlign w:val="bottom"/>
            <w:gridSpan w:val="2"/>
          </w:tcPr>
          <w:p>
            <w:pPr>
              <w:jc w:val="center"/>
              <w:ind w:right="380"/>
              <w:spacing w:after="0" w:line="179" w:lineRule="exact"/>
              <w:rPr>
                <w:sz w:val="20"/>
                <w:szCs w:val="20"/>
                <w:color w:val="auto"/>
              </w:rPr>
            </w:pPr>
            <w:r>
              <w:rPr>
                <w:rFonts w:ascii="Times New Roman" w:cs="Times New Roman" w:eastAsia="Times New Roman" w:hAnsi="Times New Roman"/>
                <w:sz w:val="18"/>
                <w:szCs w:val="18"/>
                <w:color w:val="auto"/>
                <w:w w:val="98"/>
              </w:rPr>
              <w:t>Held-to-maturity</w:t>
            </w: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9"/>
              </w:rPr>
              <w:t>securities</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securities</w:t>
            </w: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Other loans receivable</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7"/>
              </w:rPr>
              <w:t>Agent loans</w:t>
            </w:r>
          </w:p>
        </w:tc>
        <w:tc>
          <w:tcPr>
            <w:tcW w:w="0" w:type="dxa"/>
            <w:vAlign w:val="bottom"/>
          </w:tcPr>
          <w:p>
            <w:pPr>
              <w:spacing w:after="0"/>
              <w:rPr>
                <w:sz w:val="1"/>
                <w:szCs w:val="1"/>
                <w:color w:val="auto"/>
              </w:rPr>
            </w:pPr>
          </w:p>
        </w:tc>
      </w:tr>
      <w:tr>
        <w:trPr>
          <w:trHeight w:val="21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597</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22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27"/>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Provision and recoveries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Sales/collections and write-offs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3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9"/>
        </w:trPr>
        <w:tc>
          <w:tcPr>
            <w:tcW w:w="37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Investment income, net of expenses, was generated from the following portfolios: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6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4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700" w:type="dxa"/>
            <w:vAlign w:val="bottom"/>
            <w:gridSpan w:val="4"/>
          </w:tcPr>
          <w:p>
            <w:pPr>
              <w:jc w:val="right"/>
              <w:ind w:right="811"/>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32"/>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left="491"/>
              <w:spacing w:after="0"/>
              <w:rPr>
                <w:sz w:val="20"/>
                <w:szCs w:val="20"/>
                <w:color w:val="auto"/>
              </w:rPr>
            </w:pPr>
            <w:r>
              <w:rPr>
                <w:rFonts w:ascii="Times New Roman" w:cs="Times New Roman" w:eastAsia="Times New Roman" w:hAnsi="Times New Roman"/>
                <w:sz w:val="18"/>
                <w:szCs w:val="18"/>
                <w:color w:val="auto"/>
                <w:w w:val="99"/>
              </w:rPr>
              <w:t>2025</w:t>
            </w: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14,530</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12,107</w:t>
            </w:r>
          </w:p>
        </w:tc>
        <w:tc>
          <w:tcPr>
            <w:tcW w:w="100" w:type="dxa"/>
            <w:vAlign w:val="bottom"/>
          </w:tcPr>
          <w:p>
            <w:pPr>
              <w:spacing w:after="0"/>
              <w:rPr>
                <w:sz w:val="18"/>
                <w:szCs w:val="18"/>
                <w:color w:val="auto"/>
              </w:rPr>
            </w:pPr>
          </w:p>
        </w:tc>
        <w:tc>
          <w:tcPr>
            <w:tcW w:w="122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27,813</w:t>
            </w:r>
          </w:p>
        </w:tc>
        <w:tc>
          <w:tcPr>
            <w:tcW w:w="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23,720</w:t>
            </w:r>
          </w:p>
        </w:tc>
        <w:tc>
          <w:tcPr>
            <w:tcW w:w="0" w:type="dxa"/>
            <w:vAlign w:val="bottom"/>
          </w:tcPr>
          <w:p>
            <w:pPr>
              <w:spacing w:after="0"/>
              <w:rPr>
                <w:sz w:val="1"/>
                <w:szCs w:val="1"/>
                <w:color w:val="auto"/>
              </w:rPr>
            </w:pPr>
          </w:p>
        </w:tc>
      </w:tr>
      <w:tr>
        <w:trPr>
          <w:trHeight w:val="227"/>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27"/>
        </w:trPr>
        <w:tc>
          <w:tcPr>
            <w:tcW w:w="372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Limited partnerships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7"/>
        </w:trPr>
        <w:tc>
          <w:tcPr>
            <w:tcW w:w="372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Agent loans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32"/>
        </w:trPr>
        <w:tc>
          <w:tcPr>
            <w:tcW w:w="372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18"/>
                <w:szCs w:val="18"/>
                <w:color w:val="auto"/>
              </w:rPr>
              <w:t xml:space="preserve">Cash equivalents and other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0" w:type="dxa"/>
            <w:vAlign w:val="bottom"/>
          </w:tcPr>
          <w:p>
            <w:pPr>
              <w:spacing w:after="0"/>
              <w:rPr>
                <w:sz w:val="1"/>
                <w:szCs w:val="1"/>
                <w:color w:val="auto"/>
              </w:rPr>
            </w:pPr>
          </w:p>
        </w:tc>
      </w:tr>
      <w:tr>
        <w:trPr>
          <w:trHeight w:val="216"/>
        </w:trPr>
        <w:tc>
          <w:tcPr>
            <w:tcW w:w="3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investment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41,178</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0" w:type="dxa"/>
            <w:vAlign w:val="bottom"/>
          </w:tcPr>
          <w:p>
            <w:pPr>
              <w:spacing w:after="0"/>
              <w:rPr>
                <w:sz w:val="1"/>
                <w:szCs w:val="1"/>
                <w:color w:val="auto"/>
              </w:rPr>
            </w:pPr>
          </w:p>
        </w:tc>
      </w:tr>
      <w:tr>
        <w:trPr>
          <w:trHeight w:val="232"/>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investment expenses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21"/>
        </w:trPr>
        <w:tc>
          <w:tcPr>
            <w:tcW w:w="3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39,978</w:t>
            </w:r>
          </w:p>
        </w:tc>
        <w:tc>
          <w:tcPr>
            <w:tcW w:w="3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40" w:right="80" w:hanging="312"/>
        <w:spacing w:after="0" w:line="278" w:lineRule="auto"/>
        <w:tabs>
          <w:tab w:leader="none" w:pos="632"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Limited partnership income include both realized gains (losses) and unrealized valuation changes. Our limited partnership investments are included in the line item "Other assets, net" in the Consolidated Statements of Financial Position. We have made no new significant limited partnership commitments since 2006, and the balance of limited partnership investments is expected to decline over time as additional distributions are received.</w:t>
      </w:r>
    </w:p>
    <w:p>
      <w:pPr>
        <w:spacing w:after="0" w:line="82"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2024 amounts have been reclassified to conform to the current period presentation.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realized and unrealized investment gains (losses)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and unrealized gains (losses) on investments were as follows: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60" w:type="dxa"/>
            <w:vAlign w:val="bottom"/>
          </w:tcPr>
          <w:p>
            <w:pPr>
              <w:spacing w:after="0"/>
              <w:rPr>
                <w:sz w:val="19"/>
                <w:szCs w:val="19"/>
                <w:color w:val="auto"/>
              </w:rPr>
            </w:pPr>
          </w:p>
        </w:tc>
        <w:tc>
          <w:tcPr>
            <w:tcW w:w="2840" w:type="dxa"/>
            <w:vAlign w:val="bottom"/>
            <w:gridSpan w:val="3"/>
          </w:tcPr>
          <w:p>
            <w:pPr>
              <w:jc w:val="right"/>
              <w:ind w:right="55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4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7"/>
        </w:trPr>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680</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32"/>
        </w:trPr>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16"/>
        </w:trPr>
        <w:tc>
          <w:tcPr>
            <w:tcW w:w="4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realized losses on available-for-sale securities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2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910</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1,669</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3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1"/>
        </w:trPr>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479</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981</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portion of net unrealized gains recognized during the reporting period related to equity securities held at the reporting date is calculated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40" w:type="dxa"/>
            <w:vAlign w:val="bottom"/>
          </w:tcPr>
          <w:p>
            <w:pPr>
              <w:spacing w:after="0"/>
              <w:rPr>
                <w:sz w:val="19"/>
                <w:szCs w:val="19"/>
                <w:color w:val="auto"/>
              </w:rPr>
            </w:pPr>
          </w:p>
        </w:tc>
        <w:tc>
          <w:tcPr>
            <w:tcW w:w="2860" w:type="dxa"/>
            <w:vAlign w:val="bottom"/>
            <w:gridSpan w:val="3"/>
          </w:tcPr>
          <w:p>
            <w:pPr>
              <w:jc w:val="right"/>
              <w:ind w:right="551"/>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32"/>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2"/>
        </w:trPr>
        <w:tc>
          <w:tcPr>
            <w:tcW w:w="46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gains recognized during the period</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910</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1,669</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32"/>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net gains recognized on securities sold</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162"/>
        </w:trPr>
        <w:tc>
          <w:tcPr>
            <w:tcW w:w="4600" w:type="dxa"/>
            <w:vAlign w:val="bottom"/>
            <w:gridSpan w:val="2"/>
          </w:tcPr>
          <w:p>
            <w:pPr>
              <w:ind w:left="180"/>
              <w:spacing w:after="0" w:line="163" w:lineRule="exact"/>
              <w:rPr>
                <w:sz w:val="20"/>
                <w:szCs w:val="20"/>
                <w:color w:val="auto"/>
              </w:rPr>
            </w:pPr>
            <w:r>
              <w:rPr>
                <w:rFonts w:ascii="Times New Roman" w:cs="Times New Roman" w:eastAsia="Times New Roman" w:hAnsi="Times New Roman"/>
                <w:sz w:val="18"/>
                <w:szCs w:val="18"/>
                <w:color w:val="auto"/>
              </w:rPr>
              <w:t>Net unrealized gains recognized on securities held at</w:t>
            </w:r>
          </w:p>
        </w:tc>
        <w:tc>
          <w:tcPr>
            <w:tcW w:w="32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895</w:t>
            </w:r>
          </w:p>
        </w:tc>
        <w:tc>
          <w:tcPr>
            <w:tcW w:w="40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14"/>
                <w:szCs w:val="14"/>
                <w:color w:val="auto"/>
              </w:rPr>
            </w:pPr>
          </w:p>
        </w:tc>
        <w:tc>
          <w:tcPr>
            <w:tcW w:w="34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1,520</w:t>
            </w:r>
          </w:p>
        </w:tc>
        <w:tc>
          <w:tcPr>
            <w:tcW w:w="40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11"/>
        </w:trPr>
        <w:tc>
          <w:tcPr>
            <w:tcW w:w="4600" w:type="dxa"/>
            <w:vAlign w:val="bottom"/>
            <w:gridSpan w:val="2"/>
          </w:tcPr>
          <w:p>
            <w:pPr>
              <w:ind w:left="180"/>
              <w:spacing w:after="0" w:line="206" w:lineRule="exact"/>
              <w:rPr>
                <w:sz w:val="20"/>
                <w:szCs w:val="20"/>
                <w:color w:val="auto"/>
              </w:rPr>
            </w:pPr>
            <w:r>
              <w:rPr>
                <w:rFonts w:ascii="Times New Roman" w:cs="Times New Roman" w:eastAsia="Times New Roman" w:hAnsi="Times New Roman"/>
                <w:sz w:val="18"/>
                <w:szCs w:val="18"/>
                <w:color w:val="auto"/>
              </w:rPr>
              <w:t>reporting date</w:t>
            </w:r>
          </w:p>
        </w:tc>
        <w:tc>
          <w:tcPr>
            <w:tcW w:w="3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Net impairment losses recognized in earnings</w:t>
            </w:r>
          </w:p>
        </w:tc>
        <w:tc>
          <w:tcPr>
            <w:tcW w:w="13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7"/>
        </w:trPr>
        <w:tc>
          <w:tcPr>
            <w:tcW w:w="3260" w:type="dxa"/>
            <w:vAlign w:val="bottom"/>
            <w:tcBorders>
              <w:bottom w:val="single" w:sz="8" w:color="auto"/>
            </w:tcBorders>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Impairments on investments were as follows: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40" w:type="dxa"/>
            <w:vAlign w:val="bottom"/>
          </w:tcPr>
          <w:p>
            <w:pPr>
              <w:spacing w:after="0"/>
              <w:rPr>
                <w:sz w:val="24"/>
                <w:szCs w:val="24"/>
                <w:color w:val="auto"/>
              </w:rPr>
            </w:pPr>
          </w:p>
        </w:tc>
        <w:tc>
          <w:tcPr>
            <w:tcW w:w="2860" w:type="dxa"/>
            <w:vAlign w:val="bottom"/>
            <w:gridSpan w:val="3"/>
          </w:tcPr>
          <w:p>
            <w:pPr>
              <w:jc w:val="right"/>
              <w:ind w:right="551"/>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32"/>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2"/>
        </w:trPr>
        <w:tc>
          <w:tcPr>
            <w:tcW w:w="46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Intent to sell</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2"/>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impaired</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7"/>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credit losses: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32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27"/>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Agent loans</w:t>
            </w:r>
          </w:p>
        </w:tc>
        <w:tc>
          <w:tcPr>
            <w:tcW w:w="32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loans receivable</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1"/>
        </w:trPr>
        <w:tc>
          <w:tcPr>
            <w:tcW w:w="4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impairment losses recognized in earnings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lending transactions</w:t>
      </w:r>
    </w:p>
    <w:p>
      <w:pPr>
        <w:spacing w:after="0" w:line="26"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As of June 30, 2025, the estimated fair value of loaned securities was $35.5 million, comprised of $18.4 million and $17.1 million of available-for-sale and equity securities, respectively. The related cash collateral received was $35.2 million, which was reinvested in cash equivalents and is included with "Cash and cash equivalents" in our Consolidated Statement of Financial Position. We also received $1.5 million of non-cash collateral that we are not permitted to sell or repledge, and there are no securities lending transactions that extend beyond one year from the reporting date.</w:t>
      </w:r>
    </w:p>
    <w:p>
      <w:pPr>
        <w:spacing w:after="0" w:line="21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If we have to return cash collateral on short notice, we may have difficulty selling investments in a timely manner, be forced to sell them for less than we otherwise would have been able to realize, or both. In addition, in the event of such forced sale, for securities in an unrealized loss position, realized losses would be incurred on securities sold and impairments would be incurred, if there is a need to sell securities prior to recovery, which may negatively impact our financial condition.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Bank Line of Credit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access to a $100 million bank revolving line of credit with a $25 million letter of credit sublimit that expires on November 1, 2029. As of June 30, 2025, a total of $99.2 million remains available under the facility due to $0.8 million outstanding letters of credit, which reduce the availability for letters of credit to $24.2 million. We had no borrowings outstanding on our line of credit as of June 30, 2025. Investments with a fair value of $119.8 million were pledged as collateral on the line of credit at June 30, 2025. These investments have no trading restrictions and are reported as available-for-sale securities and cash and cash equivalents on our Consolidated Statement of Financial Position as of June 30, 2025. The bank requires compliance with certain covenants, which include leverage ratios and debt restrictions. We are in compliance with all covenants at June 30, 2025.</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Postretirement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plans</w:t>
      </w:r>
    </w:p>
    <w:p>
      <w:pPr>
        <w:spacing w:after="0" w:line="26"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Our pension plans consist of a noncontributory defined benefit pension plan covering substantially all employees and an unfunded supplemental employee retirement plan ("SERP") for certain members of executive and senior management. The pension plan provides benefits to covered individuals satisfying certain age and service requirements. The defined benefit pension plan and SERP each provide benefits through a final average earnings formula.</w:t>
      </w:r>
    </w:p>
    <w:p>
      <w:pPr>
        <w:spacing w:after="0" w:line="1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Although we are the sponsor of these postretirement plans and record the funded status of these plans, there are reimbursements between us and the Exchange and its insurance subsidiaries for their allocated share of pension income or cost. These reimbursements represent pension benefits for employees performing administrative services and an allocated share of plan (income) cost for employees in departments that support the administrative functions. For the six months ended June 30, 2025, the Exchange and its insurance subsidiaries reimbursed us for approximately 62% of the annual defined benefit pension cost and 31% of the annual SERP cost. For our funded pension plan, amounts are settled in cash for the portion of pension (income) cost allocated to the Exchange and its insurance subsidiaries. For our unfunded SERP, we pay the obligations when due and amounts are settled in cash between entities when there is a payout.</w:t>
      </w:r>
    </w:p>
    <w:p>
      <w:pPr>
        <w:spacing w:after="0" w:line="211"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Our defined benefit pension plan funding policy is generally to contribute an amount equal to the greater of the target normal cost for the plan year, or the amount necessary to fund the plan to 100%. Accordingly, we made a $39 million contribution in January 2025. The funded pension plan is presented separately from the unfunded plan as a non-current asset on the Consolidated Statements of Financial Position.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plan cost (income) includes the following components: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60" w:type="dxa"/>
            <w:vAlign w:val="bottom"/>
          </w:tcPr>
          <w:p>
            <w:pPr>
              <w:spacing w:after="0"/>
              <w:rPr>
                <w:sz w:val="19"/>
                <w:szCs w:val="19"/>
                <w:color w:val="auto"/>
              </w:rPr>
            </w:pPr>
          </w:p>
        </w:tc>
        <w:tc>
          <w:tcPr>
            <w:tcW w:w="2920" w:type="dxa"/>
            <w:vAlign w:val="bottom"/>
            <w:gridSpan w:val="3"/>
          </w:tcPr>
          <w:p>
            <w:pPr>
              <w:jc w:val="right"/>
              <w:ind w:right="59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4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8,862</w:t>
            </w:r>
          </w:p>
        </w:tc>
        <w:tc>
          <w:tcPr>
            <w:tcW w:w="4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60" w:type="dxa"/>
            <w:vAlign w:val="bottom"/>
          </w:tcPr>
          <w:p>
            <w:pPr>
              <w:spacing w:after="0"/>
              <w:rPr>
                <w:sz w:val="18"/>
                <w:szCs w:val="18"/>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17,724</w:t>
            </w:r>
          </w:p>
        </w:tc>
        <w:tc>
          <w:tcPr>
            <w:tcW w:w="4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w:t>
            </w:r>
          </w:p>
        </w:tc>
      </w:tr>
      <w:tr>
        <w:trPr>
          <w:trHeight w:val="22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34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14,676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29,351</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26,308</w:t>
            </w:r>
          </w:p>
        </w:tc>
      </w:tr>
      <w:tr>
        <w:trPr>
          <w:trHeight w:val="22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(20,069)</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(40,138)</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(40,396)</w:t>
            </w:r>
          </w:p>
        </w:tc>
      </w:tr>
      <w:tr>
        <w:trPr>
          <w:trHeight w:val="22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 amortization</w:t>
            </w:r>
          </w:p>
        </w:tc>
        <w:tc>
          <w:tcPr>
            <w:tcW w:w="34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422</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844</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gain amortization</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r>
      <w:tr>
        <w:trPr>
          <w:trHeight w:val="236"/>
        </w:trPr>
        <w:tc>
          <w:tcPr>
            <w:tcW w:w="4420" w:type="dxa"/>
            <w:vAlign w:val="bottom"/>
          </w:tcPr>
          <w:p>
            <w:pPr>
              <w:spacing w:after="0" w:line="235" w:lineRule="exact"/>
              <w:rPr>
                <w:sz w:val="20"/>
                <w:szCs w:val="20"/>
                <w:color w:val="auto"/>
              </w:rPr>
            </w:pPr>
            <w:r>
              <w:rPr>
                <w:rFonts w:ascii="Times New Roman" w:cs="Times New Roman" w:eastAsia="Times New Roman" w:hAnsi="Times New Roman"/>
                <w:sz w:val="18"/>
                <w:szCs w:val="18"/>
                <w:color w:val="auto"/>
              </w:rPr>
              <w:t xml:space="preserve">Settlement gain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21"/>
        </w:trPr>
        <w:tc>
          <w:tcPr>
            <w:tcW w:w="4420" w:type="dxa"/>
            <w:vAlign w:val="bottom"/>
          </w:tcPr>
          <w:p>
            <w:pPr>
              <w:ind w:left="120"/>
              <w:spacing w:after="0" w:line="221" w:lineRule="exact"/>
              <w:rPr>
                <w:sz w:val="20"/>
                <w:szCs w:val="20"/>
                <w:color w:val="auto"/>
              </w:rPr>
            </w:pPr>
            <w:r>
              <w:rPr>
                <w:rFonts w:ascii="Times New Roman" w:cs="Times New Roman" w:eastAsia="Times New Roman" w:hAnsi="Times New Roman"/>
                <w:sz w:val="18"/>
                <w:szCs w:val="18"/>
                <w:color w:val="auto"/>
              </w:rPr>
              <w:t xml:space="preserve">Pension plan cost (income)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3,236</w:t>
            </w:r>
          </w:p>
        </w:tc>
        <w:tc>
          <w:tcPr>
            <w:tcW w:w="4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5,995</w:t>
            </w:r>
          </w:p>
        </w:tc>
        <w:tc>
          <w:tcPr>
            <w:tcW w:w="4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0"/>
        </w:trPr>
        <w:tc>
          <w:tcPr>
            <w:tcW w:w="4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40" w:hanging="312"/>
        <w:spacing w:after="0"/>
        <w:tabs>
          <w:tab w:leader="none" w:pos="64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Settlement accounting was required due to lump sum payments made under the SERP to former officers in 2025 and 2024.</w:t>
      </w:r>
    </w:p>
    <w:p>
      <w:pPr>
        <w:spacing w:after="0" w:line="133" w:lineRule="exact"/>
        <w:rPr>
          <w:rFonts w:ascii="Times New Roman" w:cs="Times New Roman" w:eastAsia="Times New Roman" w:hAnsi="Times New Roman"/>
          <w:sz w:val="14"/>
          <w:szCs w:val="14"/>
          <w:i w:val="1"/>
          <w:iCs w:val="1"/>
          <w:color w:val="auto"/>
        </w:rPr>
      </w:pPr>
    </w:p>
    <w:p>
      <w:pPr>
        <w:ind w:left="640" w:right="140" w:hanging="312"/>
        <w:spacing w:after="0" w:line="268" w:lineRule="auto"/>
        <w:tabs>
          <w:tab w:leader="none" w:pos="632"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Pension plan cost (income) represents total plan cost (income) before reimbursements between Indemnity and the Exchange and its insurance subsidiaries. The components of pension plan cost (income) other than the service cost components are included in the line item "Other income" in the Consolidated Statements of Operations, net of reimbursements between Indemnity and the Exchange and its insurance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 expense is provided on an interim basis based upon our estimate of the annual effective income tax rate, adjusted each quarter for discrete items. For both the three months ended June 30, 2025 and 2024, our effective tax rate was 20.9%. For the six months ended June 30, 2025 and 2024, our effective tax rate was 20.8% and 20.9%, respectively.</w:t>
      </w:r>
    </w:p>
    <w:p>
      <w:pPr>
        <w:spacing w:after="0" w:line="19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New tax legislation, referred to as the One Big Beautiful Bill Act ("OBBBA"), was signed into law on July 4, 2025. The OBBBA includes changes to the timing of tax deductions for depreciation and software development expenditures. We do not expect OBBBA to have a material impact on our effective tax rate. The impact of the OBBBA on deferred tax balances are required to be recognized in the period the legislation is enacted.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Class A and B common stock</w:t>
      </w:r>
    </w:p>
    <w:p>
      <w:pPr>
        <w:spacing w:after="0" w:line="26"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18"/>
          <w:szCs w:val="18"/>
          <w:color w:val="auto"/>
        </w:rPr>
        <w:t>Holders of Class B shares may, at their option, convert their shares into Class A shares at the rate of 2,400 Class A shares per Class B share. There were no shares of Class B common stock converted into Class A common stock during the six months ended June 30, 2025 and the year ended December 31, 2024. There is no provision for conversion of Class A shares into Class B shares, and Class B shares surrendered for conversion cannot be reissued.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26"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In 2011, our Board of Directors approved a continuation of the current stock repurchase program of $150 million, with no time limitation. There were no shares repurchased under this program during the six months ended June 30, 2025 and the year ended December 31, 2024. We had approximately $17.8 million of repurchase authority remaining under this program at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225"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8"/>
          <w:szCs w:val="18"/>
          <w:color w:val="auto"/>
        </w:rPr>
        <w:t>Changes in accumulated other comprehensive income ("AOCI") (loss) by component, including amounts reclassified to other comprehensive income ("OCI") (loss) and the related line item in the Consolidated Statements of Operations where net income is presented, are as follows: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June 30, 2025</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9"/>
              </w:rPr>
              <w:t>June 30, 2024</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Before Tax</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Income Tax</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Net</w:t>
            </w:r>
          </w:p>
        </w:tc>
        <w:tc>
          <w:tcPr>
            <w:tcW w:w="2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Before Tax</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color w:val="auto"/>
                <w:w w:val="98"/>
              </w:rPr>
              <w:t>Income Tax</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(11,950)</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(32,356)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(6,795)</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(25,561)</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OCI (loss) before reclassifications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6,774</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1,423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Realized investment losses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499</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losses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5"/>
        </w:trPr>
        <w:tc>
          <w:tcPr>
            <w:tcW w:w="4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OCI</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7,926</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1,665</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410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(30,405)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(6,385)</w:t>
            </w: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(24,020)</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Pension and other postretirement plans:</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(38,511)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(8,087)</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(30,424)</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2,746</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10,331</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OCI (loss) before reclassifications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prior service costs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net actuarial gain</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Settlement gain</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25"/>
        </w:trPr>
        <w:tc>
          <w:tcPr>
            <w:tcW w:w="4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OCI (loss)</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(38,744)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(8,137)</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(30,607)</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1,833</w:t>
            </w: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6,897</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(53,639)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(11,265)</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(42,374)</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(15,230)</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 securities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7,926</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1,665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Pension and other postretirement plans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0" w:type="dxa"/>
            <w:vAlign w:val="bottom"/>
          </w:tcPr>
          <w:p>
            <w:pPr>
              <w:spacing w:after="0"/>
              <w:rPr>
                <w:sz w:val="1"/>
                <w:szCs w:val="1"/>
                <w:color w:val="auto"/>
              </w:rPr>
            </w:pPr>
          </w:p>
        </w:tc>
      </w:tr>
      <w:tr>
        <w:trPr>
          <w:trHeight w:val="25"/>
        </w:trPr>
        <w:tc>
          <w:tcPr>
            <w:tcW w:w="4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OCI (loss)</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7,693</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1,615</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0" w:type="dxa"/>
            <w:vAlign w:val="bottom"/>
          </w:tcPr>
          <w:p>
            <w:pPr>
              <w:spacing w:after="0"/>
              <w:rPr>
                <w:sz w:val="1"/>
                <w:szCs w:val="1"/>
                <w:color w:val="auto"/>
              </w:rPr>
            </w:pPr>
          </w:p>
        </w:tc>
      </w:tr>
      <w:tr>
        <w:trPr>
          <w:trHeight w:val="174"/>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(36,296)</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(17,123)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6"/>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June 30, 2025</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9"/>
              </w:rPr>
              <w:t>June 30, 2024</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Before Tax</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Income Tax</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Net</w:t>
            </w:r>
          </w:p>
        </w:tc>
        <w:tc>
          <w:tcPr>
            <w:tcW w:w="2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Before Tax</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color w:val="auto"/>
                <w:w w:val="98"/>
              </w:rPr>
              <w:t>Income Tax</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(17,728)</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(6,595)</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(24,807)</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OCI (loss) before reclassifications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13,461</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2,827</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Realized investment losses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146</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losses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25"/>
        </w:trPr>
        <w:tc>
          <w:tcPr>
            <w:tcW w:w="4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OCI</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15,240</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3,201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12,039</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(30,405)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(6,385)</w:t>
            </w: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(24,020)</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Pension and other postretirement plans:</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(7,939)</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(29,863)</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3,032</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11,407</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OCI (loss) before reclassifications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prior service costs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177</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net actuarial gain</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Settlement gain</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25"/>
        </w:trPr>
        <w:tc>
          <w:tcPr>
            <w:tcW w:w="4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OCI (loss)</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(38,744)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(8,137)</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(30,607)</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1,833</w:t>
            </w: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6,897</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(12,653)</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(47,591)</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(13,400)</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 securities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15,240</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3,201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6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Pension and other postretirement plans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0" w:type="dxa"/>
            <w:vAlign w:val="bottom"/>
          </w:tcPr>
          <w:p>
            <w:pPr>
              <w:spacing w:after="0"/>
              <w:rPr>
                <w:sz w:val="1"/>
                <w:szCs w:val="1"/>
                <w:color w:val="auto"/>
              </w:rPr>
            </w:pPr>
          </w:p>
        </w:tc>
      </w:tr>
      <w:tr>
        <w:trPr>
          <w:trHeight w:val="25"/>
        </w:trPr>
        <w:tc>
          <w:tcPr>
            <w:tcW w:w="4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OCI (loss)</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14,298</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3,003</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11,295</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(36,296)</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(17,123)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Concentrations of Credit Risk</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Financial instruments could potentially expose us to concentrations of credit risk, including our unsecured receivables from the Exchange. The majority of our revenue and receivables are from the Exchange and its affiliates. See also Note 1, "Nature of Operations". Net management fee amounts and other reimbursements due from the Exchange and its affiliates were $769.1 million and $707.1 million at June 30, 2025 and December 31, 2024, respectively, which includes a current expected credit loss allowance of $0.7 million in both periods.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an agreement with a bank for an agent loan participation program. The maximum amount of loans to be funded through this program is $150 million. We have committed to fund a minimum of 30% of each loan executed through this program. As of June 30, 2025, outstanding loans executed under this agreement totaled $126.6 million, of which our portion of the loans is $49.9 million. Additionally, we have agreed to guarantee a portion of the funding provided by the other participants in the program in the event of default. As of June 30, 2025, our maximum potential amount of future payments on the guaranteed portion is $14.7 million. All loan payments under the participation program are current as of June 30, 2025.</w:t>
      </w:r>
    </w:p>
    <w:p>
      <w:pPr>
        <w:spacing w:after="0" w:line="21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We also have contingent obligations for guarantees related to certain real estate development projects supporting revitalization efforts in our community. As of June 30, 2025, our maximum potential obligation related to guarantees is $4.0 million.</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involved in litigation arising in the ordinary course of conducting business.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 We believe that our accruals for legal proceedings are appropriate and, individually and in the aggregate, are not expected to be material to our consolidated financial condition, results of operations or cash flows.</w:t>
      </w:r>
    </w:p>
    <w:p>
      <w:pPr>
        <w:spacing w:after="0" w:line="2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review all litigation on an ongoing basis when making accrual and disclosure decisions. For certain legal proceedings, we cannot reasonably estimate losses or a range of loss, if any, particularly for proceedings that are in their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effect on our consolidated financial condition, results of operations or cash flows.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5"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No items were identified in this period subsequent to the financial statement date that required adjustment or additional disclosure, other than the disclosure made in Note 10, "Income Taxes" regarding the enactment of the OBBBA tax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discussion of financial condition and results of operations highlights significant factors influencing Erie Indemnity Company ("Indemnity", "we", "us", "our"). This discussion should be read in conjunction with the historical consolidated financial statements and the related notes thereto included in Part I, Item 1. "Financial Statements" of this Quarterly Report on Form 10-Q, and with Item 7. "Management’s Discussion and Analysis of Financial Condition and Results of Operations" for the year ended December 31, 2024, as contained in our Annual Report on Form 10-K filed with the Securities and Exchange Commission on February 27, 2025.</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47"/>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 Number</w:t>
            </w:r>
          </w:p>
        </w:tc>
      </w:tr>
      <w:tr>
        <w:trPr>
          <w:trHeight w:val="181"/>
        </w:trPr>
        <w:tc>
          <w:tcPr>
            <w:tcW w:w="20" w:type="dxa"/>
            <w:vAlign w:val="bottom"/>
          </w:tcPr>
          <w:p>
            <w:pPr>
              <w:spacing w:after="0"/>
              <w:rPr>
                <w:sz w:val="15"/>
                <w:szCs w:val="15"/>
                <w:color w:val="auto"/>
              </w:rPr>
            </w:pPr>
          </w:p>
        </w:tc>
        <w:tc>
          <w:tcPr>
            <w:tcW w:w="978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0000FF"/>
              </w:rPr>
              <w:t>Cautionary Statement Regarding Forward-Looking Information</w:t>
            </w:r>
          </w:p>
        </w:tc>
        <w:tc>
          <w:tcPr>
            <w:tcW w:w="1400" w:type="dxa"/>
            <w:vAlign w:val="bottom"/>
            <w:gridSpan w:val="3"/>
          </w:tcPr>
          <w:p>
            <w:pPr>
              <w:jc w:val="center"/>
              <w:ind w:right="20"/>
              <w:spacing w:after="0" w:line="181" w:lineRule="exact"/>
              <w:rPr>
                <w:sz w:val="20"/>
                <w:szCs w:val="20"/>
                <w:color w:val="auto"/>
              </w:rPr>
            </w:pPr>
            <w:r>
              <w:rPr>
                <w:rFonts w:ascii="Times New Roman" w:cs="Times New Roman" w:eastAsia="Times New Roman" w:hAnsi="Times New Roman"/>
                <w:sz w:val="18"/>
                <w:szCs w:val="18"/>
                <w:color w:val="0000FF"/>
                <w:w w:val="99"/>
              </w:rPr>
              <w:t>25</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Recent Accounting Standards</w:t>
            </w:r>
          </w:p>
        </w:tc>
        <w:tc>
          <w:tcPr>
            <w:tcW w:w="5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26</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Operating Overview</w:t>
            </w:r>
          </w:p>
        </w:tc>
        <w:tc>
          <w:tcPr>
            <w:tcW w:w="766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26</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Results of Operations</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Financial Condition</w:t>
            </w:r>
          </w:p>
        </w:tc>
        <w:tc>
          <w:tcPr>
            <w:tcW w:w="8240" w:type="dxa"/>
            <w:vAlign w:val="bottom"/>
            <w:gridSpan w:val="4"/>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2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Critical Accounting Estimates</w:t>
            </w:r>
          </w:p>
        </w:tc>
        <w:tc>
          <w:tcPr>
            <w:tcW w:w="180" w:type="dxa"/>
            <w:vAlign w:val="bottom"/>
          </w:tcPr>
          <w:p>
            <w:pPr>
              <w:spacing w:after="0"/>
              <w:rPr>
                <w:sz w:val="18"/>
                <w:szCs w:val="18"/>
                <w:color w:val="auto"/>
              </w:rPr>
            </w:pPr>
          </w:p>
        </w:tc>
        <w:tc>
          <w:tcPr>
            <w:tcW w:w="74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3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1" w:lineRule="exact"/>
        <w:rPr>
          <w:sz w:val="20"/>
          <w:szCs w:val="20"/>
          <w:color w:val="auto"/>
        </w:rPr>
      </w:pPr>
    </w:p>
    <w:p>
      <w:pPr>
        <w:ind w:left="640" w:right="780" w:hanging="312"/>
        <w:spacing w:after="0" w:line="248"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Erie Insurance Exchange ("Exchange") and the management fee under the agreement with the subscribers at the Exchange;</w:t>
      </w: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Exchange and the growth of the Exchange, including:</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the timing of premium rates charged for policies;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insurance industry competition, including technological innovations;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the independent agency system; and</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our brand, including our reputation for customer service;</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Exchange and the financial condition of the Exchange, including:</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Exchange's ability to maintain acceptable financial strength ratings;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quality and liquidity of the Exchange's investment portfolio;</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of the insurance industry;</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actions;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significant unexpected events, including pandemics, economic or social inflation, and changes in tariff policies;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claims and coverage issues in the industry; and</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or other catastrophic losses, including terrorism;</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providing policy issuance and renewal services to the subscribers at the Exchange under the subscriber's agreement;</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talented management and employees;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ensure system availability and effectively manage technology initiatives;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technology, data or network security breaches, including cyber attacks;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uninterrupted business operations;</w:t>
      </w:r>
    </w:p>
    <w:p>
      <w:pPr>
        <w:spacing w:after="0" w:line="25"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and evolving laws and regulations and outcome of pending and potential litigation;</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quality and liquidity of our investment portfolio; and</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liquidity needs and access capital.</w:t>
      </w:r>
    </w:p>
    <w:p>
      <w:pPr>
        <w:spacing w:after="0" w:line="229" w:lineRule="exact"/>
        <w:rPr>
          <w:sz w:val="20"/>
          <w:szCs w:val="20"/>
          <w:color w:val="auto"/>
        </w:rPr>
      </w:pPr>
    </w:p>
    <w:p>
      <w:pPr>
        <w:ind w:right="400"/>
        <w:spacing w:after="0" w:line="308" w:lineRule="auto"/>
        <w:rPr>
          <w:sz w:val="20"/>
          <w:szCs w:val="20"/>
          <w:color w:val="auto"/>
        </w:rPr>
      </w:pPr>
      <w:r>
        <w:rPr>
          <w:rFonts w:ascii="Times New Roman" w:cs="Times New Roman" w:eastAsia="Times New Roman" w:hAnsi="Times New Roman"/>
          <w:sz w:val="17"/>
          <w:szCs w:val="17"/>
          <w:color w:val="auto"/>
        </w:rPr>
        <w:t>A forward-looking statement speaks only as of the date on which it is made and reflects our analysis only as of that date. We undertake no obligation to publicly update or revise any forward-looking statement, whether as a result of new information, future events, changes in assumptions or otherwise.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5"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color w:val="auto"/>
        </w:rPr>
        <w:t>See Part I, Item 1. "Financial Statements - Note 2, Significant Accounting Policies, of Notes to Consolidated Financial Statements" contained within this report for a discussion of recently issued accounting standards, and the impact on our consolidated financial statements if known.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OVERVIEW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serve as the attorney-in-fact for the subscribers (policyholders) at the Exchange, a reciprocal insurer that writes property and casualty insurance. Our primary function as attorney-in-fact is to perform policy issuance and renewal services on behalf of the subscribers at the Exchange. We also act as attorney-in-fact on behalf of the subscribers at the Exchange, as well as the service provider for the Exchange's insurance subsidiaries, with respect to all administrative services.</w:t>
      </w: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Exchange is a reciprocal insurance exchange, which is an unincorporated association of individuals, partnerships and corporations that agree to insure one another. Each applicant for insurance (a subscriber) to the Exchange signs a subscriber's agreement, which contains an appointment of Indemnity as their attorney-in-fact to transact the business of the Exchange on their behalf. In accordance with the subscriber’s agreement for acting as attorney-in-fact in these two capacities, we retain a management fee calculated as a percentage of the direct and affiliated assumed premiums written by the Exchange.</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earnings are primarily driven by the management fee revenue generated for the services we provide on behalf of the subscribers at the Exchange. The policy issuance and renewal services we provide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incentive compensation, which is earned by achieving targeted measures. Agent compensation generally comprises approximately two-thirds of our policy issuance and renewal expenses. The underwriting services we provide include underwriting and policy processing. The remaining services we provide include customer service and administrative support. We also provide information technology services that support all the functions listed above. Included in these expenses are allocations of costs for departments that support these policy issuance and renewal functions.</w:t>
      </w:r>
    </w:p>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 2024, approximately 70% of the administrative services expenses were entirely attributable to the respective administrative functions (claims handling, life insurance management and investment management), while the remaining 30% of these expenses were allocations of costs for departments that support these administrative functions. The expenses we incur and related reimbursements we receive for administrative services are presented gross in our Consolidated Statements of Operations. The subscriber's agreement and service agreements provide for reimbursement of amounts incurred for these services to Indemnity. Reimbursements are settled at cost on a monthly basis. State insurance regulations require that intercompany service agreements and any material amendments be approved in advance by the state insurance department.</w:t>
      </w:r>
    </w:p>
    <w:p>
      <w:pPr>
        <w:spacing w:after="0" w:line="209"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Our results of operations are tied to the growth and financial condition of the Exchange as the Exchange is our sole customer, and our earnings are largely generated from management fees based on the direct and affiliated assumed premiums written by</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Exchange. The Exchange generates revenue by insuring preferred and standard risks, with personal lines comprising 71% of the 2024 direct and affiliated assumed written premiums and commercial lines comprising the remaining 29%. The principal personal lines products are private passenger automobile and homeowners. The principal commercial lines products are commercial multi-peril, commercial automobile and workers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security incident</w:t>
      </w:r>
    </w:p>
    <w:p>
      <w:pPr>
        <w:spacing w:after="0" w:line="2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On June 7, 2025, we identified unusual network activity, which we determined to be the result of an information security incident. Upon learning of this activity, we activated our incident response protocols and took immediate action to respond to the situation to safeguard our systems and data, including collaboration with law enforcement and leading cybersecurity experts. After a thorough forensics investigation conducted by independent cybersecurity specialists, there was no evidence that any sensitive personal information, financial records or legally protected data was breached by the threat actor during this incident. We resumed full business operations as of July 7, 2025, with key services and systems safely and securely restored.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 outset of the incident and return to full business operations, we incurred certain disruptions to our business operations, primarily related to the</w:t>
      </w:r>
    </w:p>
    <w:p>
      <w:pPr>
        <w:spacing w:after="0" w:line="34"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8"/>
          <w:szCs w:val="18"/>
          <w:color w:val="auto"/>
        </w:rPr>
        <w:t>ability to process premium activity for the Exchange, which impacts our management fee revenue. Additionally, we have incurred and will continue to incur certain expenses related to the information security incident, including expenses to respond to, remediate and investigate this matter. We have cybersecurity insurance that we expect will cover a portion of lost income due to business interruption and related expenses. The full impact has not yet been determined, but is not expected to be material to our consolidated financial condition, results of operations or cash flows.</w:t>
      </w:r>
    </w:p>
    <w:p>
      <w:pPr>
        <w:spacing w:after="0" w:line="20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In connection with the incident, we became subject to several class action complaints. See Part II, Item 1. “Legal Proceedings” contained within this report for additional information.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260" w:type="dxa"/>
            <w:vAlign w:val="bottom"/>
          </w:tcPr>
          <w:p>
            <w:pPr>
              <w:spacing w:after="0"/>
              <w:rPr>
                <w:sz w:val="24"/>
                <w:szCs w:val="24"/>
                <w:color w:val="auto"/>
              </w:rPr>
            </w:pPr>
          </w:p>
        </w:tc>
        <w:tc>
          <w:tcPr>
            <w:tcW w:w="3060" w:type="dxa"/>
            <w:vAlign w:val="bottom"/>
            <w:gridSpan w:val="4"/>
          </w:tcPr>
          <w:p>
            <w:pPr>
              <w:jc w:val="right"/>
              <w:ind w:right="332"/>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Six months ended June 30,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20"/>
                <w:szCs w:val="20"/>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2024</w:t>
            </w: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Change</w:t>
            </w:r>
          </w:p>
        </w:tc>
        <w:tc>
          <w:tcPr>
            <w:tcW w:w="260" w:type="dxa"/>
            <w:vAlign w:val="bottom"/>
          </w:tcPr>
          <w:p>
            <w:pPr>
              <w:spacing w:after="0"/>
              <w:rPr>
                <w:sz w:val="20"/>
                <w:szCs w:val="20"/>
                <w:color w:val="auto"/>
              </w:rPr>
            </w:pPr>
          </w:p>
        </w:tc>
        <w:tc>
          <w:tcPr>
            <w:tcW w:w="9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20"/>
                <w:szCs w:val="20"/>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color w:val="auto"/>
              </w:rPr>
              <w:t>(Unaudited)</w:t>
            </w:r>
          </w:p>
        </w:tc>
        <w:tc>
          <w:tcPr>
            <w:tcW w:w="8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199,173</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350,549</w:t>
            </w:r>
          </w:p>
        </w:tc>
        <w:tc>
          <w:tcPr>
            <w:tcW w:w="4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income</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19,600</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39,136</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1,974</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5,808</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220,747</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395,493</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364,629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46,062</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82,391</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174,685</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313,102</w:t>
            </w:r>
          </w:p>
        </w:tc>
        <w:tc>
          <w:tcPr>
            <w:tcW w:w="4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288,455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3.34</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5.99</w:t>
            </w:r>
          </w:p>
        </w:tc>
        <w:tc>
          <w:tcPr>
            <w:tcW w:w="4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Operating income increased in both the second quarter and six months ended June 30, 2025, compared to the same periods in 2024. Management fee revenue for policy issuance and renewal services increased 8.3% to $823.9 million in the second quarter of 2025 and 10.7% to $1.6 billion for the six months ended June 30, 2025. Management fee revenue is based upon the management fee rate we charge and the direct and affiliated assumed premiums written by the Exchange. The management fee rate was 25% for both 2025 and 2024. The direct and affiliated assumed premiums written by the Exchange increased 9.2% to $3.4 billion in the second quarter of 2025 and 11.4% to $6.5 billion for the six months ended June 30, 2025, compared to the same periods in 2024.</w:t>
      </w:r>
    </w:p>
    <w:p>
      <w:pPr>
        <w:spacing w:after="0" w:line="19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Cost of operations for policy issuance and renewal services increased 9.1% to $648.3 million in the second quarter of 2025 and 11.5% to $1.3 billion for the six months ended June 30, 2025, compared to the same periods in 2024, primarily due to higher scheduled commissions driven by direct and affiliated assumed written premium growth, increased agent incentive compensation due to improved profitability, and increased personnel costs.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Management fee revenue for administrative services increased 7.3% to $18.3 million in the second quarter of 2025 and 5.8% to $35.9 million for the six months ended June 30, 2025, compared to the same periods in 2024. The administrative services reimbursement revenue and corresponding cost of operations increased both total operating revenue and total operating expenses by $212.6 million in the second quarter of 2025 and $422.9 million for the six months ended June 30, 2025, but had no net impact on operating income.</w:t>
      </w:r>
    </w:p>
    <w:p>
      <w:pPr>
        <w:spacing w:after="0" w:line="20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Total investment income increased $5.8 million in the second quarter of 2025 and $10.2 million for the six months ended June 30, 2025, compared to the same periods in 2024. The results from both periods were primarily due to an increase in net investment income. The increase in the second quarter of 2025 was also driven by net realized and unrealized investment gains compared to net losses in 2024.</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Conditions and Trends Affecting Our Business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Economic conditions</w:t>
      </w:r>
    </w:p>
    <w:p>
      <w:pPr>
        <w:spacing w:after="0" w:line="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Unfavorable changes in economic conditions, including declining consumer confidence, inflation, high unemployment and the threat of recession, among others, may lead the Exchange’s customers to modify coverage, not renew policies or even cancel policies, which could adversely affect the premium revenue of the Exchange, and consequently our management fee revenue. Elevated inflation, supply chain disruptions or changes in tariff policies could impact the Exchange's operations and our management fees. In particular, unanticipated increased inflation costs including medical cost inflation, building material cost inflation, auto repair and replacement cost inflation and social inflation may impact adequacy of estimated loss reserves and future premium rates of the Exchange. If any of these items impacted the financial condition or operations of the Exchange, it could have an impact on our financial results. See Financial Condition and Liquidity and Capital Resources contained within this report, as well as Part I. Item 1A. "Risk Factors" included in our Annual Report on Form 10-K for the fiscal year ended December 31, 2024 as filed with the Securities and Exchange Commission on February 27, 2025 for a discussion of the potential impacts to our operations or those of the Exchange.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market volatility</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portfolio of available-for-sale and equity security investments is subject to market volatility, especially in periods of instability in the worldwide financial markets. Net investment income is impacted by the general level of interest rates, which impact reinvested cash flow from the portfolio and business operations. Depending upon market conditions, considerable fluctuation could occur in the fair value of our investment portfolio and reported total investment income, which could have an adverse impact on our consolidated financial condition, results of operations and cash flows. Various ongoing geopolitical events, the uncertain tariff, inflationary and interest rate environment and a potential economic slowdown could have a significant impact on the global financial markets with the potential for future losses and/or impairments on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fee revenue</w:t>
      </w:r>
    </w:p>
    <w:p>
      <w:pPr>
        <w:spacing w:after="0" w:line="30"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We have two performance obligations in the subscriber’s agreement, providing policy issuance and renewal services and acting as attorney-in-fact for the subscribers at the Exchange, as well as the service provider for the Exchange's insurance subsidiaries with respect to all administrative services. We retain management fees for acting as the attorney-in-fact for the subscribers at the Exchange in these two capacities, and allocate our revenues between our performance obligations.</w:t>
      </w:r>
    </w:p>
    <w:p>
      <w:pPr>
        <w:spacing w:after="0" w:line="215"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The management fee is calculated by multiplying all direct and affiliated assumed premiums written by the Exchange by the management fee rate, which is determined by our Board of Directors at least annually. The management fee rate was set at 25% for both 2025 and 2024. Changes in the management fee rate can affect our revenue and net income significantly. 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We update the transaction price and the related allocation at least annually based upon the most recent information available or more frequently if there have been significant changes in any components considered in the transaction price. Our current transaction price allocation review resulted in a minor change in the allocation between the two performance obligations in 2025 compared to prior years, which did not have a material impact on our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allocation and disaggregation of revenue for our two performance obligations: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80" w:type="dxa"/>
            <w:vAlign w:val="bottom"/>
            <w:gridSpan w:val="4"/>
          </w:tcPr>
          <w:p>
            <w:pPr>
              <w:jc w:val="right"/>
              <w:ind w:right="332"/>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w w:val="98"/>
              </w:rPr>
              <w:t>Six months ended June 30,</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20"/>
                <w:szCs w:val="20"/>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20"/>
                <w:szCs w:val="20"/>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 Change</w:t>
            </w:r>
          </w:p>
        </w:tc>
        <w:tc>
          <w:tcPr>
            <w:tcW w:w="260" w:type="dxa"/>
            <w:vAlign w:val="bottom"/>
          </w:tcPr>
          <w:p>
            <w:pPr>
              <w:spacing w:after="0"/>
              <w:rPr>
                <w:sz w:val="20"/>
                <w:szCs w:val="20"/>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20"/>
                <w:szCs w:val="20"/>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92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78"/>
        </w:trPr>
        <w:tc>
          <w:tcPr>
            <w:tcW w:w="35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9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Policy issuance and renewal services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58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Direct and affiliated assumed premiums written</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the Exchange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3,424,202</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9"/>
              </w:rPr>
              <w:t>3,135,186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6,544,876</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5,876,206</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rate</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24.37 %</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24.40 %</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24.37 %</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24.40 %</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w:t>
            </w:r>
          </w:p>
        </w:tc>
        <w:tc>
          <w:tcPr>
            <w:tcW w:w="26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834,478</w:t>
            </w:r>
          </w:p>
        </w:tc>
        <w:tc>
          <w:tcPr>
            <w:tcW w:w="380" w:type="dxa"/>
            <w:vAlign w:val="bottom"/>
          </w:tcPr>
          <w:p>
            <w:pPr>
              <w:spacing w:after="0"/>
              <w:rPr>
                <w:sz w:val="18"/>
                <w:szCs w:val="18"/>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764,985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1,594,986</w:t>
            </w:r>
          </w:p>
        </w:tc>
        <w:tc>
          <w:tcPr>
            <w:tcW w:w="38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1,433,794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58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Change in estimate for management fee returned</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80" w:type="dxa"/>
            <w:vAlign w:val="bottom"/>
          </w:tcPr>
          <w:p>
            <w:pPr>
              <w:ind w:left="160"/>
              <w:spacing w:after="0" w:line="241" w:lineRule="exact"/>
              <w:rPr>
                <w:sz w:val="20"/>
                <w:szCs w:val="20"/>
                <w:color w:val="auto"/>
              </w:rPr>
            </w:pPr>
            <w:r>
              <w:rPr>
                <w:rFonts w:ascii="Times New Roman" w:cs="Times New Roman" w:eastAsia="Times New Roman" w:hAnsi="Times New Roman"/>
                <w:sz w:val="18"/>
                <w:szCs w:val="18"/>
                <w:color w:val="auto"/>
              </w:rPr>
              <w:t xml:space="preserve">on cancelled policies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(10,625)</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(4,099)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(16,084)</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(7,222)</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5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Management fee revenue - policy issuance and</w:t>
            </w:r>
          </w:p>
        </w:tc>
        <w:tc>
          <w:tcPr>
            <w:tcW w:w="26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823,853</w:t>
            </w:r>
          </w:p>
        </w:tc>
        <w:tc>
          <w:tcPr>
            <w:tcW w:w="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760,886</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1,578,902</w:t>
            </w:r>
          </w:p>
        </w:tc>
        <w:tc>
          <w:tcPr>
            <w:tcW w:w="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1,426,572</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renewal services</w:t>
            </w:r>
          </w:p>
        </w:tc>
        <w:tc>
          <w:tcPr>
            <w:tcW w:w="2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Administrative services</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3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58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Direct and affiliated assumed premiums written</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the Exchange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3,424,202</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9"/>
              </w:rPr>
              <w:t>3,135,186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6,544,876</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5,876,206</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rate</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0.60 %</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0.60 %</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w:t>
            </w:r>
          </w:p>
        </w:tc>
        <w:tc>
          <w:tcPr>
            <w:tcW w:w="26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21,573</w:t>
            </w:r>
          </w:p>
        </w:tc>
        <w:tc>
          <w:tcPr>
            <w:tcW w:w="380" w:type="dxa"/>
            <w:vAlign w:val="bottom"/>
          </w:tcPr>
          <w:p>
            <w:pPr>
              <w:spacing w:after="0"/>
              <w:rPr>
                <w:sz w:val="18"/>
                <w:szCs w:val="18"/>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18,811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41,233</w:t>
            </w:r>
          </w:p>
        </w:tc>
        <w:tc>
          <w:tcPr>
            <w:tcW w:w="38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35,257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80" w:type="dxa"/>
            <w:vAlign w:val="bottom"/>
          </w:tcPr>
          <w:p>
            <w:pPr>
              <w:spacing w:after="0" w:line="231" w:lineRule="exact"/>
              <w:rPr>
                <w:sz w:val="20"/>
                <w:szCs w:val="20"/>
                <w:color w:val="auto"/>
              </w:rPr>
            </w:pPr>
            <w:r>
              <w:rPr>
                <w:rFonts w:ascii="Times New Roman" w:cs="Times New Roman" w:eastAsia="Times New Roman" w:hAnsi="Times New Roman"/>
                <w:sz w:val="18"/>
                <w:szCs w:val="18"/>
                <w:color w:val="auto"/>
              </w:rPr>
              <w:t xml:space="preserve">Change in contract liability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(3,216)</w:t>
            </w:r>
          </w:p>
        </w:tc>
        <w:tc>
          <w:tcPr>
            <w:tcW w:w="38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(1,747)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(5,184)</w:t>
            </w:r>
          </w:p>
        </w:tc>
        <w:tc>
          <w:tcPr>
            <w:tcW w:w="38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58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Change in estimate for management fee returned</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80" w:type="dxa"/>
            <w:vAlign w:val="bottom"/>
          </w:tcPr>
          <w:p>
            <w:pPr>
              <w:ind w:left="160"/>
              <w:spacing w:after="0" w:line="241" w:lineRule="exact"/>
              <w:rPr>
                <w:sz w:val="20"/>
                <w:szCs w:val="20"/>
                <w:color w:val="auto"/>
              </w:rPr>
            </w:pPr>
            <w:r>
              <w:rPr>
                <w:rFonts w:ascii="Times New Roman" w:cs="Times New Roman" w:eastAsia="Times New Roman" w:hAnsi="Times New Roman"/>
                <w:sz w:val="18"/>
                <w:szCs w:val="18"/>
                <w:color w:val="auto"/>
              </w:rPr>
              <w:t xml:space="preserve">on cancelled policies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5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Management fee revenue - administrative</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18,296</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17,051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35,941</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33,985</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212,644</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206,028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422,917</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397,595</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from administrative services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230,940</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223,079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458,858</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431,580</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52" w:lineRule="exact"/>
        <w:rPr>
          <w:sz w:val="20"/>
          <w:szCs w:val="20"/>
          <w:color w:val="auto"/>
        </w:rPr>
      </w:pPr>
    </w:p>
    <w:p>
      <w:pPr>
        <w:ind w:left="640" w:right="360" w:hanging="312"/>
        <w:spacing w:after="0" w:line="298" w:lineRule="auto"/>
        <w:tabs>
          <w:tab w:leader="none" w:pos="632"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constraining estimate of variable consideration exists related to the potential for management fees to be returned if a policy were to be cancelled mid-term. Management fees are returned to the Exchange when policies are cancelled mid-term and unearned premiums are refunded.</w:t>
      </w:r>
    </w:p>
    <w:p>
      <w:pPr>
        <w:spacing w:after="0" w:line="1" w:lineRule="exact"/>
        <w:rPr>
          <w:rFonts w:ascii="Times New Roman" w:cs="Times New Roman" w:eastAsia="Times New Roman" w:hAnsi="Times New Roman"/>
          <w:sz w:val="14"/>
          <w:szCs w:val="14"/>
          <w:i w:val="1"/>
          <w:iCs w:val="1"/>
          <w:color w:val="auto"/>
        </w:rPr>
      </w:pPr>
    </w:p>
    <w:p>
      <w:pPr>
        <w:ind w:left="640" w:right="600" w:hanging="312"/>
        <w:spacing w:after="0" w:line="278" w:lineRule="auto"/>
        <w:tabs>
          <w:tab w:leader="none" w:pos="632"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Management fee revenue - administrative services is recognized over time as the services are provided. See Part I, Item 1. "Financial Statements - Note 3, Revenue, of Notes to Consolidated Financial Statements" contained within this report.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 and affiliated assumed premiums written by the Exchange</w:t>
      </w:r>
    </w:p>
    <w:p>
      <w:pPr>
        <w:spacing w:after="0" w:line="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Direct and affiliated assumed premiums include premiums written directly by the Exchange and premiums assumed from its wholly owned property and casualty subsidiaries. Direct and affiliated assumed premiums written by the Exchange increased 9.2% to $3.4 billion in the second quarter of 2025 compared to the second quarter of 2024, primarily driven by increased personal lines and commercial multi-peril premiums written. Year-over-year policies in force for all lines of business increased 1.7% in the second quarter of 2025 compared to 6.8% in the second quarter of 2024. The year-over-year average premium per policy for all lines of business increased 11.9% at both June 30, 2025 and June 30, 2024.</w:t>
      </w:r>
    </w:p>
    <w:p>
      <w:pPr>
        <w:spacing w:after="0" w:line="198"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Premiums generated from new business decreased 24.2% to $360 million in the second quarter of 2025 compared to the same period in 2024, primarily driven by decreased premiums written in the personal auto, commercial multi-peril and homeowners lines. Contributing to this change was a 31.1% decrease in new business policies written, partially offset by a 10.6% increase in year-over-year average premium per policy on new business at June 30, 2025. New business in the second quarter of 2025 was also impacted by the information security incident, which disrupted business operations from June 7, 2025 through the remainder of the quarter. Premiums generated from new business increased 23.0% to $475 million in the second quarter of 2024 compared to the same period in 2023, primarily driven by increased premiums written in the commercial multi-peril, homeowners and personal auto lines. Contributing to this change was a 3.6% increase in new business policies written and a 16.0% increase in year-over-year average premium per policy on new business at June 30, 2024.</w:t>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Premiums generated from renewal business increased 15.2% to $3.1 billion in the second quarter of 2025 compared to the second quarter of 2024 and increased 19.4% to $2.7 billion in the second quarter of 2024 compared to the second quarter of 2023. Underlying the trend in renewal business premiums in both periods was an 12.4% increase in year-over-year average premium per policy at June 30, 2025, and 11.1% at June 30, 2024, as well as an increase in year-over-year policies in force of 5.2% and 5.5% in the second quarters of 2025 and 2024, respectively.</w:t>
      </w:r>
    </w:p>
    <w:p>
      <w:pPr>
        <w:spacing w:after="0" w:line="2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Personal lines </w:t>
      </w:r>
      <w:r>
        <w:rPr>
          <w:rFonts w:ascii="Times New Roman" w:cs="Times New Roman" w:eastAsia="Times New Roman" w:hAnsi="Times New Roman"/>
          <w:sz w:val="18"/>
          <w:szCs w:val="18"/>
          <w:color w:val="auto"/>
        </w:rPr>
        <w:t>– Total personal lines premiums written increased 8.9% to $2.4 billion in the second quarter of 2025, compared to 22.2% in the second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2024, driven by a 12.8% increase in total personal lines year-over-year average premium per policy and a 1.5% increase in total personal lines policies in force.</w:t>
      </w:r>
    </w:p>
    <w:p>
      <w:pPr>
        <w:spacing w:after="0" w:line="194"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Commercial lines </w:t>
      </w:r>
      <w:r>
        <w:rPr>
          <w:rFonts w:ascii="Times New Roman" w:cs="Times New Roman" w:eastAsia="Times New Roman" w:hAnsi="Times New Roman"/>
          <w:sz w:val="18"/>
          <w:szCs w:val="18"/>
          <w:color w:val="auto"/>
        </w:rPr>
        <w:t>– Total commercial lines premiums written increased 9.9% to $978 million in the second quarter of 2025, compared to 14.7%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 quarter of 2024, driven by a 9.0% increase in total commercial lines year-over-year average premium per policy and a 3.0% increase in total commercial lines policies in force.</w:t>
      </w:r>
    </w:p>
    <w:p>
      <w:pPr>
        <w:spacing w:after="0" w:line="200"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Future trends-premium revenue </w:t>
      </w:r>
      <w:r>
        <w:rPr>
          <w:rFonts w:ascii="Times New Roman" w:cs="Times New Roman" w:eastAsia="Times New Roman" w:hAnsi="Times New Roman"/>
          <w:sz w:val="18"/>
          <w:szCs w:val="18"/>
          <w:color w:val="auto"/>
        </w:rPr>
        <w:t>– Through a careful agency selection and monitoring process, the Exchange plans to continue efforts to utilize its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force to increase market penetration in existing operating territories to contribute to future growth.</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Changes in premium levels attributable to the growth in policies in force and rate changes affect the profitability of the Exchange and have a direct bearing on our management fee revenue. Future premiums could be impacted by potential changes in regulation, inflationary trends and tariff policies, among others. The Exchange's pricing actions taken in 2024 have contributed to its increased average premium per policy at June 30, 2025. See also Part I. Item 1A. "Risk Factors" included in our Annual Report on Form 10-K for the fiscal year ended December 31, 2024 as filed with the Securities and Exchange Commission on February 27, 2025.</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Policy issuance and renewal services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276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4"/>
          </w:tcPr>
          <w:p>
            <w:pPr>
              <w:jc w:val="right"/>
              <w:ind w:right="251"/>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4"/>
          </w:tcPr>
          <w:p>
            <w:pPr>
              <w:jc w:val="right"/>
              <w:ind w:right="331"/>
              <w:spacing w:after="0"/>
              <w:rPr>
                <w:sz w:val="20"/>
                <w:szCs w:val="20"/>
                <w:color w:val="auto"/>
              </w:rPr>
            </w:pPr>
            <w:r>
              <w:rPr>
                <w:rFonts w:ascii="Times New Roman" w:cs="Times New Roman" w:eastAsia="Times New Roman" w:hAnsi="Times New Roman"/>
                <w:sz w:val="18"/>
                <w:szCs w:val="18"/>
                <w:color w:val="auto"/>
              </w:rPr>
              <w:t>Six months ended June 30,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20"/>
                <w:szCs w:val="20"/>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0"/>
                <w:szCs w:val="20"/>
                <w:color w:val="auto"/>
              </w:rPr>
            </w:pPr>
          </w:p>
        </w:tc>
        <w:tc>
          <w:tcPr>
            <w:tcW w:w="8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94"/>
              </w:rPr>
              <w:t>2024</w:t>
            </w: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Change</w:t>
            </w:r>
          </w:p>
        </w:tc>
        <w:tc>
          <w:tcPr>
            <w:tcW w:w="260" w:type="dxa"/>
            <w:vAlign w:val="bottom"/>
          </w:tcPr>
          <w:p>
            <w:pPr>
              <w:spacing w:after="0"/>
              <w:rPr>
                <w:sz w:val="20"/>
                <w:szCs w:val="20"/>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6"/>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Management fee revenue - policy issuance and</w:t>
            </w: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8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3"/>
          </w:tcPr>
          <w:p>
            <w:pPr>
              <w:jc w:val="right"/>
              <w:ind w:right="751"/>
              <w:spacing w:after="0"/>
              <w:rPr>
                <w:sz w:val="20"/>
                <w:szCs w:val="20"/>
                <w:color w:val="auto"/>
              </w:rPr>
            </w:pPr>
            <w:r>
              <w:rPr>
                <w:rFonts w:ascii="Times New Roman" w:cs="Times New Roman" w:eastAsia="Times New Roman" w:hAnsi="Times New Roman"/>
                <w:sz w:val="18"/>
                <w:szCs w:val="18"/>
                <w:color w:val="auto"/>
              </w:rPr>
              <w:t>(Unaudited)</w:t>
            </w:r>
          </w:p>
        </w:tc>
        <w:tc>
          <w:tcPr>
            <w:tcW w:w="6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renewal services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823,853</w:t>
            </w:r>
          </w:p>
        </w:tc>
        <w:tc>
          <w:tcPr>
            <w:tcW w:w="5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760,886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1,578,902</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1,426,572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agreement revenue</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6,473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12,987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Cost of operations - policy issuance and renewal</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829,157</w:t>
            </w:r>
          </w:p>
        </w:tc>
        <w:tc>
          <w:tcPr>
            <w:tcW w:w="5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767,359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1,590,638</w:t>
            </w:r>
          </w:p>
        </w:tc>
        <w:tc>
          <w:tcPr>
            <w:tcW w:w="3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1,439,559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648,280</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594,202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1,276,030</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1,144,524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960" w:type="dxa"/>
            <w:vAlign w:val="bottom"/>
            <w:gridSpan w:val="2"/>
          </w:tcPr>
          <w:p>
            <w:pPr>
              <w:ind w:left="300"/>
              <w:spacing w:after="0" w:line="154" w:lineRule="exact"/>
              <w:rPr>
                <w:sz w:val="20"/>
                <w:szCs w:val="20"/>
                <w:color w:val="auto"/>
              </w:rPr>
            </w:pPr>
            <w:r>
              <w:rPr>
                <w:rFonts w:ascii="Times New Roman" w:cs="Times New Roman" w:eastAsia="Times New Roman" w:hAnsi="Times New Roman"/>
                <w:sz w:val="17"/>
                <w:szCs w:val="17"/>
                <w:color w:val="auto"/>
              </w:rPr>
              <w:t>Operating income - policy issuance and renewal</w:t>
            </w:r>
          </w:p>
        </w:tc>
        <w:tc>
          <w:tcPr>
            <w:tcW w:w="28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180,877</w:t>
            </w:r>
          </w:p>
        </w:tc>
        <w:tc>
          <w:tcPr>
            <w:tcW w:w="50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173,157</w:t>
            </w: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314,608</w:t>
            </w:r>
          </w:p>
        </w:tc>
        <w:tc>
          <w:tcPr>
            <w:tcW w:w="32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295,035</w:t>
            </w: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Policy issuance and renewal services</w:t>
      </w:r>
    </w:p>
    <w:p>
      <w:pPr>
        <w:spacing w:after="0" w:line="2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management fee revenue allocated for providing policy issuance and renewal services was 24.37% and 24.40% of the direct and affiliated assumed premiums written by the Exchange for both the three and six month periods ended June 30, 2025 and 2024, respectively. This portion of the management fee is recognized as revenue when the policy is issued or renewed because it is at that time that the services we provide are substantially complete and the executed insurance policy is transferred to the customer. The increase in management fee revenue for policy issuance and renewal services was driven by the increase in the direct and affiliated assumed premiums written by the Exchange discussed previously.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 agreement revenue</w:t>
      </w:r>
    </w:p>
    <w:p>
      <w:pPr>
        <w:spacing w:after="0" w:line="2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Service agreement revenue primarily consists of service charges we collect from subscribers (policyholders) for providing multiple payment plans on policies written by the Exchange and its property and casualty subsidiaries and also includes late payment and policy reinstatement fees. The service charges are fixed dollar amounts per billed installment. Service agreement revenue also includes fees received from the Exchange for the use of shared office space.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policy issuance and renewal services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2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4"/>
          </w:tcPr>
          <w:p>
            <w:pPr>
              <w:jc w:val="right"/>
              <w:ind w:right="252"/>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4"/>
          </w:tcPr>
          <w:p>
            <w:pPr>
              <w:jc w:val="right"/>
              <w:ind w:right="331"/>
              <w:spacing w:after="0"/>
              <w:rPr>
                <w:sz w:val="20"/>
                <w:szCs w:val="20"/>
                <w:color w:val="auto"/>
              </w:rPr>
            </w:pPr>
            <w:r>
              <w:rPr>
                <w:rFonts w:ascii="Times New Roman" w:cs="Times New Roman" w:eastAsia="Times New Roman" w:hAnsi="Times New Roman"/>
                <w:sz w:val="18"/>
                <w:szCs w:val="18"/>
                <w:color w:val="auto"/>
              </w:rPr>
              <w:t>Six months ended June 30,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20"/>
                <w:szCs w:val="20"/>
                <w:color w:val="auto"/>
              </w:rPr>
            </w:pP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 Change</w:t>
            </w:r>
          </w:p>
        </w:tc>
        <w:tc>
          <w:tcPr>
            <w:tcW w:w="260" w:type="dxa"/>
            <w:vAlign w:val="bottom"/>
          </w:tcPr>
          <w:p>
            <w:pPr>
              <w:spacing w:after="0"/>
              <w:rPr>
                <w:sz w:val="20"/>
                <w:szCs w:val="20"/>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20"/>
                <w:szCs w:val="20"/>
                <w:color w:val="auto"/>
              </w:rPr>
            </w:pPr>
          </w:p>
        </w:tc>
        <w:tc>
          <w:tcPr>
            <w:tcW w:w="8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Commissions:</w:t>
            </w:r>
          </w:p>
        </w:tc>
        <w:tc>
          <w:tcPr>
            <w:tcW w:w="28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463,442</w:t>
            </w:r>
          </w:p>
        </w:tc>
        <w:tc>
          <w:tcPr>
            <w:tcW w:w="46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419,951</w:t>
            </w: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900,302</w:t>
            </w:r>
          </w:p>
        </w:tc>
        <w:tc>
          <w:tcPr>
            <w:tcW w:w="44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795,711</w:t>
            </w: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commissions</w:t>
            </w:r>
          </w:p>
        </w:tc>
        <w:tc>
          <w:tcPr>
            <w:tcW w:w="2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Non-commission expense:</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Underwriting and policy processing</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51,907</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50,733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103,167</w:t>
            </w:r>
          </w:p>
        </w:tc>
        <w:tc>
          <w:tcPr>
            <w:tcW w:w="4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98,901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Information technology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57,669</w:t>
            </w:r>
          </w:p>
        </w:tc>
        <w:tc>
          <w:tcPr>
            <w:tcW w:w="4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50,599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122,454</w:t>
            </w:r>
          </w:p>
        </w:tc>
        <w:tc>
          <w:tcPr>
            <w:tcW w:w="44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104,089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advertising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4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16,954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37,156</w:t>
            </w:r>
          </w:p>
        </w:tc>
        <w:tc>
          <w:tcPr>
            <w:tcW w:w="44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34,161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service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4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10,346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23,077</w:t>
            </w:r>
          </w:p>
        </w:tc>
        <w:tc>
          <w:tcPr>
            <w:tcW w:w="44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20,426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Administrative and other</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44,091</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45,619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89,874</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91,236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non-commission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184,838</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174,251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375,728</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348,813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960" w:type="dxa"/>
            <w:vAlign w:val="bottom"/>
            <w:gridSpan w:val="2"/>
          </w:tcPr>
          <w:p>
            <w:pPr>
              <w:ind w:left="220"/>
              <w:spacing w:after="0" w:line="154" w:lineRule="exact"/>
              <w:rPr>
                <w:sz w:val="20"/>
                <w:szCs w:val="20"/>
                <w:color w:val="auto"/>
              </w:rPr>
            </w:pPr>
            <w:r>
              <w:rPr>
                <w:rFonts w:ascii="Times New Roman" w:cs="Times New Roman" w:eastAsia="Times New Roman" w:hAnsi="Times New Roman"/>
                <w:sz w:val="17"/>
                <w:szCs w:val="17"/>
                <w:color w:val="auto"/>
              </w:rPr>
              <w:t>Total cost of operations - policy issuance and</w:t>
            </w:r>
          </w:p>
        </w:tc>
        <w:tc>
          <w:tcPr>
            <w:tcW w:w="28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648,280</w:t>
            </w:r>
          </w:p>
        </w:tc>
        <w:tc>
          <w:tcPr>
            <w:tcW w:w="46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594,202</w:t>
            </w: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1,276,030</w:t>
            </w:r>
          </w:p>
        </w:tc>
        <w:tc>
          <w:tcPr>
            <w:tcW w:w="44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w w:val="99"/>
              </w:rPr>
              <w:t>1,144,524</w:t>
            </w: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renewal services</w:t>
            </w:r>
          </w:p>
        </w:tc>
        <w:tc>
          <w:tcPr>
            <w:tcW w:w="2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Commissions </w:t>
      </w:r>
      <w:r>
        <w:rPr>
          <w:rFonts w:ascii="Times New Roman" w:cs="Times New Roman" w:eastAsia="Times New Roman" w:hAnsi="Times New Roman"/>
          <w:sz w:val="18"/>
          <w:szCs w:val="18"/>
          <w:color w:val="auto"/>
        </w:rPr>
        <w:t>– Commissions increased $43.5 million in the second quarter of 2025 and $104.6 million for the six months ended June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periods in 2024, primarily driven by the growth in direct and affiliated assumed written premium and, to a lesser extent, an increase in agent incentive compensation. The estimated agent incentive payouts at June 30, 2025 are based on actual underwriting results for the two prior years and current year-to-date actual results and forecasted results for the remainder of 2025. The profitability component of agent incentive compensation increased due to improved actual and forecasted loss ratios for the three-year period ended 2025 compared to the three-year period ended 2024.</w:t>
      </w:r>
    </w:p>
    <w:p>
      <w:pPr>
        <w:spacing w:after="0" w:line="20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Non-commission expense </w:t>
      </w:r>
      <w:r>
        <w:rPr>
          <w:rFonts w:ascii="Times New Roman" w:cs="Times New Roman" w:eastAsia="Times New Roman" w:hAnsi="Times New Roman"/>
          <w:sz w:val="18"/>
          <w:szCs w:val="18"/>
          <w:color w:val="auto"/>
        </w:rPr>
        <w:t>– Non-commission expense increased $10.6 million in the second quarter of 2025 compared to the second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costs increased $7.1 million primarily due to an increase in personnel costs and a decrease in capitalized professional fees related to technology initiatives. Sales and advertising expense increased $2.8 million primarily due to increased agent-related and advertising costs.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Non-commission expense increased $26.9 million for the six months ended June 30, 2025 compared to the same period in 2024. Underwriting and policy processing expense increased $4.3 million primarily due to increased personnel costs and printing and postage costs. Information technology costs increased $18.4 million primarily due to an increase in personnel costs and hardware and software costs and a decrease in capitalized professional fees related to technology initiatives. Customer service costs increased $2.7 million primarily due to increased personnel costs. Sales and advertising expense increased $3.0 million primarily due to increased advertising and personnel costs. Personnel costs for both the second quarter and six months ended June 30, 2025 were impacted by increased healthcare costs compared to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Administrative services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63"/>
        </w:trPr>
        <w:tc>
          <w:tcPr>
            <w:tcW w:w="180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4"/>
          </w:tcPr>
          <w:p>
            <w:pPr>
              <w:jc w:val="right"/>
              <w:ind w:right="252"/>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4"/>
          </w:tcPr>
          <w:p>
            <w:pPr>
              <w:jc w:val="right"/>
              <w:ind w:right="331"/>
              <w:spacing w:after="0"/>
              <w:rPr>
                <w:sz w:val="20"/>
                <w:szCs w:val="20"/>
                <w:color w:val="auto"/>
              </w:rPr>
            </w:pPr>
            <w:r>
              <w:rPr>
                <w:rFonts w:ascii="Times New Roman" w:cs="Times New Roman" w:eastAsia="Times New Roman" w:hAnsi="Times New Roman"/>
                <w:sz w:val="18"/>
                <w:szCs w:val="18"/>
                <w:color w:val="auto"/>
              </w:rPr>
              <w:t>Six months ended June 30,</w:t>
            </w:r>
          </w:p>
        </w:tc>
        <w:tc>
          <w:tcPr>
            <w:tcW w:w="420" w:type="dxa"/>
            <w:vAlign w:val="bottom"/>
          </w:tcPr>
          <w:p>
            <w:pPr>
              <w:spacing w:after="0"/>
              <w:rPr>
                <w:sz w:val="24"/>
                <w:szCs w:val="24"/>
                <w:color w:val="auto"/>
              </w:rPr>
            </w:pPr>
          </w:p>
        </w:tc>
      </w:tr>
      <w:tr>
        <w:trPr>
          <w:trHeight w:val="23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20"/>
                <w:szCs w:val="20"/>
                <w:color w:val="auto"/>
              </w:rPr>
            </w:pPr>
          </w:p>
        </w:tc>
        <w:tc>
          <w:tcPr>
            <w:tcW w:w="9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 Change</w:t>
            </w:r>
          </w:p>
        </w:tc>
        <w:tc>
          <w:tcPr>
            <w:tcW w:w="280" w:type="dxa"/>
            <w:vAlign w:val="bottom"/>
          </w:tcPr>
          <w:p>
            <w:pPr>
              <w:spacing w:after="0"/>
              <w:rPr>
                <w:sz w:val="20"/>
                <w:szCs w:val="20"/>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 Change</w:t>
            </w:r>
          </w:p>
        </w:tc>
      </w:tr>
      <w:tr>
        <w:trPr>
          <w:trHeight w:val="178"/>
        </w:trPr>
        <w:tc>
          <w:tcPr>
            <w:tcW w:w="18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r>
      <w:tr>
        <w:trPr>
          <w:trHeight w:val="23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17,051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35,941</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33,985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212,644</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206,028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422,917</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397,595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tcPr>
          <w:p>
            <w:pPr>
              <w:spacing w:after="0"/>
              <w:rPr>
                <w:sz w:val="20"/>
                <w:szCs w:val="20"/>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allocated to administrative services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230,940</w:t>
            </w:r>
          </w:p>
        </w:tc>
        <w:tc>
          <w:tcPr>
            <w:tcW w:w="46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223,079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458,858</w:t>
            </w:r>
          </w:p>
        </w:tc>
        <w:tc>
          <w:tcPr>
            <w:tcW w:w="46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431,580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Pr>
          <w:p>
            <w:pPr>
              <w:spacing w:after="0"/>
              <w:rPr>
                <w:sz w:val="18"/>
                <w:szCs w:val="18"/>
                <w:color w:val="auto"/>
              </w:rPr>
            </w:pPr>
          </w:p>
        </w:tc>
      </w:tr>
      <w:tr>
        <w:trPr>
          <w:trHeight w:val="227"/>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services expenses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7"/>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Claims handling services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186,461</w:t>
            </w:r>
          </w:p>
        </w:tc>
        <w:tc>
          <w:tcPr>
            <w:tcW w:w="4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164,324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372,460</w:t>
            </w:r>
          </w:p>
        </w:tc>
        <w:tc>
          <w:tcPr>
            <w:tcW w:w="4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332,287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tcPr>
          <w:p>
            <w:pPr>
              <w:spacing w:after="0"/>
              <w:rPr>
                <w:sz w:val="19"/>
                <w:szCs w:val="19"/>
                <w:color w:val="auto"/>
              </w:rPr>
            </w:pPr>
          </w:p>
        </w:tc>
      </w:tr>
      <w:tr>
        <w:trPr>
          <w:trHeight w:val="227"/>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 management services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4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9,052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17,038</w:t>
            </w:r>
          </w:p>
        </w:tc>
        <w:tc>
          <w:tcPr>
            <w:tcW w:w="4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17,645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spacing w:after="0"/>
              <w:rPr>
                <w:sz w:val="19"/>
                <w:szCs w:val="19"/>
                <w:color w:val="auto"/>
              </w:rPr>
            </w:pPr>
          </w:p>
        </w:tc>
      </w:tr>
      <w:tr>
        <w:trPr>
          <w:trHeight w:val="23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Life management services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32,652</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33,419</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47,663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20" w:type="dxa"/>
            <w:vAlign w:val="bottom"/>
          </w:tcPr>
          <w:p>
            <w:pPr>
              <w:spacing w:after="0"/>
              <w:rPr>
                <w:sz w:val="20"/>
                <w:szCs w:val="20"/>
                <w:color w:val="auto"/>
              </w:rPr>
            </w:pPr>
          </w:p>
        </w:tc>
      </w:tr>
      <w:tr>
        <w:trPr>
          <w:trHeight w:val="221"/>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 administrative services</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4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17,051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35,941</w:t>
            </w:r>
          </w:p>
        </w:tc>
        <w:tc>
          <w:tcPr>
            <w:tcW w:w="4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33,985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Administrative services</w:t>
      </w:r>
    </w:p>
    <w:p>
      <w:pPr>
        <w:spacing w:after="0" w:line="2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management fee revenue allocated to administrative services was 0.63% and 0.60% of the direct and affiliated assumed premiums written by the Exchange for both the three and six month periods ended June 30, 2025 and 2024, respectively. This portion of the management fee is recognized as revenue over a four-year period representing the time over which the services are provided. We also report reimbursed costs as revenues, which are recognized monthly as services are provided. The administrative services expenses we incur and the related reimbursements we receive are recorded gross in the Consolidated Statements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administrative services</w:t>
      </w:r>
    </w:p>
    <w:p>
      <w:pPr>
        <w:spacing w:after="0" w:line="2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Exchange with respect to its administrative services as enumerated in the subscriber's agreement. The Exchange's insurance subsidiaries also utilize Indemnity for these services in accordance with the service agreements between each of the subsidiaries and Indemnity. The subscriber's agreement and service agreements provide for reimbursement of amounts incurred for these services to Indemnity. Reimbursements due from the Exchange and its insurance subsidiaries are recorded as a receivable and settled at cost.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Total investment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results of our investment operations is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20" w:type="dxa"/>
            <w:vAlign w:val="bottom"/>
          </w:tcPr>
          <w:p>
            <w:pPr>
              <w:spacing w:after="0"/>
              <w:rPr>
                <w:sz w:val="19"/>
                <w:szCs w:val="19"/>
                <w:color w:val="auto"/>
              </w:rPr>
            </w:pPr>
          </w:p>
        </w:tc>
        <w:tc>
          <w:tcPr>
            <w:tcW w:w="278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Six months ended June 30,</w:t>
            </w:r>
          </w:p>
        </w:tc>
        <w:tc>
          <w:tcPr>
            <w:tcW w:w="300" w:type="dxa"/>
            <w:vAlign w:val="bottom"/>
          </w:tcPr>
          <w:p>
            <w:pPr>
              <w:spacing w:after="0"/>
              <w:rPr>
                <w:sz w:val="19"/>
                <w:szCs w:val="19"/>
                <w:color w:val="auto"/>
              </w:rPr>
            </w:pPr>
          </w:p>
        </w:tc>
      </w:tr>
      <w:tr>
        <w:trPr>
          <w:trHeight w:val="232"/>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20"/>
                <w:szCs w:val="20"/>
                <w:color w:val="auto"/>
              </w:rPr>
            </w:pPr>
          </w:p>
        </w:tc>
        <w:tc>
          <w:tcPr>
            <w:tcW w:w="7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4"/>
              </w:rPr>
              <w:t>2024</w:t>
            </w: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Change</w:t>
            </w:r>
          </w:p>
        </w:tc>
        <w:tc>
          <w:tcPr>
            <w:tcW w:w="220" w:type="dxa"/>
            <w:vAlign w:val="bottom"/>
          </w:tcPr>
          <w:p>
            <w:pPr>
              <w:spacing w:after="0"/>
              <w:rPr>
                <w:sz w:val="20"/>
                <w:szCs w:val="20"/>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20"/>
                <w:szCs w:val="20"/>
                <w:color w:val="auto"/>
              </w:rPr>
            </w:pPr>
          </w:p>
        </w:tc>
        <w:tc>
          <w:tcPr>
            <w:tcW w:w="7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94"/>
              </w:rPr>
              <w:t>2024</w:t>
            </w:r>
          </w:p>
        </w:tc>
        <w:tc>
          <w:tcPr>
            <w:tcW w:w="118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 Change</w:t>
            </w:r>
          </w:p>
        </w:tc>
      </w:tr>
      <w:tr>
        <w:trPr>
          <w:trHeight w:val="178"/>
        </w:trPr>
        <w:tc>
          <w:tcPr>
            <w:tcW w:w="4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7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7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39,978</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31,913</w:t>
            </w:r>
          </w:p>
        </w:tc>
        <w:tc>
          <w:tcPr>
            <w:tcW w:w="8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rPr>
              <w:t>25.3</w:t>
            </w:r>
          </w:p>
        </w:tc>
        <w:tc>
          <w:tcPr>
            <w:tcW w:w="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NM</w:t>
            </w:r>
          </w:p>
        </w:tc>
        <w:tc>
          <w:tcPr>
            <w:tcW w:w="300" w:type="dxa"/>
            <w:vAlign w:val="bottom"/>
          </w:tcPr>
          <w:p>
            <w:pPr>
              <w:spacing w:after="0"/>
              <w:rPr>
                <w:sz w:val="19"/>
                <w:szCs w:val="19"/>
                <w:color w:val="auto"/>
              </w:rPr>
            </w:pPr>
          </w:p>
        </w:tc>
      </w:tr>
      <w:tr>
        <w:trPr>
          <w:trHeight w:val="232"/>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impairment losses recognized in earnings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8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tcPr>
          <w:p>
            <w:pPr>
              <w:spacing w:after="0"/>
              <w:rPr>
                <w:sz w:val="20"/>
                <w:szCs w:val="20"/>
                <w:color w:val="auto"/>
              </w:rPr>
            </w:pPr>
          </w:p>
        </w:tc>
      </w:tr>
      <w:tr>
        <w:trPr>
          <w:trHeight w:val="221"/>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 income</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39,136</w:t>
            </w: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28,906</w:t>
            </w:r>
          </w:p>
        </w:tc>
        <w:tc>
          <w:tcPr>
            <w:tcW w:w="8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rPr>
              <w:t>35.4</w:t>
            </w:r>
          </w:p>
        </w:tc>
        <w:tc>
          <w:tcPr>
            <w:tcW w:w="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Net investment income includes interest and dividends on our fixed maturity and equity security portfolios and the results of our limited partnership investments, net of investment expenses. Net investment income increased $4.0 million in the second quarter of 2025 and $8.1 million for the six months ended June 30, 2025, compared to the same periods in 2024. The increase in both periods was primarily due to an increase in bond and cash and cash equivalent income driven by higher average holdings and bond yields, an increase in agent loan interest income, and higher equity in earnings of limited partnerships. Net investment income included limited partnership earnings of $0.1 million in the second quarter of 2025, compared to losses of $0.3 million for the same period in 2024, and $1.2 million of limited partnership earnings for the six months ended June 30, 2025, compared to $0.3 million for the same period in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realized and unrealized investment gains (losses)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breakdown of our net realized and unrealized investment gains (losses) is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40" w:type="dxa"/>
            <w:vAlign w:val="bottom"/>
          </w:tcPr>
          <w:p>
            <w:pPr>
              <w:spacing w:after="0"/>
              <w:rPr>
                <w:sz w:val="19"/>
                <w:szCs w:val="19"/>
                <w:color w:val="auto"/>
              </w:rPr>
            </w:pPr>
          </w:p>
        </w:tc>
        <w:tc>
          <w:tcPr>
            <w:tcW w:w="2880" w:type="dxa"/>
            <w:vAlign w:val="bottom"/>
            <w:gridSpan w:val="3"/>
          </w:tcPr>
          <w:p>
            <w:pPr>
              <w:jc w:val="right"/>
              <w:ind w:right="57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2"/>
        </w:trPr>
        <w:tc>
          <w:tcPr>
            <w:tcW w:w="4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2024</w:t>
            </w:r>
          </w:p>
        </w:tc>
      </w:tr>
      <w:tr>
        <w:trPr>
          <w:trHeight w:val="202"/>
        </w:trPr>
        <w:tc>
          <w:tcPr>
            <w:tcW w:w="45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Securities sold:</w:t>
            </w:r>
          </w:p>
        </w:tc>
        <w:tc>
          <w:tcPr>
            <w:tcW w:w="340" w:type="dxa"/>
            <w:vAlign w:val="bottom"/>
          </w:tcPr>
          <w:p>
            <w:pPr>
              <w:spacing w:after="0"/>
              <w:rPr>
                <w:sz w:val="17"/>
                <w:szCs w:val="17"/>
                <w:color w:val="auto"/>
              </w:rPr>
            </w:pPr>
          </w:p>
        </w:tc>
        <w:tc>
          <w:tcPr>
            <w:tcW w:w="178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(Unaudited)</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(Unaudited)</w:t>
            </w:r>
          </w:p>
        </w:tc>
        <w:tc>
          <w:tcPr>
            <w:tcW w:w="1100" w:type="dxa"/>
            <w:vAlign w:val="bottom"/>
          </w:tcPr>
          <w:p>
            <w:pPr>
              <w:spacing w:after="0"/>
              <w:rPr>
                <w:sz w:val="17"/>
                <w:szCs w:val="17"/>
                <w:color w:val="auto"/>
              </w:rPr>
            </w:pPr>
          </w:p>
        </w:tc>
      </w:tr>
      <w:tr>
        <w:trPr>
          <w:trHeight w:val="227"/>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5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5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27"/>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on remaining equity securities</w:t>
            </w:r>
          </w:p>
        </w:tc>
        <w:tc>
          <w:tcPr>
            <w:tcW w:w="3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895</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1,520</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32"/>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1"/>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479</w:t>
            </w:r>
          </w:p>
        </w:tc>
        <w:tc>
          <w:tcPr>
            <w:tcW w:w="5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981</w:t>
            </w:r>
          </w:p>
        </w:tc>
        <w:tc>
          <w:tcPr>
            <w:tcW w:w="5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Net realized and unrealized gains of $0.5 million during the second quarter of 2025 and $1.0 million for the six months ended June 30, 2025 were primarily due to market value adjustments on equity securities, partially offset by losses on disposals of available-for-sale securities. Net realized and unrealized losses of $1.8 million during the second quarter of 2024 were primarily due to disposals of available-for-sale securities. Net realized and unrealized gains of $0.1 million for the six months ended June 30, 2024 were primarily due to market value adjustments on equity securities, mostly offset by losses on disposals of available-for-sale securities.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impairment losses recognized in earnings</w:t>
      </w:r>
    </w:p>
    <w:p>
      <w:pPr>
        <w:spacing w:after="0" w:line="14"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Net impairment losses during both the three and six months ended June 30, 2025 and 2024 included both intent to sell and credit-related impairments on available-for-sale securities as well as current expected credit losses on other loans receivable. The six months ended June 30, 2025 and 2024 also included current expected credit losses on agent loans and held-to-maturity securities,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Condition of Erie Insurance Exchange</w:t>
      </w:r>
    </w:p>
    <w:p>
      <w:pPr>
        <w:spacing w:after="0" w:line="2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Serving in the capacity of attorney-in-fact for the subscribers at the Exchange, we are dependent on the growth and financial condition of the Exchange, who is our sole customer. The strength of the Exchange and its wholly owned subsidiaries is rated annually by A.M. Best through assessing its financial stability and ability to pay claims. The ratings are generally based upon factors relevant to policyholders and are not directed toward return to investors. The Exchange and each of its property and casualty insurance subsidiaries are rated A+ "Superior", the second highest financial strength rating, which is assigned to companies that have achieved superior overall performance when compared to the standards established by A.M. Best and have a superior ability to meet obligations to policyholders over the long term. As of December 31, 2024, only approximately 13% of insurance groups, in which the Exchange is included, are rated A+ or higher. On August 8, 2024, while our A+ "Superior" rating was reaffirmed, the financial strength rating outlook was revised from stable to negative. The outlook was primarily driven by the Exchange’s recent profitability challenges from rising loss cost pressures and increased weather-related activity, and the related surplus impact. The outlook acknowledged that while actions have been implemented to address the challenges, the timing lag related to the most significant action, rate increases, could result in interim challenges until such time as the rate increases are earned and the full beneficial impact is realized.</w:t>
      </w:r>
    </w:p>
    <w:p>
      <w:pPr>
        <w:spacing w:after="0" w:line="2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financial statements of the Exchange are prepared in accordance with statutory accounting principles prescribed by the Commonwealth of Pennsylvania. Financial statements prepared under statutory accounting principles focus on the solvency of the insurer and generally provide a more conservative approach than under U.S. generally accepted accounting principles. Statutory direct written premiums of the Exchange and its wholly owned property and casualty insurance subsidiaries grew 11.4% to $6.5 billion in the first six months of 2025 compared to the first six months of 2024. These premiums, along with investment income, are the major sources of cash that support the operations of the Exchange. Policyholders’ surplus determined under statutory accounting principles was $9.2 billion and $9.3 billion at June 30, 2025 and December 31, 2024, respectively. The Exchange and its wholly owned property and casualty insurance subsidiaries' year-over-year policy retention ratio continues to be high at 89.7% at June 30, 2025 and 90.4% at December 31, 2024.</w:t>
      </w:r>
    </w:p>
    <w:p>
      <w:pPr>
        <w:spacing w:after="0" w:line="19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We have prepared our consolidated financial statements considering the financial strength of the Exchange based on its A.M. Best rating and strong level of surplus. See Part I. Item 1A. "Risk Factors" included in our Annual Report on Form 10-K for the fiscal year ended December 31, 2024 as filed with the Securities and Exchange Commission on February 27, 2025 for possible outcomes that could impact that determination.</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3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Our investment portfolio is managed with the objective of maximizing after-tax returns on a risk-adjusted basis. The following table presents the carrying value of our investments as of:</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00" w:type="dxa"/>
            <w:vAlign w:val="bottom"/>
          </w:tcPr>
          <w:p>
            <w:pPr>
              <w:spacing w:after="0"/>
              <w:rPr>
                <w:sz w:val="20"/>
                <w:szCs w:val="20"/>
                <w:color w:val="auto"/>
              </w:rPr>
            </w:pPr>
          </w:p>
        </w:tc>
        <w:tc>
          <w:tcPr>
            <w:tcW w:w="18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June 30, 2025</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to total</w:t>
            </w:r>
          </w:p>
        </w:tc>
        <w:tc>
          <w:tcPr>
            <w:tcW w:w="180" w:type="dxa"/>
            <w:vAlign w:val="bottom"/>
          </w:tcPr>
          <w:p>
            <w:pPr>
              <w:spacing w:after="0"/>
              <w:rPr>
                <w:sz w:val="20"/>
                <w:szCs w:val="20"/>
                <w:color w:val="auto"/>
              </w:rPr>
            </w:pPr>
          </w:p>
        </w:tc>
        <w:tc>
          <w:tcPr>
            <w:tcW w:w="188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December 31, 2024</w:t>
            </w: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 to total</w:t>
            </w:r>
          </w:p>
        </w:tc>
      </w:tr>
      <w:tr>
        <w:trPr>
          <w:trHeight w:val="178"/>
        </w:trPr>
        <w:tc>
          <w:tcPr>
            <w:tcW w:w="45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38"/>
        </w:trPr>
        <w:tc>
          <w:tcPr>
            <w:tcW w:w="450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 xml:space="preserve">Available-for-sale securities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1,126,148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1,043,615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7"/>
        </w:trPr>
        <w:tc>
          <w:tcPr>
            <w:tcW w:w="450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85,228</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85,891</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27"/>
        </w:trPr>
        <w:tc>
          <w:tcPr>
            <w:tcW w:w="450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Agent loans </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9"/>
                <w:szCs w:val="19"/>
                <w:color w:val="auto"/>
              </w:rPr>
            </w:pPr>
          </w:p>
        </w:tc>
        <w:tc>
          <w:tcPr>
            <w:tcW w:w="1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99,572</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92,731</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32"/>
        </w:trPr>
        <w:tc>
          <w:tcPr>
            <w:tcW w:w="4500" w:type="dxa"/>
            <w:vAlign w:val="bottom"/>
          </w:tcPr>
          <w:p>
            <w:pPr>
              <w:spacing w:after="0" w:line="232"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35,225</w:t>
            </w: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29,610</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21"/>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1,346,173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1,251,847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640" w:hanging="312"/>
        <w:spacing w:after="0"/>
        <w:tabs>
          <w:tab w:leader="none" w:pos="64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$18.4 million and $7.3 million of securities lent under a securities lending agreement as of June 30, 2025 and December 31, 2024, respectively.</w:t>
      </w:r>
    </w:p>
    <w:p>
      <w:pPr>
        <w:spacing w:after="0" w:line="52"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$17.1 million of securities lent under a securities lending agreement as of June 30, 2025.</w:t>
      </w:r>
    </w:p>
    <w:p>
      <w:pPr>
        <w:spacing w:after="0" w:line="52"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portion of agent loans is included in the line item "Prepaid expenses and other current assets, net" in the Consolidated Statements of Financial Position.</w:t>
      </w:r>
    </w:p>
    <w:p>
      <w:pPr>
        <w:spacing w:after="0" w:line="66" w:lineRule="exact"/>
        <w:rPr>
          <w:rFonts w:ascii="Times New Roman" w:cs="Times New Roman" w:eastAsia="Times New Roman" w:hAnsi="Times New Roman"/>
          <w:sz w:val="14"/>
          <w:szCs w:val="14"/>
          <w:i w:val="1"/>
          <w:iCs w:val="1"/>
          <w:color w:val="auto"/>
        </w:rPr>
      </w:pPr>
    </w:p>
    <w:p>
      <w:pPr>
        <w:ind w:left="640" w:right="440" w:hanging="312"/>
        <w:spacing w:after="0" w:line="278" w:lineRule="auto"/>
        <w:tabs>
          <w:tab w:leader="none" w:pos="632"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and long-term portions of other investments are included in the line items "Prepaid expenses and other current assets, net" and "Other assets, net", respectively in the Consolidated Statements of Financial Position.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Available-for-sale securities</w:t>
      </w:r>
    </w:p>
    <w:p>
      <w:pPr>
        <w:spacing w:after="0" w:line="26"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Under our investment strategy, we maintain an available-for-sale portfolio that is of high quality and well diversified within each market sector. This investment strategy also achieves a balanced maturity schedule. Our available-for-sale portfolio is managed with the goal of achieving reasonable returns while limiting exposure to risk.</w:t>
      </w:r>
    </w:p>
    <w:p>
      <w:pPr>
        <w:spacing w:after="0" w:line="212" w:lineRule="exact"/>
        <w:rPr>
          <w:sz w:val="20"/>
          <w:szCs w:val="20"/>
          <w:color w:val="auto"/>
        </w:rPr>
      </w:pPr>
    </w:p>
    <w:p>
      <w:pPr>
        <w:ind w:right="100"/>
        <w:spacing w:after="0" w:line="308" w:lineRule="auto"/>
        <w:rPr>
          <w:sz w:val="20"/>
          <w:szCs w:val="20"/>
          <w:color w:val="auto"/>
        </w:rPr>
      </w:pPr>
      <w:r>
        <w:rPr>
          <w:rFonts w:ascii="Times New Roman" w:cs="Times New Roman" w:eastAsia="Times New Roman" w:hAnsi="Times New Roman"/>
          <w:sz w:val="17"/>
          <w:szCs w:val="17"/>
          <w:color w:val="auto"/>
        </w:rPr>
        <w:t>Available-for-sale securities are carried at fair value with unrealized gains and losses, net of deferred taxes, included in shareholders’ equity. Net unrealized losses on available-for-sale securities, net of deferred taxes, totaled $5.6 million at June 30, 2025, compared to $17.6 million at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breakdown of the fair value of our available-for-sale portfolio by industry sector and rating as of:</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8"/>
                <w:szCs w:val="18"/>
                <w:color w:val="auto"/>
              </w:rPr>
              <w:t xml:space="preserve">June 30, 2025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91"/>
              <w:spacing w:after="0" w:line="167" w:lineRule="exact"/>
              <w:rPr>
                <w:sz w:val="20"/>
                <w:szCs w:val="20"/>
                <w:color w:val="auto"/>
              </w:rPr>
            </w:pPr>
            <w:r>
              <w:rPr>
                <w:rFonts w:ascii="Times New Roman" w:cs="Times New Roman" w:eastAsia="Times New Roman" w:hAnsi="Times New Roman"/>
                <w:sz w:val="18"/>
                <w:szCs w:val="18"/>
                <w:color w:val="auto"/>
                <w:w w:val="97"/>
              </w:rPr>
              <w:t>Non-</w:t>
            </w:r>
          </w:p>
        </w:tc>
        <w:tc>
          <w:tcPr>
            <w:tcW w:w="320" w:type="dxa"/>
            <w:vAlign w:val="bottom"/>
          </w:tcPr>
          <w:p>
            <w:pPr>
              <w:spacing w:after="0"/>
              <w:rPr>
                <w:sz w:val="14"/>
                <w:szCs w:val="14"/>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71"/>
              <w:spacing w:after="0" w:line="174" w:lineRule="exact"/>
              <w:rPr>
                <w:sz w:val="20"/>
                <w:szCs w:val="20"/>
                <w:color w:val="auto"/>
              </w:rPr>
            </w:pPr>
            <w:r>
              <w:rPr>
                <w:rFonts w:ascii="Times New Roman" w:cs="Times New Roman" w:eastAsia="Times New Roman" w:hAnsi="Times New Roman"/>
                <w:sz w:val="18"/>
                <w:szCs w:val="18"/>
                <w:color w:val="auto"/>
                <w:w w:val="98"/>
              </w:rPr>
              <w:t>investment</w:t>
            </w: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AAA</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AA</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9"/>
              </w:rPr>
              <w:t>grade</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3,674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9,635</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5,044</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12,629</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10,771</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16,905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45,349</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3,997</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39,732</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59,669</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44,255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147,653</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888</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5,832</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23,854</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14,092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44,666</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2,244</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118,820</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145,756</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19,702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286,522</w:t>
            </w:r>
          </w:p>
        </w:tc>
        <w:tc>
          <w:tcPr>
            <w:tcW w:w="0" w:type="dxa"/>
            <w:vAlign w:val="bottom"/>
          </w:tcPr>
          <w:p>
            <w:pPr>
              <w:spacing w:after="0"/>
              <w:rPr>
                <w:sz w:val="1"/>
                <w:szCs w:val="1"/>
                <w:color w:val="auto"/>
              </w:rPr>
            </w:pPr>
          </w:p>
        </w:tc>
      </w:tr>
      <w:tr>
        <w:trPr>
          <w:trHeight w:val="22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4,946</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21,840</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32,955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59,741</w:t>
            </w:r>
          </w:p>
        </w:tc>
        <w:tc>
          <w:tcPr>
            <w:tcW w:w="0" w:type="dxa"/>
            <w:vAlign w:val="bottom"/>
          </w:tcPr>
          <w:p>
            <w:pPr>
              <w:spacing w:after="0"/>
              <w:rPr>
                <w:sz w:val="1"/>
                <w:szCs w:val="1"/>
                <w:color w:val="auto"/>
              </w:rPr>
            </w:pPr>
          </w:p>
        </w:tc>
      </w:tr>
      <w:tr>
        <w:trPr>
          <w:trHeight w:val="231"/>
        </w:trPr>
        <w:tc>
          <w:tcPr>
            <w:tcW w:w="3740" w:type="dxa"/>
            <w:vAlign w:val="bottom"/>
            <w:gridSpan w:val="2"/>
          </w:tcPr>
          <w:p>
            <w:pPr>
              <w:spacing w:after="0" w:line="231" w:lineRule="exact"/>
              <w:rPr>
                <w:sz w:val="20"/>
                <w:szCs w:val="20"/>
                <w:color w:val="auto"/>
              </w:rPr>
            </w:pPr>
            <w:r>
              <w:rPr>
                <w:rFonts w:ascii="Times New Roman" w:cs="Times New Roman" w:eastAsia="Times New Roman" w:hAnsi="Times New Roman"/>
                <w:sz w:val="18"/>
                <w:szCs w:val="18"/>
                <w:color w:val="auto"/>
              </w:rPr>
              <w:t xml:space="preserve">Structured securities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175,939</w:t>
            </w:r>
          </w:p>
        </w:tc>
        <w:tc>
          <w:tcPr>
            <w:tcW w:w="3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188,524</w:t>
            </w:r>
          </w:p>
        </w:tc>
        <w:tc>
          <w:tcPr>
            <w:tcW w:w="3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25,398</w:t>
            </w:r>
          </w:p>
        </w:tc>
        <w:tc>
          <w:tcPr>
            <w:tcW w:w="4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16,754</w:t>
            </w:r>
          </w:p>
        </w:tc>
        <w:tc>
          <w:tcPr>
            <w:tcW w:w="2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804</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407,419</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19,659</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14,707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36,333</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7,278</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0" w:type="dxa"/>
            <w:vAlign w:val="bottom"/>
          </w:tcPr>
          <w:p>
            <w:pPr>
              <w:spacing w:after="0"/>
              <w:rPr>
                <w:sz w:val="1"/>
                <w:szCs w:val="1"/>
                <w:color w:val="auto"/>
              </w:rPr>
            </w:pPr>
          </w:p>
        </w:tc>
      </w:tr>
      <w:tr>
        <w:trPr>
          <w:trHeight w:val="23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13,711</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49,997</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12,330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76,038</w:t>
            </w:r>
          </w:p>
        </w:tc>
        <w:tc>
          <w:tcPr>
            <w:tcW w:w="0" w:type="dxa"/>
            <w:vAlign w:val="bottom"/>
          </w:tcPr>
          <w:p>
            <w:pPr>
              <w:spacing w:after="0"/>
              <w:rPr>
                <w:sz w:val="1"/>
                <w:szCs w:val="1"/>
                <w:color w:val="auto"/>
              </w:rPr>
            </w:pPr>
          </w:p>
        </w:tc>
      </w:tr>
      <w:tr>
        <w:trPr>
          <w:trHeight w:val="221"/>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177,906</w:t>
            </w:r>
          </w:p>
        </w:tc>
        <w:tc>
          <w:tcPr>
            <w:tcW w:w="3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207,975</w:t>
            </w:r>
          </w:p>
        </w:tc>
        <w:tc>
          <w:tcPr>
            <w:tcW w:w="3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222,051</w:t>
            </w:r>
          </w:p>
        </w:tc>
        <w:tc>
          <w:tcPr>
            <w:tcW w:w="4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351,974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166,242</w:t>
            </w:r>
          </w:p>
        </w:tc>
        <w:tc>
          <w:tcPr>
            <w:tcW w:w="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1,126,148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hanging="312"/>
        <w:spacing w:after="0"/>
        <w:tabs>
          <w:tab w:leader="none" w:pos="6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Ratings are supplied by S&amp;P, Moody’s, and Fitch. The table is based upon the lowest rating for each security.</w:t>
      </w:r>
    </w:p>
    <w:p>
      <w:pPr>
        <w:spacing w:after="0" w:line="66"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Structured securities include residential and commercial mortgage-backed securities, collateralized debt obligations and asset-backed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Equity securities primarily include nonredeemable preferred stocks and are carried at fair value in the Consolidated Statements of Financial Position with all changes in unrealized gains and losses reflected in the Consolidated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an analysis of the fair value of our equity securities by sector as of:</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20"/>
                <w:szCs w:val="20"/>
                <w:color w:val="auto"/>
              </w:rPr>
            </w:pP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June 30, 2025</w:t>
            </w:r>
          </w:p>
        </w:tc>
        <w:tc>
          <w:tcPr>
            <w:tcW w:w="260" w:type="dxa"/>
            <w:vAlign w:val="bottom"/>
          </w:tcPr>
          <w:p>
            <w:pPr>
              <w:spacing w:after="0"/>
              <w:rPr>
                <w:sz w:val="20"/>
                <w:szCs w:val="20"/>
                <w:color w:val="auto"/>
              </w:rPr>
            </w:pPr>
          </w:p>
        </w:tc>
        <w:tc>
          <w:tcPr>
            <w:tcW w:w="19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78"/>
        </w:trPr>
        <w:tc>
          <w:tcPr>
            <w:tcW w:w="66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71,184</w:t>
            </w:r>
          </w:p>
        </w:tc>
        <w:tc>
          <w:tcPr>
            <w:tcW w:w="2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69,930</w:t>
            </w:r>
          </w:p>
        </w:tc>
      </w:tr>
      <w:tr>
        <w:trPr>
          <w:trHeight w:val="22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r>
      <w:tr>
        <w:trPr>
          <w:trHeight w:val="22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Energy</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2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2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3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1"/>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85,228</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85,891</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continue to monitor the sufficiency of our liquidity and capital resources given the potential impact of current economic conditions, including the uncertain tariff, inflationary and interest rate environment. While we did not see a significant impact on our sources or uses of cash in the second quarter of 2025, future market disruptions could occur which may affect our liquidity position. If our normal operating and investing cash activities were to become insufficient to meet future funding requirements, we believe we have sufficient access to liquidity through our cash position, diverse liquid marketable securities and our $100 million bank revolving line of credit that does not expire until November 2029. See broader discussions of potential risks to our operations in the Operating Overview contained within this report and Part I. Item 1A. "Risk Factors" included in our Annual Report on Form 10-K for the fiscal year ended December 31, 2024 as filed with the Securities and Exchange Commission on February 27,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3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Liquidity is a measure of a company’s ability to generate sufficient cash flows to meet the short- and long-term cash requirements of its business operations and growth needs. Our liquidity requirements have been met primarily by funds generated from management fee revenue and income from investments. Cash provided from these sources is used primarily to fund the costs of our management operations including commissions, salaries and wages, pension plans, share repurchases, dividends to shareholders, the purchase and development of information technology, and other capital expenditures. See Part I, Item 1. "Financial Statements - Note 9, Postretirement Benefits, of Notes to Consolidated Financial Statements" contained within this report for the funding policy and related contribution for our defined benefit pension plan. We expect that our operating cash needs will be met by funds generated from operations. Cash in excess of our operating needs is primarily invested in investment grade fixed maturities. As part of our liquidity review, we regularly evaluate our capital needs based on current and projected results and consider the potential impacts to our liquidity, borrowing capacity, financial covenants and capital availability.</w:t>
      </w:r>
    </w:p>
    <w:p>
      <w:pPr>
        <w:spacing w:after="0" w:line="21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We maintain relationships and cash balances at diversified and well-capitalized financial institutions and have established processes to monitor them. We believe that our current cash, cash equivalents and marketable securities and cash generated from operations will be sufficient to meet our current and future cash requirements.</w:t>
      </w:r>
    </w:p>
    <w:p>
      <w:pPr>
        <w:spacing w:after="0" w:line="20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Volatility in the financial markets presents challenges to us as we do occasionally access our investment portfolio as a source of cash. Some of our fixed income investments, despite being publicly traded, may be illiquid. Additionally, if we require significant amounts of cash on short notice in excess of anticipated cash requirements, or if we are required to return cash collateral in connection with our securities lending program, we may have difficulty selling investments in a timely manner, or be forced to sell at deep discounts. We believe we have sufficient liquidity to meet our needs from sources other than the liquidation of securities.</w:t>
      </w:r>
    </w:p>
    <w:p>
      <w:pPr>
        <w:spacing w:after="0" w:line="211"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On May 1, 2025, we announced the formation of the Erie Insurance Foundation, a private charitable foundation that will create long-term sustainability for charitable contributions and grantmaking. To launch the initiative and fund the foundation’s endowment, we announced our planned donation of $100 million, which we expect to fund in the next twelve months.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activities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condensed cash flow information as follows for the six months ended June 30:</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8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2024</w:t>
            </w:r>
          </w:p>
        </w:tc>
      </w:tr>
      <w:tr>
        <w:trPr>
          <w:trHeight w:val="178"/>
        </w:trPr>
        <w:tc>
          <w:tcPr>
            <w:tcW w:w="8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(Unaudited)</w:t>
            </w:r>
          </w:p>
        </w:tc>
        <w:tc>
          <w:tcPr>
            <w:tcW w:w="1040" w:type="dxa"/>
            <w:vAlign w:val="bottom"/>
          </w:tcPr>
          <w:p>
            <w:pPr>
              <w:spacing w:after="0"/>
              <w:rPr>
                <w:sz w:val="15"/>
                <w:szCs w:val="15"/>
                <w:color w:val="auto"/>
              </w:rPr>
            </w:pPr>
          </w:p>
        </w:tc>
      </w:tr>
      <w:tr>
        <w:trPr>
          <w:trHeight w:val="238"/>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295,694</w:t>
            </w:r>
          </w:p>
        </w:tc>
        <w:tc>
          <w:tcPr>
            <w:tcW w:w="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218,620</w:t>
            </w:r>
          </w:p>
        </w:tc>
      </w:tr>
      <w:tr>
        <w:trPr>
          <w:trHeight w:val="227"/>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(136,572)</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(79,632)</w:t>
            </w:r>
          </w:p>
        </w:tc>
      </w:tr>
      <w:tr>
        <w:trPr>
          <w:trHeight w:val="23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(99,492)</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(112,409)</w:t>
            </w:r>
          </w:p>
        </w:tc>
      </w:tr>
      <w:tr>
        <w:trPr>
          <w:trHeight w:val="221"/>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59,630</w:t>
            </w:r>
          </w:p>
        </w:tc>
        <w:tc>
          <w:tcPr>
            <w:tcW w:w="4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w:t>
            </w:r>
          </w:p>
        </w:tc>
      </w:tr>
      <w:tr>
        <w:trPr>
          <w:trHeight w:val="20"/>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Net cash provided by operating activities was $295.7 million in the first six months of 2025, compared to $218.6 million for the same period in 2024. Increased cash provided by operating activities was primarily due to an increase in administrative services reimbursements received of $126.4 million and management fees received of $84.3 million driven by growth in direct and affiliated assumed premiums written by the Exchange. This was partially offset by increases in cash paid for agent commissions of $101.8 million driven by premium growth and administrative services expenses paid of $29.5 million.</w:t>
      </w:r>
    </w:p>
    <w:p>
      <w:pPr>
        <w:spacing w:after="0" w:line="20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7"/>
          <w:szCs w:val="17"/>
          <w:color w:val="auto"/>
        </w:rPr>
        <w:t>Net cash used in investing activities was $136.6 million in the first six months of 2025, compared to $79.6 million for the same period in 2024. In 2025 and 2024, net cash used in investing activities was primarily driven by fixed asset purchases of $49.9 million and $50.5 million, respectively, mostly related to software and home office renovations. Additionally, purchases of available-for-sale securities exceeded proceeds generated from sales and maturities/calls.</w:t>
      </w:r>
    </w:p>
    <w:p>
      <w:pPr>
        <w:spacing w:after="0" w:line="18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Net cash used in financing activities was $99.5 million in the first six months of 2025, compared to $112.4 million for the same period in 2024, primarily due to dividends paid to shareholders. We increased both our Class A and Class B shareholder regular quarterly dividends by 7.1% for 2025, compared to 2024. There are no regulatory restrictions on the payment of dividends to our shareholders.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Outlook</w:t>
      </w:r>
    </w:p>
    <w:p>
      <w:pPr>
        <w:spacing w:after="0" w:line="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We regularly prepare forecasts evaluating the current and future cash requirements for both normal and extreme risk events. Should an extreme risk event result in a cash requirement exceeding normal cash flows, we have the ability to meet our future funding requirements through various alternatives available to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of our normal operating and investing cash activities, future funding requirements could be met through: 1) unrestricted and unpledged cash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which totaled approximately $329.6 million at June 30, 2025, 2) $100 million available bank revolving line of credit, and 3) liquidation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and unpledged assets held in our investment portfolio, including equity securities and investment grade bonds which totaled approximately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$882.9 million at June 30, 2025. Volatility in the financial markets could impair our ability to sell certain fixed income securities or cause such securities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 at deep discounts. Additionally, we have the ability to curtail or modify discretionary cash outlays such as those related to shareholder dividends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activities. See Part I, Item 1. "Financial Statements - Note 8, Bank Line of Credit, of Notes to Consolidated Financial Statements" for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our bank revolving line of credit.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3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have entered into certain contingent obligations for guarantees. See Part I, Item 1. "Financial Statements - Note 14, Commitments and Contingencies, of Notes to Consolidated Financial Statements" contained within this report for additional information. We do not believe that these obligations will have a material current or future effect on our consolidated financial condition, results of operations or cash flows.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make estimates and assumptions that have a significant effect on the amounts and disclosures reported in the consolidated financial statements. The most significant estimates relate to investment valuation and retirement benefit plans for employees. While management believes its estimates are appropriate, the ultimate amounts may differ from estimates provided. Our most critical accounting estimates are described in Item 7. "Management’s Discussion and Analysis of Financial Condition and Results of Operations" for the year ended December 31, 2024 of our Annual Report on Form 10-K as filed with the Securities and Exchange Commission on February 27, 2025. See Part I, Item 1. "Financial Statements - Note 6, Fair Value, of Notes to Consolidated Financial Statements" contained within this report for additional information on our valuation of investments.</w:t>
      </w:r>
    </w:p>
    <w:p>
      <w:pPr>
        <w:spacing w:after="0" w:line="200" w:lineRule="exact"/>
        <w:rPr>
          <w:sz w:val="20"/>
          <w:szCs w:val="20"/>
          <w:color w:val="auto"/>
        </w:rPr>
      </w:pPr>
    </w:p>
    <w:p>
      <w:pPr>
        <w:spacing w:after="0" w:line="2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exposure to market risk is primarily related to fluctuations in interest rates and prices. Quantitative and qualitative disclosures about market risk resulting from changes in interest rates, prices and other risk exposures for the year ended December 31, 2024 are included in Item 7A. "Quantitative and Qualitative Disclosures About Market Risk" of our Annual Report on Form 10-K as filed with the Securities and Exchange Commission on February 27, 2025.</w:t>
      </w:r>
    </w:p>
    <w:p>
      <w:pPr>
        <w:spacing w:after="0" w:line="20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uncertain tariff, inflationary and interest rate environment, ongoing geopolitical risks and a potential economic slowdown may create future volatility; however, there have been no material impacts on our portfolio during the six months ended June 30, 2025. We continue to closely monitor the economic environment and financial markets and will take appropriate measures, when necessary, to minimize potential risk exposure to our cash and investment balances. For a recent discussion of conditions surrounding our investment portfolio, see the "Operating Overview", "Results of Operations" and "Financial Condition" discussions contained in Part I, Item 2. "Management’s Discussion and Analysis of Financial Condition and Results of Operations" contained within this report.</w:t>
      </w:r>
    </w:p>
    <w:p>
      <w:pPr>
        <w:spacing w:after="0" w:line="200" w:lineRule="exact"/>
        <w:rPr>
          <w:sz w:val="20"/>
          <w:szCs w:val="20"/>
          <w:color w:val="auto"/>
        </w:rPr>
      </w:pPr>
    </w:p>
    <w:p>
      <w:pPr>
        <w:spacing w:after="0" w:line="2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carried out an evaluation, with the participation of management, including the Chief Executive Officer and Chief Financial Officer, of the effectiveness of our disclosure controls and procedures (pursuant to Rule 13a-15(e) under the Securities Exchange Act of 1934, as amended) as of the end of the period covered by this report. Based upon that evaluation, the Chief Executive Officer and Chief Financial Officer concluded that our disclosure controls and procedures are effective.</w:t>
      </w:r>
    </w:p>
    <w:p>
      <w:pPr>
        <w:spacing w:after="0" w:line="18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Our management evaluated, with the participation of the Chief Executive Officer and Chief Financial Officer, any change in our internal control over financial reporting and determined there has been no change in our internal control over financial reporting during the six months ended June 30,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5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Erie Indemnity Company ("Indemnity") was named as a defendant in a complaint filed on August 24, 2021, by alleged subscribers of the Erie Insurance Exchange (the "Exchange") in the Court of Common Pleas Civil Division of Allegheny County, Pennsylvania captioned TROY STEPHENSON, CHRISTINA STEPHENSON, SUSAN RUBEL and STEVEN BARNETT, individually and on behalf of all others similarly situated (Plaintiffs) v. Erie Indemnity Company (Defendant).</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complaint seeks relief for alleged breaches of fiduciary duty by Indemnity in connection with the setting of the management fee it receives, in accordance with the terms of the Subscribers Agreement executed between Indemnity and all policyholders of the Exchange, as compensation for acting as the attorney-in-fact in the management of the Exchange. The relief sought is for the period beginning two years prior to the date of the filing of the complaint and continuing through 2021.</w:t>
      </w:r>
    </w:p>
    <w:p>
      <w:pPr>
        <w:spacing w:after="0" w:line="207"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The complaint seeks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189"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Service of the complaint was effectuated on September 20, 2021. A Notice of Removal to the United States District Court for the Western District of Pennsylvania was filed on October 20, 2021. On November 2, 2021, Plaintiffs filed a Notice of Voluntary Dismissal. As a result, the action was dismissed without prejudice.</w:t>
      </w:r>
    </w:p>
    <w:p>
      <w:pPr>
        <w:spacing w:after="0" w:line="20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December 6, 2021, another Complaint was filed in the Court of Common Pleas of Allegheny County, Pennsylvania captioned ERIE INSURANCE EXCHANGE, an unincorporated association, by TROY STEPHENSON, CHRISTINA STEPHENSON and STEVEN BARNETT, trustees ad litem, and alternatively, ERIE INSURANCE EXCHANGE, by TROY STEPHENSON, CHRISTINA STEPHENSON and STEVEN BARNETT, (Plaintiff), v. ERIE INDEMNITY COMPANY, (Defendant).</w:t>
      </w:r>
    </w:p>
    <w:p>
      <w:pPr>
        <w:spacing w:after="0" w:line="207"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This most recent complaint has the same allegation of breach of fiduciary duty by Indemnity in connection with the setting of the management fee it receives, in accordance with the terms of the Subscribers Agreement executed between Indemnity and all policyholders of the Exchange, as compensation for acting as the attorney-in-fact in the management of the Exchange.</w:t>
      </w:r>
    </w:p>
    <w:p>
      <w:pPr>
        <w:spacing w:after="0" w:line="202" w:lineRule="exact"/>
        <w:rPr>
          <w:sz w:val="20"/>
          <w:szCs w:val="20"/>
          <w:color w:val="auto"/>
        </w:rPr>
      </w:pPr>
    </w:p>
    <w:p>
      <w:pPr>
        <w:ind w:right="100"/>
        <w:spacing w:after="0" w:line="308" w:lineRule="auto"/>
        <w:rPr>
          <w:sz w:val="20"/>
          <w:szCs w:val="20"/>
          <w:color w:val="auto"/>
        </w:rPr>
      </w:pPr>
      <w:r>
        <w:rPr>
          <w:rFonts w:ascii="Times New Roman" w:cs="Times New Roman" w:eastAsia="Times New Roman" w:hAnsi="Times New Roman"/>
          <w:sz w:val="17"/>
          <w:szCs w:val="17"/>
          <w:color w:val="auto"/>
        </w:rPr>
        <w:t>This most recent complaint seeks the same relief, specifically,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167"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8"/>
          <w:szCs w:val="18"/>
          <w:color w:val="auto"/>
        </w:rPr>
        <w:t>A Notice of Removal to the United States District Court for the Western District of Pennsylvania was filed on January 27, 2022. Indemnity intends to vigorously defend against all of the allegations and requests for relief in the complaint.</w:t>
      </w:r>
    </w:p>
    <w:p>
      <w:pPr>
        <w:ind w:right="40"/>
        <w:spacing w:after="0" w:line="250" w:lineRule="auto"/>
        <w:rPr>
          <w:sz w:val="20"/>
          <w:szCs w:val="20"/>
          <w:color w:val="auto"/>
        </w:rPr>
      </w:pPr>
      <w:r>
        <w:rPr>
          <w:rFonts w:ascii="Times New Roman" w:cs="Times New Roman" w:eastAsia="Times New Roman" w:hAnsi="Times New Roman"/>
          <w:sz w:val="18"/>
          <w:szCs w:val="18"/>
          <w:color w:val="auto"/>
        </w:rPr>
        <w:t>By Memorandum Opinion and Order dated September 28, 2022, the Court granted the Motion for Remand and directed the case be remanded to the Court of Common Pleas of Allegheny County, Pennsylvania. On September 30, 2022, Indemnity filed a Motion to Stay the Remand Order pending an appeal to the United States Court of Appeals for the Third Circuit. On October 3, 2022, the Court granted the Stay. On October 11, 2022, Indemnity filed a Petition for Permission to Appeal the Remand Order with the Third Circuit. By Order dated November 7, 2022, a three judge panel of the Court denied the Petition to Appeal.</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21, 2022, Indemnity filed a Petition for Rehearing requesting that the Third Circuit permit the appeal. By Order dated January 9, 2023, the Court granted the petition for rehearing and vacated the prior Order of October 7, 2022, denying permission to appeal. On April 20, 2023, argument was held before a three-judge panel of the Third Circuit. By Opinion dated May 22, 2023, the Court affirmed the decision of the District Court finding that there was no basis for federal court jurisdiction and that the matter had been properly remanded to state court. On June 5, 2023, Indemnity filed a Petition for Panel Rehearing or Rehearing En Banc. By Order dated June 22, 2023, the Court denied the Petition. The United States District Court thereafter extended its stay of the issuance of the remand order through the conclusion of any proceedings in the United States Supreme Court challenging the decision of the United States Court of Appeals for the Third Circuit that no federal jurisdiction exists in this case.</w:t>
      </w:r>
    </w:p>
    <w:p>
      <w:pPr>
        <w:spacing w:after="0" w:line="21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On October 20, 2023, Indemnity filed a Petition for Writ of Certiorari with the Supreme Court of the United States. The Petition sought a determination from the Court that the lower courts improperly denied federal jurisdiction. By order dated February 26, 2024, the United States Supreme Court denied Indemnity's Petition for Writ of Certiorari.</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Separately, Indemnity filed a Complaint in Federal Court to invoke certain provisions of the “All Writs Act” and the “Anti-Injunction Act.” By filing this complaint, Indemnity seeks to protect the federal court’s prior binding, final judgments in favor of Indemnity and thereby foreclose further litigation of the</w:t>
      </w:r>
    </w:p>
    <w:p>
      <w:pPr>
        <w:spacing w:after="0" w:line="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claims and issues pertaining to the compensation practices that were the subject of the prior judgments. After the denial of certiorari, the district court, by Opinion and Order dated February 28, 2024, granted Indemnity’s motion for a preliminary injunction under the All Writs Act after determining that the gravamen of the plaintiff’s state court action “is the same” as two actions previously dismissed in federal court, that Indemnity would be irreparably harmed if it is forced to relitigate those same issues in state court, plaintiffs had a full and fair opportunity to litigate the same issues in prior litigation, and that an injunction would serve the public interest. The Court’s order preliminarily enjoined the named plaintiffs from pursuing the Erie Ins. Exch. v. Erie Indem. Co.</w:t>
      </w:r>
    </w:p>
    <w:p>
      <w:pPr>
        <w:spacing w:after="0" w:line="2"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action and enjoined the state court from conducting further proceedings in that action. The court ordered Indemnity to file a motion to convert the preliminary injunction into a permanent injunction. In the meantime, plaintiffs filed a Notice of Appeal with the United States Court of Appeals for the Third Circuit. As a result of the filing of the appeal, the trial court stayed the order issuing an injunction.</w:t>
      </w:r>
    </w:p>
    <w:p>
      <w:pPr>
        <w:spacing w:after="0" w:line="176"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color w:val="auto"/>
        </w:rPr>
        <w:t>The appeal has been briefed and oral argument was held on October 29, 2024, before a three-judge panel of the Third Circuit. The parties are currently awaiting a decision.</w:t>
      </w:r>
    </w:p>
    <w:p>
      <w:pPr>
        <w:spacing w:after="0" w:line="189"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color w:val="auto"/>
        </w:rPr>
        <w:t>Indemnity intends to vigorously defend the district court’s order on appeal and to otherwise defend against all allegations and requests for relief sought by plaintiffs.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Security Incident Class Actions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June 7, 2025 Erie Indemnity Company (“Indemnity”) identified unusual network activity in its computer systems which the Company determined to be the result of an information security event. Upon learning of that activity, Indemnity activated its incident response protocols and took immediate action to safeguard its systems. Indemnity disclosed this event in a Form 8-K filed with the SEC on June 11, 2025.</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Within five days of Indemnity’s 8-K filing, several putative class action complaints were filed in the United States District Court for the Western District of Pennsylvania, naming Indemnity and Erie Insurance Company as defendants. A total of 14 suits were filed. The suits allege that Indemnity failed to take reasonable and necessary measures to protect its customers’ and employees’ personally identifiable information and financial information, and assert negligence, negligence per se, breach of fiduciary duty, unjust enrichment, breach of implied contract, and similar claims.</w:t>
      </w:r>
    </w:p>
    <w:p>
      <w:pPr>
        <w:spacing w:after="0" w:line="207"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In a Form 8-K filed on July 7, 2025 Indemnity reported that it had resumed full business operations, and that, after a thorough forensic investigation by independent cybersecurity experts, there is no evidence that any sensitive personal information, financial records or legally protected data was breached by the threat actor during the incident.</w:t>
      </w:r>
    </w:p>
    <w:p>
      <w:pPr>
        <w:spacing w:after="0" w:line="202"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color w:val="auto"/>
        </w:rPr>
        <w:t>At this stage, it is not possible to assess Indemnity’s potential exposure in these matters, but it has meritorious defenses against class certification and the plaintiffs’ underlying claims, and it plans to vigorously assert them. As of the date of filing of this Form 10-Q, eleven plaintiffs have voluntarily dismissed their complaints, leaving three suits pending.</w:t>
      </w:r>
    </w:p>
    <w:p>
      <w:pPr>
        <w:spacing w:after="0" w:line="20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For additional information on contingencies, see Part I, Item 1. "Financial Statements - Note 14, Commitment and Contingencies, of Notes to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fiscal year ended December 31, 2024 as filed with the Securities and Exchange Commission on February 27, 2025 other than those disclosed below.</w:t>
      </w:r>
    </w:p>
    <w:p>
      <w:pPr>
        <w:spacing w:after="0" w:line="187" w:lineRule="exact"/>
        <w:rPr>
          <w:sz w:val="20"/>
          <w:szCs w:val="20"/>
          <w:color w:val="auto"/>
        </w:rPr>
      </w:pPr>
    </w:p>
    <w:p>
      <w:pPr>
        <w:jc w:val="both"/>
        <w:ind w:right="840"/>
        <w:spacing w:after="0" w:line="311" w:lineRule="auto"/>
        <w:rPr>
          <w:sz w:val="20"/>
          <w:szCs w:val="20"/>
          <w:color w:val="auto"/>
        </w:rPr>
      </w:pPr>
      <w:r>
        <w:rPr>
          <w:rFonts w:ascii="Times New Roman" w:cs="Times New Roman" w:eastAsia="Times New Roman" w:hAnsi="Times New Roman"/>
          <w:sz w:val="17"/>
          <w:szCs w:val="17"/>
          <w:i w:val="1"/>
          <w:iCs w:val="1"/>
          <w:color w:val="auto"/>
        </w:rPr>
        <w:t>We are subject to applicable insurance laws, tax statutes, and numerous other federal and state laws and regulations, as well as claims and legal proceedings, which, if determined unfavorably, could have a material adverse effect on our business, results of operations, or financial condition.</w:t>
      </w:r>
    </w:p>
    <w:p>
      <w:pPr>
        <w:spacing w:after="0" w:line="16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Our activities are subject to extensive regulation under federal and state laws on matters as diverse as internal control over financial reporting and disclosure controls, securities regulation, data privacy and protection, cybersecurity, taxation,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7"/>
          <w:szCs w:val="17"/>
          <w:color w:val="auto"/>
        </w:rPr>
        <w:t>immigration, wage-and-hour standards and employment and labor relations. These laws and regulations are complex and evolving, and compliance with these laws requires significant resources. In some cases, these laws and regulations may increase our costs, negatively impact revenues, or impose operational limitations on our business. Further, there can be no assurance that we, our third-party service providers and our independent agents are in full compliance with all applicable laws and regulations at all times. Efforts at compliance with all laws and regulations are further complicated by new and</w:t>
      </w:r>
    </w:p>
    <w:p>
      <w:pPr>
        <w:spacing w:after="0"/>
        <w:rPr>
          <w:sz w:val="20"/>
          <w:szCs w:val="20"/>
          <w:color w:val="auto"/>
        </w:rPr>
      </w:pPr>
      <w:r>
        <w:rPr>
          <w:rFonts w:ascii="Times New Roman" w:cs="Times New Roman" w:eastAsia="Times New Roman" w:hAnsi="Times New Roman"/>
          <w:sz w:val="18"/>
          <w:szCs w:val="18"/>
          <w:color w:val="auto"/>
        </w:rPr>
        <w:t>evolving regulations regarding cybersecurity, artificial intelligence, diversity, equity and inclusion (DEI) and ESG matters. For example, recent changes in</w:t>
      </w:r>
    </w:p>
    <w:p>
      <w:pPr>
        <w:spacing w:after="0" w:line="4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U.S. regulatory environment relating to DEI and ESG matters has increased scrutiny of corporate DEI and ESG practices. Failure to effectively manage current and future DEI and ESG regulatory developments and stakeholder expectations may expose our business to litigation, fines, penalties, and damage to our reputation, which, if material could adversely affect our financial condition and results of operations.</w:t>
      </w:r>
    </w:p>
    <w:p>
      <w:pPr>
        <w:spacing w:after="0" w:line="20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Additionally, we face a significant risk of litigation and regulatory investigations and actions in the ordinary course of operating our businesses including the risk of class action lawsuits. We are, have been, or may become subject to class actions and individual suits alleging breach of fiduciary or other duties, including our obligations to indemnify directors and officers in connection with certain legal matters. We are also subject to litigation arising out of our general business activities such as contractual and employment relationships and claims regarding the infringement of the intellectual property of others, whether by us or our third-party service providers. Plaintiffs in class action and other lawsuits against us may seek large or indeterminate amounts of damages, including punitive and treble damages, which may remain unknown for substantial periods of time. We are also subject to various regulatory inquiries, such as information requests, subpoenas, and books and record examinations from state and federal regulators and authorities. In addition, changes in the way regulators administer applicable laws, tax statutes, or regulations could adversely impact our business, cash flows, results of operations, or financial condition.</w:t>
      </w:r>
    </w:p>
    <w:p>
      <w:pPr>
        <w:spacing w:after="0" w:line="200" w:lineRule="exact"/>
        <w:rPr>
          <w:sz w:val="20"/>
          <w:szCs w:val="20"/>
          <w:color w:val="auto"/>
        </w:rPr>
      </w:pPr>
    </w:p>
    <w:p>
      <w:pPr>
        <w:spacing w:after="0" w:line="25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UNREGISTERED SALES OF EQUITY SECURITIES AND USE OF PROCEEDS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2011, our Board of Directors approved a continuation of the current stock repurchase program, authorizing repurchases for a total of $150 million with no time limitation. This repurchase authority included, and was not in addition to, any unspent amounts remaining under the prior authorization.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Class A nonvoting common stock share repurchases during the quarter ending June 30, 2025:</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Total number of shares</w:t>
            </w:r>
          </w:p>
        </w:tc>
        <w:tc>
          <w:tcPr>
            <w:tcW w:w="160" w:type="dxa"/>
            <w:vAlign w:val="bottom"/>
          </w:tcPr>
          <w:p>
            <w:pPr>
              <w:spacing w:after="0"/>
              <w:rPr>
                <w:sz w:val="18"/>
                <w:szCs w:val="18"/>
                <w:color w:val="auto"/>
              </w:rPr>
            </w:pPr>
          </w:p>
        </w:tc>
        <w:tc>
          <w:tcPr>
            <w:tcW w:w="1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Average price paid per</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 of shares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Dollar value of shares that</w:t>
            </w:r>
          </w:p>
        </w:tc>
        <w:tc>
          <w:tcPr>
            <w:tcW w:w="0" w:type="dxa"/>
            <w:vAlign w:val="bottom"/>
          </w:tcPr>
          <w:p>
            <w:pPr>
              <w:spacing w:after="0"/>
              <w:rPr>
                <w:sz w:val="1"/>
                <w:szCs w:val="1"/>
                <w:color w:val="auto"/>
              </w:rPr>
            </w:pPr>
          </w:p>
        </w:tc>
      </w:tr>
      <w:tr>
        <w:trPr>
          <w:trHeight w:val="179"/>
        </w:trPr>
        <w:tc>
          <w:tcPr>
            <w:tcW w:w="226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Period</w:t>
            </w:r>
          </w:p>
        </w:tc>
        <w:tc>
          <w:tcPr>
            <w:tcW w:w="160" w:type="dxa"/>
            <w:vAlign w:val="bottom"/>
            <w:vMerge w:val="restart"/>
          </w:tcPr>
          <w:p>
            <w:pPr>
              <w:spacing w:after="0"/>
              <w:rPr>
                <w:sz w:val="15"/>
                <w:szCs w:val="15"/>
                <w:color w:val="auto"/>
              </w:rPr>
            </w:pPr>
          </w:p>
        </w:tc>
        <w:tc>
          <w:tcPr>
            <w:tcW w:w="1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222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9"/>
              </w:rPr>
              <w:t>purchased as part of publicly</w:t>
            </w:r>
          </w:p>
        </w:tc>
        <w:tc>
          <w:tcPr>
            <w:tcW w:w="160" w:type="dxa"/>
            <w:vAlign w:val="bottom"/>
          </w:tcPr>
          <w:p>
            <w:pPr>
              <w:spacing w:after="0"/>
              <w:rPr>
                <w:sz w:val="15"/>
                <w:szCs w:val="15"/>
                <w:color w:val="auto"/>
              </w:rPr>
            </w:pPr>
          </w:p>
        </w:tc>
        <w:tc>
          <w:tcPr>
            <w:tcW w:w="218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may yet be purchased under</w:t>
            </w:r>
          </w:p>
        </w:tc>
        <w:tc>
          <w:tcPr>
            <w:tcW w:w="0" w:type="dxa"/>
            <w:vAlign w:val="bottom"/>
          </w:tcPr>
          <w:p>
            <w:pPr>
              <w:spacing w:after="0"/>
              <w:rPr>
                <w:sz w:val="1"/>
                <w:szCs w:val="1"/>
                <w:color w:val="auto"/>
              </w:rPr>
            </w:pPr>
          </w:p>
        </w:tc>
      </w:tr>
      <w:tr>
        <w:trPr>
          <w:trHeight w:val="227"/>
        </w:trPr>
        <w:tc>
          <w:tcPr>
            <w:tcW w:w="226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8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purchased</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announced program</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8"/>
              </w:rPr>
              <w:t>the program</w:t>
            </w:r>
          </w:p>
        </w:tc>
        <w:tc>
          <w:tcPr>
            <w:tcW w:w="0" w:type="dxa"/>
            <w:vAlign w:val="bottom"/>
          </w:tcPr>
          <w:p>
            <w:pPr>
              <w:spacing w:after="0"/>
              <w:rPr>
                <w:sz w:val="1"/>
                <w:szCs w:val="1"/>
                <w:color w:val="auto"/>
              </w:rPr>
            </w:pPr>
          </w:p>
        </w:tc>
      </w:tr>
      <w:tr>
        <w:trPr>
          <w:trHeight w:val="2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1-30, 2025</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27"/>
        </w:trPr>
        <w:tc>
          <w:tcPr>
            <w:tcW w:w="242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May 1-31, 2025 </w:t>
            </w:r>
            <w:r>
              <w:rPr>
                <w:rFonts w:ascii="Times New Roman" w:cs="Times New Roman" w:eastAsia="Times New Roman" w:hAnsi="Times New Roman"/>
                <w:sz w:val="23"/>
                <w:szCs w:val="23"/>
                <w:color w:val="auto"/>
                <w:vertAlign w:val="superscript"/>
              </w:rPr>
              <w:t>(1)</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359.85</w:t>
            </w:r>
          </w:p>
        </w:tc>
        <w:tc>
          <w:tcPr>
            <w:tcW w:w="180" w:type="dxa"/>
            <w:vAlign w:val="bottom"/>
          </w:tcPr>
          <w:p>
            <w:pPr>
              <w:spacing w:after="0"/>
              <w:rPr>
                <w:sz w:val="19"/>
                <w:szCs w:val="19"/>
                <w:color w:val="auto"/>
              </w:rPr>
            </w:pPr>
          </w:p>
        </w:tc>
        <w:tc>
          <w:tcPr>
            <w:tcW w:w="22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3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1-30, 2025</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21"/>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359.85</w:t>
            </w:r>
          </w:p>
        </w:tc>
        <w:tc>
          <w:tcPr>
            <w:tcW w:w="180" w:type="dxa"/>
            <w:vAlign w:val="bottom"/>
          </w:tcPr>
          <w:p>
            <w:pPr>
              <w:spacing w:after="0"/>
              <w:rPr>
                <w:sz w:val="19"/>
                <w:szCs w:val="19"/>
                <w:color w:val="auto"/>
              </w:rPr>
            </w:pPr>
          </w:p>
        </w:tc>
        <w:tc>
          <w:tcPr>
            <w:tcW w:w="222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640" w:hanging="312"/>
        <w:spacing w:after="0"/>
        <w:tabs>
          <w:tab w:leader="none" w:pos="6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shares purchased on the open market for stock-based awards in conjunction with our equity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7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69"/>
        </w:trPr>
        <w:tc>
          <w:tcPr>
            <w:tcW w:w="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56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192"/>
        </w:trPr>
        <w:tc>
          <w:tcPr>
            <w:tcW w:w="20" w:type="dxa"/>
            <w:vAlign w:val="bottom"/>
          </w:tcPr>
          <w:p>
            <w:pPr>
              <w:spacing w:after="0"/>
              <w:rPr>
                <w:sz w:val="16"/>
                <w:szCs w:val="16"/>
                <w:color w:val="auto"/>
              </w:rPr>
            </w:pPr>
          </w:p>
        </w:tc>
        <w:tc>
          <w:tcPr>
            <w:tcW w:w="8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Number</w:t>
            </w:r>
          </w:p>
        </w:tc>
        <w:tc>
          <w:tcPr>
            <w:tcW w:w="560" w:type="dxa"/>
            <w:vAlign w:val="bottom"/>
          </w:tcPr>
          <w:p>
            <w:pPr>
              <w:spacing w:after="0"/>
              <w:rPr>
                <w:sz w:val="16"/>
                <w:szCs w:val="16"/>
                <w:color w:val="auto"/>
              </w:rPr>
            </w:pPr>
          </w:p>
        </w:tc>
        <w:tc>
          <w:tcPr>
            <w:tcW w:w="820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435"/>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r>
      <w:tr>
        <w:trPr>
          <w:trHeight w:val="435"/>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Certification pursuant to 18 U.S.C. Section 1350, as adopted pursuant to Section 906 of the Sarbanes-Oxley Act of</w:t>
            </w:r>
          </w:p>
        </w:tc>
      </w:tr>
      <w:tr>
        <w:trPr>
          <w:trHeight w:val="154"/>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Borders>
              <w:bottom w:val="single" w:sz="8" w:color="0000FF"/>
            </w:tcBorders>
            <w:gridSpan w:val="2"/>
          </w:tcPr>
          <w:p>
            <w:pPr>
              <w:spacing w:after="0" w:line="154" w:lineRule="exact"/>
              <w:rPr>
                <w:sz w:val="20"/>
                <w:szCs w:val="20"/>
                <w:color w:val="auto"/>
              </w:rPr>
            </w:pPr>
            <w:r>
              <w:rPr>
                <w:rFonts w:ascii="Times New Roman" w:cs="Times New Roman" w:eastAsia="Times New Roman" w:hAnsi="Times New Roman"/>
                <w:sz w:val="17"/>
                <w:szCs w:val="17"/>
                <w:color w:val="0000FF"/>
              </w:rPr>
              <w:t>2002.</w:t>
            </w:r>
          </w:p>
        </w:tc>
        <w:tc>
          <w:tcPr>
            <w:tcW w:w="11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435"/>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w:t>
            </w:r>
          </w:p>
        </w:tc>
      </w:tr>
      <w:tr>
        <w:trPr>
          <w:trHeight w:val="233"/>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463"/>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5"/>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5"/>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41"/>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5"/>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41"/>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5" w:lineRule="exact"/>
        <w:rPr>
          <w:sz w:val="20"/>
          <w:szCs w:val="20"/>
          <w:color w:val="auto"/>
        </w:rPr>
      </w:pPr>
    </w:p>
    <w:p>
      <w:pPr>
        <w:ind w:left="340" w:hanging="333"/>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Erie Indemnity Company</w:t>
            </w:r>
          </w:p>
        </w:tc>
      </w:tr>
      <w:tr>
        <w:trPr>
          <w:trHeight w:val="226"/>
        </w:trPr>
        <w:tc>
          <w:tcPr>
            <w:tcW w:w="34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67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75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Timothy G. NeCastro</w:t>
            </w:r>
          </w:p>
        </w:tc>
      </w:tr>
      <w:tr>
        <w:trPr>
          <w:trHeight w:val="226"/>
        </w:trPr>
        <w:tc>
          <w:tcPr>
            <w:tcW w:w="34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Timothy G. NeCastro, President &amp; CEO</w:t>
            </w:r>
          </w:p>
        </w:tc>
      </w:tr>
      <w:tr>
        <w:trPr>
          <w:trHeight w:val="449"/>
        </w:trPr>
        <w:tc>
          <w:tcPr>
            <w:tcW w:w="3480" w:type="dxa"/>
            <w:vAlign w:val="bottom"/>
          </w:tcPr>
          <w:p>
            <w:pPr>
              <w:spacing w:after="0"/>
              <w:rPr>
                <w:sz w:val="24"/>
                <w:szCs w:val="24"/>
                <w:color w:val="auto"/>
              </w:rPr>
            </w:pPr>
          </w:p>
        </w:tc>
        <w:tc>
          <w:tcPr>
            <w:tcW w:w="75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Julie M. Pelkowski</w:t>
            </w:r>
          </w:p>
        </w:tc>
      </w:tr>
      <w:tr>
        <w:trPr>
          <w:trHeight w:val="226"/>
        </w:trPr>
        <w:tc>
          <w:tcPr>
            <w:tcW w:w="34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Julie M. Pelkowski, Executive Vice President &amp; CFO</w:t>
            </w:r>
          </w:p>
        </w:tc>
      </w:tr>
      <w:tr>
        <w:trPr>
          <w:trHeight w:val="838"/>
        </w:trPr>
        <w:tc>
          <w:tcPr>
            <w:tcW w:w="3480" w:type="dxa"/>
            <w:vAlign w:val="bottom"/>
          </w:tcPr>
          <w:p>
            <w:pPr>
              <w:spacing w:after="0"/>
              <w:rPr>
                <w:sz w:val="24"/>
                <w:szCs w:val="24"/>
                <w:color w:val="auto"/>
              </w:rPr>
            </w:pPr>
          </w:p>
        </w:tc>
        <w:tc>
          <w:tcPr>
            <w:tcW w:w="7540" w:type="dxa"/>
            <w:vAlign w:val="bottom"/>
            <w:gridSpan w:val="2"/>
          </w:tcPr>
          <w:p>
            <w:pPr>
              <w:jc w:val="right"/>
              <w:ind w:right="5231"/>
              <w:spacing w:after="0"/>
              <w:rPr>
                <w:sz w:val="20"/>
                <w:szCs w:val="20"/>
                <w:color w:val="auto"/>
              </w:rPr>
            </w:pPr>
            <w:r>
              <w:rPr>
                <w:rFonts w:ascii="Times New Roman" w:cs="Times New Roman" w:eastAsia="Times New Roman" w:hAnsi="Times New Roman"/>
                <w:sz w:val="18"/>
                <w:szCs w:val="18"/>
                <w:color w:val="auto"/>
              </w:rPr>
              <w:t>43</w:t>
            </w:r>
          </w:p>
        </w:tc>
      </w:tr>
    </w:tbl>
    <w:p>
      <w:pPr>
        <w:sectPr>
          <w:pgSz w:w="11900" w:h="16838" w:orient="portrait"/>
          <w:cols w:equalWidth="0" w:num="1">
            <w:col w:w="11160"/>
          </w:cols>
          <w:pgMar w:left="320" w:top="118" w:right="41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302</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G. NeCastro, certify that:</w:t>
      </w:r>
    </w:p>
    <w:p>
      <w:pPr>
        <w:spacing w:after="0" w:line="221" w:lineRule="exact"/>
        <w:rPr>
          <w:sz w:val="20"/>
          <w:szCs w:val="20"/>
          <w:color w:val="auto"/>
        </w:rPr>
      </w:pPr>
    </w:p>
    <w:p>
      <w:pPr>
        <w:ind w:left="320" w:hanging="313"/>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Erie Indemnity Company;</w:t>
      </w:r>
    </w:p>
    <w:p>
      <w:pPr>
        <w:spacing w:after="0" w:line="220" w:lineRule="exact"/>
        <w:rPr>
          <w:rFonts w:ascii="Times New Roman" w:cs="Times New Roman" w:eastAsia="Times New Roman" w:hAnsi="Times New Roman"/>
          <w:sz w:val="18"/>
          <w:szCs w:val="18"/>
          <w:color w:val="auto"/>
        </w:rPr>
      </w:pPr>
    </w:p>
    <w:p>
      <w:pPr>
        <w:jc w:val="both"/>
        <w:ind w:left="640" w:right="200" w:hanging="312"/>
        <w:spacing w:after="0" w:line="263" w:lineRule="auto"/>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40" w:right="160" w:hanging="312"/>
        <w:spacing w:after="0" w:line="278" w:lineRule="auto"/>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640" w:right="200" w:hanging="312"/>
        <w:spacing w:after="0" w:line="263" w:lineRule="auto"/>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hanging="330"/>
        <w:spacing w:after="0" w:line="263" w:lineRule="auto"/>
        <w:tabs>
          <w:tab w:leader="none" w:pos="129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120" w:hanging="330"/>
        <w:spacing w:after="0" w:line="263" w:lineRule="auto"/>
        <w:tabs>
          <w:tab w:leader="none" w:pos="128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300" w:hanging="330"/>
        <w:spacing w:after="0" w:line="308" w:lineRule="auto"/>
        <w:tabs>
          <w:tab w:leader="none" w:pos="1290"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300" w:right="260" w:hanging="330"/>
        <w:spacing w:after="0" w:line="263" w:lineRule="auto"/>
        <w:tabs>
          <w:tab w:leader="none" w:pos="128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40" w:right="100" w:hanging="312"/>
        <w:spacing w:after="0" w:line="278" w:lineRule="auto"/>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2" w:lineRule="exact"/>
        <w:rPr>
          <w:rFonts w:ascii="Times New Roman" w:cs="Times New Roman" w:eastAsia="Times New Roman" w:hAnsi="Times New Roman"/>
          <w:sz w:val="18"/>
          <w:szCs w:val="18"/>
          <w:color w:val="auto"/>
        </w:rPr>
      </w:pPr>
    </w:p>
    <w:p>
      <w:pPr>
        <w:ind w:left="1300" w:right="540" w:hanging="330"/>
        <w:spacing w:after="0" w:line="278" w:lineRule="auto"/>
        <w:tabs>
          <w:tab w:leader="none" w:pos="129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300" w:right="260" w:hanging="330"/>
        <w:spacing w:after="0" w:line="278" w:lineRule="auto"/>
        <w:tabs>
          <w:tab w:leader="none" w:pos="128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August 7, 2025</w:t>
      </w:r>
    </w:p>
    <w:p>
      <w:pPr>
        <w:spacing w:after="0" w:line="24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15875</wp:posOffset>
            </wp:positionV>
            <wp:extent cx="25476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Timothy G. NeCastro</w:t>
      </w:r>
    </w:p>
    <w:p>
      <w:pPr>
        <w:spacing w:after="0" w:line="2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&amp; CEO</w:t>
      </w:r>
    </w:p>
    <w:p>
      <w:pPr>
        <w:sectPr>
          <w:pgSz w:w="11900" w:h="16838" w:orient="portrait"/>
          <w:cols w:equalWidth="0" w:num="1">
            <w:col w:w="11220"/>
          </w:cols>
          <w:pgMar w:left="320" w:top="880" w:right="35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302</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M. Pelkowski, certify that:</w:t>
      </w:r>
    </w:p>
    <w:p>
      <w:pPr>
        <w:spacing w:after="0" w:line="221" w:lineRule="exact"/>
        <w:rPr>
          <w:sz w:val="20"/>
          <w:szCs w:val="20"/>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Erie Indemnity Company;</w:t>
      </w:r>
    </w:p>
    <w:p>
      <w:pPr>
        <w:spacing w:after="0" w:line="220" w:lineRule="exact"/>
        <w:rPr>
          <w:rFonts w:ascii="Times New Roman" w:cs="Times New Roman" w:eastAsia="Times New Roman" w:hAnsi="Times New Roman"/>
          <w:sz w:val="18"/>
          <w:szCs w:val="18"/>
          <w:color w:val="auto"/>
        </w:rPr>
      </w:pPr>
    </w:p>
    <w:p>
      <w:pPr>
        <w:jc w:val="both"/>
        <w:ind w:left="640" w:right="200" w:hanging="312"/>
        <w:spacing w:after="0" w:line="263" w:lineRule="auto"/>
        <w:tabs>
          <w:tab w:leader="none" w:pos="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40" w:right="160" w:hanging="312"/>
        <w:spacing w:after="0" w:line="278" w:lineRule="auto"/>
        <w:tabs>
          <w:tab w:leader="none" w:pos="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640" w:right="200" w:hanging="312"/>
        <w:spacing w:after="0" w:line="263" w:lineRule="auto"/>
        <w:tabs>
          <w:tab w:leader="none" w:pos="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hanging="330"/>
        <w:spacing w:after="0" w:line="263" w:lineRule="auto"/>
        <w:tabs>
          <w:tab w:leader="none" w:pos="129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120" w:hanging="330"/>
        <w:spacing w:after="0" w:line="263" w:lineRule="auto"/>
        <w:tabs>
          <w:tab w:leader="none" w:pos="128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300" w:hanging="330"/>
        <w:spacing w:after="0" w:line="308" w:lineRule="auto"/>
        <w:tabs>
          <w:tab w:leader="none" w:pos="1290"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300" w:right="260" w:hanging="330"/>
        <w:spacing w:after="0" w:line="263" w:lineRule="auto"/>
        <w:tabs>
          <w:tab w:leader="none" w:pos="128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40" w:right="100" w:hanging="312"/>
        <w:spacing w:after="0" w:line="278" w:lineRule="auto"/>
        <w:tabs>
          <w:tab w:leader="none" w:pos="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2" w:lineRule="exact"/>
        <w:rPr>
          <w:rFonts w:ascii="Times New Roman" w:cs="Times New Roman" w:eastAsia="Times New Roman" w:hAnsi="Times New Roman"/>
          <w:sz w:val="18"/>
          <w:szCs w:val="18"/>
          <w:color w:val="auto"/>
        </w:rPr>
      </w:pPr>
    </w:p>
    <w:p>
      <w:pPr>
        <w:ind w:left="1300" w:right="540" w:hanging="330"/>
        <w:spacing w:after="0" w:line="278" w:lineRule="auto"/>
        <w:tabs>
          <w:tab w:leader="none" w:pos="129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300" w:right="260" w:hanging="330"/>
        <w:spacing w:after="0" w:line="278" w:lineRule="auto"/>
        <w:tabs>
          <w:tab w:leader="none" w:pos="128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August 7, 2025</w:t>
      </w:r>
    </w:p>
    <w:p>
      <w:pPr>
        <w:spacing w:after="0" w:line="24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Julie M. Pelkowski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15875</wp:posOffset>
            </wp:positionV>
            <wp:extent cx="25476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Julie M. Pelkowski</w:t>
      </w:r>
    </w:p>
    <w:p>
      <w:pPr>
        <w:spacing w:after="0" w:line="2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Executive Vice President &amp; CFO</w:t>
      </w:r>
    </w:p>
    <w:p>
      <w:pPr>
        <w:sectPr>
          <w:pgSz w:w="11900" w:h="16838" w:orient="portrait"/>
          <w:cols w:equalWidth="0" w:num="1">
            <w:col w:w="11220"/>
          </w:cols>
          <w:pgMar w:left="320" w:top="880" w:right="35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Timothy G. NeCastro, Chief Executive Officer of the Erie Indemnity Company (the "Company"), and Julie M. Pelkowski, Chief Financial Officer of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certify, pursuant to § 906 of the Sarbanes-Oxley Act of 2002, 18 U.S.C. § 1350, that:</w:t>
      </w:r>
    </w:p>
    <w:p>
      <w:pPr>
        <w:spacing w:after="0" w:line="202" w:lineRule="exact"/>
        <w:rPr>
          <w:sz w:val="20"/>
          <w:szCs w:val="20"/>
          <w:color w:val="auto"/>
        </w:rPr>
      </w:pPr>
    </w:p>
    <w:p>
      <w:pPr>
        <w:ind w:left="480" w:hanging="313"/>
        <w:spacing w:after="0" w:line="278" w:lineRule="auto"/>
        <w:tabs>
          <w:tab w:leader="none" w:pos="4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2025 (the "Report") fully complies with the requirements of Section 13(a) or 15(d) of the Securities Exchange Act of 1934 (15 U.S.C. 78m); and</w:t>
      </w:r>
    </w:p>
    <w:p>
      <w:pPr>
        <w:spacing w:after="0" w:line="189"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15875</wp:posOffset>
            </wp:positionV>
            <wp:extent cx="30403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40380" cy="8255"/>
                    </a:xfrm>
                    <a:prstGeom prst="rect">
                      <a:avLst/>
                    </a:prstGeom>
                    <a:noFill/>
                  </pic:spPr>
                </pic:pic>
              </a:graphicData>
            </a:graphic>
          </wp:anchor>
        </w:drawing>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Timothy G. NeCastro</w:t>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Julie M. Pelkowski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15875</wp:posOffset>
            </wp:positionV>
            <wp:extent cx="30403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40380" cy="8255"/>
                    </a:xfrm>
                    <a:prstGeom prst="rect">
                      <a:avLst/>
                    </a:prstGeom>
                    <a:noFill/>
                  </pic:spPr>
                </pic:pic>
              </a:graphicData>
            </a:graphic>
          </wp:anchor>
        </w:drawing>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Julie M. Pelkowski</w:t>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Executive Vice President &amp; CFO</w:t>
      </w: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August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87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lvl w:ilvl="1">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2">
    <w:nsid w:val="6763845E"/>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2025-08-07T15:41:06Z</dcterms:created>
  <dcterms:modified xsi:type="dcterms:W3CDTF">2025-08-07T15:41:06Z</dcterms:modified>
</cp:coreProperties>
</file>